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mail-1--internal-alignment"/>
    <w:p>
      <w:pPr>
        <w:pStyle w:val="Heading1"/>
      </w:pPr>
      <w:r>
        <w:t xml:space="preserve">EMAIL 1 — INTERNAL ALIGNMENT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Jason Ko &lt;[Jason's email]&gt;; Dawon Kim &lt;[Dawon's email]&gt;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Pheeew, Inc. — 4-Founder Restructure — Cap Table v2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Jason, Dawon —</w:t>
      </w:r>
    </w:p>
    <w:p>
      <w:pPr>
        <w:pStyle w:val="BodyText"/>
      </w:pPr>
      <w:r>
        <w:t xml:space="preserve">Confirming our verbal alignment on the four-Founder restructure. Sending this for the record before I send the formal offer to my brother Junhyuk Kim ("Justin") tomorrow.</w:t>
      </w:r>
    </w:p>
    <w:p>
      <w:pPr>
        <w:pStyle w:val="BodyText"/>
      </w:pPr>
      <w:r>
        <w:rPr>
          <w:b/>
          <w:bCs/>
        </w:rPr>
        <w:t xml:space="preserve">Proposal — Junhyuk Kim ("Justin") joins as fourth Founder of Pheeew, Inc.</w:t>
      </w:r>
    </w:p>
    <w:p>
      <w:pPr>
        <w:pStyle w:val="BodyText"/>
      </w:pPr>
      <w:r>
        <w:rPr>
          <w:b/>
          <w:bCs/>
        </w:rPr>
        <w:t xml:space="preserve">1. Equity (whole-number splits, all &gt;20%, hierarchy by founding-order and capital):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Issued %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 ("Alex")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Refresh grant: +141,428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  <w:tc>
          <w:tcPr/>
          <w:p>
            <w:pPr>
              <w:pStyle w:val="Compact"/>
            </w:pPr>
            <w:r>
              <w:t xml:space="preserve">Refresh grant: +184,286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 ("Justin")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New grant: 3,017,143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Dawon Kim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t xml:space="preserve">No new shares; dilution only (existing 2,880,000)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 Incentive Pool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Top-up to 1,371,429 (reserved, unallocated)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fully diluted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13,714,286 shares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Capital — Junhyuk contributes $30,000.00 to Pheeew, Inc.:</w:t>
      </w:r>
    </w:p>
    <w:p>
      <w:pPr>
        <w:pStyle w:val="Compact"/>
        <w:numPr>
          <w:ilvl w:val="0"/>
          <w:numId w:val="1001"/>
        </w:numPr>
      </w:pPr>
      <w:r>
        <w:t xml:space="preserve">$6,818.74 stock purchase price (3,017,143 shares × $0.00226 per share — same FMV used in our existing 83(b) elections);</w:t>
      </w:r>
    </w:p>
    <w:p>
      <w:pPr>
        <w:pStyle w:val="Compact"/>
        <w:numPr>
          <w:ilvl w:val="0"/>
          <w:numId w:val="1001"/>
        </w:numPr>
      </w:pPr>
      <w:r>
        <w:t xml:space="preserve">$23,181.26 voluntary Additional Paid-in Capital (no additional shares issued for this portion);</w:t>
      </w:r>
    </w:p>
    <w:p>
      <w:pPr>
        <w:pStyle w:val="Compact"/>
        <w:numPr>
          <w:ilvl w:val="0"/>
          <w:numId w:val="1001"/>
        </w:numPr>
      </w:pPr>
      <w:r>
        <w:t xml:space="preserve">Total founder capital contributed to date: $50,736.12.</w:t>
      </w:r>
    </w:p>
    <w:p>
      <w:pPr>
        <w:pStyle w:val="Compact"/>
        <w:numPr>
          <w:ilvl w:val="0"/>
          <w:numId w:val="1001"/>
        </w:numPr>
      </w:pPr>
      <w:r>
        <w:t xml:space="preserve">No SAFE round; full bootstrap.</w:t>
      </w:r>
    </w:p>
    <w:p>
      <w:pPr>
        <w:pStyle w:val="FirstParagraph"/>
      </w:pPr>
      <w:r>
        <w:rPr>
          <w:b/>
          <w:bCs/>
        </w:rPr>
        <w:t xml:space="preserve">3. Role — Chief Growth Officer (CGO).</w:t>
      </w:r>
      <w:r>
        <w:t xml:space="preserve"> </w:t>
      </w:r>
      <w:r>
        <w:t xml:space="preserve">Four-year vest, one-year cliff. Front-of-house: partnerships, creator/influencer sourcing, retail buyer outreach, investor sourcing, marketing, and business development. Co-ordinates with Jason on operations for growth-related expense budgets.</w:t>
      </w:r>
    </w:p>
    <w:p>
      <w:pPr>
        <w:pStyle w:val="BodyText"/>
      </w:pPr>
      <w:r>
        <w:rPr>
          <w:b/>
          <w:bCs/>
        </w:rPr>
        <w:t xml:space="preserve">4. Dawon — 83(b) impact (none).</w:t>
      </w:r>
      <w:r>
        <w:t xml:space="preserve"> </w:t>
      </w:r>
      <w:r>
        <w:t xml:space="preserve">Your existing 83(b) election is unchanged. Your share count (2,880,000), vesting schedule, and FMV at original grant ($0.00226) are not modified. The restructure dilutes your fully-diluted percentage from 28.8% to 21% via the math of new shares being issued — not by modifying your grant. Your CAA-filed ITIN paperwork stays untouched. No re-filing required.</w:t>
      </w:r>
    </w:p>
    <w:p>
      <w:pPr>
        <w:pStyle w:val="BodyText"/>
      </w:pPr>
      <w:r>
        <w:t xml:space="preserve">(I and Jason each need to file new 83(b) elections for our refresh increments — small share counts, low tax impact: ~</w:t>
      </w:r>
      <m:oMath>
        <m:r>
          <m:t>320</m:t>
        </m:r>
        <m:r>
          <m:t>a</m:t>
        </m:r>
        <m:r>
          <m:t>n</m:t>
        </m:r>
        <m:r>
          <m:t>d</m:t>
        </m:r>
        <m:r>
          <m:t> </m:t>
        </m:r>
      </m:oMath>
      <w:r>
        <w:t xml:space="preserve">417 of FMV recognized respectively, which equals the price paid, so $0 income inclusion.)</w:t>
      </w:r>
    </w:p>
    <w:p>
      <w:pPr>
        <w:pStyle w:val="BodyText"/>
      </w:pPr>
      <w:r>
        <w:rPr>
          <w:b/>
          <w:bCs/>
        </w:rPr>
        <w:t xml:space="preserve">5. Roles updated for all four (per the R&amp;R Framework):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Seungjoon Kim</w:t>
            </w:r>
          </w:p>
        </w:tc>
        <w:tc>
          <w:tcPr/>
          <w:p>
            <w:pPr>
              <w:pStyle w:val="Compact"/>
            </w:pPr>
            <w:r>
              <w:t xml:space="preserve">CEO + Secretary</w:t>
            </w:r>
          </w:p>
        </w:tc>
        <w:tc>
          <w:tcPr/>
          <w:p>
            <w:pPr>
              <w:pStyle w:val="Compact"/>
            </w:pPr>
            <w:r>
              <w:t xml:space="preserve">Strategy, vision, fundraising, governance; founder safety 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Jason Ko</w:t>
            </w:r>
          </w:p>
        </w:tc>
        <w:tc>
          <w:tcPr/>
          <w:p>
            <w:pPr>
              <w:pStyle w:val="Compact"/>
            </w:pPr>
            <w:r>
              <w:t xml:space="preserve">COO</w:t>
            </w:r>
          </w:p>
        </w:tc>
        <w:tc>
          <w:tcPr/>
          <w:p>
            <w:pPr>
              <w:pStyle w:val="Compact"/>
            </w:pPr>
            <w:r>
              <w:t xml:space="preserve">Operations, finance, legal, supply chain, tech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Junhyuk Kim</w:t>
            </w:r>
          </w:p>
        </w:tc>
        <w:tc>
          <w:tcPr/>
          <w:p>
            <w:pPr>
              <w:pStyle w:val="Compact"/>
            </w:pPr>
            <w:r>
              <w:t xml:space="preserve">CGO</w:t>
            </w:r>
          </w:p>
        </w:tc>
        <w:tc>
          <w:tcPr/>
          <w:p>
            <w:pPr>
              <w:pStyle w:val="Compact"/>
            </w:pPr>
            <w:r>
              <w:t xml:space="preserve">Partnerships, creator outreach, retail, investor sourcing, 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Dawon Kim</w:t>
            </w:r>
          </w:p>
        </w:tc>
        <w:tc>
          <w:tcPr/>
          <w:p>
            <w:pPr>
              <w:pStyle w:val="Compact"/>
            </w:pPr>
            <w:r>
              <w:t xml:space="preserve">CBO</w:t>
            </w:r>
          </w:p>
        </w:tc>
        <w:tc>
          <w:tcPr/>
          <w:p>
            <w:pPr>
              <w:pStyle w:val="Compact"/>
            </w:pPr>
            <w:r>
              <w:t xml:space="preserve">Brand identity, voice, design system, content, customer experience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Dawon — title change to Chief Brand Officer (was CDO).</w:t>
      </w:r>
      <w:r>
        <w:t xml:space="preserve"> </w:t>
      </w:r>
      <w:r>
        <w:t xml:space="preserve">Reflects that you own the full brand — voice, design, content, customer experience — not visual design alone.</w:t>
      </w:r>
    </w:p>
    <w:p>
      <w:pPr>
        <w:pStyle w:val="BodyText"/>
      </w:pPr>
      <w:r>
        <w:t xml:space="preserve">If anything above does not match what we discussed, reply before EOD today. If aligned, I will send Junhyuk the formal offer tomorrow morning and copy you both.</w:t>
      </w:r>
    </w:p>
    <w:p>
      <w:pPr>
        <w:pStyle w:val="BodyText"/>
      </w:pPr>
      <w:r>
        <w:t xml:space="preserve">— Seungjoon ("Alex")</w:t>
      </w:r>
    </w:p>
    <w:p>
      <w:pPr>
        <w:pStyle w:val="BodyText"/>
      </w:pPr>
      <w:r>
        <w:t xml:space="preserve">Pheeew, Inc.</w:t>
      </w:r>
      <w:r>
        <w:t xml:space="preserve"> </w:t>
      </w:r>
      <w:r>
        <w:t xml:space="preserve">1111b South Governors Ave STE 98188, Dover, DE 19904</w:t>
      </w:r>
      <w:r>
        <w:t xml:space="preserve"> </w:t>
      </w:r>
      <w:r>
        <w:t xml:space="preserve">EIN 41-5111005</w:t>
      </w:r>
    </w:p>
    <w:bookmarkEnd w:id="10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pheee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pheee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2026-05-07T05:12:08Z</dcterms:created>
  <dcterms:modified xsi:type="dcterms:W3CDTF">2026-05-07T05:12:08Z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