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AA" w:rsidRDefault="005C36AA" w:rsidP="00F0742C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5C36AA">
        <w:rPr>
          <w:lang w:val="es-ES"/>
        </w:rPr>
        <w:instrText>https://www.lg.com/es/posventa/microsites/lavado-secado/ruidos-vibraciones-golpes-durante-centrifugado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332C2D">
        <w:rPr>
          <w:rStyle w:val="Hyperlink"/>
          <w:lang w:val="es-ES"/>
        </w:rPr>
        <w:t>https://www.lg.com/es/posventa/microsites/lavado-secado/ruidos-vibraciones-golpes-durante-centrifugado</w:t>
      </w:r>
      <w:r>
        <w:rPr>
          <w:lang w:val="es-ES"/>
        </w:rPr>
        <w:fldChar w:fldCharType="end"/>
      </w:r>
    </w:p>
    <w:p w:rsidR="00F0742C" w:rsidRDefault="00F0742C" w:rsidP="006918B3">
      <w:pPr>
        <w:jc w:val="both"/>
        <w:rPr>
          <w:lang w:val="es-ES"/>
        </w:rPr>
      </w:pPr>
      <w:r w:rsidRPr="005C36AA">
        <w:rPr>
          <w:lang w:val="es-ES"/>
        </w:rPr>
        <w:t>Si la lavadora hace un ruido excesivo durante la fase de centrifugado, revis</w:t>
      </w:r>
      <w:r w:rsidR="00D9272E">
        <w:rPr>
          <w:lang w:val="es-ES"/>
        </w:rPr>
        <w:t>e</w:t>
      </w:r>
      <w:r w:rsidRPr="005C36AA">
        <w:rPr>
          <w:lang w:val="es-ES"/>
        </w:rPr>
        <w:t>:</w:t>
      </w:r>
    </w:p>
    <w:p w:rsidR="00A20000" w:rsidRDefault="00A20000" w:rsidP="00A20000">
      <w:pPr>
        <w:jc w:val="both"/>
        <w:rPr>
          <w:lang w:val="es-ES"/>
        </w:rPr>
      </w:pPr>
      <w:r w:rsidRPr="00A20000">
        <w:rPr>
          <w:b/>
          <w:u w:val="single"/>
          <w:lang w:val="es-ES"/>
        </w:rPr>
        <w:t>Tornillos de transporte</w:t>
      </w:r>
      <w:r>
        <w:rPr>
          <w:lang w:val="es-ES"/>
        </w:rPr>
        <w:t xml:space="preserve">. </w:t>
      </w:r>
      <w:r w:rsidRPr="00A20000">
        <w:rPr>
          <w:lang w:val="es-ES"/>
        </w:rPr>
        <w:t>Para prevenir que el electrodoméstico</w:t>
      </w:r>
      <w:r>
        <w:rPr>
          <w:lang w:val="es-ES"/>
        </w:rPr>
        <w:t xml:space="preserve"> </w:t>
      </w:r>
      <w:r w:rsidRPr="00A20000">
        <w:rPr>
          <w:lang w:val="es-ES"/>
        </w:rPr>
        <w:t>sufra vibraciones graves y roturas, retire</w:t>
      </w:r>
      <w:r>
        <w:rPr>
          <w:lang w:val="es-ES"/>
        </w:rPr>
        <w:t xml:space="preserve"> </w:t>
      </w:r>
      <w:r w:rsidRPr="00A20000">
        <w:rPr>
          <w:lang w:val="es-ES"/>
        </w:rPr>
        <w:t>los tornillos para el transporte y los</w:t>
      </w:r>
      <w:r>
        <w:rPr>
          <w:lang w:val="es-ES"/>
        </w:rPr>
        <w:t xml:space="preserve"> </w:t>
      </w:r>
      <w:r w:rsidRPr="00A20000">
        <w:rPr>
          <w:lang w:val="es-ES"/>
        </w:rPr>
        <w:t>retenedores.</w:t>
      </w:r>
    </w:p>
    <w:p w:rsidR="00A20000" w:rsidRPr="00CC38DB" w:rsidRDefault="00CC38DB" w:rsidP="00CC38D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Para retirar</w:t>
      </w:r>
      <w:r w:rsidR="00A20000" w:rsidRPr="00CC38DB">
        <w:rPr>
          <w:lang w:val="es-ES"/>
        </w:rPr>
        <w:t xml:space="preserve"> los tornillos </w:t>
      </w:r>
      <w:r>
        <w:rPr>
          <w:lang w:val="es-ES"/>
        </w:rPr>
        <w:t>d</w:t>
      </w:r>
      <w:r w:rsidR="00A20000" w:rsidRPr="00CC38DB">
        <w:rPr>
          <w:lang w:val="es-ES"/>
        </w:rPr>
        <w:t>e tran</w:t>
      </w:r>
      <w:r w:rsidR="00CA623A">
        <w:rPr>
          <w:lang w:val="es-ES"/>
        </w:rPr>
        <w:t xml:space="preserve">sporte </w:t>
      </w:r>
      <w:r w:rsidR="00CA623A">
        <w:rPr>
          <w:rFonts w:cstheme="minorHAnsi"/>
          <w:lang w:val="es-ES"/>
        </w:rPr>
        <w:t>①</w:t>
      </w:r>
      <w:r w:rsidR="00A20000" w:rsidRPr="00CC38DB">
        <w:rPr>
          <w:lang w:val="es-ES"/>
        </w:rPr>
        <w:t>, use la llave (incluida) para aflojar</w:t>
      </w:r>
      <w:r>
        <w:rPr>
          <w:lang w:val="es-ES"/>
        </w:rPr>
        <w:t>los</w:t>
      </w:r>
      <w:r w:rsidR="00A20000" w:rsidRPr="00CC38DB">
        <w:rPr>
          <w:lang w:val="es-ES"/>
        </w:rPr>
        <w:t xml:space="preserve"> completamente </w:t>
      </w:r>
      <w:r w:rsidRPr="00CC38DB">
        <w:rPr>
          <w:lang w:val="es-ES"/>
        </w:rPr>
        <w:t>girándolos hacia la izquierda.</w:t>
      </w:r>
    </w:p>
    <w:p w:rsidR="00CC38DB" w:rsidRDefault="00CC38DB" w:rsidP="00CC38DB">
      <w:pPr>
        <w:jc w:val="center"/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3F3A626A" wp14:editId="4CFB1E4E">
            <wp:extent cx="2601395" cy="1516568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007" cy="15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DB" w:rsidRDefault="00CC38DB" w:rsidP="00CC38DB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C38DB">
        <w:rPr>
          <w:lang w:val="es-ES"/>
        </w:rPr>
        <w:t>Retire los conjuntos de tornillos aplicando un ligero movimiento de derecha a izquierda mientras tira de ellos.</w:t>
      </w:r>
    </w:p>
    <w:p w:rsidR="00CC38DB" w:rsidRDefault="00CC38DB" w:rsidP="00D47A13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C38DB">
        <w:rPr>
          <w:lang w:val="es-ES"/>
        </w:rPr>
        <w:t xml:space="preserve">Los tapones para agujeros </w:t>
      </w:r>
      <w:r w:rsidR="00CA623A">
        <w:rPr>
          <w:rFonts w:cstheme="minorHAnsi"/>
          <w:lang w:val="es-ES"/>
        </w:rPr>
        <w:t>②</w:t>
      </w:r>
      <w:r w:rsidRPr="00CC38DB">
        <w:rPr>
          <w:lang w:val="es-ES"/>
        </w:rPr>
        <w:t xml:space="preserve"> se encuentran en el paquete de accesorios o adjuntos a la parte</w:t>
      </w:r>
      <w:r>
        <w:rPr>
          <w:lang w:val="es-ES"/>
        </w:rPr>
        <w:t xml:space="preserve"> </w:t>
      </w:r>
      <w:r w:rsidRPr="00CC38DB">
        <w:rPr>
          <w:lang w:val="es-ES"/>
        </w:rPr>
        <w:t>trasera.</w:t>
      </w:r>
    </w:p>
    <w:p w:rsidR="00CC38DB" w:rsidRPr="00CC38DB" w:rsidRDefault="00CC38DB" w:rsidP="00CC38DB">
      <w:pPr>
        <w:jc w:val="center"/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05EFAD05" wp14:editId="446A1041">
            <wp:extent cx="2694302" cy="1571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525" cy="15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00" w:rsidRDefault="00F0742C" w:rsidP="006918B3">
      <w:pPr>
        <w:jc w:val="both"/>
        <w:rPr>
          <w:lang w:val="es-ES"/>
        </w:rPr>
      </w:pPr>
      <w:r w:rsidRPr="00247825">
        <w:rPr>
          <w:b/>
          <w:u w:val="single"/>
          <w:lang w:val="es-ES"/>
        </w:rPr>
        <w:t>¿El equipo está correctamente nivelado</w:t>
      </w:r>
      <w:r w:rsidRPr="00247825">
        <w:rPr>
          <w:u w:val="single"/>
          <w:lang w:val="es-ES"/>
        </w:rPr>
        <w:t>?</w:t>
      </w:r>
      <w:r w:rsidRPr="005C36AA">
        <w:rPr>
          <w:lang w:val="es-ES"/>
        </w:rPr>
        <w:t xml:space="preserve"> Las altas revoluciones que alcanzan las lavadoras necesitan un nivelado preciso. </w:t>
      </w:r>
    </w:p>
    <w:p w:rsidR="00A72D7C" w:rsidRDefault="00A72D7C" w:rsidP="006918B3">
      <w:pPr>
        <w:jc w:val="both"/>
        <w:rPr>
          <w:lang w:val="es-ES"/>
        </w:rPr>
      </w:pPr>
      <w:r>
        <w:rPr>
          <w:lang w:val="es-ES"/>
        </w:rPr>
        <w:t xml:space="preserve">Para comprobar </w:t>
      </w:r>
      <w:r w:rsidR="00005DA5">
        <w:rPr>
          <w:lang w:val="es-ES"/>
        </w:rPr>
        <w:t xml:space="preserve">si está nivelada hay que </w:t>
      </w:r>
      <w:r w:rsidR="00247825">
        <w:rPr>
          <w:lang w:val="es-ES"/>
        </w:rPr>
        <w:t>sacudir el equipo agarrando dos esquinas opuestas; si está correctamente nivelado, no se moverá en absoluto.</w:t>
      </w:r>
    </w:p>
    <w:p w:rsidR="00A20000" w:rsidRDefault="00A20000" w:rsidP="006918B3">
      <w:pPr>
        <w:jc w:val="both"/>
        <w:rPr>
          <w:lang w:val="es-ES"/>
        </w:rPr>
      </w:pPr>
      <w:r>
        <w:rPr>
          <w:lang w:val="es-ES"/>
        </w:rPr>
        <w:t>Para nivelar las patas:</w:t>
      </w:r>
    </w:p>
    <w:p w:rsidR="00A20000" w:rsidRDefault="00CA623A" w:rsidP="00F460F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Gire las patas</w:t>
      </w:r>
      <w:r w:rsidR="00A20000" w:rsidRPr="00A20000">
        <w:rPr>
          <w:lang w:val="es-ES"/>
        </w:rPr>
        <w:t xml:space="preserve"> según sea necesario si el suelo está</w:t>
      </w:r>
      <w:r w:rsidR="00A20000">
        <w:rPr>
          <w:lang w:val="es-ES"/>
        </w:rPr>
        <w:t xml:space="preserve"> </w:t>
      </w:r>
      <w:r w:rsidR="00A20000" w:rsidRPr="00A20000">
        <w:rPr>
          <w:lang w:val="es-ES"/>
        </w:rPr>
        <w:t>desnivelado</w:t>
      </w:r>
      <w:r w:rsidR="00A20000">
        <w:rPr>
          <w:lang w:val="es-ES"/>
        </w:rPr>
        <w:t>.</w:t>
      </w:r>
    </w:p>
    <w:p w:rsidR="00A20000" w:rsidRDefault="00A20000" w:rsidP="00A20000">
      <w:pPr>
        <w:jc w:val="center"/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20424097" wp14:editId="5F56C888">
            <wp:extent cx="1745673" cy="1973311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661" cy="19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D3" w:rsidRDefault="00FD41D3" w:rsidP="00FD41D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comprobar si está correctamente nivelado, es necesario sacudir el equipo agarrando dos esquinas opuestas; </w:t>
      </w:r>
      <w:r w:rsidRPr="00FD41D3">
        <w:rPr>
          <w:lang w:val="es-ES"/>
        </w:rPr>
        <w:t xml:space="preserve">no </w:t>
      </w:r>
      <w:r>
        <w:rPr>
          <w:lang w:val="es-ES"/>
        </w:rPr>
        <w:t>debe moverse</w:t>
      </w:r>
      <w:r w:rsidRPr="00FD41D3">
        <w:rPr>
          <w:lang w:val="es-ES"/>
        </w:rPr>
        <w:t xml:space="preserve"> en absoluto.</w:t>
      </w:r>
    </w:p>
    <w:p w:rsidR="00FD41D3" w:rsidRDefault="00FD41D3" w:rsidP="00356BD0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FD41D3">
        <w:rPr>
          <w:lang w:val="es-ES"/>
        </w:rPr>
        <w:t xml:space="preserve">Fije las patas </w:t>
      </w:r>
      <w:proofErr w:type="spellStart"/>
      <w:r w:rsidRPr="00FD41D3">
        <w:rPr>
          <w:lang w:val="es-ES"/>
        </w:rPr>
        <w:t>ni</w:t>
      </w:r>
      <w:r w:rsidR="00CA623A">
        <w:rPr>
          <w:lang w:val="es-ES"/>
        </w:rPr>
        <w:t>velables</w:t>
      </w:r>
      <w:proofErr w:type="spellEnd"/>
      <w:r w:rsidR="00CA623A">
        <w:rPr>
          <w:lang w:val="es-ES"/>
        </w:rPr>
        <w:t xml:space="preserve"> con las contratuercas </w:t>
      </w:r>
      <w:r w:rsidR="00CA623A">
        <w:rPr>
          <w:rFonts w:cstheme="minorHAnsi"/>
          <w:lang w:val="es-ES"/>
        </w:rPr>
        <w:t>②</w:t>
      </w:r>
      <w:r w:rsidRPr="00FD41D3">
        <w:rPr>
          <w:lang w:val="es-ES"/>
        </w:rPr>
        <w:t xml:space="preserve"> girando hacia la izquierda contra la parte inferior del</w:t>
      </w:r>
      <w:r>
        <w:rPr>
          <w:lang w:val="es-ES"/>
        </w:rPr>
        <w:t xml:space="preserve"> </w:t>
      </w:r>
      <w:r w:rsidRPr="00FD41D3">
        <w:rPr>
          <w:lang w:val="es-ES"/>
        </w:rPr>
        <w:t>electrodoméstico.</w:t>
      </w:r>
    </w:p>
    <w:p w:rsidR="00FD41D3" w:rsidRDefault="00FD41D3" w:rsidP="00FD41D3">
      <w:pPr>
        <w:jc w:val="center"/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0C58CB1A" wp14:editId="32B1A43E">
            <wp:extent cx="2694302" cy="1353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266" cy="13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D3" w:rsidRPr="00FD41D3" w:rsidRDefault="00FD41D3" w:rsidP="00434037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FD41D3">
        <w:rPr>
          <w:lang w:val="es-ES"/>
        </w:rPr>
        <w:t>Compruebe si todas las contratuercas de la base del electrodoméstico están fijadas</w:t>
      </w:r>
      <w:r>
        <w:rPr>
          <w:lang w:val="es-ES"/>
        </w:rPr>
        <w:t xml:space="preserve"> </w:t>
      </w:r>
      <w:r w:rsidRPr="00FD41D3">
        <w:rPr>
          <w:lang w:val="es-ES"/>
        </w:rPr>
        <w:t>adecuadamente.</w:t>
      </w:r>
    </w:p>
    <w:p w:rsidR="00FD41D3" w:rsidRDefault="00580349" w:rsidP="00B13FC1">
      <w:pPr>
        <w:jc w:val="both"/>
        <w:rPr>
          <w:lang w:val="es-ES"/>
        </w:rPr>
      </w:pPr>
      <w:r w:rsidRPr="00580349">
        <w:rPr>
          <w:b/>
          <w:u w:val="single"/>
          <w:lang w:val="es-ES"/>
        </w:rPr>
        <w:t>El suelo no es adecuado.</w:t>
      </w:r>
      <w:r>
        <w:rPr>
          <w:lang w:val="es-ES"/>
        </w:rPr>
        <w:t xml:space="preserve"> </w:t>
      </w:r>
      <w:r w:rsidR="00247825" w:rsidRPr="005C36AA">
        <w:rPr>
          <w:lang w:val="es-ES"/>
        </w:rPr>
        <w:t xml:space="preserve">Si el suelo es </w:t>
      </w:r>
      <w:r w:rsidR="00247825">
        <w:rPr>
          <w:lang w:val="es-ES"/>
        </w:rPr>
        <w:t xml:space="preserve">de madera, </w:t>
      </w:r>
      <w:r w:rsidR="00247825" w:rsidRPr="005C36AA">
        <w:rPr>
          <w:lang w:val="es-ES"/>
        </w:rPr>
        <w:t xml:space="preserve">irregular o el equipo está mal nivelado, se producirán ruidos. </w:t>
      </w:r>
      <w:r w:rsidR="00B13FC1">
        <w:rPr>
          <w:lang w:val="es-ES"/>
        </w:rPr>
        <w:t>Para reducir las vibraciones</w:t>
      </w:r>
      <w:r w:rsidR="00FD41D3">
        <w:rPr>
          <w:lang w:val="es-ES"/>
        </w:rPr>
        <w:t xml:space="preserve"> podemos:</w:t>
      </w:r>
    </w:p>
    <w:p w:rsidR="00247825" w:rsidRPr="00FD41D3" w:rsidRDefault="00FD41D3" w:rsidP="00FD41D3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Instalar </w:t>
      </w:r>
      <w:r w:rsidR="00B13FC1" w:rsidRPr="00FD41D3">
        <w:rPr>
          <w:lang w:val="es-ES"/>
        </w:rPr>
        <w:t xml:space="preserve">topes de goma </w:t>
      </w:r>
      <w:r w:rsidR="00CA623A">
        <w:rPr>
          <w:rFonts w:cstheme="minorHAnsi"/>
          <w:lang w:val="es-ES"/>
        </w:rPr>
        <w:t>①</w:t>
      </w:r>
      <w:r w:rsidR="00B13FC1" w:rsidRPr="00FD41D3">
        <w:rPr>
          <w:lang w:val="es-ES"/>
        </w:rPr>
        <w:t xml:space="preserve"> de al menos 15 mm de grosor bajo cada pata ajustable del electrodoméstico, sujetas con tornillos a, por lo menos, dos listones del suelo.</w:t>
      </w:r>
    </w:p>
    <w:p w:rsidR="00F0742C" w:rsidRDefault="00247825" w:rsidP="00F0742C">
      <w:pPr>
        <w:jc w:val="center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89637DD" wp14:editId="1B44EFD6">
            <wp:extent cx="2366682" cy="162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566" cy="16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C1" w:rsidRDefault="00B13FC1" w:rsidP="00B13FC1">
      <w:pPr>
        <w:jc w:val="both"/>
        <w:rPr>
          <w:lang w:val="es-ES"/>
        </w:rPr>
      </w:pPr>
      <w:r w:rsidRPr="00B13FC1">
        <w:rPr>
          <w:lang w:val="es-ES"/>
        </w:rPr>
        <w:t>NOTA</w:t>
      </w:r>
      <w:r>
        <w:rPr>
          <w:lang w:val="es-ES"/>
        </w:rPr>
        <w:t>: p</w:t>
      </w:r>
      <w:r w:rsidRPr="00B13FC1">
        <w:rPr>
          <w:lang w:val="es-ES"/>
        </w:rPr>
        <w:t>uede adquirir topes de goma (N.º</w:t>
      </w:r>
      <w:r>
        <w:rPr>
          <w:lang w:val="es-ES"/>
        </w:rPr>
        <w:t xml:space="preserve"> </w:t>
      </w:r>
      <w:r w:rsidRPr="00B13FC1">
        <w:rPr>
          <w:lang w:val="es-ES"/>
        </w:rPr>
        <w:t>pieza 4620ER4002B) en el centro de</w:t>
      </w:r>
      <w:r>
        <w:rPr>
          <w:lang w:val="es-ES"/>
        </w:rPr>
        <w:t xml:space="preserve"> </w:t>
      </w:r>
      <w:r w:rsidRPr="00B13FC1">
        <w:rPr>
          <w:lang w:val="es-ES"/>
        </w:rPr>
        <w:t>servicios de LG.</w:t>
      </w:r>
    </w:p>
    <w:p w:rsidR="00FD41D3" w:rsidRDefault="00FD41D3" w:rsidP="006D6990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FD41D3">
        <w:rPr>
          <w:lang w:val="es-ES"/>
        </w:rPr>
        <w:t>Colocar almohadillas</w:t>
      </w:r>
      <w:r>
        <w:rPr>
          <w:lang w:val="es-ES"/>
        </w:rPr>
        <w:t xml:space="preserve"> </w:t>
      </w:r>
      <w:r w:rsidRPr="00FD41D3">
        <w:rPr>
          <w:lang w:val="es-ES"/>
        </w:rPr>
        <w:t>antideslizantes</w:t>
      </w:r>
      <w:r>
        <w:rPr>
          <w:lang w:val="es-ES"/>
        </w:rPr>
        <w:t>.</w:t>
      </w:r>
    </w:p>
    <w:p w:rsidR="00FD41D3" w:rsidRPr="00757D79" w:rsidRDefault="00FD41D3" w:rsidP="00757D79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757D79">
        <w:rPr>
          <w:lang w:val="es-ES"/>
        </w:rPr>
        <w:t>Limpie el suelo para fijar las</w:t>
      </w:r>
      <w:r w:rsidR="00757D79" w:rsidRPr="00757D79">
        <w:rPr>
          <w:lang w:val="es-ES"/>
        </w:rPr>
        <w:t xml:space="preserve"> </w:t>
      </w:r>
      <w:r w:rsidRPr="00757D79">
        <w:rPr>
          <w:lang w:val="es-ES"/>
        </w:rPr>
        <w:t>almohadillas antideslizantes.</w:t>
      </w:r>
      <w:r w:rsidR="00757D79">
        <w:rPr>
          <w:lang w:val="es-ES"/>
        </w:rPr>
        <w:t xml:space="preserve"> U</w:t>
      </w:r>
      <w:r w:rsidRPr="00757D79">
        <w:rPr>
          <w:lang w:val="es-ES"/>
        </w:rPr>
        <w:t>tilice un trapo seco para retirar y limpiar objetos extraños y humedad. Si queda humedad, las almohadillas antideslizantes</w:t>
      </w:r>
      <w:r w:rsidR="00757D79">
        <w:rPr>
          <w:lang w:val="es-ES"/>
        </w:rPr>
        <w:t xml:space="preserve"> no se adherirán correctamente.</w:t>
      </w:r>
    </w:p>
    <w:p w:rsidR="00FD41D3" w:rsidRPr="00757D79" w:rsidRDefault="00FD41D3" w:rsidP="00757D79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757D79">
        <w:rPr>
          <w:lang w:val="es-ES"/>
        </w:rPr>
        <w:t xml:space="preserve"> Ajuste el nivel después de colocar el</w:t>
      </w:r>
      <w:r w:rsidR="00757D79" w:rsidRPr="00757D79">
        <w:rPr>
          <w:lang w:val="es-ES"/>
        </w:rPr>
        <w:t xml:space="preserve"> </w:t>
      </w:r>
      <w:r w:rsidRPr="00757D79">
        <w:rPr>
          <w:lang w:val="es-ES"/>
        </w:rPr>
        <w:t>electrodoméstico en el lugar de</w:t>
      </w:r>
      <w:r w:rsidR="00757D79" w:rsidRPr="00757D79">
        <w:rPr>
          <w:lang w:val="es-ES"/>
        </w:rPr>
        <w:t xml:space="preserve"> </w:t>
      </w:r>
      <w:r w:rsidRPr="00757D79">
        <w:rPr>
          <w:lang w:val="es-ES"/>
        </w:rPr>
        <w:t>instalación.</w:t>
      </w:r>
    </w:p>
    <w:p w:rsidR="00FD41D3" w:rsidRDefault="00CA623A" w:rsidP="009D6517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 Coloque la parte adhesiva </w:t>
      </w:r>
      <w:r>
        <w:rPr>
          <w:rFonts w:cstheme="minorHAnsi"/>
          <w:lang w:val="es-ES"/>
        </w:rPr>
        <w:t>①</w:t>
      </w:r>
      <w:r>
        <w:rPr>
          <w:lang w:val="es-ES"/>
        </w:rPr>
        <w:t xml:space="preserve"> </w:t>
      </w:r>
      <w:r w:rsidR="00FD41D3" w:rsidRPr="00757D79">
        <w:rPr>
          <w:lang w:val="es-ES"/>
        </w:rPr>
        <w:t>de las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>almohadillas antideslizantes sobre el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>suelo.</w:t>
      </w:r>
      <w:r w:rsidR="00757D79">
        <w:rPr>
          <w:lang w:val="es-ES"/>
        </w:rPr>
        <w:t xml:space="preserve"> </w:t>
      </w:r>
      <w:r w:rsidR="00FD41D3" w:rsidRPr="00757D79">
        <w:rPr>
          <w:lang w:val="es-ES"/>
        </w:rPr>
        <w:t>Lo más eficaz es instalar las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>almohadillas antideslizantes bajo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 xml:space="preserve">las patas delanteras. Si </w:t>
      </w:r>
      <w:r w:rsidR="00757D79" w:rsidRPr="00757D79">
        <w:rPr>
          <w:lang w:val="es-ES"/>
        </w:rPr>
        <w:t>resulta complicado</w:t>
      </w:r>
      <w:r w:rsidR="00FD41D3" w:rsidRPr="00757D79">
        <w:rPr>
          <w:lang w:val="es-ES"/>
        </w:rPr>
        <w:t xml:space="preserve"> colocar las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>almohadillas bajo las patas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>delanteras del electrodoméstico,</w:t>
      </w:r>
      <w:r w:rsidR="00757D79" w:rsidRPr="00757D79">
        <w:rPr>
          <w:lang w:val="es-ES"/>
        </w:rPr>
        <w:t xml:space="preserve"> </w:t>
      </w:r>
      <w:r w:rsidR="00FD41D3" w:rsidRPr="00757D79">
        <w:rPr>
          <w:lang w:val="es-ES"/>
        </w:rPr>
        <w:t>colóquelas bajo las patas traseras.</w:t>
      </w:r>
    </w:p>
    <w:p w:rsidR="00757D79" w:rsidRDefault="00757D79" w:rsidP="00757D79">
      <w:pPr>
        <w:ind w:left="360"/>
        <w:jc w:val="center"/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517FA148" wp14:editId="7DB64869">
            <wp:extent cx="2366683" cy="1546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117" cy="15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9" w:rsidRPr="00757D79" w:rsidRDefault="00757D79" w:rsidP="00757D79">
      <w:pPr>
        <w:ind w:left="360"/>
        <w:jc w:val="both"/>
        <w:rPr>
          <w:lang w:val="es-ES"/>
        </w:rPr>
      </w:pPr>
      <w:r w:rsidRPr="00757D79">
        <w:rPr>
          <w:lang w:val="es-ES"/>
        </w:rPr>
        <w:t>NOTA</w:t>
      </w:r>
      <w:r>
        <w:rPr>
          <w:lang w:val="es-ES"/>
        </w:rPr>
        <w:t xml:space="preserve">: </w:t>
      </w:r>
      <w:r w:rsidRPr="00757D79">
        <w:rPr>
          <w:lang w:val="es-ES"/>
        </w:rPr>
        <w:t>el centro de servicio de LG</w:t>
      </w:r>
      <w:r>
        <w:rPr>
          <w:lang w:val="es-ES"/>
        </w:rPr>
        <w:t xml:space="preserve"> </w:t>
      </w:r>
      <w:proofErr w:type="spellStart"/>
      <w:r w:rsidRPr="00757D79">
        <w:rPr>
          <w:lang w:val="es-ES"/>
        </w:rPr>
        <w:t>Electronics</w:t>
      </w:r>
      <w:proofErr w:type="spellEnd"/>
      <w:r w:rsidRPr="00757D79">
        <w:rPr>
          <w:lang w:val="es-ES"/>
        </w:rPr>
        <w:t xml:space="preserve"> dispone de almohadillas</w:t>
      </w:r>
      <w:r>
        <w:rPr>
          <w:lang w:val="es-ES"/>
        </w:rPr>
        <w:t xml:space="preserve"> </w:t>
      </w:r>
      <w:r w:rsidRPr="00757D79">
        <w:rPr>
          <w:lang w:val="es-ES"/>
        </w:rPr>
        <w:t>antideslizantes adicionales.</w:t>
      </w:r>
    </w:p>
    <w:p w:rsidR="00757D79" w:rsidRPr="00757D79" w:rsidRDefault="00757D79" w:rsidP="007D7DEE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757D79">
        <w:rPr>
          <w:lang w:val="es-ES"/>
        </w:rPr>
        <w:t xml:space="preserve"> Ponga el electrodoméstico sobre las almohadillas antideslizantes.</w:t>
      </w:r>
      <w:r>
        <w:rPr>
          <w:lang w:val="es-ES"/>
        </w:rPr>
        <w:t xml:space="preserve"> No adjunte la parte adhesiva </w:t>
      </w:r>
      <w:r w:rsidR="00CA623A">
        <w:rPr>
          <w:rFonts w:cstheme="minorHAnsi"/>
          <w:lang w:val="es-ES"/>
        </w:rPr>
        <w:t>①</w:t>
      </w:r>
      <w:r w:rsidRPr="00757D79">
        <w:rPr>
          <w:lang w:val="es-ES"/>
        </w:rPr>
        <w:t xml:space="preserve"> de las almohadillas antideslizantes en las patas del electrodoméstico.</w:t>
      </w:r>
    </w:p>
    <w:p w:rsidR="005C36AA" w:rsidRDefault="00F0742C" w:rsidP="006918B3">
      <w:pPr>
        <w:jc w:val="both"/>
        <w:rPr>
          <w:lang w:val="es-ES"/>
        </w:rPr>
      </w:pPr>
      <w:r w:rsidRPr="00247825">
        <w:rPr>
          <w:b/>
          <w:u w:val="single"/>
          <w:lang w:val="es-ES"/>
        </w:rPr>
        <w:t>¿Estás lavando prendas voluminosas?</w:t>
      </w:r>
      <w:r w:rsidRPr="005C36AA">
        <w:rPr>
          <w:lang w:val="es-ES"/>
        </w:rPr>
        <w:t xml:space="preserve"> Las mantas o edredones tienden a distribuirse mal por el tambor, produciendo oscilaciones y ruido.</w:t>
      </w:r>
      <w:r w:rsidR="005C36AA" w:rsidRPr="005C36AA">
        <w:rPr>
          <w:lang w:val="es-ES"/>
        </w:rPr>
        <w:t xml:space="preserve"> Lo ideal es introducir la ropa lo menos enrollada posible para que puede extenderse lo máximo posible dentro del tambor.</w:t>
      </w:r>
      <w:r w:rsidR="005C36AA">
        <w:rPr>
          <w:lang w:val="es-ES"/>
        </w:rPr>
        <w:t xml:space="preserve"> </w:t>
      </w:r>
      <w:r w:rsidR="006918B3">
        <w:rPr>
          <w:lang w:val="es-ES"/>
        </w:rPr>
        <w:t>E</w:t>
      </w:r>
      <w:r w:rsidR="005C36AA">
        <w:rPr>
          <w:lang w:val="es-ES"/>
        </w:rPr>
        <w:t>s importante tener en cuenta que u</w:t>
      </w:r>
      <w:r w:rsidR="005C36AA" w:rsidRPr="005C36AA">
        <w:rPr>
          <w:lang w:val="es-ES"/>
        </w:rPr>
        <w:t xml:space="preserve">na carga excesiva en el tambor puede </w:t>
      </w:r>
      <w:r w:rsidR="005C36AA">
        <w:rPr>
          <w:lang w:val="es-ES"/>
        </w:rPr>
        <w:t>producir un ruido ex</w:t>
      </w:r>
      <w:r w:rsidR="00327B3E">
        <w:rPr>
          <w:lang w:val="es-ES"/>
        </w:rPr>
        <w:t>cesivo a la hora de centrifugar, en el manual de usuario aparecen las cargas máximas permitidas para cada programa de lavado</w:t>
      </w:r>
      <w:r w:rsidR="00A72D7C">
        <w:rPr>
          <w:lang w:val="es-ES"/>
        </w:rPr>
        <w:t>.</w:t>
      </w:r>
    </w:p>
    <w:p w:rsidR="00D9272E" w:rsidRPr="005C36AA" w:rsidRDefault="00D9272E" w:rsidP="006918B3">
      <w:pPr>
        <w:jc w:val="both"/>
        <w:rPr>
          <w:lang w:val="es-ES"/>
        </w:rPr>
      </w:pPr>
      <w:r>
        <w:rPr>
          <w:lang w:val="es-ES"/>
        </w:rPr>
        <w:t>De igual forma, si la car</w:t>
      </w:r>
      <w:r w:rsidRPr="00D9272E">
        <w:rPr>
          <w:lang w:val="es-ES"/>
        </w:rPr>
        <w:t>ga de ropa es muy pequeña, puede no distribuirse uniformemente en la cuba, lo que puede provocar que centrifugue de manera desigual, produciendo vibraciones y oscilaciones. Si ha introducido una ca</w:t>
      </w:r>
      <w:r>
        <w:rPr>
          <w:lang w:val="es-ES"/>
        </w:rPr>
        <w:t>rga pequeña, añada más prendas.</w:t>
      </w:r>
    </w:p>
    <w:p w:rsidR="00247825" w:rsidRDefault="00F0742C" w:rsidP="00247825">
      <w:pPr>
        <w:rPr>
          <w:lang w:val="es-ES"/>
        </w:rPr>
      </w:pPr>
      <w:r w:rsidRPr="005C36AA">
        <w:rPr>
          <w:lang w:val="es-ES"/>
        </w:rPr>
        <w:t xml:space="preserve"> </w:t>
      </w:r>
      <w:r w:rsidR="00247825" w:rsidRPr="005465B4">
        <w:rPr>
          <w:b/>
          <w:u w:val="single"/>
          <w:lang w:val="es-ES"/>
        </w:rPr>
        <w:t>Distancias mínimas de instalación.</w:t>
      </w:r>
      <w:r w:rsidR="00247825">
        <w:rPr>
          <w:lang w:val="es-ES"/>
        </w:rPr>
        <w:t xml:space="preserve"> </w:t>
      </w:r>
      <w:r w:rsidR="00247825" w:rsidRPr="00247825">
        <w:rPr>
          <w:lang w:val="es-ES"/>
        </w:rPr>
        <w:t>Para garantizar un espacio libre</w:t>
      </w:r>
      <w:r w:rsidR="00247825">
        <w:rPr>
          <w:lang w:val="es-ES"/>
        </w:rPr>
        <w:t xml:space="preserve"> </w:t>
      </w:r>
      <w:r w:rsidR="00247825" w:rsidRPr="00247825">
        <w:rPr>
          <w:lang w:val="es-ES"/>
        </w:rPr>
        <w:t>suficiente para los tubos de entrada de</w:t>
      </w:r>
      <w:r w:rsidR="00247825">
        <w:rPr>
          <w:lang w:val="es-ES"/>
        </w:rPr>
        <w:t xml:space="preserve"> </w:t>
      </w:r>
      <w:r w:rsidR="00247825" w:rsidRPr="00247825">
        <w:rPr>
          <w:lang w:val="es-ES"/>
        </w:rPr>
        <w:t>agua, el tubo de drenaje y el flujo de aire,</w:t>
      </w:r>
      <w:r w:rsidR="00247825">
        <w:rPr>
          <w:lang w:val="es-ES"/>
        </w:rPr>
        <w:t xml:space="preserve"> </w:t>
      </w:r>
      <w:r w:rsidR="00247825" w:rsidRPr="00247825">
        <w:rPr>
          <w:lang w:val="es-ES"/>
        </w:rPr>
        <w:t>deje espacios libres mínimos de al</w:t>
      </w:r>
      <w:r w:rsidR="00247825">
        <w:rPr>
          <w:lang w:val="es-ES"/>
        </w:rPr>
        <w:t xml:space="preserve"> </w:t>
      </w:r>
      <w:r w:rsidR="00247825" w:rsidRPr="00247825">
        <w:rPr>
          <w:lang w:val="es-ES"/>
        </w:rPr>
        <w:t>menos 20 mm a los lados y 100 mm</w:t>
      </w:r>
      <w:r w:rsidR="00247825">
        <w:rPr>
          <w:lang w:val="es-ES"/>
        </w:rPr>
        <w:t xml:space="preserve"> </w:t>
      </w:r>
      <w:r w:rsidR="00247825" w:rsidRPr="00247825">
        <w:rPr>
          <w:lang w:val="es-ES"/>
        </w:rPr>
        <w:t>detrás</w:t>
      </w:r>
      <w:r w:rsidR="00247825">
        <w:rPr>
          <w:lang w:val="es-ES"/>
        </w:rPr>
        <w:t xml:space="preserve"> del electrodoméstico.</w:t>
      </w:r>
    </w:p>
    <w:p w:rsidR="00247825" w:rsidRDefault="00247825" w:rsidP="005465B4">
      <w:pPr>
        <w:jc w:val="center"/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DA5FD90" wp14:editId="5D585C6A">
            <wp:extent cx="2831217" cy="1744339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465" cy="17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25" w:rsidRDefault="00247825" w:rsidP="00F0742C">
      <w:pPr>
        <w:rPr>
          <w:lang w:val="es-ES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173"/>
        <w:gridCol w:w="2835"/>
      </w:tblGrid>
      <w:tr w:rsidR="00247825" w:rsidTr="00247825">
        <w:tc>
          <w:tcPr>
            <w:tcW w:w="993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</w:t>
            </w:r>
          </w:p>
        </w:tc>
        <w:tc>
          <w:tcPr>
            <w:tcW w:w="2835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Espacio [mm]</w:t>
            </w:r>
          </w:p>
        </w:tc>
      </w:tr>
      <w:tr w:rsidR="00247825" w:rsidTr="00247825">
        <w:tc>
          <w:tcPr>
            <w:tcW w:w="993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835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  <w:tr w:rsidR="00247825" w:rsidTr="00247825">
        <w:tc>
          <w:tcPr>
            <w:tcW w:w="993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835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247825" w:rsidTr="00247825">
        <w:tc>
          <w:tcPr>
            <w:tcW w:w="993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835" w:type="dxa"/>
          </w:tcPr>
          <w:p w:rsidR="00247825" w:rsidRDefault="00247825" w:rsidP="002478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</w:tbl>
    <w:p w:rsidR="000E48B6" w:rsidRPr="005C36AA" w:rsidRDefault="004555B6" w:rsidP="00F0742C">
      <w:pPr>
        <w:rPr>
          <w:lang w:val="es-ES"/>
        </w:rPr>
      </w:pPr>
      <w:bookmarkStart w:id="0" w:name="_GoBack"/>
      <w:bookmarkEnd w:id="0"/>
    </w:p>
    <w:sectPr w:rsidR="000E48B6" w:rsidRPr="005C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9DD"/>
    <w:multiLevelType w:val="hybridMultilevel"/>
    <w:tmpl w:val="C4543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1905"/>
    <w:multiLevelType w:val="hybridMultilevel"/>
    <w:tmpl w:val="0440681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B2FD0"/>
    <w:multiLevelType w:val="hybridMultilevel"/>
    <w:tmpl w:val="2B9AF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1393"/>
    <w:multiLevelType w:val="hybridMultilevel"/>
    <w:tmpl w:val="6FC8E6F0"/>
    <w:lvl w:ilvl="0" w:tplc="1338C8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2C"/>
    <w:rsid w:val="00005DA5"/>
    <w:rsid w:val="00247825"/>
    <w:rsid w:val="00327B3E"/>
    <w:rsid w:val="00366D75"/>
    <w:rsid w:val="004555B6"/>
    <w:rsid w:val="005465B4"/>
    <w:rsid w:val="00580349"/>
    <w:rsid w:val="005C36AA"/>
    <w:rsid w:val="006918B3"/>
    <w:rsid w:val="00757D79"/>
    <w:rsid w:val="008B16F3"/>
    <w:rsid w:val="00A20000"/>
    <w:rsid w:val="00A72D7C"/>
    <w:rsid w:val="00B13FC1"/>
    <w:rsid w:val="00CA623A"/>
    <w:rsid w:val="00CC38DB"/>
    <w:rsid w:val="00D9272E"/>
    <w:rsid w:val="00F0742C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7B77"/>
  <w15:chartTrackingRefBased/>
  <w15:docId w15:val="{9B63BB81-B6A5-4012-9648-9B983CF6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6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D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396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11</cp:revision>
  <dcterms:created xsi:type="dcterms:W3CDTF">2021-08-19T13:50:00Z</dcterms:created>
  <dcterms:modified xsi:type="dcterms:W3CDTF">2021-10-20T13:50:00Z</dcterms:modified>
</cp:coreProperties>
</file>