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09996" cy="540327"/>
            <wp:docPr id="1" name="Picture 1"/>
            <wp:cNvGraphicFramePr>
              <a:graphicFrameLocks noChangeAspect="1"/>
            </wp:cNvGraphicFramePr>
            <a:graphic>
              <a:graphicData uri="http://schemas.openxmlformats.org/drawingml/2006/picture">
                <pic:pic>
                  <pic:nvPicPr>
                    <pic:cNvPr id="0" name="Logo iAGF.jpg"/>
                    <pic:cNvPicPr/>
                  </pic:nvPicPr>
                  <pic:blipFill>
                    <a:blip r:embed="rId10"/>
                    <a:stretch>
                      <a:fillRect/>
                    </a:stretch>
                  </pic:blipFill>
                  <pic:spPr>
                    <a:xfrm>
                      <a:off x="0" y="0"/>
                      <a:ext cx="1009996" cy="540327"/>
                    </a:xfrm>
                    <a:prstGeom prst="rect"/>
                  </pic:spPr>
                </pic:pic>
              </a:graphicData>
            </a:graphic>
          </wp:inline>
        </w:drawing>
      </w:r>
    </w:p>
    <w:p/>
    <w:p/>
    <w:p/>
    <w:p/>
    <w:p/>
    <w:p/>
    <w:p>
      <w:pPr>
        <w:pStyle w:val="Heading1"/>
        <w:jc w:val="center"/>
      </w:pPr>
      <w:r>
        <w:rPr>
          <w:i/>
        </w:rPr>
        <w:t>NORME DE SÉCURITÉ SUR LA GESTION DES CHANGEMENTS</w:t>
      </w:r>
    </w:p>
    <w:p>
      <w:r>
        <w:br w:type="page"/>
      </w:r>
    </w:p>
    <w:tbl>
      <w:tblPr>
        <w:tblW w:type="auto" w:w="0"/>
        <w:tblLayout w:type="fixed"/>
        <w:tblLook w:firstColumn="1" w:firstRow="1" w:lastColumn="0" w:lastRow="0" w:noHBand="0" w:noVBand="1" w:val="04A0"/>
        <w:tblBorders>
          <w:top w:val="single" w:sz="10" w:space="0" w:color="BABABA"/>
          <w:left w:val="single" w:sz="10" w:space="0" w:color="BABABA"/>
          <w:bottom w:val="single" w:sz="10" w:space="0" w:color="BABABA"/>
          <w:right w:val="single" w:sz="10" w:space="0" w:color="BABABA"/>
          <w:insideH w:val="single" w:sz="10" w:space="0" w:color="BABABA"/>
          <w:insideV w:val="single" w:sz="10" w:space="0" w:color="BABABA"/>
        </w:tblBorders>
      </w:tblPr>
      <w:tblGrid>
        <w:gridCol w:w="4608"/>
        <w:gridCol w:w="4608"/>
      </w:tblGrid>
      <w:tr>
        <w:tc>
          <w:tcPr>
            <w:tcW w:type="dxa" w:w="9200"/>
            <w:gridSpan w:val="2"/>
            <w:shd w:val="clear" w:color="auto" w:fill="013EA1"/>
          </w:tcPr>
          <w:p>
            <w:pPr>
              <w:spacing w:after="0"/>
              <w:jc w:val="center"/>
            </w:pPr>
            <w:r>
              <w:rPr>
                <w:b/>
                <w:color w:val="FFFFFF"/>
              </w:rPr>
              <w:t>Norme de sécurité sur la gestion des changements</w:t>
            </w:r>
          </w:p>
        </w:tc>
      </w:tr>
      <w:tr>
        <w:tc>
          <w:tcPr>
            <w:tcW w:type="dxa" w:w="2200"/>
            <w:shd w:val="clear" w:color="auto" w:fill="F0F0F0"/>
          </w:tcPr>
          <w:p>
            <w:pPr>
              <w:spacing w:after="0"/>
            </w:pPr>
            <w:r>
              <w:rPr>
                <w:b/>
                <w:color w:val="646260"/>
              </w:rPr>
              <w:t>Propriétaire</w:t>
            </w:r>
          </w:p>
        </w:tc>
        <w:tc>
          <w:tcPr>
            <w:tcW w:type="dxa" w:w="7000"/>
          </w:tcPr>
          <w:p>
            <w:pPr>
              <w:spacing w:after="0"/>
            </w:pPr>
            <w:r>
              <w:rPr>
                <w:color w:val="66677C"/>
              </w:rPr>
              <w:t>Chef de la sécurité de l’information (CISO)</w:t>
            </w:r>
          </w:p>
        </w:tc>
      </w:tr>
      <w:tr>
        <w:tc>
          <w:tcPr>
            <w:tcW w:type="dxa" w:w="2200"/>
            <w:shd w:val="clear" w:color="auto" w:fill="F0F0F0"/>
          </w:tcPr>
          <w:p>
            <w:pPr>
              <w:spacing w:after="0"/>
            </w:pPr>
            <w:r>
              <w:rPr>
                <w:b/>
                <w:color w:val="646260"/>
              </w:rPr>
              <w:t>Portée</w:t>
            </w:r>
          </w:p>
        </w:tc>
        <w:tc>
          <w:tcPr>
            <w:tcW w:type="dxa" w:w="7000"/>
          </w:tcPr>
          <w:p>
            <w:pPr>
              <w:spacing w:after="0"/>
            </w:pPr>
            <w:r>
              <w:rPr>
                <w:color w:val="66677C"/>
              </w:rPr>
              <w:t>La présente Norme de sécurité s'applique à toutes les activités de iA Groupe financier, dans toutes les juridictions où l’organisation opère.  Elle couvre tous ses employés, fournisseurs de services, sous-traitants et autres personnes dont le travail relève de la responsabilité de la direction de l'entreprise, sous son contrôle direct et utilisant ses informations ou actifs.</w:t>
            </w:r>
          </w:p>
        </w:tc>
      </w:tr>
      <w:tr>
        <w:tc>
          <w:tcPr>
            <w:tcW w:type="dxa" w:w="2200"/>
            <w:shd w:val="clear" w:color="auto" w:fill="F0F0F0"/>
          </w:tcPr>
          <w:p>
            <w:pPr>
              <w:spacing w:after="0"/>
            </w:pPr>
            <w:r>
              <w:rPr>
                <w:b/>
                <w:color w:val="646260"/>
              </w:rPr>
              <w:t>Objectif de la norme</w:t>
            </w:r>
          </w:p>
        </w:tc>
        <w:tc>
          <w:tcPr>
            <w:tcW w:type="dxa" w:w="7000"/>
          </w:tcPr>
          <w:p>
            <w:pPr>
              <w:spacing w:after="0"/>
            </w:pPr>
            <w:r>
              <w:rPr>
                <w:color w:val="66677C"/>
              </w:rPr>
              <w:t>Établir les exigences relatives à la gestion des changements dans l’environnement technologique de iA Groupe financier.</w:t>
            </w:r>
          </w:p>
        </w:tc>
      </w:tr>
      <w:tr>
        <w:tc>
          <w:tcPr>
            <w:tcW w:type="dxa" w:w="2200"/>
            <w:shd w:val="clear" w:color="auto" w:fill="F0F0F0"/>
          </w:tcPr>
          <w:p>
            <w:pPr>
              <w:spacing w:after="0"/>
            </w:pPr>
            <w:r>
              <w:rPr>
                <w:b/>
                <w:color w:val="646260"/>
              </w:rPr>
              <w:t>Date dernière révision holistique</w:t>
            </w:r>
          </w:p>
        </w:tc>
        <w:tc>
          <w:tcPr>
            <w:tcW w:type="dxa" w:w="7000"/>
          </w:tcPr>
          <w:p>
            <w:pPr>
              <w:spacing w:after="0"/>
            </w:pPr>
            <w:r>
              <w:rPr>
                <w:color w:val="66677C"/>
              </w:rPr>
              <w:t>2024-09-16</w:t>
            </w:r>
          </w:p>
        </w:tc>
      </w:tr>
      <w:tr>
        <w:tc>
          <w:tcPr>
            <w:tcW w:type="dxa" w:w="2200"/>
            <w:shd w:val="clear" w:color="auto" w:fill="F0F0F0"/>
          </w:tcPr>
          <w:p>
            <w:pPr>
              <w:spacing w:after="0"/>
            </w:pPr>
            <w:r>
              <w:rPr>
                <w:b/>
                <w:color w:val="646260"/>
              </w:rPr>
              <w:t>Date génération document</w:t>
            </w:r>
          </w:p>
        </w:tc>
        <w:tc>
          <w:tcPr>
            <w:tcW w:type="dxa" w:w="7000"/>
          </w:tcPr>
          <w:p>
            <w:pPr>
              <w:spacing w:after="0"/>
            </w:pPr>
            <w:r>
              <w:rPr>
                <w:color w:val="66677C"/>
              </w:rPr>
              <w:t>2026-03-10</w:t>
            </w:r>
          </w:p>
        </w:tc>
      </w:tr>
      <w:tr>
        <w:tc>
          <w:tcPr>
            <w:tcW w:type="dxa" w:w="2200"/>
            <w:shd w:val="clear" w:color="auto" w:fill="F0F0F0"/>
          </w:tcPr>
          <w:p>
            <w:pPr>
              <w:spacing w:after="0"/>
            </w:pPr>
            <w:r>
              <w:rPr>
                <w:b/>
                <w:color w:val="646260"/>
              </w:rPr>
              <w:t>Code de la norme</w:t>
            </w:r>
          </w:p>
        </w:tc>
        <w:tc>
          <w:tcPr>
            <w:tcW w:type="dxa" w:w="7000"/>
          </w:tcPr>
          <w:p>
            <w:pPr>
              <w:spacing w:after="0"/>
            </w:pPr>
            <w:r>
              <w:rPr>
                <w:color w:val="66677C"/>
              </w:rPr>
              <w:t>STD-CM</w:t>
            </w:r>
          </w:p>
        </w:tc>
      </w:tr>
    </w:tbl>
    <w:p>
      <w:pPr>
        <w:pStyle w:val="Heading2"/>
      </w:pPr>
      <w:r>
        <w:t>1. Introduction</w:t>
      </w:r>
    </w:p>
    <w:p>
      <w:r>
        <w:t>La présente Norme de sécurité fait partie intégrante du Cadre Normatif de sécurité de l'information et vise à établir des exigences claires et des pratiques exemplaires pour la gestion de la sécurité de l'information.  Se référer au glossaire TI (https://indall.sharepoint.com/sites/glossaire) pour la définition des termes utilisés.</w:t>
        <w:br/>
        <w:br/>
        <w:t>Les cadres de sécurité et les contrôles connexes suivants ont été utilisés (mais sans s'y limiter) pour créer cette norme de sécurité: NIST CSF, NIST SP 800-53, NIST SP 800-63B, Contrôles CIS, ISO 27002.</w:t>
      </w:r>
    </w:p>
    <w:p>
      <w:pPr>
        <w:pStyle w:val="Heading2"/>
      </w:pPr>
      <w:r>
        <w:t>2. Exigences</w:t>
      </w:r>
    </w:p>
    <w:p>
      <w:pPr>
        <w:pStyle w:val="Heading2"/>
        <w:ind w:left="360"/>
      </w:pPr>
      <w:r>
        <w:t>2.1. Identification et enregistrement des changements</w:t>
      </w:r>
    </w:p>
    <w:p>
      <w:pPr>
        <w:ind w:left="720"/>
      </w:pPr>
      <w:r>
        <w:rPr>
          <w:b/>
        </w:rPr>
        <w:t xml:space="preserve">STD-CM0001_2023-11-01 </w:t>
      </w:r>
      <w:r>
        <w:t>: Documenter les changements TI proposés. Il s’agit notamment de changements apportés aux composants matériels, logiciels ou, micrologiciels, aux solutions infonuagiques, aux données et aux paramètres de configuration.</w:t>
      </w:r>
    </w:p>
    <w:p>
      <w:pPr>
        <w:ind w:left="720"/>
      </w:pPr>
      <w:r>
        <w:rPr>
          <w:b/>
        </w:rPr>
        <w:t xml:space="preserve">STD-CM0002_2023-11-01 </w:t>
      </w:r>
      <w:r>
        <w:t>: S’assurer que toutes les demandes de changement sont enregistrées dans un système de gestion des changements et qu’elles comprennent, au minimum, les éléments suivants : Identifiant unique lié à la demande de changement; Demandeur du changement; Date et heure de la demande de changement (date de création); Coordonnateur du changement (responsable du changement); Classification du changement; Actifs affectés (services et éléments de configuration issus de la CMDB); Description du changement; Raison du changement (justification); Risque potentiel lié au changement; Mesures d’atténuation du risque (le cas échéant); Incidents connexes (le cas échéant); Date et heure de la mise en œuvre prévue du changement; Plan de test et résultats; Plan de mise en œuvre; Plan de retour arrière (le cas échéant).</w:t>
      </w:r>
    </w:p>
    <w:p>
      <w:pPr>
        <w:pStyle w:val="Heading2"/>
        <w:ind w:left="360"/>
      </w:pPr>
      <w:r>
        <w:t>2.2. Classification des changements</w:t>
      </w:r>
    </w:p>
    <w:p>
      <w:pPr>
        <w:ind w:left="720"/>
      </w:pPr>
      <w:r>
        <w:rPr>
          <w:b/>
        </w:rPr>
        <w:t xml:space="preserve">STD-CM0003_2023-11-01 </w:t>
      </w:r>
      <w:r>
        <w:t xml:space="preserve">: S’assurer que la demande de changement est classée de façon appropriée lorsqu’elle est soumise à l’évaluation. La classification est revue et ajustée si nécessaire pour répondre aux besoins d’affaires. Les types de changements peuvent inclure : Changement urgent : Un changement imprévu et nécessaire pour restaurer un service ou prévenir sa détérioration ou son interruption Changement normal : Un changement sans plans ou processus prédéfinis ou tout changement qui n’est pas standard, urgent ou accéléré. Il doit passer par toutes les phases du processus de gestion des changements Changement standard : Un changement déjà connu et documenté. Sa nature lui permet d’être préautorisé par le CAB et préapprouvé par les parties prenantes du service Changement accéléré : Un changement qui est utilisé pour rétablir le service à partir d’un incident critique ou important sans autorisation et approbations avant la mise en œuvre. Toutefois, l’approbation est requise après la mise en œuvre (jusqu’à trois jours ouvrables). </w:t>
        <w:br/>
        <w:br/>
        <w:t>Remarque : Se référer au Guide de sécurité sur la gestion des changements pour plus de détails sur les types de changements.</w:t>
      </w:r>
    </w:p>
    <w:p>
      <w:pPr>
        <w:ind w:left="720"/>
      </w:pPr>
      <w:r>
        <w:rPr>
          <w:b/>
        </w:rPr>
        <w:t xml:space="preserve">STD-CM0004_2023-11-01 </w:t>
      </w:r>
      <w:r>
        <w:t>: Classer toutes les demandes de changement faites par les utilisateurs finaux comme étant un « changement normal » par défaut et modifier la classification lors de la revue, si nécessaire.</w:t>
      </w:r>
    </w:p>
    <w:p>
      <w:pPr>
        <w:ind w:left="720"/>
      </w:pPr>
      <w:r>
        <w:rPr>
          <w:b/>
        </w:rPr>
        <w:t xml:space="preserve">STD-CM0005_2023-11-01 </w:t>
      </w:r>
      <w:r>
        <w:t>: S’assurer que des procédures spécifiques sont en place pour le contrôle, l’autorisation et la documentation appropriés des changements d’urgence.</w:t>
      </w:r>
    </w:p>
    <w:p>
      <w:pPr>
        <w:pStyle w:val="Heading2"/>
        <w:ind w:left="360"/>
      </w:pPr>
      <w:r>
        <w:t>2.3. Évaluation du risque associé au changement</w:t>
      </w:r>
    </w:p>
    <w:p>
      <w:pPr>
        <w:ind w:left="720"/>
      </w:pPr>
      <w:r>
        <w:rPr>
          <w:b/>
        </w:rPr>
        <w:t xml:space="preserve">STD-CM0006_2023-11-01 </w:t>
      </w:r>
      <w:r>
        <w:t>: S’assurer que le risque d’affaires du changement est évalué et documenté. Voici des exemples de critères à prendre en considération lors de l’évaluation : Évaluer le risque sur la Société de faire et de ne pas faire le changement; S’assurer que toutes les parties prenantes sont au courant du changement et comprennent le risque associé; Déterminer si la mise en œuvre du changement entre en conflit avec le cycle d’affaires (p. ex. traitements différés qui s’exécutent pendant la nuit) ou des contraintes corporatives (p. ex. période des REER); Identifier si le changement comporte des enjeux s’il ne peut pas être mis en œuvre à un autre moment.</w:t>
      </w:r>
    </w:p>
    <w:p>
      <w:pPr>
        <w:ind w:left="720"/>
      </w:pPr>
      <w:r>
        <w:rPr>
          <w:b/>
        </w:rPr>
        <w:t xml:space="preserve">STD-CM0007_2023-11-01 </w:t>
      </w:r>
      <w:r>
        <w:t>: S’assurer que le risque opérationnel du changement est évalué et documenté. Voici des exemples de critères à prendre en considération lors de l’évaluation : Examiner les plans de mise en œuvre pour évaluer l’impact et l’effet du changement pendant et immédiatement après sa mise en œuvre; Examiner l’exhaustivité technique du plan de mise en œuvre, y compris les changements d’actifs prévus, le plan de retour arrière, l’impact sur le démarrage ou l’arrêt des systèmes, l’impact potentiel sur d’autres actifs, l’impact sur les plans de reprise technologique, les exigences de sauvegarde, les exigences de stockage et les exigences du système d’exploitation; Analyser le moment du changement pour résoudre les conflits et minimiser les impacts sur d’autres services, la dégradation des services ou l’indisponibilité de ces derniers. La mise en œuvre des changements dans une période de maintenance ou de déploiement permet de réduire ce risque; Évaluer la faisabilité technique du changement et son impact global en termes de performance, de capacité et d’opérabilité.</w:t>
      </w:r>
    </w:p>
    <w:p>
      <w:pPr>
        <w:ind w:left="720"/>
      </w:pPr>
      <w:r>
        <w:rPr>
          <w:b/>
        </w:rPr>
        <w:t xml:space="preserve">STD-CM0008_2023-11-01 </w:t>
      </w:r>
      <w:r>
        <w:t xml:space="preserve">: S’assurer que le risque de sécurité de l’information du changement est évalué et documenté en tenant compte d’une perte potentielle de disponibilité, d’intégrité ou de confidentialité. </w:t>
      </w:r>
    </w:p>
    <w:p>
      <w:pPr>
        <w:ind w:left="720"/>
      </w:pPr>
      <w:r>
        <w:rPr>
          <w:b/>
        </w:rPr>
        <w:t xml:space="preserve">STD-CM0009_2023-11-01 </w:t>
      </w:r>
      <w:r>
        <w:t>: S’assurer que les mesures d’atténuation du risque sont documentées et que le risque résiduel est déclaré et escaladé selon les procédures en vigueur.</w:t>
      </w:r>
    </w:p>
    <w:p>
      <w:pPr>
        <w:ind w:left="720"/>
      </w:pPr>
      <w:r>
        <w:rPr>
          <w:b/>
        </w:rPr>
        <w:t xml:space="preserve">STD-CM0010_2023-11-01 </w:t>
      </w:r>
      <w:r>
        <w:t>: S’assurer que l’évaluation du risque associé au changement est complétée avant de le soumettre pour autorisation et approbation par les parties prenantes. Cette activité est effectuée par le coordonnateur du changement.</w:t>
      </w:r>
    </w:p>
    <w:p>
      <w:pPr>
        <w:pStyle w:val="Heading2"/>
        <w:ind w:left="360"/>
      </w:pPr>
      <w:r>
        <w:t>2.4. Comité consultatif des changements (CAB)</w:t>
      </w:r>
    </w:p>
    <w:p>
      <w:pPr>
        <w:ind w:left="720"/>
      </w:pPr>
      <w:r>
        <w:rPr>
          <w:b/>
        </w:rPr>
        <w:t xml:space="preserve">STD-CM0011_2023-11-01 </w:t>
      </w:r>
      <w:r>
        <w:t xml:space="preserve">: Créer un Comité consultatif des changements (CAB ou CCC), qui est un comité de gestion du changement dont les responsabilités sont les suivantes : Établir et gérer les politiques globales de gestion des changements et fournir des conseils sur la gestion des changements. Réviser et autoriser l’ensemble des demandes de changement tout en tenant compte du risque associé aux changements. Le CAB peut déléguer son autorité pour les changements dont le risque est modéré (p. ex. au CAB sectoriel). N’autoriser aucun changement sans avoir documenté les exigences obligatoires et les mesures d’atténuation du risque. </w:t>
      </w:r>
    </w:p>
    <w:p>
      <w:pPr>
        <w:ind w:left="720"/>
      </w:pPr>
      <w:r>
        <w:rPr>
          <w:b/>
        </w:rPr>
        <w:t xml:space="preserve">STD-CM0012_2023-11-01 </w:t>
      </w:r>
      <w:r>
        <w:t>: Veiller à ce que les membres permanents du CAB comprennent au minimum : Un représentant du secteur TI concerné, tel qu’un gestionnaire des changements sectoriel. Un représentant du processus de gestion des changements, tel que le gestionnaire des changements du CAB de iA Groupe financier.</w:t>
      </w:r>
    </w:p>
    <w:p>
      <w:pPr>
        <w:ind w:left="720"/>
      </w:pPr>
      <w:r>
        <w:rPr>
          <w:b/>
        </w:rPr>
        <w:t xml:space="preserve">STD-CM0013_2023-11-01 </w:t>
      </w:r>
      <w:r>
        <w:t>: Inviter d’autres participants (membres non permanents du CAB) à la réunion du CAB au besoin. D’autres participants pourraient inclure : Un représentant de la sécurité de l’information Un représentant du processus de gestion des incidents, tel que le coordonnateur des incidents Un représentant du centre de service TI Le coordonnateur du changement Le responsable de la demande de changement ou un délégué du secteur TI Le propriétaire d’actif/service Toute autre intervenant concerné.</w:t>
      </w:r>
    </w:p>
    <w:p>
      <w:pPr>
        <w:ind w:left="720"/>
      </w:pPr>
      <w:r>
        <w:rPr>
          <w:b/>
        </w:rPr>
        <w:t xml:space="preserve">STD-CM0014_2023-11-01 </w:t>
      </w:r>
      <w:r>
        <w:t>: Tenir des réunions du CAB au moins une fois par semaine.</w:t>
      </w:r>
    </w:p>
    <w:p>
      <w:pPr>
        <w:pStyle w:val="Heading2"/>
        <w:ind w:left="360"/>
      </w:pPr>
      <w:r>
        <w:t>2.5. Tests et mise en œuvre des changements</w:t>
      </w:r>
    </w:p>
    <w:p>
      <w:pPr>
        <w:ind w:left="720"/>
      </w:pPr>
      <w:r>
        <w:rPr>
          <w:b/>
        </w:rPr>
        <w:t xml:space="preserve">STD-CM0015_2023-11-01 </w:t>
      </w:r>
      <w:r>
        <w:t>: S’assurer que les changements apportés aux systèmes d’information sont testés, validés et documentés.</w:t>
      </w:r>
    </w:p>
    <w:p>
      <w:pPr>
        <w:ind w:left="720"/>
      </w:pPr>
      <w:r>
        <w:rPr>
          <w:b/>
        </w:rPr>
        <w:t xml:space="preserve">STD-CM0016_2023-11-01 </w:t>
      </w:r>
      <w:r>
        <w:t>: S’assurer que les tests sont effectués dans un environnement de test, le cas échéant. Les nouveaux logiciels sont testés dans un environnement séparé des environnements de production et de développement. Cela permet une protection supplémentaire des informations opérationnelles utilisées à des fins d’essai. Cela s’applique également aux nouveaux correctifs, aux « service packs » et autres mises à jour.</w:t>
      </w:r>
    </w:p>
    <w:p>
      <w:pPr>
        <w:ind w:left="720"/>
      </w:pPr>
      <w:r>
        <w:rPr>
          <w:b/>
        </w:rPr>
        <w:t xml:space="preserve">STD-CM0017_2023-11-01 </w:t>
      </w:r>
      <w:r>
        <w:t>: S’assurer que les tests n’interfèrent pas avec les opérations normales.</w:t>
      </w:r>
    </w:p>
    <w:p>
      <w:pPr>
        <w:ind w:left="720"/>
      </w:pPr>
      <w:r>
        <w:rPr>
          <w:b/>
        </w:rPr>
        <w:t xml:space="preserve">STD-CM0018_2023-11-01 </w:t>
      </w:r>
      <w:r>
        <w:t>: S’assurer que les personnes ou les groupes qui effectuent des tests comprennent les politiques et procédures de sécurité organisationnelles et spécifiques aux systèmes d’information.</w:t>
      </w:r>
    </w:p>
    <w:p>
      <w:pPr>
        <w:pStyle w:val="Heading2"/>
        <w:ind w:left="360"/>
      </w:pPr>
      <w:r>
        <w:t>2.6. Changements apportés à la production</w:t>
      </w:r>
    </w:p>
    <w:p>
      <w:pPr>
        <w:ind w:left="720"/>
      </w:pPr>
      <w:r>
        <w:rPr>
          <w:b/>
        </w:rPr>
        <w:t xml:space="preserve">STD-CM0019_2023-11-01 </w:t>
      </w:r>
      <w:r>
        <w:t>: S’assurer que seuls les changements officiellement approuvés sont mis en œuvre en obtenant la confirmation que : Le changement a reçu les approbations d’affaires ou techniques par des approbateurs désignés avant sa mise en œuvre (à l’exception des changements accélérés). Les approbateurs désignés doivent être différents du coordonnateur et du réalisateur du changement. L’état d’approbation du changement a été consolidé dans le système de gestion des changements. Pour chaque changement, les travaux préliminaires ont été menés à bien et que les travaux de planification sont adéquats.</w:t>
      </w:r>
    </w:p>
    <w:p>
      <w:pPr>
        <w:ind w:left="720"/>
      </w:pPr>
      <w:r>
        <w:rPr>
          <w:b/>
        </w:rPr>
        <w:t xml:space="preserve">STD-CM0020_2023-11-01 </w:t>
      </w:r>
      <w:r>
        <w:t>: Enregistrer toutes les demandes de changement, qu’elles soient approuvées ou rejetées, dans le système de gestion des changements.</w:t>
      </w:r>
    </w:p>
    <w:p>
      <w:pPr>
        <w:ind w:left="720"/>
      </w:pPr>
      <w:r>
        <w:rPr>
          <w:b/>
        </w:rPr>
        <w:t xml:space="preserve">STD-CM0021_2023-11-01 </w:t>
      </w:r>
      <w:r>
        <w:t>: Exiger, si la date prévue d'un changement est modifiée après l'approbation, que celui-ci passe à nouveau par le processus de gestion des changements.</w:t>
      </w:r>
    </w:p>
    <w:p>
      <w:pPr>
        <w:ind w:left="720"/>
      </w:pPr>
      <w:r>
        <w:rPr>
          <w:b/>
        </w:rPr>
        <w:t xml:space="preserve">STD-CM0022_2023-11-01 </w:t>
      </w:r>
      <w:r>
        <w:t>: Surveiller les changements dans l’environnement de production afin de déterminer si le changement déployé a été efficace, en comparant les effets mesurés du changement avec les effets souhaités.</w:t>
      </w:r>
    </w:p>
    <w:p>
      <w:pPr>
        <w:ind w:left="720"/>
      </w:pPr>
      <w:r>
        <w:rPr>
          <w:b/>
        </w:rPr>
        <w:t xml:space="preserve">STD-CM0023_2023-11-01 </w:t>
      </w:r>
      <w:r>
        <w:t>: Aviser toutes les parties concernées lorsque les changements sont terminés.</w:t>
      </w:r>
    </w:p>
    <w:p>
      <w:pPr>
        <w:ind w:left="720"/>
      </w:pPr>
      <w:r>
        <w:rPr>
          <w:b/>
        </w:rPr>
        <w:t xml:space="preserve">STD-CM0024_2023-11-01 </w:t>
      </w:r>
      <w:r>
        <w:t>: Conserver un journal de vérification contenant tous les renseignements pertinents lorsque des changements sont apportés pour évaluer et certifier l’approbation du changement pendant 18 mois, y compris : La justification du changement; Le plan de mise en œuvre; L’évaluation du risque; Les mesures d’atténuation du risque; Le plan de retour en arrière; Les évidences de test.</w:t>
      </w:r>
    </w:p>
    <w:p>
      <w:pPr>
        <w:ind w:left="720"/>
      </w:pPr>
      <w:r>
        <w:rPr>
          <w:b/>
        </w:rPr>
        <w:t xml:space="preserve">STD-CM0025_2023-11-01 </w:t>
      </w:r>
      <w:r>
        <w:t>: S’assurer de la disponibilité de toutes les informations et documents pertinents associés au changement pendant 18 mois suivant la mise en œuvre.</w:t>
      </w:r>
    </w:p>
    <w:p>
      <w:pPr>
        <w:pStyle w:val="Heading2"/>
        <w:ind w:left="360"/>
      </w:pPr>
      <w:r>
        <w:t>2.7. Révision post-changement</w:t>
      </w:r>
    </w:p>
    <w:p>
      <w:pPr>
        <w:ind w:left="720"/>
      </w:pPr>
      <w:r>
        <w:rPr>
          <w:b/>
        </w:rPr>
        <w:t xml:space="preserve">STD-CM0026_2023-11-01 </w:t>
      </w:r>
      <w:r>
        <w:t>: Effectuer une révision des changements à la suite de la mise en œuvre d’un changement afin de déterminer si ce dernier a donné lieu au résultat souhaité. Cette révision est effectuée par le coordonnateur du changement et les parties prenantes du changement.</w:t>
      </w:r>
    </w:p>
    <w:p>
      <w:pPr>
        <w:ind w:left="720"/>
      </w:pPr>
      <w:r>
        <w:rPr>
          <w:b/>
        </w:rPr>
        <w:t xml:space="preserve">STD-CM0027_2023-11-01 </w:t>
      </w:r>
      <w:r>
        <w:t>: Documenter les conclusions de la révision post-changement.</w:t>
      </w:r>
    </w:p>
    <w:p>
      <w:pPr>
        <w:ind w:left="720"/>
      </w:pPr>
      <w:r>
        <w:rPr>
          <w:b/>
        </w:rPr>
        <w:t xml:space="preserve">STD-CM0028_2023-11-01 </w:t>
      </w:r>
      <w:r>
        <w:t>: S’assurer que les commentaires sur la révision des changements sont distribués à toutes les parties prenantes du changement afin d’encourager et de permettre des améliorations futures.</w:t>
      </w:r>
    </w:p>
    <w:p>
      <w:pPr>
        <w:ind w:left="720"/>
      </w:pPr>
      <w:r>
        <w:rPr>
          <w:b/>
        </w:rPr>
        <w:t xml:space="preserve">STD-CM0029_2023-11-01 </w:t>
      </w:r>
      <w:r>
        <w:t>: S’assurer que la date de début et de fin réelles sont conformes aux dates prévues.</w:t>
      </w:r>
    </w:p>
    <w:p>
      <w:pPr>
        <w:pStyle w:val="Heading2"/>
      </w:pPr>
      <w:r>
        <w:t>3. Écarts et exceptions</w:t>
      </w:r>
    </w:p>
    <w:p>
      <w:r>
        <w:t>Tout écart anticipé à une exigence d’une norme SI, incluant celui causé par le retrait ou l'altération temporaire d'un contrôle, doit faire l’objet d’une demande de dérogation SI, à l’exception d’un écart lié à la résolution d’un incident de sécurité.</w:t>
        <w:br/>
        <w:br/>
        <w:t>Dans le cadre d’un projet TI, seul un écart lié à l'utilisation de données ou services de production dans des environnements hors production doit faire l’objet d’une demande de dérogation SI.</w:t>
        <w:br/>
        <w:br/>
        <w:t>Pour plus d’information, veuillez vous référer à la Vitrine de sécurité de l’information.</w:t>
      </w:r>
    </w:p>
    <w:p>
      <w:r>
        <w:br w:type="page"/>
      </w:r>
    </w:p>
    <w:p>
      <w:pPr>
        <w:pStyle w:val="Heading2"/>
      </w:pPr>
      <w:r>
        <w:t>Annexe A. Historique des révisions</w:t>
      </w:r>
    </w:p>
    <w:p>
      <w:r>
        <w:t>Note: Seuls les remplacements et retraits d'exigences sont recensés dans cette liste.</w:t>
      </w:r>
    </w:p>
    <w:sectPr w:rsidR="00FC693F" w:rsidRPr="0006063C" w:rsidSect="00034616">
      <w:footerReference w:type="default" r:id="rId9"/>
      <w:footerReference w:type="first" r:id="rId11"/>
      <w:pgSz w:w="12240" w:h="15840"/>
      <w:pgMar w:top="821" w:right="1325"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i/>
        <w:color w:val="5F5F5F"/>
        <w:sz w:val="20"/>
      </w:rPr>
      <w:t>Avis de confidentialité</w:t>
      <w:br/>
      <w:br/>
    </w:r>
    <w:r>
      <w:rPr>
        <w:i/>
        <w:color w:val="5F5F5F"/>
        <w:sz w:val="20"/>
      </w:rPr>
      <w:t>Ce document contient des informations qui sont destinées à l’usage exclusif de iA Groupe financier.</w:t>
      <w:br/>
      <w:br/>
      <w:t>Sous réserve d’une approbation d’un représentant dûment autorisé de iA Groupe financier, toute reproduction de ce document, ou sa distribution à l’extérieur de son groupe autorisé d’utilisateurs est interdite.</w:t>
      <w:b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readOnly" w:enforcement="1" w:cryptProviderType="rsaFull" w:cryptAlgorithmClass="hash" w:cryptAlgorithmType="typeAny" w:cryptAlgorithmSid="4" w:cryptSpinCount="100000" w:hash="4FD148A51B8FD181FC0F3F2D44761590FA54CE39" w:salt="65490DEE923387B603713E6274AD3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Corps)" w:hAnsi="Calibri (Corp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color w:val="003EA1"/>
      <w:sz w:val="4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003E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image" Target="media/image1.jp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59019D3F6DDC498256713E9820EE99" ma:contentTypeVersion="25" ma:contentTypeDescription="Crée un document." ma:contentTypeScope="" ma:versionID="fa0849599167844cf15dc633777af07c">
  <xsd:schema xmlns:xsd="http://www.w3.org/2001/XMLSchema" xmlns:xs="http://www.w3.org/2001/XMLSchema" xmlns:p="http://schemas.microsoft.com/office/2006/metadata/properties" xmlns:ns2="e93f85fb-4dbd-4652-a049-40e697b45e41" xmlns:ns3="711488bb-a721-4cc2-8c55-8a2ad031306f" xmlns:ns4="05208df2-c2b4-49e6-bcfb-ce7b72d81c67" targetNamespace="http://schemas.microsoft.com/office/2006/metadata/properties" ma:root="true" ma:fieldsID="40d496d3f21dd70b59cff71837464efd" ns2:_="" ns3:_="" ns4:_="">
    <xsd:import namespace="e93f85fb-4dbd-4652-a049-40e697b45e41"/>
    <xsd:import namespace="711488bb-a721-4cc2-8c55-8a2ad031306f"/>
    <xsd:import namespace="05208df2-c2b4-49e6-bcfb-ce7b72d81c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f85fb-4dbd-4652-a049-40e697b45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49c3984d-6c88-459e-875d-1e42fc5375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1488bb-a721-4cc2-8c55-8a2ad031306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014f16-b126-47f4-947a-8a02f0875407}" ma:internalName="TaxCatchAll" ma:showField="CatchAllData" ma:web="05208df2-c2b4-49e6-bcfb-ce7b72d81c6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208df2-c2b4-49e6-bcfb-ce7b72d81c67"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3f85fb-4dbd-4652-a049-40e697b45e41">
      <Terms xmlns="http://schemas.microsoft.com/office/infopath/2007/PartnerControls"/>
    </lcf76f155ced4ddcb4097134ff3c332f>
    <TaxCatchAll xmlns="711488bb-a721-4cc2-8c55-8a2ad031306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2F1E36-62E0-46DC-A647-EBBC3DA39C27}"/>
</file>

<file path=customXml/itemProps3.xml><?xml version="1.0" encoding="utf-8"?>
<ds:datastoreItem xmlns:ds="http://schemas.openxmlformats.org/officeDocument/2006/customXml" ds:itemID="{BAE69E62-B41C-4584-B8D5-F422AB917991}"/>
</file>

<file path=customXml/itemProps4.xml><?xml version="1.0" encoding="utf-8"?>
<ds:datastoreItem xmlns:ds="http://schemas.openxmlformats.org/officeDocument/2006/customXml" ds:itemID="{E7A6AFCB-84CA-4249-881B-87BD504CEB6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0x0101004159019D3F6DDC498256713E9820EE99</vt:lpwstr>
  </property>
  <property fmtid="{D5CDD505-2E9C-101B-9397-08002B2CF9AE}" pid="4" name="LastModifiedDate">
    <vt:filetime>2024-09-16T12:00:00Z</vt:filetime>
  </property>
  <property fmtid="{D5CDD505-2E9C-101B-9397-08002B2CF9AE}" pid="5" name="docLang">
    <vt:lpwstr>fr</vt:lpwstr>
  </property>
</Properties>
</file>