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09996" cy="540327"/>
            <wp:docPr id="1" name="Picture 1"/>
            <wp:cNvGraphicFramePr>
              <a:graphicFrameLocks noChangeAspect="1"/>
            </wp:cNvGraphicFramePr>
            <a:graphic>
              <a:graphicData uri="http://schemas.openxmlformats.org/drawingml/2006/picture">
                <pic:pic>
                  <pic:nvPicPr>
                    <pic:cNvPr id="0" name="Logo iAGF.jpg"/>
                    <pic:cNvPicPr/>
                  </pic:nvPicPr>
                  <pic:blipFill>
                    <a:blip r:embed="rId10"/>
                    <a:stretch>
                      <a:fillRect/>
                    </a:stretch>
                  </pic:blipFill>
                  <pic:spPr>
                    <a:xfrm>
                      <a:off x="0" y="0"/>
                      <a:ext cx="1009996" cy="540327"/>
                    </a:xfrm>
                    <a:prstGeom prst="rect"/>
                  </pic:spPr>
                </pic:pic>
              </a:graphicData>
            </a:graphic>
          </wp:inline>
        </w:drawing>
      </w:r>
    </w:p>
    <w:p/>
    <w:p/>
    <w:p/>
    <w:p/>
    <w:p/>
    <w:p/>
    <w:p>
      <w:pPr>
        <w:pStyle w:val="Heading1"/>
        <w:jc w:val="center"/>
      </w:pPr>
      <w:r>
        <w:rPr>
          <w:i/>
        </w:rPr>
        <w:t>NORME DE SÉCURITÉ SUR LA GESTION DES CONFIGURATIONS</w:t>
      </w:r>
    </w:p>
    <w:p>
      <w:r>
        <w:br w:type="page"/>
      </w:r>
    </w:p>
    <w:tbl>
      <w:tblPr>
        <w:tblW w:type="auto" w:w="0"/>
        <w:tblLayout w:type="fixed"/>
        <w:tblLook w:firstColumn="1" w:firstRow="1" w:lastColumn="0" w:lastRow="0" w:noHBand="0" w:noVBand="1" w:val="04A0"/>
        <w:tblBorders>
          <w:top w:val="single" w:sz="10" w:space="0" w:color="BABABA"/>
          <w:left w:val="single" w:sz="10" w:space="0" w:color="BABABA"/>
          <w:bottom w:val="single" w:sz="10" w:space="0" w:color="BABABA"/>
          <w:right w:val="single" w:sz="10" w:space="0" w:color="BABABA"/>
          <w:insideH w:val="single" w:sz="10" w:space="0" w:color="BABABA"/>
          <w:insideV w:val="single" w:sz="10" w:space="0" w:color="BABABA"/>
        </w:tblBorders>
      </w:tblPr>
      <w:tblGrid>
        <w:gridCol w:w="4608"/>
        <w:gridCol w:w="4608"/>
      </w:tblGrid>
      <w:tr>
        <w:tc>
          <w:tcPr>
            <w:tcW w:type="dxa" w:w="9200"/>
            <w:gridSpan w:val="2"/>
            <w:shd w:val="clear" w:color="auto" w:fill="013EA1"/>
          </w:tcPr>
          <w:p>
            <w:pPr>
              <w:spacing w:after="0"/>
              <w:jc w:val="center"/>
            </w:pPr>
            <w:r>
              <w:rPr>
                <w:b/>
                <w:color w:val="FFFFFF"/>
              </w:rPr>
              <w:t>Norme de sécurité sur la gestion des configurations</w:t>
            </w:r>
          </w:p>
        </w:tc>
      </w:tr>
      <w:tr>
        <w:tc>
          <w:tcPr>
            <w:tcW w:type="dxa" w:w="2200"/>
            <w:shd w:val="clear" w:color="auto" w:fill="F0F0F0"/>
          </w:tcPr>
          <w:p>
            <w:pPr>
              <w:spacing w:after="0"/>
            </w:pPr>
            <w:r>
              <w:rPr>
                <w:b/>
                <w:color w:val="646260"/>
              </w:rPr>
              <w:t>Propriétaire</w:t>
            </w:r>
          </w:p>
        </w:tc>
        <w:tc>
          <w:tcPr>
            <w:tcW w:type="dxa" w:w="7000"/>
          </w:tcPr>
          <w:p>
            <w:pPr>
              <w:spacing w:after="0"/>
            </w:pPr>
            <w:r>
              <w:rPr>
                <w:color w:val="66677C"/>
              </w:rPr>
              <w:t>Chef de la sécurité de l’information (CISO)</w:t>
            </w:r>
          </w:p>
        </w:tc>
      </w:tr>
      <w:tr>
        <w:tc>
          <w:tcPr>
            <w:tcW w:type="dxa" w:w="2200"/>
            <w:shd w:val="clear" w:color="auto" w:fill="F0F0F0"/>
          </w:tcPr>
          <w:p>
            <w:pPr>
              <w:spacing w:after="0"/>
            </w:pPr>
            <w:r>
              <w:rPr>
                <w:b/>
                <w:color w:val="646260"/>
              </w:rPr>
              <w:t>Portée</w:t>
            </w:r>
          </w:p>
        </w:tc>
        <w:tc>
          <w:tcPr>
            <w:tcW w:type="dxa" w:w="7000"/>
          </w:tcPr>
          <w:p>
            <w:pPr>
              <w:spacing w:after="0"/>
            </w:pPr>
            <w:r>
              <w:rPr>
                <w:color w:val="66677C"/>
              </w:rPr>
              <w:t>La présente Norme de sécurité s'applique à toutes les activités de iA Groupe financier, dans toutes les juridictions où l’organisation opère.  Elle couvre tous ses employés, fournisseurs de services, sous-traitants et autres personnes dont le travail relève de la responsabilité de la direction de l'entreprise, sous son contrôle direct et utilisant ses informations ou actifs.</w:t>
            </w:r>
          </w:p>
        </w:tc>
      </w:tr>
      <w:tr>
        <w:tc>
          <w:tcPr>
            <w:tcW w:type="dxa" w:w="2200"/>
            <w:shd w:val="clear" w:color="auto" w:fill="F0F0F0"/>
          </w:tcPr>
          <w:p>
            <w:pPr>
              <w:spacing w:after="0"/>
            </w:pPr>
            <w:r>
              <w:rPr>
                <w:b/>
                <w:color w:val="646260"/>
              </w:rPr>
              <w:t>Objectif de la norme</w:t>
            </w:r>
          </w:p>
        </w:tc>
        <w:tc>
          <w:tcPr>
            <w:tcW w:type="dxa" w:w="7000"/>
          </w:tcPr>
          <w:p>
            <w:pPr>
              <w:spacing w:after="0"/>
            </w:pPr>
            <w:r>
              <w:rPr>
                <w:color w:val="66677C"/>
              </w:rPr>
              <w:t>Établir les exigences relatives au maintien de l’intégrité du matériel, des logiciels, micrologiciels et de la documentation liée aux configurations qui soutiennent l’environnement technologique de iA Groupe financier.</w:t>
            </w:r>
          </w:p>
        </w:tc>
      </w:tr>
      <w:tr>
        <w:tc>
          <w:tcPr>
            <w:tcW w:type="dxa" w:w="2200"/>
            <w:shd w:val="clear" w:color="auto" w:fill="F0F0F0"/>
          </w:tcPr>
          <w:p>
            <w:pPr>
              <w:spacing w:after="0"/>
            </w:pPr>
            <w:r>
              <w:rPr>
                <w:b/>
                <w:color w:val="646260"/>
              </w:rPr>
              <w:t>Date dernière révision holistique</w:t>
            </w:r>
          </w:p>
        </w:tc>
        <w:tc>
          <w:tcPr>
            <w:tcW w:type="dxa" w:w="7000"/>
          </w:tcPr>
          <w:p>
            <w:pPr>
              <w:spacing w:after="0"/>
            </w:pPr>
            <w:r>
              <w:rPr>
                <w:color w:val="66677C"/>
              </w:rPr>
              <w:t>2024-05-30</w:t>
            </w:r>
          </w:p>
        </w:tc>
      </w:tr>
      <w:tr>
        <w:tc>
          <w:tcPr>
            <w:tcW w:type="dxa" w:w="2200"/>
            <w:shd w:val="clear" w:color="auto" w:fill="F0F0F0"/>
          </w:tcPr>
          <w:p>
            <w:pPr>
              <w:spacing w:after="0"/>
            </w:pPr>
            <w:r>
              <w:rPr>
                <w:b/>
                <w:color w:val="646260"/>
              </w:rPr>
              <w:t>Date génération document</w:t>
            </w:r>
          </w:p>
        </w:tc>
        <w:tc>
          <w:tcPr>
            <w:tcW w:type="dxa" w:w="7000"/>
          </w:tcPr>
          <w:p>
            <w:pPr>
              <w:spacing w:after="0"/>
            </w:pPr>
            <w:r>
              <w:rPr>
                <w:color w:val="66677C"/>
              </w:rPr>
              <w:t>2026-03-10</w:t>
            </w:r>
          </w:p>
        </w:tc>
      </w:tr>
      <w:tr>
        <w:tc>
          <w:tcPr>
            <w:tcW w:type="dxa" w:w="2200"/>
            <w:shd w:val="clear" w:color="auto" w:fill="F0F0F0"/>
          </w:tcPr>
          <w:p>
            <w:pPr>
              <w:spacing w:after="0"/>
            </w:pPr>
            <w:r>
              <w:rPr>
                <w:b/>
                <w:color w:val="646260"/>
              </w:rPr>
              <w:t>Code de la norme</w:t>
            </w:r>
          </w:p>
        </w:tc>
        <w:tc>
          <w:tcPr>
            <w:tcW w:type="dxa" w:w="7000"/>
          </w:tcPr>
          <w:p>
            <w:pPr>
              <w:spacing w:after="0"/>
            </w:pPr>
            <w:r>
              <w:rPr>
                <w:color w:val="66677C"/>
              </w:rPr>
              <w:t>STD-CO</w:t>
            </w:r>
          </w:p>
        </w:tc>
      </w:tr>
    </w:tbl>
    <w:p>
      <w:pPr>
        <w:pStyle w:val="Heading2"/>
      </w:pPr>
      <w:r>
        <w:t>1. Introduction</w:t>
      </w:r>
    </w:p>
    <w:p>
      <w:r>
        <w:t>La présente Norme de sécurité fait partie intégrante du Cadre Normatif de sécurité de l'information et vise à établir des exigences claires et des pratiques exemplaires pour la gestion de la sécurité de l'information.  Se référer au glossaire TI (https://indall.sharepoint.com/sites/glossaire) pour la définition des termes utilisés.</w:t>
        <w:br/>
        <w:br/>
        <w:t>Les cadres de sécurité et les contrôles connexes suivants ont été utilisés (mais sans s'y limiter) pour créer cette norme de sécurité: NIST CSF, NIST SP 800-53, NIST SP 800-63B, Contrôles CIS, ISO 27002.</w:t>
      </w:r>
    </w:p>
    <w:p>
      <w:pPr>
        <w:pStyle w:val="Heading2"/>
      </w:pPr>
      <w:r>
        <w:t>2. Exigences</w:t>
      </w:r>
    </w:p>
    <w:p>
      <w:pPr>
        <w:pStyle w:val="Heading2"/>
        <w:ind w:left="360"/>
      </w:pPr>
      <w:r>
        <w:t>2.1. Gouvernance de la configuration de sécurité</w:t>
      </w:r>
    </w:p>
    <w:p>
      <w:pPr>
        <w:ind w:left="720"/>
      </w:pPr>
      <w:r>
        <w:rPr>
          <w:b/>
        </w:rPr>
        <w:t xml:space="preserve">STD-CO0001_2023-03-21 </w:t>
      </w:r>
      <w:r>
        <w:t>: S’assurer que les processus et les outils appropriés (ex. base de données de gestion de configuration (CMDB)) sont en place pour la mise en œuvre des configurations de sécurité.</w:t>
      </w:r>
    </w:p>
    <w:p>
      <w:pPr>
        <w:ind w:left="720"/>
      </w:pPr>
      <w:r>
        <w:rPr>
          <w:b/>
        </w:rPr>
        <w:t xml:space="preserve">STD-CO0002_2023-03-21 </w:t>
      </w:r>
      <w:r>
        <w:t>: Définir un processus d’identification et de gestion des éléments de configuration tout au long du cycle de vie d’un système.</w:t>
      </w:r>
    </w:p>
    <w:p>
      <w:pPr>
        <w:ind w:left="720"/>
      </w:pPr>
      <w:r>
        <w:rPr>
          <w:b/>
        </w:rPr>
        <w:t xml:space="preserve">STD-CO0003_2023-03-21 </w:t>
      </w:r>
      <w:r>
        <w:t>: Utiliser des modèles de configuration pour assurer une mise en œuvre cohérente et opportune des configurations.</w:t>
      </w:r>
    </w:p>
    <w:p>
      <w:pPr>
        <w:ind w:left="720"/>
      </w:pPr>
      <w:r>
        <w:rPr>
          <w:b/>
        </w:rPr>
        <w:t xml:space="preserve">STD-CO0004_2023-03-21 </w:t>
      </w:r>
      <w:r>
        <w:t>: Définir un processus de révision et de mises à jour des règles de durcissement et des configurations standards prenant en compte, le cas échéant, la sensibilité des données, les évolutions législatives et les évolutions technologiques.</w:t>
      </w:r>
    </w:p>
    <w:p>
      <w:pPr>
        <w:pStyle w:val="Heading2"/>
        <w:ind w:left="360"/>
      </w:pPr>
      <w:r>
        <w:t>2.2. Normes de configuration de base</w:t>
      </w:r>
    </w:p>
    <w:p>
      <w:pPr>
        <w:ind w:left="720"/>
      </w:pPr>
      <w:r>
        <w:rPr>
          <w:b/>
        </w:rPr>
        <w:t xml:space="preserve">STD-CO0005_2023-03-21 </w:t>
      </w:r>
      <w:r>
        <w:t>: Définir et mettre en place des normes de configuration de base pour les systèmes et les composants de systèmes. S’assurer que les propriétaires de services approuvent ces normes et collaborent avec l’équipe des opérations pour les actifs sous leur responsabilité.</w:t>
      </w:r>
    </w:p>
    <w:p>
      <w:pPr>
        <w:ind w:left="720"/>
      </w:pPr>
      <w:r>
        <w:rPr>
          <w:b/>
        </w:rPr>
        <w:t xml:space="preserve">STD-CO0006_2023-03-21 </w:t>
      </w:r>
      <w:r>
        <w:t xml:space="preserve">: S’assurer que le risque associé aux normes de configuration de base définies est évalué et géré conformément aux pratiques de gestion du risque de la Société. </w:t>
      </w:r>
    </w:p>
    <w:p>
      <w:pPr>
        <w:ind w:left="720"/>
      </w:pPr>
      <w:r>
        <w:rPr>
          <w:b/>
        </w:rPr>
        <w:t xml:space="preserve">STD-CO0007_2023-03-21 </w:t>
      </w:r>
      <w:r>
        <w:t xml:space="preserve">: Utiliser en priorité les guides de l’industrie (ex. guides du CIS), puis les contributions du développement de produits, des fabricants, des fournisseurs, des organismes fédéraux pour créer des normes de configuration de base appropriées. Dans le cas contraire, une évaluation par la sécurité de l’information est requise. </w:t>
        <w:br/>
        <w:br/>
        <w:t>Remarque : Se référer au Guide de sécurité sur la Gestion des configurations pour plus de détails sur les meilleures pratiques de gestion des configurations relatives aux appareils courants.</w:t>
      </w:r>
    </w:p>
    <w:p>
      <w:pPr>
        <w:ind w:left="720"/>
      </w:pPr>
      <w:r>
        <w:rPr>
          <w:b/>
        </w:rPr>
        <w:t xml:space="preserve">STD-CO0008_2023-03-21 </w:t>
      </w:r>
      <w:r>
        <w:t>: Appliquer le principe de la moindre fonctionnalité dans la mesure du possible en configurant le système afin d’autoriser les capacités essentielles et de restreindre l’utilisation de ports, protocoles et/ou services non requis.</w:t>
      </w:r>
    </w:p>
    <w:p>
      <w:pPr>
        <w:ind w:left="720"/>
      </w:pPr>
      <w:r>
        <w:rPr>
          <w:b/>
        </w:rPr>
        <w:t xml:space="preserve">STD-CO0009_2023-03-21 </w:t>
      </w:r>
      <w:r>
        <w:t>: Établir des normes de configuration de base distinctes pour les environnements de développement/tests et les environnements de production afin de protéger les systèmes d'information contre les incidents inattendus liés au développement et aux tests.</w:t>
      </w:r>
    </w:p>
    <w:p>
      <w:pPr>
        <w:ind w:left="720"/>
      </w:pPr>
      <w:r>
        <w:rPr>
          <w:b/>
        </w:rPr>
        <w:t xml:space="preserve">STD-CO0010_2023-03-21 </w:t>
      </w:r>
      <w:r>
        <w:t>: Les normes de configuration de base doivent également encourager les utilisateurs à ne pas conserver ou sauvegarder les données qu’ils consultent ou avec lesquelles ils travaillent sur le point de terminaison utilisé, quel que soit le niveau de sensibilité des données. Si les données doivent être conservées, elles doivent l’être dans un dépôt corporatif, sécurisé et avec un système de  sauvegarde.</w:t>
      </w:r>
    </w:p>
    <w:p>
      <w:pPr>
        <w:pStyle w:val="Heading2"/>
        <w:ind w:left="360"/>
      </w:pPr>
      <w:r>
        <w:t>2.3. Changements des configurations</w:t>
      </w:r>
    </w:p>
    <w:p>
      <w:pPr>
        <w:ind w:left="720"/>
      </w:pPr>
      <w:r>
        <w:rPr>
          <w:b/>
        </w:rPr>
        <w:t xml:space="preserve">STD-CO0011_2023-03-21 </w:t>
      </w:r>
      <w:r>
        <w:t xml:space="preserve">: S’assurer que tous les changements apportés aux normes de configuration de base passent par le processus de gestion des changements et sont officiellement approuvés. </w:t>
        <w:br/>
        <w:br/>
        <w:t>Remarque : Se référer à la Norme de sécurité « Gestion des changements » pour plus de détails sur le processus de gestion des changements.</w:t>
      </w:r>
    </w:p>
    <w:p>
      <w:pPr>
        <w:ind w:left="720"/>
      </w:pPr>
      <w:r>
        <w:rPr>
          <w:b/>
        </w:rPr>
        <w:t xml:space="preserve">STD-CO0012_2023-03-21 </w:t>
      </w:r>
      <w:r>
        <w:t>: Considérer la revue par les pairs pour les changements de configuration majeurs avant la mise en production.</w:t>
      </w:r>
    </w:p>
    <w:p>
      <w:pPr>
        <w:ind w:left="720"/>
      </w:pPr>
      <w:r>
        <w:rPr>
          <w:b/>
        </w:rPr>
        <w:t xml:space="preserve">STD-CO0013_2023-03-21 </w:t>
      </w:r>
      <w:r>
        <w:t>: Prioriser l’utilisation d’outils centralisés et automatisés pour le passage aux nouvelles configurations vers des appareils autorisés appropriés.</w:t>
      </w:r>
    </w:p>
    <w:p>
      <w:pPr>
        <w:pStyle w:val="Heading2"/>
        <w:ind w:left="360"/>
      </w:pPr>
      <w:r>
        <w:t>2.4. Protection des configurations</w:t>
      </w:r>
    </w:p>
    <w:p>
      <w:pPr>
        <w:ind w:left="720"/>
      </w:pPr>
      <w:r>
        <w:rPr>
          <w:b/>
        </w:rPr>
        <w:t xml:space="preserve">STD-CO0014_2023-03-21 </w:t>
      </w:r>
      <w:r>
        <w:t>: Stocker les images maîtresses, le code source, les scripts d’infrastructure et les modèles sur des serveurs configurés de manière sécurisée afin de garantir que seuls les changements autorisés sont possibles.</w:t>
      </w:r>
    </w:p>
    <w:p>
      <w:pPr>
        <w:ind w:left="720"/>
      </w:pPr>
      <w:r>
        <w:rPr>
          <w:b/>
        </w:rPr>
        <w:t xml:space="preserve">STD-CO0015_2023-03-21 </w:t>
      </w:r>
      <w:r>
        <w:t>: Conserver les versions précédentes des normes de configuration de base pour soutenir les restaurations.</w:t>
      </w:r>
    </w:p>
    <w:p>
      <w:pPr>
        <w:ind w:left="720"/>
      </w:pPr>
      <w:r>
        <w:rPr>
          <w:b/>
        </w:rPr>
        <w:t xml:space="preserve">STD-CO0016_2023-03-21 </w:t>
      </w:r>
      <w:r>
        <w:t>: Restreindre l'accès aux dépôts de code et aux systèmes d'information aux seules personnes qualifiées et autorisées pour initier des changements de configuration.</w:t>
      </w:r>
    </w:p>
    <w:p>
      <w:pPr>
        <w:ind w:left="720"/>
      </w:pPr>
      <w:r>
        <w:rPr>
          <w:b/>
        </w:rPr>
        <w:t xml:space="preserve">STD-CO0017_2023-03-21 </w:t>
      </w:r>
      <w:r>
        <w:t>: Conserver des registres d’accès pour tous les contrôles sur les changements de configuration afin de pouvoir démontrer ce qui a été modifié et les impacts pouvant en découler.</w:t>
      </w:r>
    </w:p>
    <w:p>
      <w:pPr>
        <w:pStyle w:val="Heading2"/>
        <w:ind w:left="360"/>
      </w:pPr>
      <w:r>
        <w:t>2.5. Surveillance des configurations</w:t>
      </w:r>
    </w:p>
    <w:p>
      <w:pPr>
        <w:ind w:left="720"/>
      </w:pPr>
      <w:r>
        <w:rPr>
          <w:b/>
        </w:rPr>
        <w:t xml:space="preserve">STD-CO0018_2023-03-21 </w:t>
      </w:r>
      <w:r>
        <w:t xml:space="preserve">: S’assurer qu’il existe un processus d’évaluation ou de test du niveau de conformité aux normes de configuration de base établies et aux mécanismes de rapport sur l’état de configuration des composants et des systèmes gérés. </w:t>
        <w:br/>
        <w:br/>
        <w:t>Remarque : Se référer à la Norme de sécurité « Gestion des vulnérabilités » pour plus de détails sur l’identification et la remédiation des vulnérabilités liées aux configurations du système.</w:t>
      </w:r>
    </w:p>
    <w:p>
      <w:pPr>
        <w:ind w:left="720"/>
      </w:pPr>
      <w:r>
        <w:rPr>
          <w:b/>
        </w:rPr>
        <w:t xml:space="preserve">STD-CO0019_2023-03-21 </w:t>
      </w:r>
      <w:r>
        <w:t>: S’assurer que le suivi de configuration est géré de manière centralisée dans la mesure du possible pour appliquer, maintenir à jour et vérifier le déploiement des normes de configuration de base.</w:t>
      </w:r>
    </w:p>
    <w:p>
      <w:pPr>
        <w:ind w:left="720"/>
      </w:pPr>
      <w:r>
        <w:rPr>
          <w:b/>
        </w:rPr>
        <w:t xml:space="preserve">STD-CO0020_2023-03-21 </w:t>
      </w:r>
      <w:r>
        <w:t>: Identifier les systèmes ou composants pour lesquels il n’existe pas de norme de configuration de base.</w:t>
      </w:r>
    </w:p>
    <w:p>
      <w:pPr>
        <w:ind w:left="720"/>
      </w:pPr>
      <w:r>
        <w:rPr>
          <w:b/>
        </w:rPr>
        <w:t xml:space="preserve">STD-CO0021_2023-03-21 </w:t>
      </w:r>
      <w:r>
        <w:t xml:space="preserve">: Surveiller les journaux de système pour les changements non autorisés apportés aux éléments de configuration et aux paramètres de configuration. </w:t>
        <w:br/>
        <w:br/>
        <w:t>Remarque : Se référer à la Norme de sécurité « Surveillance et analyse de sécurité » pour plus de détails sur les exigences en matière de journalisation et de surveillance.</w:t>
      </w:r>
    </w:p>
    <w:p>
      <w:pPr>
        <w:ind w:left="720"/>
      </w:pPr>
      <w:r>
        <w:rPr>
          <w:b/>
        </w:rPr>
        <w:t xml:space="preserve">STD-CO0022_2023-03-21 </w:t>
      </w:r>
      <w:r>
        <w:t>: Interdire l’installation de logiciels ou de micrologiciels n’ayant pas de certificat reconnu et approuvé.</w:t>
      </w:r>
    </w:p>
    <w:p>
      <w:pPr>
        <w:ind w:left="720"/>
      </w:pPr>
      <w:r>
        <w:rPr>
          <w:b/>
        </w:rPr>
        <w:t xml:space="preserve">STD-CO0023_2023-03-21 </w:t>
      </w:r>
      <w:r>
        <w:t>: Limiter les installations logicielles aux mises à jour et aux correctifs de sécurité pour les logiciels et applications existants autorisés par la Société.</w:t>
      </w:r>
    </w:p>
    <w:p>
      <w:pPr>
        <w:ind w:left="720"/>
      </w:pPr>
      <w:r>
        <w:rPr>
          <w:b/>
        </w:rPr>
        <w:t xml:space="preserve">STD-CO0024_2023-03-21 </w:t>
      </w:r>
      <w:r>
        <w:t>: Programmer la réception d’alertes lorsque des changements non autorisés des paramètres de configuration sont détectés afin de permettre une réponse automatisée pour la restauration des paramètres de configuration établis ou pour arrêter le système dans des cas extrêmes.</w:t>
      </w:r>
    </w:p>
    <w:p>
      <w:pPr>
        <w:ind w:left="720"/>
      </w:pPr>
      <w:r>
        <w:rPr>
          <w:b/>
        </w:rPr>
        <w:t xml:space="preserve">STD-CO0025_2023-03-21 </w:t>
      </w:r>
      <w:r>
        <w:t>: Définir et générer des rapports sur les changements d'état des éléments de configuration.</w:t>
      </w:r>
    </w:p>
    <w:p>
      <w:pPr>
        <w:pStyle w:val="Heading2"/>
      </w:pPr>
      <w:r>
        <w:t>3. Écarts et exceptions</w:t>
      </w:r>
    </w:p>
    <w:p>
      <w:r>
        <w:t>Tout écart anticipé à une exigence d’une norme SI, incluant celui causé par le retrait ou l'altération temporaire d'un contrôle, doit faire l’objet d’une demande de dérogation SI, à l’exception d’un écart lié à la résolution d’un incident de sécurité.</w:t>
        <w:br/>
        <w:br/>
        <w:t>Dans le cadre d’un projet TI, seul un écart lié à l'utilisation de données ou services de production dans des environnements hors production doit faire l’objet d’une demande de dérogation SI.</w:t>
        <w:br/>
        <w:br/>
        <w:t>Pour plus d’information, veuillez vous référer à la Vitrine de sécurité de l’information.</w:t>
      </w:r>
    </w:p>
    <w:p>
      <w:r>
        <w:br w:type="page"/>
      </w:r>
    </w:p>
    <w:p>
      <w:pPr>
        <w:pStyle w:val="Heading2"/>
      </w:pPr>
      <w:r>
        <w:t>Annexe A. Historique des révisions</w:t>
      </w:r>
    </w:p>
    <w:p>
      <w:r>
        <w:t>Note: Seuls les remplacements et retraits d'exigences sont recensés dans cette liste.</w:t>
      </w:r>
    </w:p>
    <w:sectPr w:rsidR="00FC693F" w:rsidRPr="0006063C" w:rsidSect="00034616">
      <w:footerReference w:type="default" r:id="rId9"/>
      <w:footerReference w:type="first" r:id="rId11"/>
      <w:pgSz w:w="12240" w:h="15840"/>
      <w:pgMar w:top="821" w:right="1325"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i/>
        <w:color w:val="5F5F5F"/>
        <w:sz w:val="20"/>
      </w:rPr>
      <w:t>Avis de confidentialité</w:t>
      <w:br/>
      <w:br/>
    </w:r>
    <w:r>
      <w:rPr>
        <w:i/>
        <w:color w:val="5F5F5F"/>
        <w:sz w:val="20"/>
      </w:rPr>
      <w:t>Ce document contient des informations qui sont destinées à l’usage exclusif de iA Groupe financier.</w:t>
      <w:br/>
      <w:br/>
      <w:t>Sous réserve d’une approbation d’un représentant dûment autorisé de iA Groupe financier, toute reproduction de ce document, ou sa distribution à l’extérieur de son groupe autorisé d’utilisateurs est interdite.</w:t>
      <w:b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readOnly" w:enforcement="1" w:cryptProviderType="rsaFull" w:cryptAlgorithmClass="hash" w:cryptAlgorithmType="typeAny" w:cryptAlgorithmSid="4" w:cryptSpinCount="100000" w:hash="517E2BD5E13DAD9ECADFD288CE1AA290E2C4D806" w:salt="DA6B71D23DDDBF684DC4EFF85B24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Corps)" w:hAnsi="Calibri (Corp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color w:val="003EA1"/>
      <w:sz w:val="4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003E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59019D3F6DDC498256713E9820EE99" ma:contentTypeVersion="25" ma:contentTypeDescription="Crée un document." ma:contentTypeScope="" ma:versionID="fa0849599167844cf15dc633777af07c">
  <xsd:schema xmlns:xsd="http://www.w3.org/2001/XMLSchema" xmlns:xs="http://www.w3.org/2001/XMLSchema" xmlns:p="http://schemas.microsoft.com/office/2006/metadata/properties" xmlns:ns2="e93f85fb-4dbd-4652-a049-40e697b45e41" xmlns:ns3="711488bb-a721-4cc2-8c55-8a2ad031306f" xmlns:ns4="05208df2-c2b4-49e6-bcfb-ce7b72d81c67" targetNamespace="http://schemas.microsoft.com/office/2006/metadata/properties" ma:root="true" ma:fieldsID="40d496d3f21dd70b59cff71837464efd" ns2:_="" ns3:_="" ns4:_="">
    <xsd:import namespace="e93f85fb-4dbd-4652-a049-40e697b45e41"/>
    <xsd:import namespace="711488bb-a721-4cc2-8c55-8a2ad031306f"/>
    <xsd:import namespace="05208df2-c2b4-49e6-bcfb-ce7b72d81c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f85fb-4dbd-4652-a049-40e697b45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9c3984d-6c88-459e-875d-1e42fc5375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1488bb-a721-4cc2-8c55-8a2ad031306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014f16-b126-47f4-947a-8a02f0875407}" ma:internalName="TaxCatchAll" ma:showField="CatchAllData" ma:web="05208df2-c2b4-49e6-bcfb-ce7b72d81c6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208df2-c2b4-49e6-bcfb-ce7b72d81c67"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3f85fb-4dbd-4652-a049-40e697b45e41">
      <Terms xmlns="http://schemas.microsoft.com/office/infopath/2007/PartnerControls"/>
    </lcf76f155ced4ddcb4097134ff3c332f>
    <TaxCatchAll xmlns="711488bb-a721-4cc2-8c55-8a2ad031306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CBC1C8-5339-4473-9CB6-8126D27FFE78}"/>
</file>

<file path=customXml/itemProps3.xml><?xml version="1.0" encoding="utf-8"?>
<ds:datastoreItem xmlns:ds="http://schemas.openxmlformats.org/officeDocument/2006/customXml" ds:itemID="{C60742E7-896E-49A9-8870-6641645865DD}"/>
</file>

<file path=customXml/itemProps4.xml><?xml version="1.0" encoding="utf-8"?>
<ds:datastoreItem xmlns:ds="http://schemas.openxmlformats.org/officeDocument/2006/customXml" ds:itemID="{0C6D7DF0-D500-4B2A-AF10-97362CF2DCA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0x0101004159019D3F6DDC498256713E9820EE99</vt:lpwstr>
  </property>
  <property fmtid="{D5CDD505-2E9C-101B-9397-08002B2CF9AE}" pid="4" name="LastModifiedDate">
    <vt:filetime>2024-05-30T12:00:00Z</vt:filetime>
  </property>
  <property fmtid="{D5CDD505-2E9C-101B-9397-08002B2CF9AE}" pid="5" name="docLang">
    <vt:lpwstr>fr</vt:lpwstr>
  </property>
</Properties>
</file>