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9996" cy="540327"/>
            <wp:docPr id="1" name="Picture 1"/>
            <wp:cNvGraphicFramePr>
              <a:graphicFrameLocks noChangeAspect="1"/>
            </wp:cNvGraphicFramePr>
            <a:graphic>
              <a:graphicData uri="http://schemas.openxmlformats.org/drawingml/2006/picture">
                <pic:pic>
                  <pic:nvPicPr>
                    <pic:cNvPr id="0" name="Logo iAGF.jpg"/>
                    <pic:cNvPicPr/>
                  </pic:nvPicPr>
                  <pic:blipFill>
                    <a:blip r:embed="rId10"/>
                    <a:stretch>
                      <a:fillRect/>
                    </a:stretch>
                  </pic:blipFill>
                  <pic:spPr>
                    <a:xfrm>
                      <a:off x="0" y="0"/>
                      <a:ext cx="1009996" cy="540327"/>
                    </a:xfrm>
                    <a:prstGeom prst="rect"/>
                  </pic:spPr>
                </pic:pic>
              </a:graphicData>
            </a:graphic>
          </wp:inline>
        </w:drawing>
      </w:r>
    </w:p>
    <w:p/>
    <w:p/>
    <w:p/>
    <w:p/>
    <w:p/>
    <w:p/>
    <w:p>
      <w:pPr>
        <w:pStyle w:val="Heading1"/>
        <w:jc w:val="center"/>
      </w:pPr>
      <w:r>
        <w:rPr>
          <w:i/>
        </w:rPr>
        <w:t>NORME DE SÉCURITÉ SUR LA PROTECTION DES DONNÉES</w:t>
      </w:r>
    </w:p>
    <w:p>
      <w:r>
        <w:br w:type="page"/>
      </w:r>
    </w:p>
    <w:tbl>
      <w:tblPr>
        <w:tblW w:type="auto" w:w="0"/>
        <w:tblLayout w:type="fixed"/>
        <w:tblLook w:firstColumn="1" w:firstRow="1" w:lastColumn="0" w:lastRow="0" w:noHBand="0" w:noVBand="1" w:val="04A0"/>
        <w:tblBorders>
          <w:top w:val="single" w:sz="10" w:space="0" w:color="BABABA"/>
          <w:left w:val="single" w:sz="10" w:space="0" w:color="BABABA"/>
          <w:bottom w:val="single" w:sz="10" w:space="0" w:color="BABABA"/>
          <w:right w:val="single" w:sz="10" w:space="0" w:color="BABABA"/>
          <w:insideH w:val="single" w:sz="10" w:space="0" w:color="BABABA"/>
          <w:insideV w:val="single" w:sz="10" w:space="0" w:color="BABABA"/>
        </w:tblBorders>
      </w:tblPr>
      <w:tblGrid>
        <w:gridCol w:w="4608"/>
        <w:gridCol w:w="4608"/>
      </w:tblGrid>
      <w:tr>
        <w:tc>
          <w:tcPr>
            <w:tcW w:type="dxa" w:w="9200"/>
            <w:gridSpan w:val="2"/>
            <w:shd w:val="clear" w:color="auto" w:fill="013EA1"/>
          </w:tcPr>
          <w:p>
            <w:pPr>
              <w:spacing w:after="0"/>
              <w:jc w:val="center"/>
            </w:pPr>
            <w:r>
              <w:rPr>
                <w:b/>
                <w:color w:val="FFFFFF"/>
              </w:rPr>
              <w:t>Norme de sécurité sur la protection des données</w:t>
            </w:r>
          </w:p>
        </w:tc>
      </w:tr>
      <w:tr>
        <w:tc>
          <w:tcPr>
            <w:tcW w:type="dxa" w:w="2200"/>
            <w:shd w:val="clear" w:color="auto" w:fill="F0F0F0"/>
          </w:tcPr>
          <w:p>
            <w:pPr>
              <w:spacing w:after="0"/>
            </w:pPr>
            <w:r>
              <w:rPr>
                <w:b/>
                <w:color w:val="646260"/>
              </w:rPr>
              <w:t>Propriétaire</w:t>
            </w:r>
          </w:p>
        </w:tc>
        <w:tc>
          <w:tcPr>
            <w:tcW w:type="dxa" w:w="7000"/>
          </w:tcPr>
          <w:p>
            <w:pPr>
              <w:spacing w:after="0"/>
            </w:pPr>
            <w:r>
              <w:rPr>
                <w:color w:val="66677C"/>
              </w:rPr>
              <w:t>Chef de la sécurité de l’information (CISO)</w:t>
            </w:r>
          </w:p>
        </w:tc>
      </w:tr>
      <w:tr>
        <w:tc>
          <w:tcPr>
            <w:tcW w:type="dxa" w:w="2200"/>
            <w:shd w:val="clear" w:color="auto" w:fill="F0F0F0"/>
          </w:tcPr>
          <w:p>
            <w:pPr>
              <w:spacing w:after="0"/>
            </w:pPr>
            <w:r>
              <w:rPr>
                <w:b/>
                <w:color w:val="646260"/>
              </w:rPr>
              <w:t>Portée</w:t>
            </w:r>
          </w:p>
        </w:tc>
        <w:tc>
          <w:tcPr>
            <w:tcW w:type="dxa" w:w="7000"/>
          </w:tcPr>
          <w:p>
            <w:pPr>
              <w:spacing w:after="0"/>
            </w:pPr>
            <w:r>
              <w:rPr>
                <w:color w:val="66677C"/>
              </w:rPr>
              <w:t>La présente Norme de sécurité s'applique à toutes les activités de iA Groupe financier, dans toutes les juridictions où l’organisation opère.  Elle couvre tous ses employés, fournisseurs de services, sous-traitants et autres personnes dont le travail relève de la responsabilité de la direction de l'entreprise, sous son contrôle direct et utilisant ses informations ou actifs.</w:t>
            </w:r>
          </w:p>
        </w:tc>
      </w:tr>
      <w:tr>
        <w:tc>
          <w:tcPr>
            <w:tcW w:type="dxa" w:w="2200"/>
            <w:shd w:val="clear" w:color="auto" w:fill="F0F0F0"/>
          </w:tcPr>
          <w:p>
            <w:pPr>
              <w:spacing w:after="0"/>
            </w:pPr>
            <w:r>
              <w:rPr>
                <w:b/>
                <w:color w:val="646260"/>
              </w:rPr>
              <w:t>Objectif de la norme</w:t>
            </w:r>
          </w:p>
        </w:tc>
        <w:tc>
          <w:tcPr>
            <w:tcW w:type="dxa" w:w="7000"/>
          </w:tcPr>
          <w:p>
            <w:pPr>
              <w:spacing w:after="0"/>
            </w:pPr>
            <w:r>
              <w:rPr>
                <w:color w:val="66677C"/>
              </w:rPr>
              <w:t>Établir les exigences relatives à la protection des données dans l’environnement technologique de iA Groupe financier.</w:t>
            </w:r>
          </w:p>
        </w:tc>
      </w:tr>
      <w:tr>
        <w:tc>
          <w:tcPr>
            <w:tcW w:type="dxa" w:w="2200"/>
            <w:shd w:val="clear" w:color="auto" w:fill="F0F0F0"/>
          </w:tcPr>
          <w:p>
            <w:pPr>
              <w:spacing w:after="0"/>
            </w:pPr>
            <w:r>
              <w:rPr>
                <w:b/>
                <w:color w:val="646260"/>
              </w:rPr>
              <w:t>Date dernière révision holistique</w:t>
            </w:r>
          </w:p>
        </w:tc>
        <w:tc>
          <w:tcPr>
            <w:tcW w:type="dxa" w:w="7000"/>
          </w:tcPr>
          <w:p>
            <w:pPr>
              <w:spacing w:after="0"/>
            </w:pPr>
            <w:r>
              <w:rPr>
                <w:color w:val="66677C"/>
              </w:rPr>
              <w:t>2024-05-30</w:t>
            </w:r>
          </w:p>
        </w:tc>
      </w:tr>
      <w:tr>
        <w:tc>
          <w:tcPr>
            <w:tcW w:type="dxa" w:w="2200"/>
            <w:shd w:val="clear" w:color="auto" w:fill="F0F0F0"/>
          </w:tcPr>
          <w:p>
            <w:pPr>
              <w:spacing w:after="0"/>
            </w:pPr>
            <w:r>
              <w:rPr>
                <w:b/>
                <w:color w:val="646260"/>
              </w:rPr>
              <w:t>Date génération document</w:t>
            </w:r>
          </w:p>
        </w:tc>
        <w:tc>
          <w:tcPr>
            <w:tcW w:type="dxa" w:w="7000"/>
          </w:tcPr>
          <w:p>
            <w:pPr>
              <w:spacing w:after="0"/>
            </w:pPr>
            <w:r>
              <w:rPr>
                <w:color w:val="66677C"/>
              </w:rPr>
              <w:t>2026-03-10</w:t>
            </w:r>
          </w:p>
        </w:tc>
      </w:tr>
      <w:tr>
        <w:tc>
          <w:tcPr>
            <w:tcW w:type="dxa" w:w="2200"/>
            <w:shd w:val="clear" w:color="auto" w:fill="F0F0F0"/>
          </w:tcPr>
          <w:p>
            <w:pPr>
              <w:spacing w:after="0"/>
            </w:pPr>
            <w:r>
              <w:rPr>
                <w:b/>
                <w:color w:val="646260"/>
              </w:rPr>
              <w:t>Code de la norme</w:t>
            </w:r>
          </w:p>
        </w:tc>
        <w:tc>
          <w:tcPr>
            <w:tcW w:type="dxa" w:w="7000"/>
          </w:tcPr>
          <w:p>
            <w:pPr>
              <w:spacing w:after="0"/>
            </w:pPr>
            <w:r>
              <w:rPr>
                <w:color w:val="66677C"/>
              </w:rPr>
              <w:t>STD-DS</w:t>
            </w:r>
          </w:p>
        </w:tc>
      </w:tr>
    </w:tbl>
    <w:p>
      <w:pPr>
        <w:pStyle w:val="Heading2"/>
      </w:pPr>
      <w:r>
        <w:t>1. Introduction</w:t>
      </w:r>
    </w:p>
    <w:p>
      <w:r>
        <w:t>La présente Norme de sécurité fait partie intégrante du Cadre Normatif de sécurité de l'information et vise à établir des exigences claires et des pratiques exemplaires pour la gestion de la sécurité de l'information.  Se référer au glossaire TI (https://indall.sharepoint.com/sites/glossaire) pour la définition des termes utilisés.</w:t>
        <w:br/>
        <w:br/>
        <w:t>Les cadres de sécurité et les contrôles connexes suivants ont été utilisés (mais sans s'y limiter) pour créer cette norme de sécurité: NIST CSF, NIST SP 800-53, NIST SP 800-63B, Contrôles CIS, ISO 27002.</w:t>
      </w:r>
    </w:p>
    <w:p>
      <w:pPr>
        <w:pStyle w:val="Heading2"/>
      </w:pPr>
      <w:r>
        <w:t>2. Exigences</w:t>
      </w:r>
    </w:p>
    <w:p>
      <w:pPr>
        <w:pStyle w:val="Heading2"/>
        <w:ind w:left="360"/>
      </w:pPr>
      <w:r>
        <w:t>2.1. Identification et inventaire des données</w:t>
      </w:r>
    </w:p>
    <w:p>
      <w:pPr>
        <w:ind w:left="720"/>
      </w:pPr>
      <w:r>
        <w:rPr>
          <w:b/>
        </w:rPr>
        <w:t xml:space="preserve">STD-DS0001_2023-04-06 </w:t>
      </w:r>
      <w:r>
        <w:t xml:space="preserve">: S’assurer que les données créées ou recueillies sont correctement classifiées et étiquetées au moment de leur enregistrement. </w:t>
      </w:r>
    </w:p>
    <w:p>
      <w:pPr>
        <w:ind w:left="720"/>
      </w:pPr>
      <w:r>
        <w:rPr>
          <w:b/>
        </w:rPr>
        <w:t xml:space="preserve">STD-DS0002_2023-04-06 </w:t>
      </w:r>
      <w:r>
        <w:t xml:space="preserve">: Tenir à jour un inventaire de toutes les données potentiellement stockées ou traitées. </w:t>
        <w:br/>
        <w:br/>
        <w:t>Remarque : Se référer à la Norme de sécurité « Gestion des actifs TI » pour plus de détails sur les exigences relatives aux inventaires d’actifs.</w:t>
      </w:r>
    </w:p>
    <w:p>
      <w:pPr>
        <w:ind w:left="720"/>
      </w:pPr>
      <w:r>
        <w:rPr>
          <w:b/>
        </w:rPr>
        <w:t xml:space="preserve">STD-DS0003_2023-04-06 </w:t>
      </w:r>
      <w:r>
        <w:t xml:space="preserve">: S’assurer que chaque entrée dans l'inventaire des données est documentée. Chaque entrée doit comprendre, sans s'y limiter, les attributs suivants : Identifiant Titre Description Responsable des données Emplacement Type d’actif de données Format de l’actif de données Classification des données Niveau de sensibilité Processus d’affaires traitant les données </w:t>
        <w:br/>
        <w:br/>
        <w:t>Remarque : Se référer au Guide de sécurité sur la protection des données pour une description de chaque attribut.</w:t>
      </w:r>
    </w:p>
    <w:p>
      <w:pPr>
        <w:ind w:left="720"/>
      </w:pPr>
      <w:r>
        <w:rPr>
          <w:b/>
        </w:rPr>
        <w:t xml:space="preserve">STD-DS0004_2023-04-06 </w:t>
      </w:r>
      <w:r>
        <w:t xml:space="preserve">: Effectuer une révision annuelle (au minimum) de l’inventaire des données afin de s’assurer que tous les renseignements sont exacts et complets. Les responsables de livraison sont responsables de réviser périodiquement l’inventaire des données de leur secteur d’activité et d’en informer le propriétaire de l’inventaire des résultats. </w:t>
        <w:br/>
        <w:br/>
        <w:t>Remarque : Des outils de découverte peuvent être utilisés pour faciliter la documentation, en proposant une classification automatiquement, et contribuant ainsi au maintien de l'inventaire de données.</w:t>
      </w:r>
    </w:p>
    <w:p>
      <w:pPr>
        <w:ind w:left="720"/>
      </w:pPr>
      <w:r>
        <w:rPr>
          <w:b/>
        </w:rPr>
        <w:t xml:space="preserve">STD-DS0005_2023-04-06 </w:t>
      </w:r>
      <w:r>
        <w:t>: Relier l’inventaire des données à d’autres inventaires (p. ex. inventaire des applications, des processus d’affaires) à partir d’un seul emplacement.</w:t>
      </w:r>
    </w:p>
    <w:p>
      <w:pPr>
        <w:ind w:left="720"/>
      </w:pPr>
      <w:r>
        <w:rPr>
          <w:b/>
        </w:rPr>
        <w:t xml:space="preserve">STD-DS0006_2023-04-06 </w:t>
      </w:r>
      <w:r>
        <w:t xml:space="preserve">: S’assurer que des contrôles de sécurité appropriés sont appliqués en fonction de la classification des données (p. ex. données personnelles) et de l’information (c.-à-d. restreints, confidentiels, internes et publics) tout au long de leur cycle de vie. </w:t>
        <w:br/>
        <w:br/>
        <w:t>Remarque : Se référer au Guide de sécurité sur la protection des données pour plus de détails sur les différents types de contrôles de sécurité requis pour chaque niveau de classification.</w:t>
      </w:r>
    </w:p>
    <w:p>
      <w:pPr>
        <w:pStyle w:val="Heading2"/>
        <w:ind w:left="360"/>
      </w:pPr>
      <w:r>
        <w:t>2.2. Architecture de sécurité centrée sur les données</w:t>
      </w:r>
    </w:p>
    <w:p>
      <w:pPr>
        <w:ind w:left="720"/>
      </w:pPr>
      <w:r>
        <w:rPr>
          <w:b/>
        </w:rPr>
        <w:t xml:space="preserve">STD-DS0007_2023-04-06 </w:t>
      </w:r>
      <w:r>
        <w:t>: S’assurer que toute architecture de sécurité adopte une approche centrée sur les données qui inclut, sans s’y limiter : la mise en œuvre de contrôles de sécurité axés sur les données, qui sont normalement l'actif exigeant une protection, plutôt que sur l'infrastructure uniquement; la protection cohérente des données, quel que soit l'endroit où elles sont stockées ou traitées; l’identification et la classification des données et des informations traitées; la cartographie des flux de données.</w:t>
      </w:r>
    </w:p>
    <w:p>
      <w:pPr>
        <w:pStyle w:val="Heading2"/>
        <w:ind w:left="360"/>
      </w:pPr>
      <w:r>
        <w:t>2.3. Prévention des pertes de données</w:t>
      </w:r>
    </w:p>
    <w:p>
      <w:pPr>
        <w:ind w:left="720"/>
      </w:pPr>
      <w:r>
        <w:rPr>
          <w:b/>
        </w:rPr>
        <w:t xml:space="preserve">STD-DS0008_2023-04-06 </w:t>
      </w:r>
      <w:r>
        <w:t>: Définir et mettre en œuvre une stratégie de prévention des pertes de données (DLP) couvrant les éléments suivants : Les scénarios d’exfiltration de données les plus pertinents; Les canaux d’exfiltration de données (courriels, points de terminaison, services cloud, réseaux); Les mesures correctives à cibler.</w:t>
      </w:r>
    </w:p>
    <w:p>
      <w:pPr>
        <w:ind w:left="720"/>
      </w:pPr>
      <w:r>
        <w:rPr>
          <w:b/>
        </w:rPr>
        <w:t xml:space="preserve">STD-DS0009_2023-04-06 </w:t>
      </w:r>
      <w:r>
        <w:t>: Mettre en œuvre des capacités de découverte de données en appui à la stratégie DLP, permettant l’identification de types de données associées à des informations sensibles dans des endroits inattendus (p. ex. partages de fichiers, points de terminaison, bases de données hors-production).</w:t>
      </w:r>
    </w:p>
    <w:p>
      <w:pPr>
        <w:ind w:left="720"/>
      </w:pPr>
      <w:r>
        <w:rPr>
          <w:b/>
        </w:rPr>
        <w:t xml:space="preserve">STD-DS0010_2023-04-06 </w:t>
      </w:r>
      <w:r>
        <w:t xml:space="preserve">: S’assurer que l’activité des données associées à des informations sensibles (p. ex. exportation, accès, modification, partage et utilisation par un tiers) est journalisée et surveillée. </w:t>
        <w:br/>
        <w:br/>
        <w:t>Remarque : Se référer à la Norme de sécurité « Surveillance et analyse de sécurité » pour plus de détails sur les exigences en matière de journalisation et de surveillance.</w:t>
      </w:r>
    </w:p>
    <w:p>
      <w:pPr>
        <w:ind w:left="720"/>
      </w:pPr>
      <w:r>
        <w:rPr>
          <w:b/>
        </w:rPr>
        <w:t xml:space="preserve">STD-DS0011_2023-04-06 </w:t>
      </w:r>
      <w:r>
        <w:t xml:space="preserve">: S’assurer d’une réponse appropriée aux incidents de sécurité de l’information liés au DLP en définissant des « playbooks » de réponse aux incidents spécifiques à ce type d’incident. </w:t>
        <w:br/>
        <w:br/>
        <w:t>Remarque : Se référer à la Norme de sécurité « Gestion des incidents de sécurité » pour plus de détails sur la réponse aux incidents.</w:t>
      </w:r>
    </w:p>
    <w:p>
      <w:pPr>
        <w:pStyle w:val="Heading2"/>
        <w:ind w:left="360"/>
      </w:pPr>
      <w:r>
        <w:t>2.4. Dépersonnalisation, anonymisation et dévalorisation des données</w:t>
      </w:r>
    </w:p>
    <w:p>
      <w:pPr>
        <w:ind w:left="720"/>
      </w:pPr>
      <w:r>
        <w:rPr>
          <w:b/>
        </w:rPr>
        <w:t xml:space="preserve">STD-DS0012_2023-04-06 </w:t>
      </w:r>
      <w:r>
        <w:t>: Déterminer, avant tout traitement des données constituant des renseignements personnels, si des activités de dépersonnalisation ou d’anonymisation sont requises afin de réduire autant que possible les risques associés aux données (p. ex. perte, divulgation non autorisée, utilisation non conforme aux lois en vigueur).</w:t>
      </w:r>
    </w:p>
    <w:p>
      <w:pPr>
        <w:ind w:left="720"/>
      </w:pPr>
      <w:r>
        <w:rPr>
          <w:b/>
        </w:rPr>
        <w:t xml:space="preserve">STD-DS0013_2023-04-06 </w:t>
      </w:r>
      <w:r>
        <w:t xml:space="preserve">: Déterminer, avant tout traitement des données associées à des informations sensibles autres que des renseignements personnels, si des activités de dévalorisation (p. ex. caviardage de documents stratégiques, suppression d’attributs) sont requises. </w:t>
        <w:br/>
        <w:br/>
        <w:t>Remarque : Se référer à la Norme des techniques d’anonymisation des données pour plus de détails.</w:t>
      </w:r>
    </w:p>
    <w:p>
      <w:pPr>
        <w:pStyle w:val="Heading2"/>
        <w:ind w:left="360"/>
      </w:pPr>
      <w:r>
        <w:t>2.5. Conservation et destruction des données</w:t>
      </w:r>
    </w:p>
    <w:p>
      <w:pPr>
        <w:ind w:left="720"/>
      </w:pPr>
      <w:r>
        <w:rPr>
          <w:b/>
        </w:rPr>
        <w:t xml:space="preserve">STD-DS0014_2023-04-06 </w:t>
      </w:r>
      <w:r>
        <w:t xml:space="preserve">: Établir et appliquer des règles de conservation des données pour que les informations soient conservées suffisamment longtemps afin de satisfaire aux exigences légales, réglementaires et d’affaires et d’appuyer d’éventuelles investigations numériques. Ces règles doivent être définies en collaboration avec l’équipe de gestion intégrée des documents. </w:t>
        <w:br/>
        <w:br/>
        <w:t>Remarque : Se référer à la « Directive de gestion de l’information et des documents » pour plus de détails sur les exigences de conservation et de destruction de la Société.</w:t>
      </w:r>
    </w:p>
    <w:p>
      <w:pPr>
        <w:ind w:left="720"/>
      </w:pPr>
      <w:r>
        <w:rPr>
          <w:b/>
        </w:rPr>
        <w:t xml:space="preserve">STD-DS0015_2023-04-06 </w:t>
      </w:r>
      <w:r>
        <w:t xml:space="preserve">: S’assurer qu’une procédure de nettoyage des supports est définie et mise en œuvre lorsque les données ne sont plus nécessaires, avant la destruction du support, la sortie du support hors du contrôle de la Société ou sa réutilisation. Utiliser des mécanismes de nettoyage (p. ex. effacement, purge, destruction, effacement cryptographique) dont la force et l’intégrité sont proportionnelles au niveau de classification des informations stockées sur les supports. </w:t>
        <w:br/>
        <w:br/>
        <w:t>Remarque : Se référer au Guide de sécurité sur la protection des données pour plus de détails sur les contrôles de sécurité liés au nettoyage des supports pour chaque niveau de classification.</w:t>
      </w:r>
    </w:p>
    <w:p>
      <w:pPr>
        <w:pStyle w:val="Heading2"/>
        <w:ind w:left="360"/>
      </w:pPr>
      <w:r>
        <w:t>2.6. Formation et sensibilisation</w:t>
      </w:r>
    </w:p>
    <w:p>
      <w:pPr>
        <w:ind w:left="720"/>
      </w:pPr>
      <w:r>
        <w:rPr>
          <w:b/>
        </w:rPr>
        <w:t xml:space="preserve">STD-DS0016_2023-04-06 </w:t>
      </w:r>
      <w:r>
        <w:t xml:space="preserve">: S’assurer que les personnes ayant accès à l’information et aux systèmes ont une bonne connaissance de la sécurité des données en s’assurant qu’elles comprennent : La signification de la sécurité de l’information (c.-à-d. la protection de la confidentialité, de l’intégrité et de la disponibilité de l’information). Pourquoi la sécurité de l’information est nécessaire pour protéger l’information et les systèmes. Les types courants de menaces auxquelles la Société est confrontée (p. ex. bris de confidentialité). L’importance de se conformer aux politiques de sécurité de l’information et d’appliquer les normes et procédures connexes. Leurs devoirs en matière de sécurité de l’information (p. ex. protection des renseignements personnels). </w:t>
        <w:br/>
        <w:br/>
        <w:t>Remarque : Se référer à la Norme de sécurité « Formation et sensibilisation » pour plus de détails sur le programme de formation et de sensibilisation à la sécurité de l’information.</w:t>
      </w:r>
    </w:p>
    <w:p>
      <w:pPr>
        <w:ind w:left="720"/>
      </w:pPr>
      <w:r>
        <w:rPr>
          <w:b/>
        </w:rPr>
        <w:t xml:space="preserve">STD-DS0017_2023-04-06 </w:t>
      </w:r>
      <w:r>
        <w:t>: Inclure des conseils sur la façon de protéger les données dans le programme de formation et de sensibilisation de la Société, couvrant des aspects tels que : La création et la protection de documents numériques et non numériques; La classification et l’étiquetage de l’information; La destruction des données et des documents une fois qu’ils ne sont plus nécessaires; La séparation des informations professionnelles et personnelles; La transmission et la communication de données au sein et à l’extérieur de la Société.</w:t>
      </w:r>
    </w:p>
    <w:p>
      <w:pPr>
        <w:pStyle w:val="Heading2"/>
      </w:pPr>
      <w:r>
        <w:t>3. Écarts et exceptions</w:t>
      </w:r>
    </w:p>
    <w:p>
      <w:r>
        <w:t>Tout écart anticipé à une exigence d’une norme SI, incluant celui causé par le retrait ou l'altération temporaire d'un contrôle, doit faire l’objet d’une demande de dérogation SI, à l’exception d’un écart lié à la résolution d’un incident de sécurité.</w:t>
        <w:br/>
        <w:br/>
        <w:t>Dans le cadre d’un projet TI, seul un écart lié à l'utilisation de données ou services de production dans des environnements hors production doit faire l’objet d’une demande de dérogation SI.</w:t>
        <w:br/>
        <w:br/>
        <w:t>Pour plus d’information, veuillez vous référer à la Vitrine de sécurité de l’information.</w:t>
      </w:r>
    </w:p>
    <w:p>
      <w:r>
        <w:br w:type="page"/>
      </w:r>
    </w:p>
    <w:p>
      <w:pPr>
        <w:pStyle w:val="Heading2"/>
      </w:pPr>
      <w:r>
        <w:t>Annexe A. Historique des révisions</w:t>
      </w:r>
    </w:p>
    <w:p>
      <w:r>
        <w:t>Note: Seuls les remplacements et retraits d'exigences sont recensés dans cette liste.</w:t>
      </w:r>
    </w:p>
    <w:sectPr w:rsidR="00FC693F" w:rsidRPr="0006063C" w:rsidSect="00034616">
      <w:footerReference w:type="default" r:id="rId9"/>
      <w:footerReference w:type="first" r:id="rId11"/>
      <w:pgSz w:w="12240" w:h="15840"/>
      <w:pgMar w:top="821" w:right="1325"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i/>
        <w:color w:val="5F5F5F"/>
        <w:sz w:val="20"/>
      </w:rPr>
      <w:t>Avis de confidentialité</w:t>
      <w:br/>
      <w:br/>
    </w:r>
    <w:r>
      <w:rPr>
        <w:i/>
        <w:color w:val="5F5F5F"/>
        <w:sz w:val="20"/>
      </w:rPr>
      <w:t>Ce document contient des informations qui sont destinées à l’usage exclusif de iA Groupe financier.</w:t>
      <w:br/>
      <w:br/>
      <w:t>Sous réserve d’une approbation d’un représentant dûment autorisé de iA Groupe financier, toute reproduction de ce document, ou sa distribution à l’extérieur de son groupe autorisé d’utilisateurs est interdite.</w:t>
      <w:b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cryptProviderType="rsaFull" w:cryptAlgorithmClass="hash" w:cryptAlgorithmType="typeAny" w:cryptAlgorithmSid="4" w:cryptSpinCount="100000" w:hash="C736158E7D87862F937157CDE5635FE39458CF30" w:salt="FFB6B9454D6F9EE411BE53A0A762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Corps)" w:hAnsi="Calibri (Corp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color w:val="003EA1"/>
      <w:sz w:val="4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3E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59019D3F6DDC498256713E9820EE99" ma:contentTypeVersion="25" ma:contentTypeDescription="Crée un document." ma:contentTypeScope="" ma:versionID="fa0849599167844cf15dc633777af07c">
  <xsd:schema xmlns:xsd="http://www.w3.org/2001/XMLSchema" xmlns:xs="http://www.w3.org/2001/XMLSchema" xmlns:p="http://schemas.microsoft.com/office/2006/metadata/properties" xmlns:ns2="e93f85fb-4dbd-4652-a049-40e697b45e41" xmlns:ns3="711488bb-a721-4cc2-8c55-8a2ad031306f" xmlns:ns4="05208df2-c2b4-49e6-bcfb-ce7b72d81c67" targetNamespace="http://schemas.microsoft.com/office/2006/metadata/properties" ma:root="true" ma:fieldsID="40d496d3f21dd70b59cff71837464efd" ns2:_="" ns3:_="" ns4:_="">
    <xsd:import namespace="e93f85fb-4dbd-4652-a049-40e697b45e41"/>
    <xsd:import namespace="711488bb-a721-4cc2-8c55-8a2ad031306f"/>
    <xsd:import namespace="05208df2-c2b4-49e6-bcfb-ce7b72d81c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f85fb-4dbd-4652-a049-40e697b45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9c3984d-6c88-459e-875d-1e42fc5375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1488bb-a721-4cc2-8c55-8a2ad031306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014f16-b126-47f4-947a-8a02f0875407}" ma:internalName="TaxCatchAll" ma:showField="CatchAllData" ma:web="05208df2-c2b4-49e6-bcfb-ce7b72d81c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208df2-c2b4-49e6-bcfb-ce7b72d81c67"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3f85fb-4dbd-4652-a049-40e697b45e41">
      <Terms xmlns="http://schemas.microsoft.com/office/infopath/2007/PartnerControls"/>
    </lcf76f155ced4ddcb4097134ff3c332f>
    <TaxCatchAll xmlns="711488bb-a721-4cc2-8c55-8a2ad03130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9C8FDE9-A3BC-4780-8AE0-AB9FC6A1DB18}"/>
</file>

<file path=customXml/itemProps3.xml><?xml version="1.0" encoding="utf-8"?>
<ds:datastoreItem xmlns:ds="http://schemas.openxmlformats.org/officeDocument/2006/customXml" ds:itemID="{EF654EC4-78BB-47B9-ACD8-2F7E118C85EB}"/>
</file>

<file path=customXml/itemProps4.xml><?xml version="1.0" encoding="utf-8"?>
<ds:datastoreItem xmlns:ds="http://schemas.openxmlformats.org/officeDocument/2006/customXml" ds:itemID="{8E2234E7-4662-4939-A625-5125A2D3274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0x0101004159019D3F6DDC498256713E9820EE99</vt:lpwstr>
  </property>
  <property fmtid="{D5CDD505-2E9C-101B-9397-08002B2CF9AE}" pid="4" name="LastModifiedDate">
    <vt:filetime>2024-05-30T12:00:00Z</vt:filetime>
  </property>
  <property fmtid="{D5CDD505-2E9C-101B-9397-08002B2CF9AE}" pid="5" name="docLang">
    <vt:lpwstr>fr</vt:lpwstr>
  </property>
</Properties>
</file>