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009996" cy="540327"/>
            <wp:docPr id="1" name="Picture 1"/>
            <wp:cNvGraphicFramePr>
              <a:graphicFrameLocks noChangeAspect="1"/>
            </wp:cNvGraphicFramePr>
            <a:graphic>
              <a:graphicData uri="http://schemas.openxmlformats.org/drawingml/2006/picture">
                <pic:pic>
                  <pic:nvPicPr>
                    <pic:cNvPr id="0" name="Logo iAGF.jpg"/>
                    <pic:cNvPicPr/>
                  </pic:nvPicPr>
                  <pic:blipFill>
                    <a:blip r:embed="rId10"/>
                    <a:stretch>
                      <a:fillRect/>
                    </a:stretch>
                  </pic:blipFill>
                  <pic:spPr>
                    <a:xfrm>
                      <a:off x="0" y="0"/>
                      <a:ext cx="1009996" cy="540327"/>
                    </a:xfrm>
                    <a:prstGeom prst="rect"/>
                  </pic:spPr>
                </pic:pic>
              </a:graphicData>
            </a:graphic>
          </wp:inline>
        </w:drawing>
      </w:r>
    </w:p>
    <w:p/>
    <w:p/>
    <w:p/>
    <w:p/>
    <w:p/>
    <w:p/>
    <w:p>
      <w:pPr>
        <w:pStyle w:val="Heading1"/>
        <w:jc w:val="center"/>
      </w:pPr>
      <w:r>
        <w:rPr>
          <w:i/>
        </w:rPr>
        <w:t>NORME DE SÉCURITÉ SUR LA SÉCURITÉ DES APPLICATIONS</w:t>
      </w:r>
    </w:p>
    <w:p>
      <w:r>
        <w:br w:type="page"/>
      </w:r>
    </w:p>
    <w:tbl>
      <w:tblPr>
        <w:tblW w:type="auto" w:w="0"/>
        <w:tblLayout w:type="fixed"/>
        <w:tblLook w:firstColumn="1" w:firstRow="1" w:lastColumn="0" w:lastRow="0" w:noHBand="0" w:noVBand="1" w:val="04A0"/>
        <w:tblBorders>
          <w:top w:val="single" w:sz="10" w:space="0" w:color="BABABA"/>
          <w:left w:val="single" w:sz="10" w:space="0" w:color="BABABA"/>
          <w:bottom w:val="single" w:sz="10" w:space="0" w:color="BABABA"/>
          <w:right w:val="single" w:sz="10" w:space="0" w:color="BABABA"/>
          <w:insideH w:val="single" w:sz="10" w:space="0" w:color="BABABA"/>
          <w:insideV w:val="single" w:sz="10" w:space="0" w:color="BABABA"/>
        </w:tblBorders>
      </w:tblPr>
      <w:tblGrid>
        <w:gridCol w:w="4608"/>
        <w:gridCol w:w="4608"/>
      </w:tblGrid>
      <w:tr>
        <w:tc>
          <w:tcPr>
            <w:tcW w:type="dxa" w:w="9200"/>
            <w:gridSpan w:val="2"/>
            <w:shd w:val="clear" w:color="auto" w:fill="013EA1"/>
          </w:tcPr>
          <w:p>
            <w:pPr>
              <w:spacing w:after="0"/>
              <w:jc w:val="center"/>
            </w:pPr>
            <w:r>
              <w:rPr>
                <w:b/>
                <w:color w:val="FFFFFF"/>
              </w:rPr>
              <w:t>Norme de sécurité sur la sécurité des applications</w:t>
            </w:r>
          </w:p>
        </w:tc>
      </w:tr>
      <w:tr>
        <w:tc>
          <w:tcPr>
            <w:tcW w:type="dxa" w:w="2200"/>
            <w:shd w:val="clear" w:color="auto" w:fill="F0F0F0"/>
          </w:tcPr>
          <w:p>
            <w:pPr>
              <w:spacing w:after="0"/>
            </w:pPr>
            <w:r>
              <w:rPr>
                <w:b/>
                <w:color w:val="646260"/>
              </w:rPr>
              <w:t>Propriétaire</w:t>
            </w:r>
          </w:p>
        </w:tc>
        <w:tc>
          <w:tcPr>
            <w:tcW w:type="dxa" w:w="7000"/>
          </w:tcPr>
          <w:p>
            <w:pPr>
              <w:spacing w:after="0"/>
            </w:pPr>
            <w:r>
              <w:rPr>
                <w:color w:val="66677C"/>
              </w:rPr>
              <w:t>Chef de la sécurité de l’information (CISO)</w:t>
            </w:r>
          </w:p>
        </w:tc>
      </w:tr>
      <w:tr>
        <w:tc>
          <w:tcPr>
            <w:tcW w:type="dxa" w:w="2200"/>
            <w:shd w:val="clear" w:color="auto" w:fill="F0F0F0"/>
          </w:tcPr>
          <w:p>
            <w:pPr>
              <w:spacing w:after="0"/>
            </w:pPr>
            <w:r>
              <w:rPr>
                <w:b/>
                <w:color w:val="646260"/>
              </w:rPr>
              <w:t>Portée</w:t>
            </w:r>
          </w:p>
        </w:tc>
        <w:tc>
          <w:tcPr>
            <w:tcW w:type="dxa" w:w="7000"/>
          </w:tcPr>
          <w:p>
            <w:pPr>
              <w:spacing w:after="0"/>
            </w:pPr>
            <w:r>
              <w:rPr>
                <w:color w:val="66677C"/>
              </w:rPr>
              <w:t>La présente Norme de sécurité s'applique à toutes les activités de iA Groupe financier, dans toutes les juridictions où l’organisation opère.  Elle couvre tous ses employés, fournisseurs de services, sous-traitants et autres personnes dont le travail relève de la responsabilité de la direction de l'entreprise, sous son contrôle direct et utilisant ses informations ou actifs.</w:t>
            </w:r>
          </w:p>
        </w:tc>
      </w:tr>
      <w:tr>
        <w:tc>
          <w:tcPr>
            <w:tcW w:type="dxa" w:w="2200"/>
            <w:shd w:val="clear" w:color="auto" w:fill="F0F0F0"/>
          </w:tcPr>
          <w:p>
            <w:pPr>
              <w:spacing w:after="0"/>
            </w:pPr>
            <w:r>
              <w:rPr>
                <w:b/>
                <w:color w:val="646260"/>
              </w:rPr>
              <w:t>Objectif de la norme</w:t>
            </w:r>
          </w:p>
        </w:tc>
        <w:tc>
          <w:tcPr>
            <w:tcW w:type="dxa" w:w="7000"/>
          </w:tcPr>
          <w:p>
            <w:pPr>
              <w:spacing w:after="0"/>
            </w:pPr>
            <w:r>
              <w:rPr>
                <w:color w:val="66677C"/>
              </w:rPr>
              <w:t>Établir les exigences pour sécuriser les applications dans l’environnement technologique de iA Groupe financier.</w:t>
            </w:r>
          </w:p>
        </w:tc>
      </w:tr>
      <w:tr>
        <w:tc>
          <w:tcPr>
            <w:tcW w:type="dxa" w:w="2200"/>
            <w:shd w:val="clear" w:color="auto" w:fill="F0F0F0"/>
          </w:tcPr>
          <w:p>
            <w:pPr>
              <w:spacing w:after="0"/>
            </w:pPr>
            <w:r>
              <w:rPr>
                <w:b/>
                <w:color w:val="646260"/>
              </w:rPr>
              <w:t>Date dernière révision holistique</w:t>
            </w:r>
          </w:p>
        </w:tc>
        <w:tc>
          <w:tcPr>
            <w:tcW w:type="dxa" w:w="7000"/>
          </w:tcPr>
          <w:p>
            <w:pPr>
              <w:spacing w:after="0"/>
            </w:pPr>
            <w:r>
              <w:rPr>
                <w:color w:val="66677C"/>
              </w:rPr>
              <w:t>2024-05-30</w:t>
            </w:r>
          </w:p>
        </w:tc>
      </w:tr>
      <w:tr>
        <w:tc>
          <w:tcPr>
            <w:tcW w:type="dxa" w:w="2200"/>
            <w:shd w:val="clear" w:color="auto" w:fill="F0F0F0"/>
          </w:tcPr>
          <w:p>
            <w:pPr>
              <w:spacing w:after="0"/>
            </w:pPr>
            <w:r>
              <w:rPr>
                <w:b/>
                <w:color w:val="646260"/>
              </w:rPr>
              <w:t>Date génération document</w:t>
            </w:r>
          </w:p>
        </w:tc>
        <w:tc>
          <w:tcPr>
            <w:tcW w:type="dxa" w:w="7000"/>
          </w:tcPr>
          <w:p>
            <w:pPr>
              <w:spacing w:after="0"/>
            </w:pPr>
            <w:r>
              <w:rPr>
                <w:color w:val="66677C"/>
              </w:rPr>
              <w:t>2026-03-10</w:t>
            </w:r>
          </w:p>
        </w:tc>
      </w:tr>
      <w:tr>
        <w:tc>
          <w:tcPr>
            <w:tcW w:type="dxa" w:w="2200"/>
            <w:shd w:val="clear" w:color="auto" w:fill="F0F0F0"/>
          </w:tcPr>
          <w:p>
            <w:pPr>
              <w:spacing w:after="0"/>
            </w:pPr>
            <w:r>
              <w:rPr>
                <w:b/>
                <w:color w:val="646260"/>
              </w:rPr>
              <w:t>Code de la norme</w:t>
            </w:r>
          </w:p>
        </w:tc>
        <w:tc>
          <w:tcPr>
            <w:tcW w:type="dxa" w:w="7000"/>
          </w:tcPr>
          <w:p>
            <w:pPr>
              <w:spacing w:after="0"/>
            </w:pPr>
            <w:r>
              <w:rPr>
                <w:color w:val="66677C"/>
              </w:rPr>
              <w:t>STD-AS</w:t>
            </w:r>
          </w:p>
        </w:tc>
      </w:tr>
    </w:tbl>
    <w:p>
      <w:pPr>
        <w:pStyle w:val="Heading2"/>
      </w:pPr>
      <w:r>
        <w:t>1. Introduction</w:t>
      </w:r>
    </w:p>
    <w:p>
      <w:r>
        <w:t>La présente Norme de sécurité fait partie intégrante du Cadre Normatif de sécurité de l'information et vise à établir des exigences claires et des pratiques exemplaires pour la gestion de la sécurité de l'information.  Se référer au glossaire TI (https://indall.sharepoint.com/sites/glossaire) pour la définition des termes utilisés.</w:t>
        <w:br/>
        <w:br/>
        <w:t>Les cadres de sécurité et les contrôles connexes suivants ont été utilisés (mais sans s'y limiter) pour créer cette norme de sécurité: NIST CSF, NIST SP 800-53, NIST SP 800-63B, Contrôles CIS, ISO 27002.</w:t>
      </w:r>
    </w:p>
    <w:p>
      <w:pPr>
        <w:pStyle w:val="Heading2"/>
      </w:pPr>
      <w:r>
        <w:t>2. Exigences</w:t>
      </w:r>
    </w:p>
    <w:p>
      <w:pPr>
        <w:pStyle w:val="Heading2"/>
        <w:ind w:left="360"/>
      </w:pPr>
      <w:r>
        <w:t>2.1. Inventaire des applications</w:t>
      </w:r>
    </w:p>
    <w:p>
      <w:pPr>
        <w:ind w:left="720"/>
      </w:pPr>
      <w:r>
        <w:rPr>
          <w:b/>
        </w:rPr>
        <w:t xml:space="preserve">STD-AS0001_2023-03-17 </w:t>
      </w:r>
      <w:r>
        <w:t xml:space="preserve">: Tenir à jour une liste de toutes les applications autorisées et qui sont requises dans la Société à quelque fin que ce soit. Cet inventaire est saisi dans le progiciel corporatif de gestion des inventaires d’actifs TI et inclut, sans s’y limiter, les éléments suivants: Les systèmes d’exploitation; Les systèmes d’exploitation mobiles; Les applications d’affaires (p. ex. Planification des ressources d’entreprise, Gestion de la relation client); Les applications infonuagiques; Les produits logiciels commerciaux; Les applications développées à l’interne; Les applications mobiles. </w:t>
        <w:br/>
        <w:br/>
        <w:t>Remarque : Se référer à la Norme de sécurité « Gestion des actifs TI » pour plus de détails sur les exigences relatives aux inventaires d’actifs.</w:t>
      </w:r>
    </w:p>
    <w:p>
      <w:pPr>
        <w:ind w:left="720"/>
      </w:pPr>
      <w:r>
        <w:rPr>
          <w:b/>
        </w:rPr>
        <w:t xml:space="preserve">STD-AS0002_2023-03-17 </w:t>
      </w:r>
      <w:r>
        <w:t>: S’assurer que les applications non prises en charge sont étiquetées comme non prises en charge dans l’inventaire.</w:t>
      </w:r>
    </w:p>
    <w:p>
      <w:pPr>
        <w:ind w:left="720"/>
      </w:pPr>
      <w:r>
        <w:rPr>
          <w:b/>
        </w:rPr>
        <w:t xml:space="preserve">STD-AS0003_2023-03-17 </w:t>
      </w:r>
      <w:r>
        <w:t xml:space="preserve">: S’assurer que chaque entrée dans l'inventaire des applications est documentée. Chaque entrée inclut, sans s'y limiter, les attributs suivants : Identifiant; Nom; Description; Version; Éditeur; Objectif; Ligne d’affaires; Processus d’affaires pris en charge, le cas échéant; Propriétaire d’actif; Mandataire d’actif; Responsable de l’application; Catégorisation de sécurité et classification de l’information*; Lien vers les technologies qui supportent l’application; Lien vers l’inventaire matériel, le cas échéant. </w:t>
      </w:r>
    </w:p>
    <w:p>
      <w:pPr>
        <w:ind w:left="720"/>
      </w:pPr>
      <w:r>
        <w:rPr>
          <w:b/>
        </w:rPr>
        <w:t xml:space="preserve">STD-AS0004_2023-03-17 </w:t>
      </w:r>
      <w:r>
        <w:t xml:space="preserve">: Réviser l’inventaire au moins sur une base annuelle afin d’en assurer la conformité et l’exactitude. Les responsables de livraison sont responsables d’effectuer des révisions périodiques de l’inventaire pour leur secteur et de communiquer les résultats de la révision au propriétaire de l’inventaire. </w:t>
        <w:br/>
        <w:br/>
        <w:t>Remarque : Des outils de découverte peuvent être utilisés pour automatiser la documentation et la maintenance de l’inventaire des applications.</w:t>
      </w:r>
    </w:p>
    <w:p>
      <w:pPr>
        <w:ind w:left="720"/>
      </w:pPr>
      <w:r>
        <w:rPr>
          <w:b/>
        </w:rPr>
        <w:t xml:space="preserve">STD-AS0005_2023-03-17 </w:t>
      </w:r>
      <w:r>
        <w:t>: S’assurer que les applications non autorisées sont identifiées comme telles et que l’inventaire est mis à jour en temps opportun.</w:t>
      </w:r>
    </w:p>
    <w:p>
      <w:pPr>
        <w:ind w:left="720"/>
      </w:pPr>
      <w:r>
        <w:rPr>
          <w:b/>
        </w:rPr>
        <w:t xml:space="preserve">STD-AS0006_2023-03-17 </w:t>
      </w:r>
      <w:r>
        <w:t>: Relier l’inventaire des applications à d’autres inventaires (p. ex. inventaires des technologies, des données, des processus d’affaires) à partir d’un seul emplacement.</w:t>
      </w:r>
    </w:p>
    <w:p>
      <w:pPr>
        <w:pStyle w:val="Heading2"/>
        <w:ind w:left="360"/>
      </w:pPr>
      <w:r>
        <w:t>2.2. Protection des applications</w:t>
      </w:r>
    </w:p>
    <w:p>
      <w:pPr>
        <w:ind w:left="720"/>
      </w:pPr>
      <w:r>
        <w:rPr>
          <w:b/>
        </w:rPr>
        <w:t xml:space="preserve">STD-AS0007_2023-03-17 </w:t>
      </w:r>
      <w:r>
        <w:t xml:space="preserve">: S’assurer que l’accès aux applications est sécurisé et est conforme aux principes de séparation des fonctions et du moindre privilège. </w:t>
        <w:br/>
        <w:br/>
        <w:t>Remarque : Se référer à la Norme de sécurité « Gestion des identités et des accès » pour plus de détails sur le contrôle de l’accès aux ressources.</w:t>
      </w:r>
    </w:p>
    <w:p>
      <w:pPr>
        <w:ind w:left="720"/>
      </w:pPr>
      <w:r>
        <w:rPr>
          <w:b/>
        </w:rPr>
        <w:t xml:space="preserve">STD-AS0008_2023-03-17 </w:t>
      </w:r>
      <w:r>
        <w:t xml:space="preserve">: S’assurer que tout événement de sécurité pertinent (p. ex. authentification, modification des accès, utilisation de hauts privilèges) est enregistré et envoyé au système centralisé de gestion des journaux de la Société pour analyse et alerte. </w:t>
        <w:br/>
        <w:br/>
        <w:t>Remarque : Se référer à la Norme de sécurité « Surveillance et analyse de la sécurité » pour plus de détails sur l’identification des événements de sécurité pertinents et la journalisation centralisée.</w:t>
      </w:r>
    </w:p>
    <w:p>
      <w:pPr>
        <w:ind w:left="720"/>
      </w:pPr>
      <w:r>
        <w:rPr>
          <w:b/>
        </w:rPr>
        <w:t xml:space="preserve">STD-AS0009_2023-03-17 </w:t>
      </w:r>
      <w:r>
        <w:t xml:space="preserve">: S’assurer que les systèmes sont segmentés physiquement ou logiquement afin d’isoler les applications qui présentent un risque plus élevé pour la Société, des autres applications. </w:t>
        <w:br/>
        <w:br/>
        <w:t>Remarque : Se référer à la Norme de sécurité « Sécurité des réseaux et des communications » pour plus de détails sur la segmentation du réseau.</w:t>
      </w:r>
    </w:p>
    <w:p>
      <w:pPr>
        <w:ind w:left="720"/>
      </w:pPr>
      <w:r>
        <w:rPr>
          <w:b/>
        </w:rPr>
        <w:t xml:space="preserve">STD-AS0010_2023-03-17 </w:t>
      </w:r>
      <w:r>
        <w:t xml:space="preserve">: S’assurer que les vulnérabilités de sécurité dans les applications et leur environnement d’exécution sont identifiées, évaluées et traitées. </w:t>
        <w:br/>
        <w:br/>
        <w:t>Remarque : Se référer à la Norme de sécurité « Gestion des vulnérabilités » pour plus de détails sur l’identification, l’évaluation, la remédiation et la déclaration des vulnérabilités de sécurité.</w:t>
      </w:r>
    </w:p>
    <w:p>
      <w:pPr>
        <w:ind w:left="720"/>
      </w:pPr>
      <w:r>
        <w:rPr>
          <w:b/>
        </w:rPr>
        <w:t xml:space="preserve">STD-AS0011_2023-03-17 </w:t>
      </w:r>
      <w:r>
        <w:t xml:space="preserve">: S'assurer que toute composante applicative exposée est protégée par un pare-feu applicatif Web (WAF/WAAP) et que toute sous-composante n’est pas directement accessible à partir de l’Internet. </w:t>
        <w:br/>
        <w:br/>
        <w:t>Remarque : Se référer à la Norme de sécurité « Sécurité des réseaux et des communications » pour plus de détails sur la protection du périmètre du réseau.</w:t>
      </w:r>
    </w:p>
    <w:p>
      <w:pPr>
        <w:ind w:left="720"/>
      </w:pPr>
      <w:r>
        <w:rPr>
          <w:b/>
        </w:rPr>
        <w:t xml:space="preserve">STD-AS0012_2023-03-17 </w:t>
      </w:r>
      <w:r>
        <w:t xml:space="preserve">: Restreindre l'accès aux ressources administrées par des scripts aux comptes de services ou aux comptes à hauts privilèges appropriés. </w:t>
        <w:br/>
        <w:br/>
        <w:t>Remarque : Se référer à la Norme de sécurité « Gestion des identités et des accès » pour plus de détails sur la gestion des comptes à hauts privilèges et des comptes de services.</w:t>
      </w:r>
    </w:p>
    <w:p>
      <w:pPr>
        <w:pStyle w:val="Heading2"/>
        <w:ind w:left="360"/>
      </w:pPr>
      <w:r>
        <w:t>2.3. Maintenance des applications</w:t>
      </w:r>
    </w:p>
    <w:p>
      <w:pPr>
        <w:ind w:left="720"/>
      </w:pPr>
      <w:r>
        <w:rPr>
          <w:b/>
        </w:rPr>
        <w:t xml:space="preserve">STD-AS0013_2023-03-17 </w:t>
      </w:r>
      <w:r>
        <w:t>: S’assurer que les applications et les plateformes technologiques exécutent les mises à jour de sécurité les plus récentes fournies par le fournisseur.</w:t>
      </w:r>
    </w:p>
    <w:p>
      <w:pPr>
        <w:ind w:left="720"/>
      </w:pPr>
      <w:r>
        <w:rPr>
          <w:b/>
        </w:rPr>
        <w:t xml:space="preserve">STD-AS0014_2023-03-17 </w:t>
      </w:r>
      <w:r>
        <w:t xml:space="preserve">: Établir, documenter et tenir à jour des normes de configuration de base de sécurité et sécuriser les images modèles, dans la mesure du possible, pour les systèmes d’exploitation et les applications autorisées. </w:t>
        <w:br/>
        <w:br/>
        <w:t>Remarque : Se référer à la Norme de sécurité « Gestion des configurations » pour plus de détails sur les normes de configuration de base et les images modèles.</w:t>
      </w:r>
    </w:p>
    <w:p>
      <w:pPr>
        <w:ind w:left="720"/>
      </w:pPr>
      <w:r>
        <w:rPr>
          <w:b/>
        </w:rPr>
        <w:t xml:space="preserve">STD-AS0015_2023-03-17 </w:t>
      </w:r>
      <w:r>
        <w:t xml:space="preserve">: S’assurer que toute modification à une application ou à ses composantes dans l’environnement de production suit un processus formel de demande et d’approbation des changements. </w:t>
        <w:br/>
        <w:br/>
        <w:t>Remarque : Se référer à la Norme de sécurité « Gestion des changements » pour plus de détails sur les demandes et les approbations des changements.</w:t>
      </w:r>
    </w:p>
    <w:p>
      <w:pPr>
        <w:pStyle w:val="Heading2"/>
        <w:ind w:left="360"/>
      </w:pPr>
      <w:r>
        <w:t>2.4. Décommissionnement des applications</w:t>
      </w:r>
    </w:p>
    <w:p>
      <w:pPr>
        <w:ind w:left="720"/>
      </w:pPr>
      <w:r>
        <w:rPr>
          <w:b/>
        </w:rPr>
        <w:t xml:space="preserve">STD-AS0016_2023-03-17 </w:t>
      </w:r>
      <w:r>
        <w:t xml:space="preserve">: Planifier le décommissionnement des applications dès leur conception, incluant, mais sans s’y limiter à : La suppression de l’accès à l’application; La mise à jour de l’inventaire des applications; La révocation des certificats et des licences activées; La modification des règles de pare-feu; La désactivation des comptes de service; La destruction du domaine chez le fournisseur infonuagique et de l’association DNS; L’arrêt des services de sauvegarde, de balayage de sécurité et de surveillance; La disposition des données; La documentation des activités de dispositions des données. </w:t>
        <w:br/>
        <w:br/>
        <w:t>Remarque : Se référer au Guide de sécurité « Décommissionnement d’applications » pour plus de détails sur les activités à réaliser lors du décommissionnement d’une application.</w:t>
      </w:r>
    </w:p>
    <w:p>
      <w:pPr>
        <w:ind w:left="720"/>
      </w:pPr>
      <w:r>
        <w:rPr>
          <w:b/>
        </w:rPr>
        <w:t xml:space="preserve">STD-AS0017_2023-03-17 </w:t>
      </w:r>
      <w:r>
        <w:t>: Mettre en oeuvre le plan de décommissionnement à la fin de vie de l’application.</w:t>
      </w:r>
    </w:p>
    <w:p>
      <w:pPr>
        <w:pStyle w:val="Heading2"/>
      </w:pPr>
      <w:r>
        <w:t>3. Écarts et exceptions</w:t>
      </w:r>
    </w:p>
    <w:p>
      <w:r>
        <w:t>Tout écart anticipé à une exigence d’une norme SI, incluant celui causé par le retrait ou l'altération temporaire d'un contrôle, doit faire l’objet d’une demande de dérogation SI, à l’exception d’un écart lié à la résolution d’un incident de sécurité.</w:t>
        <w:br/>
        <w:br/>
        <w:t>Dans le cadre d’un projet TI, seul un écart lié à l'utilisation de données ou services de production dans des environnements hors production doit faire l’objet d’une demande de dérogation SI.</w:t>
        <w:br/>
        <w:br/>
        <w:t>Pour plus d’information, veuillez vous référer à la Vitrine de sécurité de l’information.</w:t>
      </w:r>
    </w:p>
    <w:p>
      <w:r>
        <w:br w:type="page"/>
      </w:r>
    </w:p>
    <w:p>
      <w:pPr>
        <w:pStyle w:val="Heading2"/>
      </w:pPr>
      <w:r>
        <w:t>Annexe A. Historique des révisions</w:t>
      </w:r>
    </w:p>
    <w:p>
      <w:r>
        <w:t>Note: Seuls les remplacements et retraits d'exigences sont recensés dans cette liste.</w:t>
      </w:r>
    </w:p>
    <w:sectPr w:rsidR="00FC693F" w:rsidRPr="0006063C" w:rsidSect="00034616">
      <w:footerReference w:type="default" r:id="rId9"/>
      <w:footerReference w:type="first" r:id="rId11"/>
      <w:pgSz w:w="12240" w:h="15840"/>
      <w:pgMar w:top="821" w:right="1325"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i/>
        <w:color w:val="5F5F5F"/>
        <w:sz w:val="20"/>
      </w:rPr>
      <w:t>Avis de confidentialité</w:t>
      <w:br/>
      <w:br/>
    </w:r>
    <w:r>
      <w:rPr>
        <w:i/>
        <w:color w:val="5F5F5F"/>
        <w:sz w:val="20"/>
      </w:rPr>
      <w:t>Ce document contient des informations qui sont destinées à l’usage exclusif de iA Groupe financier.</w:t>
      <w:br/>
      <w:br/>
      <w:t>Sous réserve d’une approbation d’un représentant dûment autorisé de iA Groupe financier, toute reproduction de ce document, ou sa distribution à l’extérieur de son groupe autorisé d’utilisateurs est interdite.</w:t>
      <w:b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readOnly" w:enforcement="1" w:cryptProviderType="rsaFull" w:cryptAlgorithmClass="hash" w:cryptAlgorithmType="typeAny" w:cryptAlgorithmSid="4" w:cryptSpinCount="100000" w:hash="3C8C6974BCD0368BAF18E5B23DACCF4B45FEA975" w:salt="39B1AE1F40D1971B45F6D7545E14B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Corps)" w:hAnsi="Calibri (Corp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i/>
      <w:color w:val="003EA1"/>
      <w:sz w:val="4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Calibri" w:hAnsi="Calibri"/>
      <w:b/>
      <w:bCs/>
      <w:color w:val="003E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1.jp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59019D3F6DDC498256713E9820EE99" ma:contentTypeVersion="25" ma:contentTypeDescription="Crée un document." ma:contentTypeScope="" ma:versionID="fa0849599167844cf15dc633777af07c">
  <xsd:schema xmlns:xsd="http://www.w3.org/2001/XMLSchema" xmlns:xs="http://www.w3.org/2001/XMLSchema" xmlns:p="http://schemas.microsoft.com/office/2006/metadata/properties" xmlns:ns2="e93f85fb-4dbd-4652-a049-40e697b45e41" xmlns:ns3="711488bb-a721-4cc2-8c55-8a2ad031306f" xmlns:ns4="05208df2-c2b4-49e6-bcfb-ce7b72d81c67" targetNamespace="http://schemas.microsoft.com/office/2006/metadata/properties" ma:root="true" ma:fieldsID="40d496d3f21dd70b59cff71837464efd" ns2:_="" ns3:_="" ns4:_="">
    <xsd:import namespace="e93f85fb-4dbd-4652-a049-40e697b45e41"/>
    <xsd:import namespace="711488bb-a721-4cc2-8c55-8a2ad031306f"/>
    <xsd:import namespace="05208df2-c2b4-49e6-bcfb-ce7b72d81c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f85fb-4dbd-4652-a049-40e697b45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9c3984d-6c88-459e-875d-1e42fc5375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1488bb-a721-4cc2-8c55-8a2ad031306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e014f16-b126-47f4-947a-8a02f0875407}" ma:internalName="TaxCatchAll" ma:showField="CatchAllData" ma:web="05208df2-c2b4-49e6-bcfb-ce7b72d81c6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208df2-c2b4-49e6-bcfb-ce7b72d81c67"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3f85fb-4dbd-4652-a049-40e697b45e41">
      <Terms xmlns="http://schemas.microsoft.com/office/infopath/2007/PartnerControls"/>
    </lcf76f155ced4ddcb4097134ff3c332f>
    <TaxCatchAll xmlns="711488bb-a721-4cc2-8c55-8a2ad031306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E19995-ADF2-4AB2-95B1-D941EF13C74B}"/>
</file>

<file path=customXml/itemProps3.xml><?xml version="1.0" encoding="utf-8"?>
<ds:datastoreItem xmlns:ds="http://schemas.openxmlformats.org/officeDocument/2006/customXml" ds:itemID="{0B43E73F-A032-4D90-B97F-FA5502CF26BE}"/>
</file>

<file path=customXml/itemProps4.xml><?xml version="1.0" encoding="utf-8"?>
<ds:datastoreItem xmlns:ds="http://schemas.openxmlformats.org/officeDocument/2006/customXml" ds:itemID="{76AB818B-DEDA-4DFC-8DED-25F2E2715BC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0x0101004159019D3F6DDC498256713E9820EE99</vt:lpwstr>
  </property>
  <property fmtid="{D5CDD505-2E9C-101B-9397-08002B2CF9AE}" pid="4" name="LastModifiedDate">
    <vt:filetime>2024-05-30T12:00:00Z</vt:filetime>
  </property>
  <property fmtid="{D5CDD505-2E9C-101B-9397-08002B2CF9AE}" pid="5" name="docLang">
    <vt:lpwstr>fr</vt:lpwstr>
  </property>
</Properties>
</file>