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1FF09" w14:textId="77777777" w:rsidR="009477E6" w:rsidRDefault="009477E6" w:rsidP="009477E6">
      <w:pPr>
        <w:rPr>
          <w:rFonts w:ascii="Arial" w:hAnsi="Arial" w:cs="Arial"/>
        </w:rPr>
      </w:pPr>
    </w:p>
    <w:p w14:paraId="1901AD5A" w14:textId="77777777" w:rsidR="009477E6" w:rsidRDefault="009477E6" w:rsidP="009477E6">
      <w:pPr>
        <w:rPr>
          <w:rFonts w:ascii="Titillium Web SemiBold" w:eastAsiaTheme="majorEastAsia" w:hAnsi="Titillium Web SemiBold" w:cstheme="majorBidi"/>
          <w:b/>
          <w:bCs/>
          <w:color w:val="162235"/>
          <w:sz w:val="32"/>
          <w:szCs w:val="32"/>
        </w:rPr>
      </w:pPr>
      <w:r>
        <w:rPr>
          <w:rFonts w:ascii="Titillium Web SemiBold" w:eastAsiaTheme="majorEastAsia" w:hAnsi="Titillium Web SemiBold" w:cstheme="majorBidi"/>
          <w:b/>
          <w:bCs/>
          <w:color w:val="162235"/>
          <w:sz w:val="32"/>
          <w:szCs w:val="32"/>
        </w:rPr>
        <w:t>DOCUMENTAÇÃO DE ARQUITETURA DE SOFTWARE</w:t>
      </w:r>
    </w:p>
    <w:p w14:paraId="489B5056" w14:textId="6A14AB7A" w:rsidR="009477E6" w:rsidRPr="007F5FA6" w:rsidRDefault="009477E6" w:rsidP="009477E6">
      <w:pPr>
        <w:rPr>
          <w:rFonts w:ascii="Titillium Web SemiBold" w:hAnsi="Titillium Web SemiBold"/>
          <w:i/>
          <w:iCs/>
          <w:color w:val="4472C4" w:themeColor="accent1"/>
        </w:rPr>
      </w:pPr>
      <w:r w:rsidRPr="00804A4F">
        <w:rPr>
          <w:rStyle w:val="nfaseIntensa"/>
          <w:rFonts w:ascii="Titillium Web SemiBold" w:hAnsi="Titillium Web SemiBold"/>
        </w:rPr>
        <w:t>SISTEMA GERADOR DE ASSINATURAS DE E-MAIL E PLANOS DE FUNDO PARA REUNIÕES</w:t>
      </w:r>
    </w:p>
    <w:p w14:paraId="0965DBEC" w14:textId="77777777" w:rsidR="009477E6" w:rsidRDefault="009477E6" w:rsidP="009477E6">
      <w:pPr>
        <w:rPr>
          <w:rFonts w:ascii="Arial" w:hAnsi="Arial" w:cs="Arial"/>
        </w:rPr>
      </w:pPr>
    </w:p>
    <w:p w14:paraId="23B296B2" w14:textId="77777777" w:rsid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VISÃO GERAL</w:t>
      </w:r>
    </w:p>
    <w:p w14:paraId="21359462" w14:textId="77777777" w:rsidR="00FD5611" w:rsidRPr="00FD5611" w:rsidRDefault="00FD5611" w:rsidP="00FD5611"/>
    <w:p w14:paraId="1B61649E" w14:textId="77777777" w:rsidR="00FD5611" w:rsidRPr="00921F66" w:rsidRDefault="00FD5611" w:rsidP="008A6BB9">
      <w:pPr>
        <w:jc w:val="both"/>
        <w:rPr>
          <w:rFonts w:ascii="Titillium Web" w:hAnsi="Titillium Web"/>
          <w:sz w:val="22"/>
          <w:szCs w:val="22"/>
        </w:rPr>
      </w:pPr>
      <w:r w:rsidRPr="00921F66">
        <w:rPr>
          <w:rFonts w:ascii="Titillium Web" w:hAnsi="Titillium Web"/>
          <w:sz w:val="22"/>
          <w:szCs w:val="22"/>
        </w:rPr>
        <w:t>Este documento tem como objetivo descrever as necessidades do setor de Comunicação &amp; Marketing da TPF Engenharia no que diz respeito ao desenvolvimento de um sistema gerador de assinaturas de e-mail e telas de fundo de reunião para os colaboradores. O sistema será implementado na web e terá como objetivo principal atender às seguintes demandas:</w:t>
      </w:r>
    </w:p>
    <w:p w14:paraId="025DD266" w14:textId="77777777" w:rsidR="00FD5611" w:rsidRPr="00921F66" w:rsidRDefault="00FD5611" w:rsidP="008A6BB9">
      <w:pPr>
        <w:jc w:val="both"/>
        <w:rPr>
          <w:rFonts w:ascii="Titillium Web" w:hAnsi="Titillium Web"/>
          <w:sz w:val="22"/>
          <w:szCs w:val="22"/>
        </w:rPr>
      </w:pPr>
    </w:p>
    <w:p w14:paraId="645D5417" w14:textId="77777777" w:rsidR="00FD5611" w:rsidRPr="00921F66" w:rsidRDefault="00FD5611" w:rsidP="00EA2B63">
      <w:pPr>
        <w:pStyle w:val="PargrafodaLista"/>
        <w:numPr>
          <w:ilvl w:val="0"/>
          <w:numId w:val="4"/>
        </w:numPr>
        <w:jc w:val="both"/>
        <w:rPr>
          <w:rFonts w:ascii="Titillium Web" w:hAnsi="Titillium Web"/>
          <w:sz w:val="22"/>
          <w:szCs w:val="22"/>
        </w:rPr>
      </w:pPr>
      <w:r w:rsidRPr="00921F66">
        <w:rPr>
          <w:rFonts w:ascii="Titillium Web" w:hAnsi="Titillium Web"/>
          <w:sz w:val="22"/>
          <w:szCs w:val="22"/>
        </w:rPr>
        <w:t>Geração automatizada de assinaturas de e-mail e telas de fundo de reunião para colaboradores.</w:t>
      </w:r>
    </w:p>
    <w:p w14:paraId="6B6FE9AC" w14:textId="77777777" w:rsidR="00FD5611" w:rsidRPr="00921F66" w:rsidRDefault="00FD5611" w:rsidP="00EA2B63">
      <w:pPr>
        <w:pStyle w:val="PargrafodaLista"/>
        <w:numPr>
          <w:ilvl w:val="0"/>
          <w:numId w:val="4"/>
        </w:numPr>
        <w:jc w:val="both"/>
        <w:rPr>
          <w:rFonts w:ascii="Titillium Web" w:hAnsi="Titillium Web"/>
          <w:sz w:val="22"/>
          <w:szCs w:val="22"/>
        </w:rPr>
      </w:pPr>
      <w:r w:rsidRPr="00921F66">
        <w:rPr>
          <w:rFonts w:ascii="Titillium Web" w:hAnsi="Titillium Web"/>
          <w:sz w:val="22"/>
          <w:szCs w:val="22"/>
        </w:rPr>
        <w:t>Cadastramento silencioso dos usuários, mantendo transparência e respeitando a privacidade.</w:t>
      </w:r>
    </w:p>
    <w:p w14:paraId="3F644ADE" w14:textId="77777777" w:rsidR="00FD5611" w:rsidRPr="00921F66" w:rsidRDefault="00FD5611" w:rsidP="00EA2B63">
      <w:pPr>
        <w:pStyle w:val="PargrafodaLista"/>
        <w:numPr>
          <w:ilvl w:val="0"/>
          <w:numId w:val="4"/>
        </w:numPr>
        <w:jc w:val="both"/>
        <w:rPr>
          <w:rFonts w:ascii="Titillium Web" w:hAnsi="Titillium Web"/>
          <w:sz w:val="22"/>
          <w:szCs w:val="22"/>
        </w:rPr>
      </w:pPr>
      <w:r w:rsidRPr="00921F66">
        <w:rPr>
          <w:rFonts w:ascii="Titillium Web" w:hAnsi="Titillium Web"/>
          <w:sz w:val="22"/>
          <w:szCs w:val="22"/>
        </w:rPr>
        <w:t>Autenticação automática através das credenciais do Microsoft Teams para acesso simplificado.</w:t>
      </w:r>
    </w:p>
    <w:p w14:paraId="05990955" w14:textId="77777777" w:rsidR="00FD5611" w:rsidRPr="00921F66" w:rsidRDefault="00FD5611" w:rsidP="00EA2B63">
      <w:pPr>
        <w:pStyle w:val="PargrafodaLista"/>
        <w:numPr>
          <w:ilvl w:val="0"/>
          <w:numId w:val="4"/>
        </w:numPr>
        <w:jc w:val="both"/>
        <w:rPr>
          <w:rFonts w:ascii="Titillium Web" w:hAnsi="Titillium Web"/>
          <w:sz w:val="22"/>
          <w:szCs w:val="22"/>
        </w:rPr>
      </w:pPr>
      <w:r w:rsidRPr="00921F66">
        <w:rPr>
          <w:rFonts w:ascii="Titillium Web" w:hAnsi="Titillium Web"/>
          <w:sz w:val="22"/>
          <w:szCs w:val="22"/>
        </w:rPr>
        <w:t xml:space="preserve">Geração e gerenciamento de diferentes tipos </w:t>
      </w:r>
      <w:r w:rsidRPr="00E61161">
        <w:rPr>
          <w:rFonts w:ascii="Titillium Web" w:hAnsi="Titillium Web"/>
          <w:sz w:val="22"/>
          <w:szCs w:val="22"/>
          <w:u w:val="single"/>
        </w:rPr>
        <w:t>de</w:t>
      </w:r>
      <w:r w:rsidRPr="00921F66">
        <w:rPr>
          <w:rFonts w:ascii="Titillium Web" w:hAnsi="Titillium Web"/>
          <w:sz w:val="22"/>
          <w:szCs w:val="22"/>
        </w:rPr>
        <w:t xml:space="preserve"> assinaturas, com diferenciação de permissões entre os usuários e o administrador.</w:t>
      </w:r>
    </w:p>
    <w:p w14:paraId="5B07BDD2" w14:textId="77777777" w:rsidR="00FD5611" w:rsidRPr="00921F66" w:rsidRDefault="00FD5611" w:rsidP="00EA2B63">
      <w:pPr>
        <w:pStyle w:val="PargrafodaLista"/>
        <w:numPr>
          <w:ilvl w:val="0"/>
          <w:numId w:val="4"/>
        </w:numPr>
        <w:jc w:val="both"/>
        <w:rPr>
          <w:rFonts w:ascii="Titillium Web" w:hAnsi="Titillium Web"/>
          <w:sz w:val="22"/>
          <w:szCs w:val="22"/>
        </w:rPr>
      </w:pPr>
      <w:r w:rsidRPr="00921F66">
        <w:rPr>
          <w:rFonts w:ascii="Titillium Web" w:hAnsi="Titillium Web"/>
          <w:sz w:val="22"/>
          <w:szCs w:val="22"/>
        </w:rPr>
        <w:t>Adição automática das assinaturas geradas aos e-mails dos usuários comuns.</w:t>
      </w:r>
    </w:p>
    <w:p w14:paraId="530A071E" w14:textId="77777777" w:rsidR="00FD5611" w:rsidRPr="00921F66" w:rsidRDefault="00FD5611" w:rsidP="00EA2B63">
      <w:pPr>
        <w:pStyle w:val="PargrafodaLista"/>
        <w:numPr>
          <w:ilvl w:val="0"/>
          <w:numId w:val="4"/>
        </w:numPr>
        <w:jc w:val="both"/>
        <w:rPr>
          <w:rFonts w:ascii="Titillium Web" w:hAnsi="Titillium Web"/>
          <w:sz w:val="22"/>
          <w:szCs w:val="22"/>
        </w:rPr>
      </w:pPr>
      <w:r w:rsidRPr="00921F66">
        <w:rPr>
          <w:rFonts w:ascii="Titillium Web" w:hAnsi="Titillium Web"/>
          <w:sz w:val="22"/>
          <w:szCs w:val="22"/>
        </w:rPr>
        <w:t xml:space="preserve">Flexibilidade para administradores modificarem o </w:t>
      </w:r>
      <w:proofErr w:type="spellStart"/>
      <w:r w:rsidRPr="00921F66">
        <w:rPr>
          <w:rFonts w:ascii="Titillium Web" w:hAnsi="Titillium Web"/>
          <w:sz w:val="22"/>
          <w:szCs w:val="22"/>
        </w:rPr>
        <w:t>template</w:t>
      </w:r>
      <w:proofErr w:type="spellEnd"/>
      <w:r w:rsidRPr="00921F66">
        <w:rPr>
          <w:rFonts w:ascii="Titillium Web" w:hAnsi="Titillium Web"/>
          <w:sz w:val="22"/>
          <w:szCs w:val="22"/>
        </w:rPr>
        <w:t xml:space="preserve"> da assinatura geral.</w:t>
      </w:r>
    </w:p>
    <w:p w14:paraId="42BFDDF8" w14:textId="77777777" w:rsidR="00FD5611" w:rsidRPr="00921F66" w:rsidRDefault="00FD5611" w:rsidP="00EA2B63">
      <w:pPr>
        <w:pStyle w:val="PargrafodaLista"/>
        <w:numPr>
          <w:ilvl w:val="0"/>
          <w:numId w:val="4"/>
        </w:numPr>
        <w:jc w:val="both"/>
        <w:rPr>
          <w:rFonts w:ascii="Titillium Web" w:hAnsi="Titillium Web"/>
          <w:sz w:val="22"/>
          <w:szCs w:val="22"/>
        </w:rPr>
      </w:pPr>
      <w:r w:rsidRPr="00921F66">
        <w:rPr>
          <w:rFonts w:ascii="Titillium Web" w:hAnsi="Titillium Web"/>
          <w:sz w:val="22"/>
          <w:szCs w:val="22"/>
        </w:rPr>
        <w:t>Vinculação manual da assinatura a um grupo de usuários pelos administradores, exigindo que os usuários atualizem e vinculem suas próprias assinaturas em caso de modificações.</w:t>
      </w:r>
    </w:p>
    <w:p w14:paraId="286C660D" w14:textId="77777777" w:rsidR="00327519" w:rsidRPr="00921F66" w:rsidRDefault="00327519" w:rsidP="00327519">
      <w:pPr>
        <w:pStyle w:val="PargrafodaLista"/>
        <w:jc w:val="both"/>
        <w:rPr>
          <w:rFonts w:ascii="Titillium Web" w:hAnsi="Titillium Web"/>
          <w:sz w:val="22"/>
          <w:szCs w:val="22"/>
        </w:rPr>
      </w:pPr>
    </w:p>
    <w:p w14:paraId="1EB7AD29" w14:textId="55B3454A" w:rsidR="009477E6" w:rsidRPr="00921F66" w:rsidRDefault="00FD5611" w:rsidP="00327519">
      <w:pPr>
        <w:jc w:val="both"/>
        <w:rPr>
          <w:rFonts w:ascii="Arial" w:hAnsi="Arial" w:cs="Arial"/>
        </w:rPr>
      </w:pPr>
      <w:r w:rsidRPr="00921F66">
        <w:rPr>
          <w:rFonts w:ascii="Titillium Web" w:hAnsi="Titillium Web"/>
          <w:sz w:val="22"/>
          <w:szCs w:val="22"/>
        </w:rPr>
        <w:t>Esses requisitos constituem o escopo do projeto e servirão de base para o desenvolvimento do sistema, garantindo a satisfação das necessidades do setor de Comunicação &amp; Marketing da TPF Engenharia.</w:t>
      </w:r>
    </w:p>
    <w:p w14:paraId="077AC2E8" w14:textId="77777777" w:rsid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COMPONENTES</w:t>
      </w:r>
    </w:p>
    <w:p w14:paraId="0B93FCED" w14:textId="77777777" w:rsidR="009477E6" w:rsidRPr="009477E6" w:rsidRDefault="009477E6" w:rsidP="009477E6"/>
    <w:p w14:paraId="475ABDE1" w14:textId="7FE3044B" w:rsidR="009477E6" w:rsidRPr="004158D8" w:rsidRDefault="004158D8" w:rsidP="004158D8">
      <w:pPr>
        <w:pStyle w:val="PargrafodaLista"/>
        <w:numPr>
          <w:ilvl w:val="0"/>
          <w:numId w:val="7"/>
        </w:numPr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</w:pPr>
      <w:r w:rsidRPr="004158D8"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  <w:t>Sistema de Autenticação</w:t>
      </w:r>
    </w:p>
    <w:p w14:paraId="7F3339E6" w14:textId="4B74110F" w:rsidR="009477E6" w:rsidRDefault="009477E6" w:rsidP="007074AA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sz w:val="22"/>
          <w:szCs w:val="22"/>
        </w:rPr>
      </w:pPr>
      <w:r w:rsidRPr="004158D8">
        <w:rPr>
          <w:rFonts w:ascii="Titillium Web" w:hAnsi="Titillium Web"/>
          <w:b/>
          <w:bCs/>
          <w:sz w:val="22"/>
          <w:szCs w:val="22"/>
        </w:rPr>
        <w:t>Descrição:</w:t>
      </w:r>
      <w:r w:rsidRPr="004158D8">
        <w:rPr>
          <w:rFonts w:ascii="Titillium Web" w:hAnsi="Titillium Web"/>
          <w:sz w:val="22"/>
          <w:szCs w:val="22"/>
        </w:rPr>
        <w:t xml:space="preserve"> </w:t>
      </w:r>
      <w:r w:rsidR="003C7E7B" w:rsidRPr="003C7E7B">
        <w:rPr>
          <w:rFonts w:ascii="Titillium Web" w:hAnsi="Titillium Web"/>
          <w:sz w:val="22"/>
          <w:szCs w:val="22"/>
        </w:rPr>
        <w:t>O Sistema de Autenticação é responsável por permitir o acesso seguro dos usuários à aplicação por meio da autenticação com a API da Microsoft.</w:t>
      </w:r>
    </w:p>
    <w:p w14:paraId="1EB929A3" w14:textId="12D58C43" w:rsidR="007F5FA6" w:rsidRPr="007F5FA6" w:rsidRDefault="007F5FA6" w:rsidP="007F5FA6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b/>
          <w:bCs/>
          <w:sz w:val="22"/>
          <w:szCs w:val="22"/>
        </w:rPr>
      </w:pPr>
      <w:r w:rsidRPr="007F5FA6">
        <w:rPr>
          <w:rFonts w:ascii="Titillium Web" w:hAnsi="Titillium Web"/>
          <w:b/>
          <w:bCs/>
          <w:sz w:val="22"/>
          <w:szCs w:val="22"/>
        </w:rPr>
        <w:t>Funcionalidades:</w:t>
      </w:r>
      <w:r w:rsidRPr="007F5FA6">
        <w:rPr>
          <w:rFonts w:ascii="Titillium Web" w:hAnsi="Titillium Web"/>
          <w:b/>
          <w:bCs/>
          <w:sz w:val="22"/>
          <w:szCs w:val="22"/>
        </w:rPr>
        <w:tab/>
      </w:r>
      <w:r w:rsidRPr="007F5FA6">
        <w:rPr>
          <w:rFonts w:ascii="Titillium Web" w:hAnsi="Titillium Web"/>
          <w:b/>
          <w:bCs/>
          <w:sz w:val="22"/>
          <w:szCs w:val="22"/>
        </w:rPr>
        <w:tab/>
      </w:r>
    </w:p>
    <w:p w14:paraId="407F1C18" w14:textId="2D15E773" w:rsidR="007F5FA6" w:rsidRPr="007F5FA6" w:rsidRDefault="007F5FA6" w:rsidP="007F5FA6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7F5FA6">
        <w:rPr>
          <w:rFonts w:ascii="Titillium Web" w:hAnsi="Titillium Web"/>
          <w:sz w:val="22"/>
          <w:szCs w:val="22"/>
        </w:rPr>
        <w:t>Autenticação automática dos usuários com base nas d</w:t>
      </w:r>
      <w:r w:rsidR="00984D9A">
        <w:rPr>
          <w:rFonts w:ascii="Titillium Web" w:hAnsi="Titillium Web"/>
          <w:sz w:val="22"/>
          <w:szCs w:val="22"/>
        </w:rPr>
        <w:t>a</w:t>
      </w:r>
      <w:r w:rsidRPr="007F5FA6">
        <w:rPr>
          <w:rFonts w:ascii="Titillium Web" w:hAnsi="Titillium Web"/>
          <w:sz w:val="22"/>
          <w:szCs w:val="22"/>
        </w:rPr>
        <w:t xml:space="preserve"> Microsof</w:t>
      </w:r>
      <w:r w:rsidR="00984D9A">
        <w:rPr>
          <w:rFonts w:ascii="Titillium Web" w:hAnsi="Titillium Web"/>
          <w:sz w:val="22"/>
          <w:szCs w:val="22"/>
        </w:rPr>
        <w:t>t</w:t>
      </w:r>
      <w:r w:rsidRPr="007F5FA6">
        <w:rPr>
          <w:rFonts w:ascii="Titillium Web" w:hAnsi="Titillium Web"/>
          <w:sz w:val="22"/>
          <w:szCs w:val="22"/>
        </w:rPr>
        <w:t>.</w:t>
      </w:r>
    </w:p>
    <w:p w14:paraId="6765A24D" w14:textId="77777777" w:rsidR="007F5FA6" w:rsidRPr="007F5FA6" w:rsidRDefault="007F5FA6" w:rsidP="007F5FA6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7F5FA6">
        <w:rPr>
          <w:rFonts w:ascii="Titillium Web" w:hAnsi="Titillium Web"/>
          <w:sz w:val="22"/>
          <w:szCs w:val="22"/>
        </w:rPr>
        <w:t>Geração de tokens de autenticação pela API da Microsoft.</w:t>
      </w:r>
    </w:p>
    <w:p w14:paraId="41105F28" w14:textId="140533B7" w:rsidR="007F5FA6" w:rsidRPr="007F5FA6" w:rsidRDefault="007F5FA6" w:rsidP="007F5FA6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7F5FA6">
        <w:rPr>
          <w:rFonts w:ascii="Titillium Web" w:hAnsi="Titillium Web"/>
          <w:sz w:val="22"/>
          <w:szCs w:val="22"/>
        </w:rPr>
        <w:t xml:space="preserve">Utilização do token para autenticar requisições às APIs do Outlook e para </w:t>
      </w:r>
      <w:r w:rsidR="00DE3F0E">
        <w:rPr>
          <w:rFonts w:ascii="Titillium Web" w:hAnsi="Titillium Web"/>
          <w:sz w:val="22"/>
          <w:szCs w:val="22"/>
        </w:rPr>
        <w:t>permitir</w:t>
      </w:r>
      <w:r w:rsidRPr="007F5FA6">
        <w:rPr>
          <w:rFonts w:ascii="Titillium Web" w:hAnsi="Titillium Web"/>
          <w:sz w:val="22"/>
          <w:szCs w:val="22"/>
        </w:rPr>
        <w:t xml:space="preserve"> o acesso a recursos específicos.</w:t>
      </w:r>
    </w:p>
    <w:p w14:paraId="2C1F4CB0" w14:textId="77777777" w:rsidR="007F5FA6" w:rsidRPr="007F5FA6" w:rsidRDefault="007F5FA6" w:rsidP="007F5FA6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7F5FA6">
        <w:rPr>
          <w:rFonts w:ascii="Titillium Web" w:hAnsi="Titillium Web"/>
          <w:sz w:val="22"/>
          <w:szCs w:val="22"/>
        </w:rPr>
        <w:t>Salvamento dos dados do usuário no banco de dados da aplicação.</w:t>
      </w:r>
    </w:p>
    <w:p w14:paraId="39E05AE5" w14:textId="47593A22" w:rsidR="007F5FA6" w:rsidRPr="007F5FA6" w:rsidRDefault="007F5FA6" w:rsidP="007F5FA6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b/>
          <w:bCs/>
          <w:sz w:val="22"/>
          <w:szCs w:val="22"/>
        </w:rPr>
      </w:pPr>
      <w:r w:rsidRPr="007F5FA6">
        <w:rPr>
          <w:rFonts w:ascii="Titillium Web" w:hAnsi="Titillium Web"/>
          <w:b/>
          <w:bCs/>
          <w:sz w:val="22"/>
          <w:szCs w:val="22"/>
        </w:rPr>
        <w:t>Interfaces Externas:</w:t>
      </w:r>
    </w:p>
    <w:p w14:paraId="6F0BD4B6" w14:textId="77777777" w:rsidR="007F5FA6" w:rsidRPr="007F5FA6" w:rsidRDefault="007F5FA6" w:rsidP="007F5FA6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7F5FA6">
        <w:rPr>
          <w:rFonts w:ascii="Titillium Web" w:hAnsi="Titillium Web"/>
          <w:sz w:val="22"/>
          <w:szCs w:val="22"/>
        </w:rPr>
        <w:lastRenderedPageBreak/>
        <w:t xml:space="preserve">API da Microsoft: Usada para autenticar os usuários, gerar tokens de autenticação e </w:t>
      </w:r>
      <w:proofErr w:type="spellStart"/>
      <w:r w:rsidRPr="007F5FA6">
        <w:rPr>
          <w:rFonts w:ascii="Titillium Web" w:hAnsi="Titillium Web"/>
          <w:sz w:val="22"/>
          <w:szCs w:val="22"/>
        </w:rPr>
        <w:t>permissionar</w:t>
      </w:r>
      <w:proofErr w:type="spellEnd"/>
      <w:r w:rsidRPr="007F5FA6">
        <w:rPr>
          <w:rFonts w:ascii="Titillium Web" w:hAnsi="Titillium Web"/>
          <w:sz w:val="22"/>
          <w:szCs w:val="22"/>
        </w:rPr>
        <w:t xml:space="preserve"> o acesso ao Outlook.</w:t>
      </w:r>
    </w:p>
    <w:p w14:paraId="1A3FFFFD" w14:textId="33EC3BEF" w:rsidR="007F5FA6" w:rsidRPr="007074AA" w:rsidRDefault="007F5FA6" w:rsidP="007F5FA6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7F5FA6">
        <w:rPr>
          <w:rFonts w:ascii="Titillium Web" w:hAnsi="Titillium Web"/>
          <w:sz w:val="22"/>
          <w:szCs w:val="22"/>
        </w:rPr>
        <w:t>Banco de Dados da Aplicação: Armazena os dados do usuário após a autenticação bem-sucedida.</w:t>
      </w:r>
    </w:p>
    <w:p w14:paraId="6B413299" w14:textId="44131B9C" w:rsidR="009477E6" w:rsidRDefault="009477E6" w:rsidP="004158D8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sz w:val="22"/>
          <w:szCs w:val="22"/>
        </w:rPr>
      </w:pPr>
      <w:r w:rsidRPr="004158D8">
        <w:rPr>
          <w:rFonts w:ascii="Titillium Web" w:hAnsi="Titillium Web"/>
          <w:b/>
          <w:bCs/>
          <w:sz w:val="22"/>
          <w:szCs w:val="22"/>
        </w:rPr>
        <w:t>Interações:</w:t>
      </w:r>
      <w:r w:rsidRPr="004158D8">
        <w:rPr>
          <w:rFonts w:ascii="Titillium Web" w:hAnsi="Titillium Web"/>
          <w:sz w:val="22"/>
          <w:szCs w:val="22"/>
        </w:rPr>
        <w:t xml:space="preserve"> </w:t>
      </w:r>
    </w:p>
    <w:p w14:paraId="24E91EEF" w14:textId="77777777" w:rsidR="00BE4FF2" w:rsidRPr="00BE4FF2" w:rsidRDefault="00BE4FF2" w:rsidP="00BE4FF2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BE4FF2">
        <w:rPr>
          <w:rFonts w:ascii="Titillium Web" w:hAnsi="Titillium Web"/>
          <w:sz w:val="22"/>
          <w:szCs w:val="22"/>
        </w:rPr>
        <w:t xml:space="preserve">A autenticação é </w:t>
      </w:r>
      <w:proofErr w:type="spellStart"/>
      <w:r w:rsidRPr="00BE4FF2">
        <w:rPr>
          <w:rFonts w:ascii="Titillium Web" w:hAnsi="Titillium Web"/>
          <w:sz w:val="22"/>
          <w:szCs w:val="22"/>
        </w:rPr>
        <w:t>gatilhada</w:t>
      </w:r>
      <w:proofErr w:type="spellEnd"/>
      <w:r w:rsidRPr="00BE4FF2">
        <w:rPr>
          <w:rFonts w:ascii="Titillium Web" w:hAnsi="Titillium Web"/>
          <w:sz w:val="22"/>
          <w:szCs w:val="22"/>
        </w:rPr>
        <w:t xml:space="preserve"> automaticamente assim que o usuário acessa qualquer rota da aplicação.</w:t>
      </w:r>
    </w:p>
    <w:p w14:paraId="1E548E31" w14:textId="77777777" w:rsidR="00BE4FF2" w:rsidRPr="00BE4FF2" w:rsidRDefault="00BE4FF2" w:rsidP="00BE4FF2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BE4FF2">
        <w:rPr>
          <w:rFonts w:ascii="Titillium Web" w:hAnsi="Titillium Web"/>
          <w:sz w:val="22"/>
          <w:szCs w:val="22"/>
        </w:rPr>
        <w:t xml:space="preserve">Caso o usuário não esteja autenticado recentemente, uma interface simples com </w:t>
      </w:r>
      <w:proofErr w:type="spellStart"/>
      <w:r w:rsidRPr="00BE4FF2">
        <w:rPr>
          <w:rFonts w:ascii="Titillium Web" w:hAnsi="Titillium Web"/>
          <w:sz w:val="22"/>
          <w:szCs w:val="22"/>
        </w:rPr>
        <w:t>spinner</w:t>
      </w:r>
      <w:proofErr w:type="spellEnd"/>
      <w:r w:rsidRPr="00BE4FF2">
        <w:rPr>
          <w:rFonts w:ascii="Titillium Web" w:hAnsi="Titillium Web"/>
          <w:sz w:val="22"/>
          <w:szCs w:val="22"/>
        </w:rPr>
        <w:t xml:space="preserve"> é exibida.</w:t>
      </w:r>
    </w:p>
    <w:p w14:paraId="2CDFBFB3" w14:textId="77777777" w:rsidR="00BE4FF2" w:rsidRPr="00BE4FF2" w:rsidRDefault="00BE4FF2" w:rsidP="00BE4FF2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BE4FF2">
        <w:rPr>
          <w:rFonts w:ascii="Titillium Web" w:hAnsi="Titillium Web"/>
          <w:sz w:val="22"/>
          <w:szCs w:val="22"/>
        </w:rPr>
        <w:t>Um token de autenticação é retornado pela API da Microsoft após a autenticação bem-sucedida.</w:t>
      </w:r>
    </w:p>
    <w:p w14:paraId="72410E9C" w14:textId="6EBC1AB8" w:rsidR="009477E6" w:rsidRDefault="00BE4FF2" w:rsidP="00341812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BE4FF2">
        <w:rPr>
          <w:rFonts w:ascii="Titillium Web" w:hAnsi="Titillium Web"/>
          <w:sz w:val="22"/>
          <w:szCs w:val="22"/>
        </w:rPr>
        <w:t>O token é armazenado e utilizado para autenticar todas as requisições subsequentes às APIs do Outlook e outros recursos.</w:t>
      </w:r>
      <w:r w:rsidR="009477E6" w:rsidRPr="004922E4">
        <w:rPr>
          <w:rFonts w:ascii="Titillium Web" w:hAnsi="Titillium Web"/>
          <w:sz w:val="22"/>
          <w:szCs w:val="22"/>
        </w:rPr>
        <w:t xml:space="preserve"> </w:t>
      </w:r>
    </w:p>
    <w:p w14:paraId="61C4F231" w14:textId="77777777" w:rsidR="00341812" w:rsidRPr="00341812" w:rsidRDefault="00341812" w:rsidP="00341812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b/>
          <w:bCs/>
          <w:sz w:val="22"/>
          <w:szCs w:val="22"/>
        </w:rPr>
      </w:pPr>
      <w:r w:rsidRPr="00341812">
        <w:rPr>
          <w:rFonts w:ascii="Titillium Web" w:hAnsi="Titillium Web"/>
          <w:b/>
          <w:bCs/>
          <w:sz w:val="22"/>
          <w:szCs w:val="22"/>
        </w:rPr>
        <w:t>Requisitos Não Funcionais:</w:t>
      </w:r>
    </w:p>
    <w:p w14:paraId="5B8C3C9B" w14:textId="77777777" w:rsidR="00341812" w:rsidRPr="00341812" w:rsidRDefault="00341812" w:rsidP="00341812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341812">
        <w:rPr>
          <w:rFonts w:ascii="Titillium Web" w:hAnsi="Titillium Web"/>
          <w:sz w:val="22"/>
          <w:szCs w:val="22"/>
        </w:rPr>
        <w:t>Segurança: Deve seguir as práticas de segurança recomendadas pela API da Microsoft para proteger os tokens de autenticação.</w:t>
      </w:r>
    </w:p>
    <w:p w14:paraId="2DFDFB59" w14:textId="23B0A0A5" w:rsidR="00341812" w:rsidRPr="00341812" w:rsidRDefault="00341812" w:rsidP="00341812">
      <w:pPr>
        <w:pStyle w:val="PargrafodaLista"/>
        <w:numPr>
          <w:ilvl w:val="2"/>
          <w:numId w:val="7"/>
        </w:numPr>
        <w:ind w:left="1418"/>
        <w:rPr>
          <w:rFonts w:ascii="Titillium Web" w:hAnsi="Titillium Web"/>
          <w:sz w:val="22"/>
          <w:szCs w:val="22"/>
        </w:rPr>
      </w:pPr>
      <w:r w:rsidRPr="00341812">
        <w:rPr>
          <w:rFonts w:ascii="Titillium Web" w:hAnsi="Titillium Web"/>
          <w:sz w:val="22"/>
          <w:szCs w:val="22"/>
        </w:rPr>
        <w:t>Eficiência: Deve lidar com a autenticação de forma rápida e eficiente, sem causar atrasos significativos na experiência do usuário.</w:t>
      </w:r>
    </w:p>
    <w:p w14:paraId="278BB963" w14:textId="32F5C666" w:rsidR="004E6B7E" w:rsidRPr="00AA1506" w:rsidRDefault="00225C1F" w:rsidP="00AA1506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b/>
          <w:bCs/>
          <w:sz w:val="22"/>
          <w:szCs w:val="22"/>
        </w:rPr>
      </w:pPr>
      <w:r w:rsidRPr="004E6B7E">
        <w:rPr>
          <w:rFonts w:ascii="Titillium Web" w:hAnsi="Titillium Web"/>
          <w:b/>
          <w:bCs/>
          <w:sz w:val="22"/>
          <w:szCs w:val="22"/>
        </w:rPr>
        <w:t>Diagrama do Componente:</w:t>
      </w:r>
    </w:p>
    <w:p w14:paraId="187AF897" w14:textId="51A58B42" w:rsidR="001076A2" w:rsidRDefault="001076A2" w:rsidP="004E6B7E">
      <w:pPr>
        <w:pStyle w:val="PargrafodaLista"/>
        <w:ind w:left="993"/>
        <w:rPr>
          <w:rFonts w:ascii="Titillium Web" w:hAnsi="Titillium Web"/>
          <w:sz w:val="22"/>
          <w:szCs w:val="22"/>
        </w:rPr>
      </w:pPr>
    </w:p>
    <w:p w14:paraId="47116F2A" w14:textId="77777777" w:rsidR="002230BD" w:rsidRDefault="002230BD" w:rsidP="004E6B7E">
      <w:pPr>
        <w:pStyle w:val="PargrafodaLista"/>
        <w:ind w:left="993"/>
        <w:rPr>
          <w:rFonts w:ascii="Titillium Web" w:hAnsi="Titillium Web"/>
          <w:sz w:val="22"/>
          <w:szCs w:val="22"/>
        </w:rPr>
      </w:pPr>
    </w:p>
    <w:p w14:paraId="6FE255B7" w14:textId="326425F8" w:rsidR="00225C1F" w:rsidRDefault="002230BD" w:rsidP="004E6B7E">
      <w:pPr>
        <w:pStyle w:val="PargrafodaLista"/>
        <w:ind w:left="993"/>
        <w:rPr>
          <w:rFonts w:ascii="Titillium Web" w:hAnsi="Titillium Web"/>
          <w:sz w:val="22"/>
          <w:szCs w:val="22"/>
        </w:rPr>
      </w:pPr>
      <w:r w:rsidRPr="00AA1506">
        <w:rPr>
          <w:rFonts w:ascii="Titillium Web" w:hAnsi="Titillium Web"/>
          <w:b/>
          <w:bCs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75F932D5" wp14:editId="34837675">
            <wp:simplePos x="0" y="0"/>
            <wp:positionH relativeFrom="page">
              <wp:align>center</wp:align>
            </wp:positionH>
            <wp:positionV relativeFrom="paragraph">
              <wp:posOffset>172085</wp:posOffset>
            </wp:positionV>
            <wp:extent cx="4082415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469" y="21536"/>
                <wp:lineTo x="21469" y="0"/>
                <wp:lineTo x="0" y="0"/>
              </wp:wrapPolygon>
            </wp:wrapTight>
            <wp:docPr id="1599157042" name="Imagem 15991570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57042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E37C5" w14:textId="4787E770" w:rsidR="001076A2" w:rsidRDefault="00233B86" w:rsidP="001076A2">
      <w:pPr>
        <w:pStyle w:val="PargrafodaLista"/>
        <w:numPr>
          <w:ilvl w:val="0"/>
          <w:numId w:val="7"/>
        </w:numPr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</w:pPr>
      <w:r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  <w:lastRenderedPageBreak/>
        <w:t xml:space="preserve">Módulo </w:t>
      </w:r>
      <w:r w:rsidR="00B95096"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  <w:t>da Página Inicial</w:t>
      </w:r>
    </w:p>
    <w:p w14:paraId="4400F5F2" w14:textId="715F65A3" w:rsidR="002230BD" w:rsidRDefault="002230BD" w:rsidP="002230BD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sz w:val="22"/>
          <w:szCs w:val="22"/>
        </w:rPr>
      </w:pPr>
      <w:r w:rsidRPr="004158D8">
        <w:rPr>
          <w:rFonts w:ascii="Titillium Web" w:hAnsi="Titillium Web"/>
          <w:b/>
          <w:bCs/>
          <w:sz w:val="22"/>
          <w:szCs w:val="22"/>
        </w:rPr>
        <w:t>Descrição:</w:t>
      </w:r>
      <w:r w:rsidRPr="004158D8">
        <w:rPr>
          <w:rFonts w:ascii="Titillium Web" w:hAnsi="Titillium Web"/>
          <w:sz w:val="22"/>
          <w:szCs w:val="22"/>
        </w:rPr>
        <w:t xml:space="preserve"> </w:t>
      </w:r>
      <w:r>
        <w:rPr>
          <w:rFonts w:ascii="Titillium Web" w:hAnsi="Titillium Web"/>
          <w:sz w:val="22"/>
          <w:szCs w:val="22"/>
        </w:rPr>
        <w:t>A página inicial do app</w:t>
      </w:r>
      <w:r w:rsidR="00C61C80">
        <w:rPr>
          <w:rFonts w:ascii="Titillium Web" w:hAnsi="Titillium Web"/>
          <w:sz w:val="22"/>
          <w:szCs w:val="22"/>
        </w:rPr>
        <w:t xml:space="preserve"> receberá o usuário do processo de autenticação</w:t>
      </w:r>
      <w:r w:rsidR="006C23CB">
        <w:rPr>
          <w:rFonts w:ascii="Titillium Web" w:hAnsi="Titillium Web"/>
          <w:sz w:val="22"/>
          <w:szCs w:val="22"/>
        </w:rPr>
        <w:t xml:space="preserve"> do aplicativo.</w:t>
      </w:r>
    </w:p>
    <w:p w14:paraId="50E5116E" w14:textId="0BB35A2C" w:rsidR="006C23CB" w:rsidRPr="002230BD" w:rsidRDefault="00CF436A" w:rsidP="002230BD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b/>
          <w:bCs/>
          <w:sz w:val="22"/>
          <w:szCs w:val="22"/>
        </w:rPr>
        <w:t xml:space="preserve">Funcionalidade: </w:t>
      </w:r>
      <w:r w:rsidR="00F978E5">
        <w:rPr>
          <w:rFonts w:ascii="Titillium Web" w:hAnsi="Titillium Web"/>
          <w:sz w:val="22"/>
          <w:szCs w:val="22"/>
        </w:rPr>
        <w:t xml:space="preserve"> </w:t>
      </w:r>
      <w:r w:rsidR="00F978E5">
        <w:rPr>
          <w:rFonts w:ascii="Titillium Web" w:hAnsi="Titillium Web"/>
          <w:sz w:val="22"/>
          <w:szCs w:val="22"/>
        </w:rPr>
        <w:t>G</w:t>
      </w:r>
      <w:r w:rsidR="00F978E5">
        <w:rPr>
          <w:rFonts w:ascii="Titillium Web" w:hAnsi="Titillium Web"/>
          <w:sz w:val="22"/>
          <w:szCs w:val="22"/>
        </w:rPr>
        <w:t>uiará</w:t>
      </w:r>
      <w:r w:rsidR="00F978E5">
        <w:rPr>
          <w:rFonts w:ascii="Titillium Web" w:hAnsi="Titillium Web"/>
          <w:sz w:val="22"/>
          <w:szCs w:val="22"/>
        </w:rPr>
        <w:t xml:space="preserve"> o usuário,</w:t>
      </w:r>
      <w:r w:rsidR="00F978E5">
        <w:rPr>
          <w:rFonts w:ascii="Titillium Web" w:hAnsi="Titillium Web"/>
          <w:sz w:val="22"/>
          <w:szCs w:val="22"/>
        </w:rPr>
        <w:t xml:space="preserve"> já autenticado, para o módulo que o mesmo deseja executar, podendo ser o módulo de gerenciamento de assinatura de e-mail ou o módulo de plano de fundo para chamadas</w:t>
      </w:r>
      <w:r w:rsidR="00F978E5" w:rsidRPr="003C7E7B">
        <w:rPr>
          <w:rFonts w:ascii="Titillium Web" w:hAnsi="Titillium Web"/>
          <w:sz w:val="22"/>
          <w:szCs w:val="22"/>
        </w:rPr>
        <w:t>.</w:t>
      </w:r>
    </w:p>
    <w:p w14:paraId="7CEA2BA6" w14:textId="144C0DED" w:rsidR="00016244" w:rsidRDefault="00016244" w:rsidP="00C60FF4">
      <w:pPr>
        <w:pStyle w:val="PargrafodaLista"/>
        <w:numPr>
          <w:ilvl w:val="0"/>
          <w:numId w:val="7"/>
        </w:numPr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</w:pPr>
      <w:r w:rsidRPr="00016244"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  <w:t>Módulo de Gerenciamento de Assinaturas</w:t>
      </w:r>
    </w:p>
    <w:p w14:paraId="65224BE3" w14:textId="752E2763" w:rsidR="007271F6" w:rsidRPr="007271F6" w:rsidRDefault="001076A2" w:rsidP="007271F6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sz w:val="22"/>
          <w:szCs w:val="22"/>
        </w:rPr>
      </w:pPr>
      <w:r w:rsidRPr="004158D8">
        <w:rPr>
          <w:rFonts w:ascii="Titillium Web" w:hAnsi="Titillium Web"/>
          <w:b/>
          <w:bCs/>
          <w:sz w:val="22"/>
          <w:szCs w:val="22"/>
        </w:rPr>
        <w:t>Descrição:</w:t>
      </w:r>
      <w:r w:rsidRPr="004158D8">
        <w:rPr>
          <w:rFonts w:ascii="Titillium Web" w:hAnsi="Titillium Web"/>
          <w:sz w:val="22"/>
          <w:szCs w:val="22"/>
        </w:rPr>
        <w:t xml:space="preserve"> </w:t>
      </w:r>
      <w:r w:rsidR="00233B86">
        <w:rPr>
          <w:rFonts w:ascii="Titillium Web" w:hAnsi="Titillium Web"/>
          <w:sz w:val="22"/>
          <w:szCs w:val="22"/>
        </w:rPr>
        <w:t xml:space="preserve"> </w:t>
      </w:r>
      <w:r w:rsidR="007271F6">
        <w:rPr>
          <w:rFonts w:ascii="Titillium Web" w:hAnsi="Titillium Web"/>
          <w:sz w:val="22"/>
          <w:szCs w:val="22"/>
        </w:rPr>
        <w:t xml:space="preserve">Este módulo é responsável pela criação de assinaturas do usuário a partir de suas informações e </w:t>
      </w:r>
      <w:proofErr w:type="spellStart"/>
      <w:r w:rsidR="007271F6">
        <w:rPr>
          <w:rFonts w:ascii="Titillium Web" w:hAnsi="Titillium Web"/>
          <w:sz w:val="22"/>
          <w:szCs w:val="22"/>
        </w:rPr>
        <w:t>template</w:t>
      </w:r>
      <w:proofErr w:type="spellEnd"/>
      <w:r w:rsidR="007271F6">
        <w:rPr>
          <w:rFonts w:ascii="Titillium Web" w:hAnsi="Titillium Web"/>
          <w:sz w:val="22"/>
          <w:szCs w:val="22"/>
        </w:rPr>
        <w:t xml:space="preserve"> de assinatura pré-estabelecido.</w:t>
      </w:r>
      <w:r w:rsidR="007271F6" w:rsidRPr="007271F6">
        <w:rPr>
          <w:rFonts w:ascii="Titillium Web" w:hAnsi="Titillium Web"/>
          <w:b/>
          <w:bCs/>
          <w:sz w:val="22"/>
          <w:szCs w:val="22"/>
        </w:rPr>
        <w:t xml:space="preserve"> </w:t>
      </w:r>
    </w:p>
    <w:p w14:paraId="7DDC7385" w14:textId="06A9F808" w:rsidR="007271F6" w:rsidRDefault="007271F6" w:rsidP="007271F6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b/>
          <w:bCs/>
          <w:sz w:val="22"/>
          <w:szCs w:val="22"/>
        </w:rPr>
        <w:t>Funcionalidades</w:t>
      </w:r>
      <w:r w:rsidRPr="004158D8">
        <w:rPr>
          <w:rFonts w:ascii="Titillium Web" w:hAnsi="Titillium Web"/>
          <w:b/>
          <w:bCs/>
          <w:sz w:val="22"/>
          <w:szCs w:val="22"/>
        </w:rPr>
        <w:t>:</w:t>
      </w:r>
      <w:r w:rsidRPr="004158D8">
        <w:rPr>
          <w:rFonts w:ascii="Titillium Web" w:hAnsi="Titillium Web"/>
          <w:sz w:val="22"/>
          <w:szCs w:val="22"/>
        </w:rPr>
        <w:t xml:space="preserve"> </w:t>
      </w:r>
      <w:r>
        <w:rPr>
          <w:rFonts w:ascii="Titillium Web" w:hAnsi="Titillium Web"/>
          <w:sz w:val="22"/>
          <w:szCs w:val="22"/>
        </w:rPr>
        <w:t xml:space="preserve"> </w:t>
      </w:r>
    </w:p>
    <w:p w14:paraId="3CB59FD9" w14:textId="280161B2" w:rsidR="007271F6" w:rsidRDefault="007271F6" w:rsidP="007271F6">
      <w:pPr>
        <w:pStyle w:val="PargrafodaLista"/>
        <w:numPr>
          <w:ilvl w:val="2"/>
          <w:numId w:val="7"/>
        </w:numPr>
        <w:ind w:left="1276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Receber informações do usuário;</w:t>
      </w:r>
    </w:p>
    <w:p w14:paraId="1D9FDC43" w14:textId="22C74BBD" w:rsidR="007271F6" w:rsidRDefault="007271F6" w:rsidP="007271F6">
      <w:pPr>
        <w:pStyle w:val="PargrafodaLista"/>
        <w:numPr>
          <w:ilvl w:val="2"/>
          <w:numId w:val="7"/>
        </w:numPr>
        <w:ind w:left="1276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Gerar pré-visualização da assinatura do usuário;</w:t>
      </w:r>
    </w:p>
    <w:p w14:paraId="77820CB1" w14:textId="07573851" w:rsidR="007271F6" w:rsidRDefault="000D2207" w:rsidP="007271F6">
      <w:pPr>
        <w:pStyle w:val="PargrafodaLista"/>
        <w:numPr>
          <w:ilvl w:val="2"/>
          <w:numId w:val="7"/>
        </w:numPr>
        <w:ind w:left="1276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Vincular assinatura ao e-mail do usuário;</w:t>
      </w:r>
    </w:p>
    <w:p w14:paraId="35BA839C" w14:textId="7822FC03" w:rsidR="005973C4" w:rsidRDefault="005973C4" w:rsidP="007271F6">
      <w:pPr>
        <w:pStyle w:val="PargrafodaLista"/>
        <w:numPr>
          <w:ilvl w:val="2"/>
          <w:numId w:val="7"/>
        </w:numPr>
        <w:ind w:left="1276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Armazenar dados do usuário no banco de dados junto com sua assinatura</w:t>
      </w:r>
      <w:r w:rsidR="00DA34C4">
        <w:rPr>
          <w:rFonts w:ascii="Titillium Web" w:hAnsi="Titillium Web"/>
          <w:sz w:val="22"/>
          <w:szCs w:val="22"/>
        </w:rPr>
        <w:t>;</w:t>
      </w:r>
    </w:p>
    <w:p w14:paraId="06B09E56" w14:textId="75CFDCA8" w:rsidR="005973C4" w:rsidRPr="005973C4" w:rsidRDefault="005973C4" w:rsidP="005973C4">
      <w:pPr>
        <w:rPr>
          <w:rFonts w:ascii="Titillium Web" w:hAnsi="Titillium Web"/>
          <w:sz w:val="22"/>
          <w:szCs w:val="22"/>
        </w:rPr>
      </w:pPr>
    </w:p>
    <w:p w14:paraId="2CEEE133" w14:textId="77777777" w:rsidR="00DD1F29" w:rsidRPr="00016244" w:rsidRDefault="00DD1F29" w:rsidP="00DD1F29">
      <w:pPr>
        <w:pStyle w:val="PargrafodaLista"/>
        <w:numPr>
          <w:ilvl w:val="0"/>
          <w:numId w:val="7"/>
        </w:numPr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</w:pPr>
      <w:r>
        <w:rPr>
          <w:rFonts w:ascii="Titillium Web SemiBold" w:eastAsiaTheme="majorEastAsia" w:hAnsi="Titillium Web SemiBold" w:cstheme="majorBidi"/>
          <w:b/>
          <w:bCs/>
          <w:color w:val="162235"/>
          <w:sz w:val="28"/>
          <w:szCs w:val="28"/>
        </w:rPr>
        <w:t>Módulo de Fundo de Tela</w:t>
      </w:r>
    </w:p>
    <w:p w14:paraId="6EA31B31" w14:textId="62EC9552" w:rsidR="00DD1F29" w:rsidRDefault="00A277CC" w:rsidP="00A277CC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b/>
          <w:bCs/>
          <w:sz w:val="22"/>
          <w:szCs w:val="22"/>
        </w:rPr>
        <w:t xml:space="preserve">Descrição: </w:t>
      </w:r>
      <w:r>
        <w:rPr>
          <w:rFonts w:ascii="Titillium Web" w:hAnsi="Titillium Web"/>
          <w:sz w:val="22"/>
          <w:szCs w:val="22"/>
        </w:rPr>
        <w:t xml:space="preserve">Este módulo </w:t>
      </w:r>
      <w:r w:rsidR="007079F1">
        <w:rPr>
          <w:rFonts w:ascii="Titillium Web" w:hAnsi="Titillium Web"/>
          <w:sz w:val="22"/>
          <w:szCs w:val="22"/>
        </w:rPr>
        <w:t xml:space="preserve">conterá uma biblioteca organizada em temas onde o usuário poderá escolher e baixar uma tela de fundo para chamada no </w:t>
      </w:r>
      <w:proofErr w:type="spellStart"/>
      <w:r w:rsidR="007079F1">
        <w:rPr>
          <w:rFonts w:ascii="Titillium Web" w:hAnsi="Titillium Web"/>
          <w:sz w:val="22"/>
          <w:szCs w:val="22"/>
        </w:rPr>
        <w:t>teams</w:t>
      </w:r>
      <w:proofErr w:type="spellEnd"/>
      <w:r w:rsidR="007079F1">
        <w:rPr>
          <w:rFonts w:ascii="Titillium Web" w:hAnsi="Titillium Web"/>
          <w:sz w:val="22"/>
          <w:szCs w:val="22"/>
        </w:rPr>
        <w:t>.</w:t>
      </w:r>
    </w:p>
    <w:p w14:paraId="2E0CD5F1" w14:textId="77777777" w:rsidR="0015552B" w:rsidRPr="0015552B" w:rsidRDefault="007E5025" w:rsidP="00A277CC">
      <w:pPr>
        <w:pStyle w:val="PargrafodaLista"/>
        <w:numPr>
          <w:ilvl w:val="1"/>
          <w:numId w:val="7"/>
        </w:numPr>
        <w:ind w:left="993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b/>
          <w:bCs/>
          <w:sz w:val="22"/>
          <w:szCs w:val="22"/>
        </w:rPr>
        <w:t xml:space="preserve">Funcionalidades: </w:t>
      </w:r>
    </w:p>
    <w:p w14:paraId="1C9E76A0" w14:textId="52E74F39" w:rsidR="007E5025" w:rsidRDefault="007E5025" w:rsidP="0015552B">
      <w:pPr>
        <w:pStyle w:val="PargrafodaLista"/>
        <w:numPr>
          <w:ilvl w:val="2"/>
          <w:numId w:val="7"/>
        </w:numPr>
        <w:ind w:left="1276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 xml:space="preserve">Armazenar imagens </w:t>
      </w:r>
      <w:r w:rsidR="0015552B">
        <w:rPr>
          <w:rFonts w:ascii="Titillium Web" w:hAnsi="Titillium Web"/>
          <w:sz w:val="22"/>
          <w:szCs w:val="22"/>
        </w:rPr>
        <w:t xml:space="preserve">de telas de fundo para chamada no </w:t>
      </w:r>
      <w:proofErr w:type="spellStart"/>
      <w:r w:rsidR="0015552B">
        <w:rPr>
          <w:rFonts w:ascii="Titillium Web" w:hAnsi="Titillium Web"/>
          <w:sz w:val="22"/>
          <w:szCs w:val="22"/>
        </w:rPr>
        <w:t>teams</w:t>
      </w:r>
      <w:proofErr w:type="spellEnd"/>
      <w:r w:rsidR="00EC768C">
        <w:rPr>
          <w:rFonts w:ascii="Titillium Web" w:hAnsi="Titillium Web"/>
          <w:sz w:val="22"/>
          <w:szCs w:val="22"/>
        </w:rPr>
        <w:t>;</w:t>
      </w:r>
    </w:p>
    <w:p w14:paraId="6E2A9675" w14:textId="7175D308" w:rsidR="00EC768C" w:rsidRDefault="00EC768C" w:rsidP="0015552B">
      <w:pPr>
        <w:pStyle w:val="PargrafodaLista"/>
        <w:numPr>
          <w:ilvl w:val="2"/>
          <w:numId w:val="7"/>
        </w:numPr>
        <w:ind w:left="1276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Gerar imagem de tela de fundo com informações do usuário;</w:t>
      </w:r>
    </w:p>
    <w:p w14:paraId="07EA85E3" w14:textId="7E4FACC9" w:rsidR="00EC768C" w:rsidRPr="00DD1F29" w:rsidRDefault="00EC768C" w:rsidP="0015552B">
      <w:pPr>
        <w:pStyle w:val="PargrafodaLista"/>
        <w:numPr>
          <w:ilvl w:val="2"/>
          <w:numId w:val="7"/>
        </w:numPr>
        <w:ind w:left="1276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 xml:space="preserve">Iniciar download </w:t>
      </w:r>
      <w:r w:rsidR="00FA631F">
        <w:rPr>
          <w:rFonts w:ascii="Titillium Web" w:hAnsi="Titillium Web"/>
          <w:sz w:val="22"/>
          <w:szCs w:val="22"/>
        </w:rPr>
        <w:t xml:space="preserve">da tela de fundo escolhida pelo usuário quando </w:t>
      </w:r>
      <w:r w:rsidR="0030779A">
        <w:rPr>
          <w:rFonts w:ascii="Titillium Web" w:hAnsi="Titillium Web"/>
          <w:sz w:val="22"/>
          <w:szCs w:val="22"/>
        </w:rPr>
        <w:t>ele</w:t>
      </w:r>
      <w:r w:rsidR="00FA631F">
        <w:rPr>
          <w:rFonts w:ascii="Titillium Web" w:hAnsi="Titillium Web"/>
          <w:sz w:val="22"/>
          <w:szCs w:val="22"/>
        </w:rPr>
        <w:t xml:space="preserve"> clicar no botão de baixar;</w:t>
      </w:r>
    </w:p>
    <w:p w14:paraId="30CE6905" w14:textId="0D48A483" w:rsidR="001076A2" w:rsidRDefault="001076A2" w:rsidP="007271F6">
      <w:pPr>
        <w:pStyle w:val="PargrafodaLista"/>
        <w:ind w:left="993"/>
        <w:rPr>
          <w:rFonts w:ascii="Titillium Web" w:hAnsi="Titillium Web"/>
          <w:sz w:val="22"/>
          <w:szCs w:val="22"/>
        </w:rPr>
      </w:pPr>
    </w:p>
    <w:p w14:paraId="69AF0DFF" w14:textId="6DD49200" w:rsidR="001076A2" w:rsidRDefault="001076A2" w:rsidP="009477E6">
      <w:pPr>
        <w:pStyle w:val="Ttulo1"/>
        <w:rPr>
          <w:rFonts w:ascii="Titillium Web SemiBold" w:hAnsi="Titillium Web SemiBold" w:cs="Arial"/>
        </w:rPr>
      </w:pPr>
    </w:p>
    <w:p w14:paraId="44DA64F7" w14:textId="5FE83110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DIAGRAMA DE COMPONENTES</w:t>
      </w:r>
    </w:p>
    <w:p w14:paraId="09603FF6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Inclua um diagrama visual que ilustra a estrutura de componentes do sistema, mostrando como eles se relacionam e interagem.</w:t>
      </w:r>
      <w:r>
        <w:rPr>
          <w:rFonts w:ascii="Titillium Web" w:hAnsi="Titillium Web"/>
          <w:sz w:val="22"/>
          <w:szCs w:val="22"/>
        </w:rPr>
        <w:t>]</w:t>
      </w:r>
    </w:p>
    <w:p w14:paraId="4C8266E1" w14:textId="77777777" w:rsidR="009477E6" w:rsidRPr="009477E6" w:rsidRDefault="009477E6" w:rsidP="009477E6">
      <w:pPr>
        <w:rPr>
          <w:rFonts w:ascii="Arial" w:hAnsi="Arial" w:cs="Arial"/>
        </w:rPr>
      </w:pPr>
    </w:p>
    <w:p w14:paraId="41B1AD84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COMUNICAÇÃO ENTRE COMPONENTES</w:t>
      </w:r>
    </w:p>
    <w:p w14:paraId="585A6A62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Descreva como os componentes se comunicam entre si. Isso pode incluir detalhes sobre os protocolos de comunicação, mensagens trocadas e formatos de dados.</w:t>
      </w:r>
      <w:r>
        <w:rPr>
          <w:rFonts w:ascii="Titillium Web" w:hAnsi="Titillium Web"/>
          <w:sz w:val="22"/>
          <w:szCs w:val="22"/>
        </w:rPr>
        <w:t>]</w:t>
      </w:r>
    </w:p>
    <w:p w14:paraId="1FB00BBE" w14:textId="77777777" w:rsidR="009477E6" w:rsidRPr="009477E6" w:rsidRDefault="009477E6" w:rsidP="009477E6">
      <w:pPr>
        <w:rPr>
          <w:rFonts w:ascii="Arial" w:hAnsi="Arial" w:cs="Arial"/>
        </w:rPr>
      </w:pPr>
    </w:p>
    <w:p w14:paraId="3FBF3F35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lastRenderedPageBreak/>
        <w:t>DECISÕES DE DESIGN</w:t>
      </w:r>
    </w:p>
    <w:p w14:paraId="26E89D29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Nesta seção, explique as principais decisões de design que foram tomadas durante a definição da arquitetura. Isso pode incluir escolhas de tecnologia, padrões arquiteturais e trade-</w:t>
      </w:r>
      <w:proofErr w:type="spellStart"/>
      <w:r w:rsidRPr="009477E6">
        <w:rPr>
          <w:rFonts w:ascii="Titillium Web" w:hAnsi="Titillium Web"/>
          <w:sz w:val="22"/>
          <w:szCs w:val="22"/>
        </w:rPr>
        <w:t>offs</w:t>
      </w:r>
      <w:proofErr w:type="spellEnd"/>
      <w:r w:rsidRPr="009477E6">
        <w:rPr>
          <w:rFonts w:ascii="Titillium Web" w:hAnsi="Titillium Web"/>
          <w:sz w:val="22"/>
          <w:szCs w:val="22"/>
        </w:rPr>
        <w:t xml:space="preserve"> considerados.</w:t>
      </w:r>
      <w:r>
        <w:rPr>
          <w:rFonts w:ascii="Titillium Web" w:hAnsi="Titillium Web"/>
          <w:sz w:val="22"/>
          <w:szCs w:val="22"/>
        </w:rPr>
        <w:t>]</w:t>
      </w:r>
    </w:p>
    <w:p w14:paraId="44E1FD9E" w14:textId="77777777" w:rsidR="009477E6" w:rsidRPr="009477E6" w:rsidRDefault="009477E6" w:rsidP="009477E6">
      <w:pPr>
        <w:rPr>
          <w:rFonts w:ascii="Arial" w:hAnsi="Arial" w:cs="Arial"/>
        </w:rPr>
      </w:pPr>
    </w:p>
    <w:p w14:paraId="2CCB7A6E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REQUISITOS NÃO FUNCIONAIS</w:t>
      </w:r>
    </w:p>
    <w:p w14:paraId="1524943F" w14:textId="77777777" w:rsidR="009477E6" w:rsidRDefault="009477E6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Pr="009477E6">
        <w:rPr>
          <w:rFonts w:ascii="Titillium Web" w:hAnsi="Titillium Web"/>
          <w:sz w:val="22"/>
          <w:szCs w:val="22"/>
        </w:rPr>
        <w:t>Descreva como a arquitetura atende aos requisitos não funcionais do sistema, como desempenho, escalabilidade, segurança e disponibilidade.</w:t>
      </w:r>
      <w:r>
        <w:rPr>
          <w:rFonts w:ascii="Titillium Web" w:hAnsi="Titillium Web"/>
          <w:sz w:val="22"/>
          <w:szCs w:val="22"/>
        </w:rPr>
        <w:t>]</w:t>
      </w:r>
    </w:p>
    <w:p w14:paraId="3757F6E6" w14:textId="77777777" w:rsidR="009477E6" w:rsidRPr="009477E6" w:rsidRDefault="009477E6" w:rsidP="009477E6">
      <w:pPr>
        <w:rPr>
          <w:rFonts w:ascii="Titillium Web" w:hAnsi="Titillium Web"/>
          <w:sz w:val="22"/>
          <w:szCs w:val="22"/>
        </w:rPr>
      </w:pPr>
    </w:p>
    <w:p w14:paraId="44A7B05E" w14:textId="77777777" w:rsidR="009477E6" w:rsidRPr="009477E6" w:rsidRDefault="009477E6" w:rsidP="009477E6">
      <w:pPr>
        <w:rPr>
          <w:rFonts w:ascii="Arial" w:hAnsi="Arial" w:cs="Arial"/>
        </w:rPr>
      </w:pPr>
    </w:p>
    <w:p w14:paraId="7025E5AE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IMPLANTAÇÃO E INFRAESTRUTURA</w:t>
      </w:r>
    </w:p>
    <w:p w14:paraId="78E934C0" w14:textId="77777777" w:rsidR="009477E6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Explique como o sistema será implantado, incluindo detalhes sobre servidores, ambientes de desenvolvimento e produção, e configurações de nuvem (se aplicável).</w:t>
      </w:r>
      <w:r>
        <w:rPr>
          <w:rFonts w:ascii="Titillium Web" w:hAnsi="Titillium Web"/>
          <w:sz w:val="22"/>
          <w:szCs w:val="22"/>
        </w:rPr>
        <w:t>]</w:t>
      </w:r>
    </w:p>
    <w:p w14:paraId="2599A35C" w14:textId="77777777" w:rsidR="009477E6" w:rsidRPr="009477E6" w:rsidRDefault="009477E6" w:rsidP="009477E6">
      <w:pPr>
        <w:rPr>
          <w:rFonts w:ascii="Arial" w:hAnsi="Arial" w:cs="Arial"/>
        </w:rPr>
      </w:pPr>
    </w:p>
    <w:p w14:paraId="121CD2C5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TRATAMENTOS DE ERRO</w:t>
      </w:r>
    </w:p>
    <w:p w14:paraId="76CE9AF1" w14:textId="77777777" w:rsidR="009477E6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Descreva como a arquitetura lida com erros, falhas e exceções. Explique os mecanismos de recuperação e estratégias de resiliência implementadas.</w:t>
      </w:r>
      <w:r>
        <w:rPr>
          <w:rFonts w:ascii="Titillium Web" w:hAnsi="Titillium Web"/>
          <w:sz w:val="22"/>
          <w:szCs w:val="22"/>
        </w:rPr>
        <w:t>]</w:t>
      </w:r>
    </w:p>
    <w:p w14:paraId="6F1B0569" w14:textId="77777777" w:rsidR="009477E6" w:rsidRPr="009477E6" w:rsidRDefault="009477E6" w:rsidP="009477E6">
      <w:pPr>
        <w:rPr>
          <w:rFonts w:ascii="Arial" w:hAnsi="Arial" w:cs="Arial"/>
        </w:rPr>
      </w:pPr>
    </w:p>
    <w:p w14:paraId="7AAB82B4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SEGURANÇA E CONFORMIDADE</w:t>
      </w:r>
    </w:p>
    <w:p w14:paraId="20C23372" w14:textId="77777777" w:rsidR="009477E6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Detalhe as medidas de segurança implementadas na arquitetura, como autenticação, autorização, criptografia e proteção de dados. Se aplicável, explique como a arquitetura atende às regulamentações e padrões da indústria.</w:t>
      </w:r>
      <w:r>
        <w:rPr>
          <w:rFonts w:ascii="Titillium Web" w:hAnsi="Titillium Web"/>
          <w:sz w:val="22"/>
          <w:szCs w:val="22"/>
        </w:rPr>
        <w:t>]</w:t>
      </w:r>
    </w:p>
    <w:p w14:paraId="553C6039" w14:textId="77777777" w:rsidR="009477E6" w:rsidRPr="009477E6" w:rsidRDefault="009477E6" w:rsidP="009477E6">
      <w:pPr>
        <w:rPr>
          <w:rFonts w:ascii="Arial" w:hAnsi="Arial" w:cs="Arial"/>
        </w:rPr>
      </w:pPr>
    </w:p>
    <w:p w14:paraId="08445350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EXEMPLOS DE USO</w:t>
      </w:r>
    </w:p>
    <w:p w14:paraId="403CC70E" w14:textId="77777777" w:rsidR="009477E6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Forneça exemplos práticos de como os componentes podem ser usados em cenários específicos. Isso pode incluir fluxos de trabalho, chamadas de API e interações entre módulos.</w:t>
      </w:r>
      <w:r>
        <w:rPr>
          <w:rFonts w:ascii="Titillium Web" w:hAnsi="Titillium Web"/>
          <w:sz w:val="22"/>
          <w:szCs w:val="22"/>
        </w:rPr>
        <w:t>]</w:t>
      </w:r>
    </w:p>
    <w:p w14:paraId="76AD3741" w14:textId="77777777" w:rsidR="009477E6" w:rsidRPr="009477E6" w:rsidRDefault="009477E6" w:rsidP="009477E6">
      <w:pPr>
        <w:pStyle w:val="Ttulo1"/>
        <w:rPr>
          <w:rFonts w:ascii="Titillium Web SemiBold" w:hAnsi="Titillium Web SemiBold" w:cs="Arial"/>
        </w:rPr>
      </w:pPr>
      <w:r>
        <w:rPr>
          <w:rFonts w:ascii="Titillium Web SemiBold" w:hAnsi="Titillium Web SemiBold" w:cs="Arial"/>
        </w:rPr>
        <w:t>ATUALIZAÇÕES E MANUTENÇÃO</w:t>
      </w:r>
    </w:p>
    <w:p w14:paraId="6E2DAA47" w14:textId="77777777" w:rsidR="004E084B" w:rsidRPr="009477E6" w:rsidRDefault="007C3CC5" w:rsidP="009477E6">
      <w:pPr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[</w:t>
      </w:r>
      <w:r w:rsidR="009477E6" w:rsidRPr="009477E6">
        <w:rPr>
          <w:rFonts w:ascii="Titillium Web" w:hAnsi="Titillium Web"/>
          <w:sz w:val="22"/>
          <w:szCs w:val="22"/>
        </w:rPr>
        <w:t>Explique como a documentação será mantida e atualizada à medida que o sistema evolui. Incentive os leitores a fornecer feedback e sugestões de melhorias.</w:t>
      </w:r>
      <w:r w:rsidR="009477E6">
        <w:rPr>
          <w:rFonts w:ascii="Titillium Web" w:hAnsi="Titillium Web"/>
          <w:sz w:val="22"/>
          <w:szCs w:val="22"/>
        </w:rPr>
        <w:t>]</w:t>
      </w:r>
    </w:p>
    <w:sectPr w:rsidR="004E084B" w:rsidRPr="009477E6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0CEC7" w14:textId="77777777" w:rsidR="00FA5A6F" w:rsidRDefault="00FA5A6F" w:rsidP="009E1D3D">
      <w:r>
        <w:separator/>
      </w:r>
    </w:p>
  </w:endnote>
  <w:endnote w:type="continuationSeparator" w:id="0">
    <w:p w14:paraId="7893D365" w14:textId="77777777" w:rsidR="00FA5A6F" w:rsidRDefault="00FA5A6F" w:rsidP="009E1D3D">
      <w:r>
        <w:continuationSeparator/>
      </w:r>
    </w:p>
  </w:endnote>
  <w:endnote w:type="continuationNotice" w:id="1">
    <w:p w14:paraId="5E1A1EA0" w14:textId="77777777" w:rsidR="00FA5A6F" w:rsidRDefault="00FA5A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6AB69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7BAB2A5" wp14:editId="40642C3F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9A958C" id="Agrupar 25" o:spid="_x0000_s1026" style="position:absolute;margin-left:-91.5pt;margin-top:-8.25pt;width:595.25pt;height:56.7pt;z-index:251659264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4C37E" w14:textId="77777777" w:rsidR="00FA5A6F" w:rsidRDefault="00FA5A6F" w:rsidP="009E1D3D">
      <w:r>
        <w:separator/>
      </w:r>
    </w:p>
  </w:footnote>
  <w:footnote w:type="continuationSeparator" w:id="0">
    <w:p w14:paraId="0F9F924D" w14:textId="77777777" w:rsidR="00FA5A6F" w:rsidRDefault="00FA5A6F" w:rsidP="009E1D3D">
      <w:r>
        <w:continuationSeparator/>
      </w:r>
    </w:p>
  </w:footnote>
  <w:footnote w:type="continuationNotice" w:id="1">
    <w:p w14:paraId="100A760D" w14:textId="77777777" w:rsidR="00FA5A6F" w:rsidRDefault="00FA5A6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C7179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E2CEA0" wp14:editId="621DAE75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0F55D7" id="Agrupar 17" o:spid="_x0000_s1026" style="position:absolute;margin-left:0;margin-top:-9.65pt;width:595.25pt;height:85.05pt;z-index:251656704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1BF"/>
    <w:multiLevelType w:val="hybridMultilevel"/>
    <w:tmpl w:val="949A42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83A64"/>
    <w:multiLevelType w:val="hybridMultilevel"/>
    <w:tmpl w:val="82D005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7376C"/>
    <w:multiLevelType w:val="hybridMultilevel"/>
    <w:tmpl w:val="EFC04A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D316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5DF775A"/>
    <w:multiLevelType w:val="hybridMultilevel"/>
    <w:tmpl w:val="EF424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35720C"/>
    <w:multiLevelType w:val="hybridMultilevel"/>
    <w:tmpl w:val="F60A82E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8AD48A6"/>
    <w:multiLevelType w:val="hybridMultilevel"/>
    <w:tmpl w:val="8F008504"/>
    <w:lvl w:ilvl="0" w:tplc="04160001">
      <w:start w:val="1"/>
      <w:numFmt w:val="bullet"/>
      <w:lvlText w:val=""/>
      <w:lvlJc w:val="left"/>
      <w:pPr>
        <w:ind w:left="68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04" w:hanging="360"/>
      </w:pPr>
    </w:lvl>
    <w:lvl w:ilvl="2" w:tplc="FFFFFFFF" w:tentative="1">
      <w:start w:val="1"/>
      <w:numFmt w:val="lowerRoman"/>
      <w:lvlText w:val="%3."/>
      <w:lvlJc w:val="right"/>
      <w:pPr>
        <w:ind w:left="2124" w:hanging="180"/>
      </w:pPr>
    </w:lvl>
    <w:lvl w:ilvl="3" w:tplc="FFFFFFFF" w:tentative="1">
      <w:start w:val="1"/>
      <w:numFmt w:val="decimal"/>
      <w:lvlText w:val="%4."/>
      <w:lvlJc w:val="left"/>
      <w:pPr>
        <w:ind w:left="2844" w:hanging="360"/>
      </w:pPr>
    </w:lvl>
    <w:lvl w:ilvl="4" w:tplc="FFFFFFFF" w:tentative="1">
      <w:start w:val="1"/>
      <w:numFmt w:val="lowerLetter"/>
      <w:lvlText w:val="%5."/>
      <w:lvlJc w:val="left"/>
      <w:pPr>
        <w:ind w:left="3564" w:hanging="360"/>
      </w:pPr>
    </w:lvl>
    <w:lvl w:ilvl="5" w:tplc="FFFFFFFF" w:tentative="1">
      <w:start w:val="1"/>
      <w:numFmt w:val="lowerRoman"/>
      <w:lvlText w:val="%6."/>
      <w:lvlJc w:val="right"/>
      <w:pPr>
        <w:ind w:left="4284" w:hanging="180"/>
      </w:pPr>
    </w:lvl>
    <w:lvl w:ilvl="6" w:tplc="FFFFFFFF" w:tentative="1">
      <w:start w:val="1"/>
      <w:numFmt w:val="decimal"/>
      <w:lvlText w:val="%7."/>
      <w:lvlJc w:val="left"/>
      <w:pPr>
        <w:ind w:left="5004" w:hanging="360"/>
      </w:pPr>
    </w:lvl>
    <w:lvl w:ilvl="7" w:tplc="FFFFFFFF" w:tentative="1">
      <w:start w:val="1"/>
      <w:numFmt w:val="lowerLetter"/>
      <w:lvlText w:val="%8."/>
      <w:lvlJc w:val="left"/>
      <w:pPr>
        <w:ind w:left="5724" w:hanging="360"/>
      </w:pPr>
    </w:lvl>
    <w:lvl w:ilvl="8" w:tplc="FFFFFFFF" w:tentative="1">
      <w:start w:val="1"/>
      <w:numFmt w:val="lowerRoman"/>
      <w:lvlText w:val="%9."/>
      <w:lvlJc w:val="right"/>
      <w:pPr>
        <w:ind w:left="6444" w:hanging="180"/>
      </w:pPr>
    </w:lvl>
  </w:abstractNum>
  <w:num w:numId="1" w16cid:durableId="199707661">
    <w:abstractNumId w:val="5"/>
  </w:num>
  <w:num w:numId="2" w16cid:durableId="973220387">
    <w:abstractNumId w:val="6"/>
  </w:num>
  <w:num w:numId="3" w16cid:durableId="1384408492">
    <w:abstractNumId w:val="4"/>
  </w:num>
  <w:num w:numId="4" w16cid:durableId="1323312278">
    <w:abstractNumId w:val="0"/>
  </w:num>
  <w:num w:numId="5" w16cid:durableId="1684433169">
    <w:abstractNumId w:val="1"/>
  </w:num>
  <w:num w:numId="6" w16cid:durableId="838302495">
    <w:abstractNumId w:val="3"/>
  </w:num>
  <w:num w:numId="7" w16cid:durableId="898782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E6"/>
    <w:rsid w:val="00016244"/>
    <w:rsid w:val="00070656"/>
    <w:rsid w:val="000C0662"/>
    <w:rsid w:val="000C5F9C"/>
    <w:rsid w:val="000D2207"/>
    <w:rsid w:val="00101A44"/>
    <w:rsid w:val="001076A2"/>
    <w:rsid w:val="0015552B"/>
    <w:rsid w:val="002230BD"/>
    <w:rsid w:val="00225C1F"/>
    <w:rsid w:val="00233B86"/>
    <w:rsid w:val="0030779A"/>
    <w:rsid w:val="0032349C"/>
    <w:rsid w:val="00327519"/>
    <w:rsid w:val="00337ECA"/>
    <w:rsid w:val="00341812"/>
    <w:rsid w:val="00346CC9"/>
    <w:rsid w:val="00353BD8"/>
    <w:rsid w:val="00397610"/>
    <w:rsid w:val="003B4FA0"/>
    <w:rsid w:val="003C7E7B"/>
    <w:rsid w:val="00402DE3"/>
    <w:rsid w:val="004158D8"/>
    <w:rsid w:val="004551B3"/>
    <w:rsid w:val="004922E4"/>
    <w:rsid w:val="004E084B"/>
    <w:rsid w:val="004E6B7E"/>
    <w:rsid w:val="005973C4"/>
    <w:rsid w:val="00632D4A"/>
    <w:rsid w:val="00682B22"/>
    <w:rsid w:val="00683377"/>
    <w:rsid w:val="006C23CB"/>
    <w:rsid w:val="006E0CB5"/>
    <w:rsid w:val="007074AA"/>
    <w:rsid w:val="007079F1"/>
    <w:rsid w:val="007271F6"/>
    <w:rsid w:val="00744199"/>
    <w:rsid w:val="007508BD"/>
    <w:rsid w:val="00751EC0"/>
    <w:rsid w:val="007C3CC5"/>
    <w:rsid w:val="007D7811"/>
    <w:rsid w:val="007E5025"/>
    <w:rsid w:val="007F5FA6"/>
    <w:rsid w:val="008A685B"/>
    <w:rsid w:val="008A6BB9"/>
    <w:rsid w:val="008D4118"/>
    <w:rsid w:val="008E3F2F"/>
    <w:rsid w:val="00921F66"/>
    <w:rsid w:val="009417AF"/>
    <w:rsid w:val="009477E6"/>
    <w:rsid w:val="00957C6A"/>
    <w:rsid w:val="00984D9A"/>
    <w:rsid w:val="009B155C"/>
    <w:rsid w:val="009E1D3D"/>
    <w:rsid w:val="00A277CC"/>
    <w:rsid w:val="00AA1506"/>
    <w:rsid w:val="00B13BB7"/>
    <w:rsid w:val="00B50895"/>
    <w:rsid w:val="00B95096"/>
    <w:rsid w:val="00BD6B52"/>
    <w:rsid w:val="00BE4FF2"/>
    <w:rsid w:val="00C25CE9"/>
    <w:rsid w:val="00C61C80"/>
    <w:rsid w:val="00CF436A"/>
    <w:rsid w:val="00D34DB4"/>
    <w:rsid w:val="00DA34C4"/>
    <w:rsid w:val="00DD1F29"/>
    <w:rsid w:val="00DE3F0E"/>
    <w:rsid w:val="00E61161"/>
    <w:rsid w:val="00EA2B63"/>
    <w:rsid w:val="00EC768C"/>
    <w:rsid w:val="00EF756E"/>
    <w:rsid w:val="00F109FB"/>
    <w:rsid w:val="00F31071"/>
    <w:rsid w:val="00F37352"/>
    <w:rsid w:val="00F978E5"/>
    <w:rsid w:val="00FA40C6"/>
    <w:rsid w:val="00FA5A6F"/>
    <w:rsid w:val="00FA631F"/>
    <w:rsid w:val="00FD5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00EC7E"/>
  <w15:chartTrackingRefBased/>
  <w15:docId w15:val="{D3AB26EF-66EE-4F70-B622-04C26840E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77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styleId="nfaseIntensa">
    <w:name w:val="Intense Emphasis"/>
    <w:basedOn w:val="Fontepargpadro"/>
    <w:uiPriority w:val="21"/>
    <w:qFormat/>
    <w:rsid w:val="009477E6"/>
    <w:rPr>
      <w:i/>
      <w:iCs/>
      <w:color w:val="4472C4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9477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477E6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4922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4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tpfe.com.br\DevDesign%20-%20DevDesign\01.%20PROJETOS\02.%20GERADOR%20DE%20ARQUIVOS\01.%20DOCUMENTA&#199;&#195;O\02.%20DESIGN\01.%20ARQUITETURA%20GERAL%20DO%20SOFTWARE\02.%20DOCUMENTO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092CD8-E414-4781-8A81-BD9BBF6C19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381</TotalTime>
  <Pages>4</Pages>
  <Words>894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49</cp:revision>
  <cp:lastPrinted>2022-11-21T21:43:00Z</cp:lastPrinted>
  <dcterms:created xsi:type="dcterms:W3CDTF">2023-08-08T13:23:00Z</dcterms:created>
  <dcterms:modified xsi:type="dcterms:W3CDTF">2023-08-28T20:42:00Z</dcterms:modified>
</cp:coreProperties>
</file>