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data on U.S. immigration demographics and ICE detention activities reveal pronounced geographic disparities that bear on enforcement strategies and immigrant communities’ experiences across states. States along the West Coast and Northeast, such as California, New Jersey, and New York, consistently rank highest in both foreign-born population share and non-citizen residency. These states also have notably high numbers of ICE detention facilities, suggesting a correlation between immigrant population size and detention capacity. Florida joins this group as a major hub for both immigrant presence and ICE activity, reflecting its significance as a destination state.</w:t>
      </w:r>
    </w:p>
    <w:p>
      <w:r>
        <w:t>In contrast, many states in the interior and Appalachian regions display very low shares of foreign-born and non-citizen residents, often below 3 or 4 percent. West Virginia and Montana typify this pattern, with some of the lowest immigrant shares nationwide. Correspondingly, these states have far fewer ICE detention facilities, or none at all, suggesting that ICE’s detention infrastructure is concentrated in states with larger immigrant communities. This regional divide highlights how immigration enforcement resources are focused primarily where immigrant populations are densest.</w:t>
      </w:r>
    </w:p>
    <w:p>
      <w:r>
        <w:t>Texas stands out as an exception to some trends. While it ranks among the top states for non-citizen population, it also has by far the largest number of ICE detention facilities — more than double the next highest state, California. This may reflect Texas’s strategic importance as a border state and enforcement hub, with implications for detainee demographics and conditions that merit further inquiry.</w:t>
      </w:r>
    </w:p>
    <w:p>
      <w:r>
        <w:t>Overall, this snapshot underscores how enforcement intensity, as measured by detention facility count, aligns with immigrant population distribution but also reflects border proximity and policy priorities. The heavy concentration of facilities in a handful of states raises questions about detention capacity, treatment equity, and community impact in those regions.</w:t>
      </w:r>
    </w:p>
    <w:p>
      <w:r>
        <w:t>Key takeaways and questions:</w:t>
      </w:r>
    </w:p>
    <w:p>
      <w:pPr>
        <w:pStyle w:val="ListBullet"/>
      </w:pPr>
      <w:r>
        <w:t>States with the largest immigrant populations, especially California, New Jersey, and New York, also maintain substantial ICE detention infrastructures.</w:t>
      </w:r>
    </w:p>
    <w:p>
      <w:pPr>
        <w:pStyle w:val="ListBullet"/>
      </w:pPr>
      <w:r>
        <w:t>Border and gateway states like Texas operate significantly more detention facilities, indicating a focus on border enforcement beyond population proportionality.</w:t>
      </w:r>
    </w:p>
    <w:p>
      <w:pPr>
        <w:pStyle w:val="ListBullet"/>
      </w:pPr>
      <w:r>
        <w:t>Many interior states with minimal immigrant populations have few or no ICE detention centers, concentrating enforcement activity regionally.</w:t>
      </w:r>
    </w:p>
    <w:p>
      <w:pPr>
        <w:pStyle w:val="ListBullet"/>
      </w:pPr>
      <w:r>
        <w:t>What are the implications of ICE’s heavy facility concentration for detainees’ rights and access to legal resources?</w:t>
      </w:r>
    </w:p>
    <w:p>
      <w:pPr>
        <w:pStyle w:val="ListBullet"/>
      </w:pPr>
      <w:r>
        <w:t>How might these geographic disparities inform policy discussions on alternatives to detention and community-based approaches?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