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內文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Room 1004, 10/F, Yu To Sang Building,</w:t>
      </w:r>
    </w:p>
    <w:p>
      <w:pPr>
        <w:pStyle w:val="內文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37 Queen</w:t>
      </w:r>
      <w:r>
        <w:rPr>
          <w:sz w:val="18"/>
          <w:szCs w:val="18"/>
          <w:rtl w:val="0"/>
          <w:lang w:val="en-US"/>
        </w:rPr>
        <w:t>’</w:t>
      </w:r>
      <w:r>
        <w:rPr>
          <w:sz w:val="18"/>
          <w:szCs w:val="18"/>
          <w:rtl w:val="0"/>
          <w:lang w:val="en-US"/>
        </w:rPr>
        <w:t xml:space="preserve">s Road Central, Central, Hong Kong </w:t>
        <w:tab/>
        <w:tab/>
        <w:tab/>
        <w:tab/>
        <w:tab/>
        <w:t>MEMOR</w:t>
      </w:r>
    </w:p>
    <w:p>
      <w:pPr>
        <w:pStyle w:val="內文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Tel: +852 2537 7500   Fax: +852 2530 4300</w:t>
      </w:r>
    </w:p>
    <w:p>
      <w:pPr>
        <w:pStyle w:val="內文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Website: www.dndiamonds.com</w:t>
      </w:r>
    </w:p>
    <w:p>
      <w:pPr>
        <w:pStyle w:val="內文"/>
        <w:bidi w:val="0"/>
      </w:pPr>
    </w:p>
    <w:p>
      <w:pPr>
        <w:pStyle w:val="內文"/>
        <w:bidi w:val="0"/>
      </w:pPr>
    </w:p>
    <w:p>
      <w:pPr>
        <w:pStyle w:val="內文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487"/>
        <w:gridCol w:w="917"/>
        <w:gridCol w:w="845"/>
        <w:gridCol w:w="1135"/>
        <w:gridCol w:w="2216"/>
        <w:gridCol w:w="1488"/>
        <w:gridCol w:w="1542"/>
      </w:tblGrid>
      <w:tr>
        <w:tblPrEx>
          <w:shd w:val="clear" w:color="auto" w:fill="bdc0bf"/>
        </w:tblPrEx>
        <w:trPr>
          <w:trHeight w:val="311" w:hRule="atLeast"/>
          <w:tblHeader/>
        </w:trPr>
        <w:tc>
          <w:tcPr>
            <w:tcW w:type="dxa" w:w="1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1"/>
            </w:pPr>
            <w:r>
              <w:rPr>
                <w:rFonts w:ascii="PingFang HK Semibold" w:hAnsi="PingFang HK Semibold"/>
                <w:sz w:val="18"/>
                <w:szCs w:val="18"/>
                <w:rtl w:val="0"/>
              </w:rPr>
              <w:t>Parcel Name</w:t>
            </w:r>
          </w:p>
        </w:tc>
        <w:tc>
          <w:tcPr>
            <w:tcW w:type="dxa" w:w="9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1"/>
            </w:pPr>
            <w:r>
              <w:rPr>
                <w:rFonts w:ascii="PingFang HK Semibold" w:hAnsi="PingFang HK Semibold"/>
                <w:sz w:val="18"/>
                <w:szCs w:val="18"/>
                <w:rtl w:val="0"/>
              </w:rPr>
              <w:t>Shape</w:t>
            </w:r>
          </w:p>
        </w:tc>
        <w:tc>
          <w:tcPr>
            <w:tcW w:type="dxa" w:w="8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1"/>
            </w:pPr>
            <w:r>
              <w:rPr>
                <w:rFonts w:ascii="PingFang HK Semibold" w:hAnsi="PingFang HK Semibold"/>
                <w:sz w:val="18"/>
                <w:szCs w:val="18"/>
                <w:rtl w:val="0"/>
              </w:rPr>
              <w:t>Carat</w:t>
            </w:r>
          </w:p>
        </w:tc>
        <w:tc>
          <w:tcPr>
            <w:tcW w:type="dxa" w:w="1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1"/>
            </w:pPr>
            <w:r>
              <w:rPr>
                <w:rFonts w:ascii="PingFang HK Semibold" w:hAnsi="PingFang HK Semibold"/>
                <w:sz w:val="18"/>
                <w:szCs w:val="18"/>
                <w:rtl w:val="0"/>
              </w:rPr>
              <w:t>Clarity</w:t>
            </w:r>
          </w:p>
        </w:tc>
        <w:tc>
          <w:tcPr>
            <w:tcW w:type="dxa" w:w="22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1"/>
            </w:pPr>
            <w:r>
              <w:rPr>
                <w:rFonts w:ascii="PingFang HK Semibold" w:hAnsi="PingFang HK Semibold"/>
                <w:sz w:val="18"/>
                <w:szCs w:val="18"/>
                <w:rtl w:val="0"/>
              </w:rPr>
              <w:t>Certificate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1"/>
            </w:pPr>
            <w:r>
              <w:rPr>
                <w:rFonts w:ascii="PingFang HK Semibold" w:hAnsi="PingFang HK Semibold"/>
                <w:sz w:val="18"/>
                <w:szCs w:val="18"/>
                <w:rtl w:val="0"/>
              </w:rPr>
              <w:t>Price Per Carat</w:t>
            </w:r>
          </w:p>
        </w:tc>
        <w:tc>
          <w:tcPr>
            <w:tcW w:type="dxa" w:w="1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1"/>
            </w:pPr>
            <w:r>
              <w:rPr>
                <w:rFonts w:ascii="PingFang HK Semibold" w:hAnsi="PingFang HK Semibold"/>
                <w:sz w:val="18"/>
                <w:szCs w:val="18"/>
                <w:rtl w:val="0"/>
              </w:rPr>
              <w:t>Total</w:t>
            </w:r>
          </w:p>
        </w:tc>
      </w:tr>
      <w:tr>
        <w:tblPrEx>
          <w:shd w:val="clear" w:color="auto" w:fill="auto"/>
        </w:tblPrEx>
        <w:trPr>
          <w:trHeight w:val="291" w:hRule="atLeast"/>
        </w:trPr>
        <w:tc>
          <w:tcPr>
            <w:tcW w:type="dxa" w:w="148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1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88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4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內文"/>
        <w:bidi w:val="0"/>
      </w:pP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HK Regular">
    <w:charset w:val="00"/>
    <w:family w:val="roman"/>
    <w:pitch w:val="default"/>
  </w:font>
  <w:font w:name="PingFang HK Semi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HK Regular" w:cs="Arial Unicode MS" w:hAnsi="PingFang HK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表格樣式 1">
    <w:name w:val="表格樣式 1"/>
    <w:next w:val="表格樣式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HK Semibold" w:cs="PingFang HK Semibold" w:hAnsi="PingFang HK Semibold" w:eastAsia="PingFang HK Semibold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HK Semibold"/>
        <a:ea typeface="PingFang HK Semibold"/>
        <a:cs typeface="PingFang HK Semibold"/>
      </a:majorFont>
      <a:minorFont>
        <a:latin typeface="PingFang HK Regular"/>
        <a:ea typeface="PingFang HK Regular"/>
        <a:cs typeface="PingFang HK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HK Medium"/>
            <a:ea typeface="PingFang HK Medium"/>
            <a:cs typeface="PingFang HK Medium"/>
            <a:sym typeface="PingFang HK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HK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