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GLOBALFINANCE PARTNERS</w:t>
      </w:r>
    </w:p>
    <w:p>
      <w:pPr>
        <w:spacing w:after="240"/>
        <w:jc w:val="center"/>
      </w:pPr>
      <w:r>
        <w:rPr>
          <w:b/>
          <w:bCs/>
          <w:sz w:val="32"/>
          <w:szCs w:val="32"/>
        </w:rPr>
        <w:t xml:space="preserve">Incident Management Policy</w:t>
      </w:r>
    </w:p>
    <w:p>
      <w:pPr>
        <w:spacing w:after="120"/>
        <w:jc w:val="center"/>
      </w:pPr>
      <w:r>
        <w:rPr>
          <w:sz w:val="24"/>
          <w:szCs w:val="24"/>
        </w:rPr>
        <w:t xml:space="preserve">Version 1.0</w:t>
      </w:r>
    </w:p>
    <w:p>
      <w:pPr>
        <w:spacing w:after="240"/>
        <w:jc w:val="center"/>
      </w:pPr>
      <w:r>
        <w:rPr>
          <w:sz w:val="24"/>
          <w:szCs w:val="24"/>
        </w:rPr>
        <w:t xml:space="preserve">Effective Date: May 2026</w:t>
      </w:r>
    </w:p>
    <w:p>
      <w:pPr>
        <w:spacing w:after="120"/>
        <w:jc w:val="center"/>
      </w:pPr>
      <w:r>
        <w:rPr>
          <w:b/>
          <w:bCs/>
          <w:i/>
          <w:iCs/>
          <w:sz w:val="22"/>
          <w:szCs w:val="22"/>
        </w:rPr>
        <w:t xml:space="preserve">ISO/IEC 27001:2022 Control 5-24 Compliant</w:t>
      </w:r>
    </w:p>
    <w:p>
      <w:pPr>
        <w:spacing w:after="240"/>
        <w:jc w:val="center"/>
      </w:pPr>
      <w:r>
        <w:rPr>
          <w:b/>
          <w:bCs/>
          <w:i/>
          <w:iCs/>
          <w:sz w:val="22"/>
          <w:szCs w:val="22"/>
        </w:rPr>
        <w:t xml:space="preserve">NIST SP 800-61r3 Aligned</w:t>
      </w:r>
    </w:p>
    <w:p>
      <w:pPr>
        <w:spacing w:after="480"/>
        <w:jc w:val="center"/>
      </w:pPr>
      <w:r>
        <w:rPr>
          <w:b/>
          <w:bCs/>
          <w:sz w:val="22"/>
          <w:szCs w:val="22"/>
        </w:rPr>
        <w:t xml:space="preserve">Classification: INTERNAL</w:t>
      </w:r>
    </w:p>
    <w:p>
      <w:pPr>
        <w:pStyle w:val="Heading1"/>
      </w:pPr>
      <w:r>
        <w:t xml:space="preserve">DOCUMENT CONTROL</w:t>
      </w:r>
    </w:p>
    <w:p>
      <w:pPr>
        <w:spacing w:after="240"/>
      </w:pPr>
      <w:r>
        <w:t xml:space="preserve">This Incident Management Policy establishes the framework for planning, preparing for, detecting, responding to, and learning from information security incidents in accordance with ISO/IEC 27001:2022 control 5-24 and NIST SP 800-61r3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Policy 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Priya Nair, Chief Information Security Officer</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Approved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Richard Harlow, Chief Executive Officer</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Review Frequency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or upon significant organizational change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Next Review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2027</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Last Updated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2026</w:t>
            </w:r>
          </w:p>
        </w:tc>
      </w:tr>
    </w:tbl>
    <w:p>
      <w:pPr>
        <w:spacing w:after="120" w:before="240"/>
      </w:pPr>
    </w:p>
    <w:p>
      <w:pPr>
        <w:pStyle w:val="Heading2"/>
      </w:pPr>
      <w: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160"/>
        <w:gridCol w:w="20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2026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release - ISO 27001:2022 control 5-24 compliant, NIST SP 800-61r3 aligned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 Nair, CISO</w:t>
            </w:r>
          </w:p>
        </w:tc>
      </w:tr>
    </w:tbl>
    <w:p>
      <w:pPr>
        <w:spacing w:before="480"/>
      </w:pPr>
    </w:p>
    <w:p>
      <w:pPr>
        <w:pStyle w:val="Heading1"/>
      </w:pPr>
      <w:r>
        <w:t xml:space="preserve">1. PURPOSE AND SCOPE</w:t>
      </w:r>
    </w:p>
    <w:p>
      <w:pPr>
        <w:pStyle w:val="Heading2"/>
      </w:pPr>
      <w:r>
        <w:t xml:space="preserve">1.1 Purpose</w:t>
      </w:r>
    </w:p>
    <w:p>
      <w:pPr>
        <w:spacing w:after="120"/>
      </w:pPr>
      <w:r>
        <w:t xml:space="preserve">This Incident Management Policy establishes GlobalFinance Partners' approach to planning for and managing information security incidents. The policy defines the processes, roles, responsibilities, and procedures necessary to:</w:t>
      </w:r>
    </w:p>
    <w:p>
      <w:pPr>
        <w:pStyle w:val="ListParagraph"/>
        <w:numPr>
          <w:ilvl w:val="0"/>
          <w:numId w:val="2"/>
        </w:numPr>
      </w:pPr>
      <w:r>
        <w:t xml:space="preserve">Detect and respond to information security incidents in a timely and effective manner</w:t>
      </w:r>
    </w:p>
    <w:p>
      <w:pPr>
        <w:pStyle w:val="ListParagraph"/>
        <w:numPr>
          <w:ilvl w:val="0"/>
          <w:numId w:val="2"/>
        </w:numPr>
      </w:pPr>
      <w:r>
        <w:t xml:space="preserve">Minimize the impact of security incidents on business operations and information assets</w:t>
      </w:r>
    </w:p>
    <w:p>
      <w:pPr>
        <w:pStyle w:val="ListParagraph"/>
        <w:numPr>
          <w:ilvl w:val="0"/>
          <w:numId w:val="2"/>
        </w:numPr>
      </w:pPr>
      <w:r>
        <w:t xml:space="preserve">Ensure compliance with regulatory breach notification requirements including PIPEDA, GDPR, PCI-DSS, and SOX</w:t>
      </w:r>
    </w:p>
    <w:p>
      <w:pPr>
        <w:pStyle w:val="ListParagraph"/>
        <w:numPr>
          <w:ilvl w:val="0"/>
          <w:numId w:val="2"/>
        </w:numPr>
      </w:pPr>
      <w:r>
        <w:t xml:space="preserve">Preserve evidence for forensic investigation and potential legal proceedings</w:t>
      </w:r>
    </w:p>
    <w:p>
      <w:pPr>
        <w:pStyle w:val="ListParagraph"/>
        <w:numPr>
          <w:ilvl w:val="0"/>
          <w:numId w:val="2"/>
        </w:numPr>
      </w:pPr>
      <w:r>
        <w:t xml:space="preserve">Learn from incidents to improve security controls and prevent recurrence</w:t>
      </w:r>
    </w:p>
    <w:p>
      <w:pPr>
        <w:pStyle w:val="ListParagraph"/>
        <w:numPr>
          <w:ilvl w:val="0"/>
          <w:numId w:val="2"/>
        </w:numPr>
      </w:pPr>
      <w:r>
        <w:t xml:space="preserve">Maintain stakeholder confidence through transparent and professional incident response</w:t>
      </w:r>
    </w:p>
    <w:p>
      <w:pPr>
        <w:pStyle w:val="ListParagraph"/>
        <w:numPr>
          <w:ilvl w:val="0"/>
          <w:numId w:val="2"/>
        </w:numPr>
      </w:pPr>
      <w:r>
        <w:t xml:space="preserve">Satisfy ISO/IEC 27001:2022 control 5-24 requirements for incident management planning and preparation</w:t>
      </w:r>
    </w:p>
    <w:p>
      <w:pPr>
        <w:spacing w:before="240"/>
      </w:pPr>
    </w:p>
    <w:p>
      <w:pPr>
        <w:pStyle w:val="Heading2"/>
      </w:pPr>
      <w:r>
        <w:t xml:space="preserve">1.2 Scope</w:t>
      </w:r>
    </w:p>
    <w:p>
      <w:pPr>
        <w:spacing w:after="120"/>
      </w:pPr>
      <w:r>
        <w:t xml:space="preserve">This policy applies to:</w:t>
      </w:r>
    </w:p>
    <w:p>
      <w:pPr>
        <w:pStyle w:val="ListParagraph"/>
        <w:numPr>
          <w:ilvl w:val="0"/>
          <w:numId w:val="2"/>
        </w:numPr>
      </w:pPr>
      <w:r>
        <w:t xml:space="preserve">All employees, contractors, consultants, temporary workers, and third parties with access to GlobalFinance Partners information or systems</w:t>
      </w:r>
    </w:p>
    <w:p>
      <w:pPr>
        <w:pStyle w:val="ListParagraph"/>
        <w:numPr>
          <w:ilvl w:val="0"/>
          <w:numId w:val="2"/>
        </w:numPr>
      </w:pPr>
      <w:r>
        <w:t xml:space="preserve">All information security incidents affecting GlobalFinance Partners information assets, regardless of location or format</w:t>
      </w:r>
    </w:p>
    <w:p>
      <w:pPr>
        <w:pStyle w:val="ListParagraph"/>
        <w:numPr>
          <w:ilvl w:val="0"/>
          <w:numId w:val="2"/>
        </w:numPr>
      </w:pPr>
      <w:r>
        <w:t xml:space="preserve">All information systems, networks, applications, infrastructure, and services (on-premises, cloud, hybrid)</w:t>
      </w:r>
    </w:p>
    <w:p>
      <w:pPr>
        <w:pStyle w:val="ListParagraph"/>
        <w:numPr>
          <w:ilvl w:val="0"/>
          <w:numId w:val="2"/>
        </w:numPr>
      </w:pPr>
      <w:r>
        <w:t xml:space="preserve">All third-party services and suppliers that process, store, or transmit GlobalFinance Partners information</w:t>
      </w:r>
    </w:p>
    <w:p>
      <w:pPr>
        <w:pStyle w:val="ListParagraph"/>
        <w:numPr>
          <w:ilvl w:val="0"/>
          <w:numId w:val="2"/>
        </w:numPr>
      </w:pPr>
      <w:r>
        <w:t xml:space="preserve">Physical security incidents that affect information security</w:t>
      </w:r>
    </w:p>
    <w:p>
      <w:pPr>
        <w:spacing w:before="240"/>
      </w:pPr>
    </w:p>
    <w:p>
      <w:pPr>
        <w:pStyle w:val="Heading2"/>
      </w:pPr>
      <w:r>
        <w:t xml:space="preserve">1.3 Objectives</w:t>
      </w:r>
    </w:p>
    <w:p>
      <w:pPr>
        <w:spacing w:after="120"/>
      </w:pPr>
      <w:r>
        <w:t xml:space="preserve">The objectives of this policy are to:</w:t>
      </w:r>
    </w:p>
    <w:p>
      <w:pPr>
        <w:pStyle w:val="ListParagraph"/>
        <w:numPr>
          <w:ilvl w:val="0"/>
          <w:numId w:val="2"/>
        </w:numPr>
      </w:pPr>
      <w:r>
        <w:t xml:space="preserve">Establish clear incident management processes aligned with NIST SP 800-61r3 guidance</w:t>
      </w:r>
    </w:p>
    <w:p>
      <w:pPr>
        <w:pStyle w:val="ListParagraph"/>
        <w:numPr>
          <w:ilvl w:val="0"/>
          <w:numId w:val="2"/>
        </w:numPr>
      </w:pPr>
      <w:r>
        <w:t xml:space="preserve">Define roles, responsibilities, and authorities for incident response activities</w:t>
      </w:r>
    </w:p>
    <w:p>
      <w:pPr>
        <w:pStyle w:val="ListParagraph"/>
        <w:numPr>
          <w:ilvl w:val="0"/>
          <w:numId w:val="2"/>
        </w:numPr>
      </w:pPr>
      <w:r>
        <w:t xml:space="preserve">Enable rapid detection, assessment, containment, and recovery from security incidents</w:t>
      </w:r>
    </w:p>
    <w:p>
      <w:pPr>
        <w:pStyle w:val="ListParagraph"/>
        <w:numPr>
          <w:ilvl w:val="0"/>
          <w:numId w:val="2"/>
        </w:numPr>
      </w:pPr>
      <w:r>
        <w:t xml:space="preserve">Ensure effective communication with internal stakeholders, executives, and external parties</w:t>
      </w:r>
    </w:p>
    <w:p>
      <w:pPr>
        <w:pStyle w:val="ListParagraph"/>
        <w:numPr>
          <w:ilvl w:val="0"/>
          <w:numId w:val="2"/>
        </w:numPr>
      </w:pPr>
      <w:r>
        <w:t xml:space="preserve">Maintain incident response capability through training, testing, and continuous improvement</w:t>
      </w:r>
    </w:p>
    <w:p>
      <w:pPr>
        <w:pStyle w:val="ListParagraph"/>
        <w:numPr>
          <w:ilvl w:val="0"/>
          <w:numId w:val="2"/>
        </w:numPr>
      </w:pPr>
      <w:r>
        <w:t xml:space="preserve">Support compliance with regulatory requirements and contractual obligations</w:t>
      </w:r>
    </w:p>
    <w:p>
      <w:pPr>
        <w:spacing w:before="480"/>
      </w:pPr>
    </w:p>
    <w:p>
      <w:pPr>
        <w:pStyle w:val="Heading1"/>
      </w:pPr>
      <w:r>
        <w:t xml:space="preserve">2. AUTHORITY AND COMPLIANCE</w:t>
      </w:r>
    </w:p>
    <w:p>
      <w:pPr>
        <w:pStyle w:val="Heading2"/>
      </w:pPr>
      <w:r>
        <w:t xml:space="preserve">2.1 Policy Authority</w:t>
      </w:r>
    </w:p>
    <w:p>
      <w:pPr>
        <w:spacing w:after="240"/>
      </w:pPr>
      <w:r>
        <w:t xml:space="preserve">This policy is issued under the authority of the Chief Executive Officer and is mandatory for all GlobalFinance Partners personnel and operations. The Chief Information Security Officer (CISO) is responsible for maintaining and enforcing this policy. The Chief Operating Officer (COO) provides operational support for incident response coordination.</w:t>
      </w:r>
    </w:p>
    <w:p>
      <w:pPr>
        <w:pStyle w:val="Heading2"/>
      </w:pPr>
      <w:r>
        <w:t xml:space="preserve">2.2 Regulatory and Legal Compliance</w:t>
      </w:r>
    </w:p>
    <w:p>
      <w:pPr>
        <w:spacing w:after="120"/>
      </w:pPr>
      <w:r>
        <w:t xml:space="preserve">This policy supports compliance with:</w:t>
      </w:r>
    </w:p>
    <w:p>
      <w:pPr>
        <w:pStyle w:val="ListParagraph"/>
        <w:numPr>
          <w:ilvl w:val="0"/>
          <w:numId w:val="2"/>
        </w:numPr>
      </w:pPr>
      <w:r>
        <w:t xml:space="preserve">Personal Information Protection and Electronic Documents Act (PIPEDA) - breach notification requirements</w:t>
      </w:r>
    </w:p>
    <w:p>
      <w:pPr>
        <w:pStyle w:val="ListParagraph"/>
        <w:numPr>
          <w:ilvl w:val="0"/>
          <w:numId w:val="2"/>
        </w:numPr>
      </w:pPr>
      <w:r>
        <w:t xml:space="preserve">General Data Protection Regulation (GDPR) - Articles 33 and 34 breach notification</w:t>
      </w:r>
    </w:p>
    <w:p>
      <w:pPr>
        <w:pStyle w:val="ListParagraph"/>
        <w:numPr>
          <w:ilvl w:val="0"/>
          <w:numId w:val="2"/>
        </w:numPr>
      </w:pPr>
      <w:r>
        <w:t xml:space="preserve">Payment Card Industry Data Security Standard (PCI-DSS) - incident response requirements</w:t>
      </w:r>
    </w:p>
    <w:p>
      <w:pPr>
        <w:pStyle w:val="ListParagraph"/>
        <w:numPr>
          <w:ilvl w:val="0"/>
          <w:numId w:val="2"/>
        </w:numPr>
      </w:pPr>
      <w:r>
        <w:t xml:space="preserve">Sarbanes-Oxley Act (SOX) - financial controls and fraud detection</w:t>
      </w:r>
    </w:p>
    <w:p>
      <w:pPr>
        <w:pStyle w:val="ListParagraph"/>
        <w:numPr>
          <w:ilvl w:val="0"/>
          <w:numId w:val="2"/>
        </w:numPr>
      </w:pPr>
      <w:r>
        <w:t xml:space="preserve">Provincial and federal securities regulations</w:t>
      </w:r>
    </w:p>
    <w:p>
      <w:pPr>
        <w:pStyle w:val="ListParagraph"/>
        <w:numPr>
          <w:ilvl w:val="0"/>
          <w:numId w:val="2"/>
        </w:numPr>
      </w:pPr>
      <w:r>
        <w:t xml:space="preserve">Contractual obligations with clients, partners, and service providers</w:t>
      </w:r>
    </w:p>
    <w:p>
      <w:pPr>
        <w:spacing w:before="240"/>
      </w:pPr>
    </w:p>
    <w:p>
      <w:pPr>
        <w:pStyle w:val="Heading2"/>
      </w:pPr>
      <w:r>
        <w:t xml:space="preserve">2.3 Standards and Frameworks</w:t>
      </w:r>
    </w:p>
    <w:p>
      <w:pPr>
        <w:spacing w:after="120"/>
      </w:pPr>
      <w:r>
        <w:t xml:space="preserve">This policy is aligned with:</w:t>
      </w:r>
    </w:p>
    <w:p>
      <w:pPr>
        <w:pStyle w:val="ListParagraph"/>
        <w:numPr>
          <w:ilvl w:val="0"/>
          <w:numId w:val="2"/>
        </w:numPr>
      </w:pPr>
      <w:r>
        <w:t xml:space="preserve">ISO/IEC 27001:2022 - Controls 5-24, 5-25, 5-26, 5-27, 5-28</w:t>
      </w:r>
    </w:p>
    <w:p>
      <w:pPr>
        <w:pStyle w:val="ListParagraph"/>
        <w:numPr>
          <w:ilvl w:val="0"/>
          <w:numId w:val="2"/>
        </w:numPr>
      </w:pPr>
      <w:r>
        <w:t xml:space="preserve">NIST SP 800-61 Revision 3 - Computer Security Incident Handling Guide</w:t>
      </w:r>
    </w:p>
    <w:p>
      <w:pPr>
        <w:pStyle w:val="ListParagraph"/>
        <w:numPr>
          <w:ilvl w:val="0"/>
          <w:numId w:val="2"/>
        </w:numPr>
      </w:pPr>
      <w:r>
        <w:t xml:space="preserve">NIST SP 800-100 - Information Security Handbook: A Guide for Managers</w:t>
      </w:r>
    </w:p>
    <w:p>
      <w:pPr>
        <w:pStyle w:val="ListParagraph"/>
        <w:numPr>
          <w:ilvl w:val="0"/>
          <w:numId w:val="2"/>
        </w:numPr>
      </w:pPr>
      <w:r>
        <w:t xml:space="preserve">NIST Cybersecurity Framework (CSF) - Respond and Recover functions</w:t>
      </w:r>
    </w:p>
    <w:p>
      <w:pPr>
        <w:spacing w:before="480"/>
      </w:pPr>
    </w:p>
    <w:p>
      <w:pPr>
        <w:pStyle w:val="Heading1"/>
      </w:pPr>
      <w:r>
        <w:t xml:space="preserve">3. DEFINITIONS</w:t>
      </w:r>
    </w:p>
    <w:p>
      <w:pPr>
        <w:spacing w:after="120"/>
      </w:pPr>
      <w:r>
        <w:rPr>
          <w:b/>
          <w:bCs/>
        </w:rPr>
        <w:t xml:space="preserve">Information Security Event: </w:t>
      </w:r>
      <w:r>
        <w:t xml:space="preserve">An identified occurrence of a system, service, or network state indicating a possible breach of information security policy or failure of safeguards, or a previously unknown situation that may be security relevant.</w:t>
      </w:r>
    </w:p>
    <w:p>
      <w:pPr>
        <w:spacing w:after="120"/>
      </w:pPr>
      <w:r>
        <w:rPr>
          <w:b/>
          <w:bCs/>
        </w:rPr>
        <w:t xml:space="preserve">Information Security Incident: </w:t>
      </w:r>
      <w:r>
        <w:t xml:space="preserve">A single or series of unwanted or unexpected information security events that have significant probability of compromising business operations and threatening information security. An event is classified as an incident after assessment determines it meets incident criteria.</w:t>
      </w:r>
    </w:p>
    <w:p>
      <w:pPr>
        <w:spacing w:after="120"/>
      </w:pPr>
      <w:r>
        <w:rPr>
          <w:b/>
          <w:bCs/>
        </w:rPr>
        <w:t xml:space="preserve">Data Breach: </w:t>
      </w:r>
      <w:r>
        <w:t xml:space="preserve">An incident involving confirmed or suspected unauthorized access to, disclosure of, or loss of personal information, protected health information, payment card data, or other regulated data.</w:t>
      </w:r>
    </w:p>
    <w:p>
      <w:pPr>
        <w:spacing w:after="120"/>
      </w:pPr>
      <w:r>
        <w:rPr>
          <w:b/>
          <w:bCs/>
        </w:rPr>
        <w:t xml:space="preserve">Incident Response Team (IRT): </w:t>
      </w:r>
      <w:r>
        <w:t xml:space="preserve">The designated team responsible for managing information security incidents from detection through post-incident review.</w:t>
      </w:r>
    </w:p>
    <w:p>
      <w:pPr>
        <w:spacing w:after="120"/>
      </w:pPr>
      <w:r>
        <w:rPr>
          <w:b/>
          <w:bCs/>
        </w:rPr>
        <w:t xml:space="preserve">Containment: </w:t>
      </w:r>
      <w:r>
        <w:t xml:space="preserve">Actions taken to limit the scope and magnitude of an incident while maintaining business operations.</w:t>
      </w:r>
    </w:p>
    <w:p>
      <w:pPr>
        <w:spacing w:after="120"/>
      </w:pPr>
      <w:r>
        <w:rPr>
          <w:b/>
          <w:bCs/>
        </w:rPr>
        <w:t xml:space="preserve">Eradication: </w:t>
      </w:r>
      <w:r>
        <w:t xml:space="preserve">The process of removing the cause of an incident and restoring affected systems to a secure state.</w:t>
      </w:r>
    </w:p>
    <w:p>
      <w:pPr>
        <w:spacing w:after="120"/>
      </w:pPr>
      <w:r>
        <w:rPr>
          <w:b/>
          <w:bCs/>
        </w:rPr>
        <w:t xml:space="preserve">Recovery: </w:t>
      </w:r>
      <w:r>
        <w:t xml:space="preserve">The process of restoring systems and services to normal operation and confirming that systems are functioning normally.</w:t>
      </w:r>
    </w:p>
    <w:p>
      <w:pPr>
        <w:spacing w:after="120"/>
      </w:pPr>
      <w:r>
        <w:rPr>
          <w:b/>
          <w:bCs/>
        </w:rPr>
        <w:t xml:space="preserve">Root Cause Analysis: </w:t>
      </w:r>
      <w:r>
        <w:t xml:space="preserve">A methodical process for identifying the underlying cause of an incident to prevent recurrence.</w:t>
      </w:r>
    </w:p>
    <w:p>
      <w:pPr>
        <w:spacing w:after="120"/>
      </w:pPr>
      <w:r>
        <w:rPr>
          <w:b/>
          <w:bCs/>
        </w:rPr>
        <w:t xml:space="preserve">Forensic Evidence: </w:t>
      </w:r>
      <w:r>
        <w:t xml:space="preserve">Information and materials collected, preserved, and analyzed to support incident investigation and potential legal proceedings.</w:t>
      </w:r>
    </w:p>
    <w:p>
      <w:pPr>
        <w:spacing w:before="480"/>
      </w:pPr>
    </w:p>
    <w:p>
      <w:pPr>
        <w:pStyle w:val="Heading1"/>
      </w:pPr>
      <w:r>
        <w:t xml:space="preserve">4. INCIDENT MANAGEMENT FRAMEWORK</w:t>
      </w:r>
    </w:p>
    <w:p>
      <w:pPr>
        <w:pStyle w:val="Heading2"/>
      </w:pPr>
      <w:r>
        <w:t xml:space="preserve">4.1 Framework Overview</w:t>
      </w:r>
    </w:p>
    <w:p>
      <w:pPr>
        <w:spacing w:after="120"/>
      </w:pPr>
      <w:r>
        <w:t xml:space="preserve">GlobalFinance Partners' incident management framework follows the NIST SP 800-61r3 incident response lifecycle consisting of four main phases:</w:t>
      </w:r>
    </w:p>
    <w:p>
      <w:pPr>
        <w:pStyle w:val="ListParagraph"/>
        <w:numPr>
          <w:ilvl w:val="0"/>
          <w:numId w:val="2"/>
        </w:numPr>
      </w:pPr>
      <w:r>
        <w:rPr>
          <w:b/>
          <w:bCs/>
        </w:rPr>
        <w:t xml:space="preserve">Preparation: </w:t>
      </w:r>
      <w:r>
        <w:t xml:space="preserve">Establishing and maintaining incident response capability, tools, and procedures</w:t>
      </w:r>
    </w:p>
    <w:p>
      <w:pPr>
        <w:pStyle w:val="ListParagraph"/>
        <w:numPr>
          <w:ilvl w:val="0"/>
          <w:numId w:val="2"/>
        </w:numPr>
      </w:pPr>
      <w:r>
        <w:rPr>
          <w:b/>
          <w:bCs/>
        </w:rPr>
        <w:t xml:space="preserve">Detection and Analysis: </w:t>
      </w:r>
      <w:r>
        <w:t xml:space="preserve">Identifying, assessing, and categorizing security events and incidents</w:t>
      </w:r>
    </w:p>
    <w:p>
      <w:pPr>
        <w:pStyle w:val="ListParagraph"/>
        <w:numPr>
          <w:ilvl w:val="0"/>
          <w:numId w:val="2"/>
        </w:numPr>
      </w:pPr>
      <w:r>
        <w:rPr>
          <w:b/>
          <w:bCs/>
        </w:rPr>
        <w:t xml:space="preserve">Containment, Eradication, and Recovery: </w:t>
      </w:r>
      <w:r>
        <w:t xml:space="preserve">Responding to incidents to limit damage and restore normal operations</w:t>
      </w:r>
    </w:p>
    <w:p>
      <w:pPr>
        <w:pStyle w:val="ListParagraph"/>
        <w:numPr>
          <w:ilvl w:val="0"/>
          <w:numId w:val="2"/>
        </w:numPr>
      </w:pPr>
      <w:r>
        <w:rPr>
          <w:b/>
          <w:bCs/>
        </w:rPr>
        <w:t xml:space="preserve">Post-Incident Activity: </w:t>
      </w:r>
      <w:r>
        <w:t xml:space="preserve">Learning from incidents to improve security posture and response capabilities</w:t>
      </w:r>
    </w:p>
    <w:p>
      <w:pPr>
        <w:spacing w:before="240"/>
      </w:pPr>
    </w:p>
    <w:p>
      <w:pPr>
        <w:pStyle w:val="Heading2"/>
      </w:pPr>
      <w:r>
        <w:t xml:space="preserve">4.2 Incident Types</w:t>
      </w:r>
    </w:p>
    <w:p>
      <w:pPr>
        <w:spacing w:after="120"/>
      </w:pPr>
      <w:r>
        <w:t xml:space="preserve">GlobalFinance Partners categorizes incidents into the following types:</w:t>
      </w:r>
    </w:p>
    <w:p>
      <w:pPr>
        <w:pStyle w:val="ListParagraph"/>
        <w:numPr>
          <w:ilvl w:val="0"/>
          <w:numId w:val="2"/>
        </w:numPr>
      </w:pPr>
      <w:r>
        <w:rPr>
          <w:b/>
          <w:bCs/>
        </w:rPr>
        <w:t xml:space="preserve">Unauthorized Access: </w:t>
      </w:r>
      <w:r>
        <w:t xml:space="preserve">Successful intrusion into systems, applications, or networks</w:t>
      </w:r>
    </w:p>
    <w:p>
      <w:pPr>
        <w:pStyle w:val="ListParagraph"/>
        <w:numPr>
          <w:ilvl w:val="0"/>
          <w:numId w:val="2"/>
        </w:numPr>
      </w:pPr>
      <w:r>
        <w:rPr>
          <w:b/>
          <w:bCs/>
        </w:rPr>
        <w:t xml:space="preserve">Malware: </w:t>
      </w:r>
      <w:r>
        <w:t xml:space="preserve">Virus, worm, trojan, ransomware, or other malicious software infection</w:t>
      </w:r>
    </w:p>
    <w:p>
      <w:pPr>
        <w:pStyle w:val="ListParagraph"/>
        <w:numPr>
          <w:ilvl w:val="0"/>
          <w:numId w:val="2"/>
        </w:numPr>
      </w:pPr>
      <w:r>
        <w:rPr>
          <w:b/>
          <w:bCs/>
        </w:rPr>
        <w:t xml:space="preserve">Denial of Service: </w:t>
      </w:r>
      <w:r>
        <w:t xml:space="preserve">Attacks that impair or block system or service availability</w:t>
      </w:r>
    </w:p>
    <w:p>
      <w:pPr>
        <w:pStyle w:val="ListParagraph"/>
        <w:numPr>
          <w:ilvl w:val="0"/>
          <w:numId w:val="2"/>
        </w:numPr>
      </w:pPr>
      <w:r>
        <w:rPr>
          <w:b/>
          <w:bCs/>
        </w:rPr>
        <w:t xml:space="preserve">Data Breach: </w:t>
      </w:r>
      <w:r>
        <w:t xml:space="preserve">Unauthorized access to, disclosure of, or loss of sensitive information</w:t>
      </w:r>
    </w:p>
    <w:p>
      <w:pPr>
        <w:pStyle w:val="ListParagraph"/>
        <w:numPr>
          <w:ilvl w:val="0"/>
          <w:numId w:val="2"/>
        </w:numPr>
      </w:pPr>
      <w:r>
        <w:rPr>
          <w:b/>
          <w:bCs/>
        </w:rPr>
        <w:t xml:space="preserve">Phishing/Social Engineering: </w:t>
      </w:r>
      <w:r>
        <w:t xml:space="preserve">Successful manipulation of personnel to disclose information or perform actions</w:t>
      </w:r>
    </w:p>
    <w:p>
      <w:pPr>
        <w:pStyle w:val="ListParagraph"/>
        <w:numPr>
          <w:ilvl w:val="0"/>
          <w:numId w:val="2"/>
        </w:numPr>
      </w:pPr>
      <w:r>
        <w:rPr>
          <w:b/>
          <w:bCs/>
        </w:rPr>
        <w:t xml:space="preserve">Insider Threat: </w:t>
      </w:r>
      <w:r>
        <w:t xml:space="preserve">Malicious or negligent actions by authorized personnel</w:t>
      </w:r>
    </w:p>
    <w:p>
      <w:pPr>
        <w:pStyle w:val="ListParagraph"/>
        <w:numPr>
          <w:ilvl w:val="0"/>
          <w:numId w:val="2"/>
        </w:numPr>
      </w:pPr>
      <w:r>
        <w:rPr>
          <w:b/>
          <w:bCs/>
        </w:rPr>
        <w:t xml:space="preserve">Physical Security: </w:t>
      </w:r>
      <w:r>
        <w:t xml:space="preserve">Unauthorized physical access to facilities or equipment</w:t>
      </w:r>
    </w:p>
    <w:p>
      <w:pPr>
        <w:pStyle w:val="ListParagraph"/>
        <w:numPr>
          <w:ilvl w:val="0"/>
          <w:numId w:val="2"/>
        </w:numPr>
      </w:pPr>
      <w:r>
        <w:rPr>
          <w:b/>
          <w:bCs/>
        </w:rPr>
        <w:t xml:space="preserve">Third-Party: </w:t>
      </w:r>
      <w:r>
        <w:t xml:space="preserve">Incidents originating from or affecting third-party services or suppliers</w:t>
      </w:r>
    </w:p>
    <w:p>
      <w:pPr>
        <w:pStyle w:val="ListParagraph"/>
        <w:numPr>
          <w:ilvl w:val="0"/>
          <w:numId w:val="2"/>
        </w:numPr>
      </w:pPr>
      <w:r>
        <w:rPr>
          <w:b/>
          <w:bCs/>
        </w:rPr>
        <w:t xml:space="preserve">Policy Violation: </w:t>
      </w:r>
      <w:r>
        <w:t xml:space="preserve">Intentional or unintentional violation of security policies</w:t>
      </w:r>
    </w:p>
    <w:p>
      <w:pPr>
        <w:spacing w:before="480"/>
      </w:pPr>
    </w:p>
    <w:p>
      <w:pPr>
        <w:pStyle w:val="Heading1"/>
      </w:pPr>
      <w:r>
        <w:t xml:space="preserve">5. ROLES AND RESPONSIBILITIES</w:t>
      </w:r>
    </w:p>
    <w:p>
      <w:pPr>
        <w:pStyle w:val="Heading2"/>
      </w:pPr>
      <w:r>
        <w:t xml:space="preserve">5.1 Executive Leadership</w:t>
      </w:r>
    </w:p>
    <w:p>
      <w:pPr>
        <w:pStyle w:val="Heading3"/>
      </w:pPr>
      <w:r>
        <w:t xml:space="preserve">5.1.1 Chief Executive Officer (CEO)</w:t>
      </w:r>
    </w:p>
    <w:p>
      <w:pPr>
        <w:spacing w:after="120"/>
      </w:pPr>
      <w:r>
        <w:t xml:space="preserve">Richard Harlow, Chief Executive Officer, responsibilities:</w:t>
      </w:r>
    </w:p>
    <w:p>
      <w:pPr>
        <w:pStyle w:val="ListParagraph"/>
        <w:numPr>
          <w:ilvl w:val="0"/>
          <w:numId w:val="2"/>
        </w:numPr>
      </w:pPr>
      <w:r>
        <w:t xml:space="preserve">Overall accountability for incident management program effectiveness</w:t>
      </w:r>
    </w:p>
    <w:p>
      <w:pPr>
        <w:pStyle w:val="ListParagraph"/>
        <w:numPr>
          <w:ilvl w:val="0"/>
          <w:numId w:val="2"/>
        </w:numPr>
      </w:pPr>
      <w:r>
        <w:t xml:space="preserve">Final authority for critical incident response decisions</w:t>
      </w:r>
    </w:p>
    <w:p>
      <w:pPr>
        <w:pStyle w:val="ListParagraph"/>
        <w:numPr>
          <w:ilvl w:val="0"/>
          <w:numId w:val="2"/>
        </w:numPr>
      </w:pPr>
      <w:r>
        <w:t xml:space="preserve">Approval of external communications regarding significant incidents</w:t>
      </w:r>
    </w:p>
    <w:p>
      <w:pPr>
        <w:pStyle w:val="ListParagraph"/>
        <w:numPr>
          <w:ilvl w:val="0"/>
          <w:numId w:val="2"/>
        </w:numPr>
      </w:pPr>
      <w:r>
        <w:t xml:space="preserve">Authorization of resources for incident response activities</w:t>
      </w:r>
    </w:p>
    <w:p>
      <w:pPr>
        <w:spacing w:before="240"/>
      </w:pPr>
    </w:p>
    <w:p>
      <w:pPr>
        <w:pStyle w:val="Heading3"/>
      </w:pPr>
      <w:r>
        <w:t xml:space="preserve">5.1.2 Chief Information Security Officer (CISO)</w:t>
      </w:r>
    </w:p>
    <w:p>
      <w:pPr>
        <w:spacing w:after="120"/>
      </w:pPr>
      <w:r>
        <w:t xml:space="preserve">Priya Nair, Chief Information Security Officer, responsibilities:</w:t>
      </w:r>
    </w:p>
    <w:p>
      <w:pPr>
        <w:pStyle w:val="ListParagraph"/>
        <w:numPr>
          <w:ilvl w:val="0"/>
          <w:numId w:val="2"/>
        </w:numPr>
      </w:pPr>
      <w:r>
        <w:t xml:space="preserve">Overall responsibility for incident management program and Incident Response Team</w:t>
      </w:r>
    </w:p>
    <w:p>
      <w:pPr>
        <w:pStyle w:val="ListParagraph"/>
        <w:numPr>
          <w:ilvl w:val="0"/>
          <w:numId w:val="2"/>
        </w:numPr>
      </w:pPr>
      <w:r>
        <w:t xml:space="preserve">Authority to declare incidents and activate incident response procedures</w:t>
      </w:r>
    </w:p>
    <w:p>
      <w:pPr>
        <w:pStyle w:val="ListParagraph"/>
        <w:numPr>
          <w:ilvl w:val="0"/>
          <w:numId w:val="2"/>
        </w:numPr>
      </w:pPr>
      <w:r>
        <w:t xml:space="preserve">Incident Response Team leadership and coordination</w:t>
      </w:r>
    </w:p>
    <w:p>
      <w:pPr>
        <w:pStyle w:val="ListParagraph"/>
        <w:numPr>
          <w:ilvl w:val="0"/>
          <w:numId w:val="2"/>
        </w:numPr>
      </w:pPr>
      <w:r>
        <w:t xml:space="preserve">Notification to executive leadership and Board of Directors for significant incidents</w:t>
      </w:r>
    </w:p>
    <w:p>
      <w:pPr>
        <w:pStyle w:val="ListParagraph"/>
        <w:numPr>
          <w:ilvl w:val="0"/>
          <w:numId w:val="2"/>
        </w:numPr>
      </w:pPr>
      <w:r>
        <w:t xml:space="preserve">Coordination with regulatory authorities and law enforcement when required</w:t>
      </w:r>
    </w:p>
    <w:p>
      <w:pPr>
        <w:pStyle w:val="ListParagraph"/>
        <w:numPr>
          <w:ilvl w:val="0"/>
          <w:numId w:val="2"/>
        </w:numPr>
      </w:pPr>
      <w:r>
        <w:t xml:space="preserve">Post-incident review and lessons learned process</w:t>
      </w:r>
    </w:p>
    <w:p>
      <w:pPr>
        <w:pStyle w:val="ListParagraph"/>
        <w:numPr>
          <w:ilvl w:val="0"/>
          <w:numId w:val="2"/>
        </w:numPr>
      </w:pPr>
      <w:r>
        <w:t xml:space="preserve">Annual incident response testing and training program oversight</w:t>
      </w:r>
    </w:p>
    <w:p>
      <w:pPr>
        <w:spacing w:before="240"/>
      </w:pPr>
    </w:p>
    <w:p>
      <w:pPr>
        <w:pStyle w:val="Heading3"/>
      </w:pPr>
      <w:r>
        <w:t xml:space="preserve">5.1.3 Chief Operating Officer (COO)</w:t>
      </w:r>
    </w:p>
    <w:p>
      <w:pPr>
        <w:spacing w:after="120"/>
      </w:pPr>
      <w:r>
        <w:t xml:space="preserve">James Whitfield, Chief Operating Officer, responsibilities:</w:t>
      </w:r>
    </w:p>
    <w:p>
      <w:pPr>
        <w:pStyle w:val="ListParagraph"/>
        <w:numPr>
          <w:ilvl w:val="0"/>
          <w:numId w:val="2"/>
        </w:numPr>
      </w:pPr>
      <w:r>
        <w:t xml:space="preserve">Business impact assessment and operational continuity during incidents</w:t>
      </w:r>
    </w:p>
    <w:p>
      <w:pPr>
        <w:pStyle w:val="ListParagraph"/>
        <w:numPr>
          <w:ilvl w:val="0"/>
          <w:numId w:val="2"/>
        </w:numPr>
      </w:pPr>
      <w:r>
        <w:t xml:space="preserve">Coordination with business units on incident response activities</w:t>
      </w:r>
    </w:p>
    <w:p>
      <w:pPr>
        <w:pStyle w:val="ListParagraph"/>
        <w:numPr>
          <w:ilvl w:val="0"/>
          <w:numId w:val="2"/>
        </w:numPr>
      </w:pPr>
      <w:r>
        <w:t xml:space="preserve">Business continuity plan activation when required</w:t>
      </w:r>
    </w:p>
    <w:p>
      <w:pPr>
        <w:pStyle w:val="ListParagraph"/>
        <w:numPr>
          <w:ilvl w:val="0"/>
          <w:numId w:val="2"/>
        </w:numPr>
      </w:pPr>
      <w:r>
        <w:t xml:space="preserve">Resource allocation and operational support for incident response</w:t>
      </w:r>
    </w:p>
    <w:p>
      <w:pPr>
        <w:spacing w:before="240"/>
      </w:pPr>
    </w:p>
    <w:p>
      <w:pPr>
        <w:pStyle w:val="Heading3"/>
      </w:pPr>
      <w:r>
        <w:t xml:space="preserve">5.1.4 Chief Information Officer (CIO)</w:t>
      </w:r>
    </w:p>
    <w:p>
      <w:pPr>
        <w:spacing w:after="120"/>
      </w:pPr>
      <w:r>
        <w:t xml:space="preserve">Marcus Chen, Chief Information Officer, responsibilities:</w:t>
      </w:r>
    </w:p>
    <w:p>
      <w:pPr>
        <w:pStyle w:val="ListParagraph"/>
        <w:numPr>
          <w:ilvl w:val="0"/>
          <w:numId w:val="2"/>
        </w:numPr>
      </w:pPr>
      <w:r>
        <w:t xml:space="preserve">IT infrastructure and systems recovery during incidents</w:t>
      </w:r>
    </w:p>
    <w:p>
      <w:pPr>
        <w:pStyle w:val="ListParagraph"/>
        <w:numPr>
          <w:ilvl w:val="0"/>
          <w:numId w:val="2"/>
        </w:numPr>
      </w:pPr>
      <w:r>
        <w:t xml:space="preserve">Technical incident response coordination with IT teams</w:t>
      </w:r>
    </w:p>
    <w:p>
      <w:pPr>
        <w:pStyle w:val="ListParagraph"/>
        <w:numPr>
          <w:ilvl w:val="0"/>
          <w:numId w:val="2"/>
        </w:numPr>
      </w:pPr>
      <w:r>
        <w:t xml:space="preserve">IT disaster recovery plan activation when required</w:t>
      </w:r>
    </w:p>
    <w:p>
      <w:pPr>
        <w:pStyle w:val="ListParagraph"/>
        <w:numPr>
          <w:ilvl w:val="0"/>
          <w:numId w:val="2"/>
        </w:numPr>
      </w:pPr>
      <w:r>
        <w:t xml:space="preserve">Backup and restoration capabilities for affected systems</w:t>
      </w:r>
    </w:p>
    <w:p>
      <w:pPr>
        <w:spacing w:before="240"/>
      </w:pPr>
    </w:p>
    <w:p>
      <w:pPr>
        <w:pStyle w:val="Heading3"/>
      </w:pPr>
      <w:r>
        <w:t xml:space="preserve">5.1.5 Chief Compliance Officer (CCO)</w:t>
      </w:r>
    </w:p>
    <w:p>
      <w:pPr>
        <w:spacing w:after="120"/>
      </w:pPr>
      <w:r>
        <w:t xml:space="preserve">Elaine Rousseau, Chief Compliance Officer, responsibilities:</w:t>
      </w:r>
    </w:p>
    <w:p>
      <w:pPr>
        <w:pStyle w:val="ListParagraph"/>
        <w:numPr>
          <w:ilvl w:val="0"/>
          <w:numId w:val="2"/>
        </w:numPr>
      </w:pPr>
      <w:r>
        <w:t xml:space="preserve">Regulatory breach notification requirements assessment</w:t>
      </w:r>
    </w:p>
    <w:p>
      <w:pPr>
        <w:pStyle w:val="ListParagraph"/>
        <w:numPr>
          <w:ilvl w:val="0"/>
          <w:numId w:val="2"/>
        </w:numPr>
      </w:pPr>
      <w:r>
        <w:t xml:space="preserve">Coordination of regulatory notifications (PIPEDA, GDPR, PCI-DSS, securities regulators)</w:t>
      </w:r>
    </w:p>
    <w:p>
      <w:pPr>
        <w:pStyle w:val="ListParagraph"/>
        <w:numPr>
          <w:ilvl w:val="0"/>
          <w:numId w:val="2"/>
        </w:numPr>
      </w:pPr>
      <w:r>
        <w:t xml:space="preserve">Documentation for regulatory compliance and audit requirements</w:t>
      </w:r>
    </w:p>
    <w:p>
      <w:pPr>
        <w:pStyle w:val="ListParagraph"/>
        <w:numPr>
          <w:ilvl w:val="0"/>
          <w:numId w:val="2"/>
        </w:numPr>
      </w:pPr>
      <w:r>
        <w:t xml:space="preserve">Internal audit coordination for incident-related reviews</w:t>
      </w:r>
    </w:p>
    <w:p>
      <w:pPr>
        <w:spacing w:before="240"/>
      </w:pPr>
    </w:p>
    <w:p>
      <w:pPr>
        <w:pStyle w:val="Heading3"/>
      </w:pPr>
      <w:r>
        <w:t xml:space="preserve">5.1.6 VP of Legal Affairs</w:t>
      </w:r>
    </w:p>
    <w:p>
      <w:pPr>
        <w:spacing w:after="120"/>
      </w:pPr>
      <w:r>
        <w:t xml:space="preserve">Nathaniel Burke, VP of Legal Affairs, responsibilities:</w:t>
      </w:r>
    </w:p>
    <w:p>
      <w:pPr>
        <w:pStyle w:val="ListParagraph"/>
        <w:numPr>
          <w:ilvl w:val="0"/>
          <w:numId w:val="2"/>
        </w:numPr>
      </w:pPr>
      <w:r>
        <w:t xml:space="preserve">Legal counsel on incident response activities</w:t>
      </w:r>
    </w:p>
    <w:p>
      <w:pPr>
        <w:pStyle w:val="ListParagraph"/>
        <w:numPr>
          <w:ilvl w:val="0"/>
          <w:numId w:val="2"/>
        </w:numPr>
      </w:pPr>
      <w:r>
        <w:t xml:space="preserve">Attorney-client privilege protection for forensic investigations</w:t>
      </w:r>
    </w:p>
    <w:p>
      <w:pPr>
        <w:pStyle w:val="ListParagraph"/>
        <w:numPr>
          <w:ilvl w:val="0"/>
          <w:numId w:val="2"/>
        </w:numPr>
      </w:pPr>
      <w:r>
        <w:t xml:space="preserve">Contractual breach notification to clients and partners</w:t>
      </w:r>
    </w:p>
    <w:p>
      <w:pPr>
        <w:pStyle w:val="ListParagraph"/>
        <w:numPr>
          <w:ilvl w:val="0"/>
          <w:numId w:val="2"/>
        </w:numPr>
      </w:pPr>
      <w:r>
        <w:t xml:space="preserve">Coordination with law enforcement and external legal counsel</w:t>
      </w:r>
    </w:p>
    <w:p>
      <w:pPr>
        <w:pStyle w:val="ListParagraph"/>
        <w:numPr>
          <w:ilvl w:val="0"/>
          <w:numId w:val="2"/>
        </w:numPr>
      </w:pPr>
      <w:r>
        <w:t xml:space="preserve">Review of customer/public communications for legal risk</w:t>
      </w:r>
    </w:p>
    <w:p>
      <w:pPr>
        <w:spacing w:before="240"/>
      </w:pPr>
    </w:p>
    <w:p>
      <w:pPr>
        <w:pStyle w:val="Heading2"/>
      </w:pPr>
      <w:r>
        <w:t xml:space="preserve">5.2 Incident Response Team (IRT)</w:t>
      </w:r>
    </w:p>
    <w:p>
      <w:pPr>
        <w:spacing w:after="120"/>
      </w:pPr>
      <w:r>
        <w:t xml:space="preserve">The Incident Response Team is a cross-functional team responsible for managing incidents from detection through post-incident review. The IRT is led by the CISO and includes:</w:t>
      </w:r>
    </w:p>
    <w:p>
      <w:pPr>
        <w:pStyle w:val="ListParagraph"/>
        <w:numPr>
          <w:ilvl w:val="0"/>
          <w:numId w:val="2"/>
        </w:numPr>
      </w:pPr>
      <w:r>
        <w:rPr>
          <w:b/>
          <w:bCs/>
        </w:rPr>
        <w:t xml:space="preserve">IRT Lead: </w:t>
      </w:r>
      <w:r>
        <w:t xml:space="preserve">CISO (primary), designated deputy (alternate)</w:t>
      </w:r>
    </w:p>
    <w:p>
      <w:pPr>
        <w:pStyle w:val="ListParagraph"/>
        <w:numPr>
          <w:ilvl w:val="0"/>
          <w:numId w:val="2"/>
        </w:numPr>
      </w:pPr>
      <w:r>
        <w:rPr>
          <w:b/>
          <w:bCs/>
        </w:rPr>
        <w:t xml:space="preserve">Security Operations: </w:t>
      </w:r>
      <w:r>
        <w:t xml:space="preserve">Security Operations Center (SOC) Manager and analysts</w:t>
      </w:r>
    </w:p>
    <w:p>
      <w:pPr>
        <w:pStyle w:val="ListParagraph"/>
        <w:numPr>
          <w:ilvl w:val="0"/>
          <w:numId w:val="2"/>
        </w:numPr>
      </w:pPr>
      <w:r>
        <w:rPr>
          <w:b/>
          <w:bCs/>
        </w:rPr>
        <w:t xml:space="preserve">IT Operations: </w:t>
      </w:r>
      <w:r>
        <w:t xml:space="preserve">IT Operations Manager and system administrators</w:t>
      </w:r>
    </w:p>
    <w:p>
      <w:pPr>
        <w:pStyle w:val="ListParagraph"/>
        <w:numPr>
          <w:ilvl w:val="0"/>
          <w:numId w:val="2"/>
        </w:numPr>
      </w:pPr>
      <w:r>
        <w:rPr>
          <w:b/>
          <w:bCs/>
        </w:rPr>
        <w:t xml:space="preserve">Network Security: </w:t>
      </w:r>
      <w:r>
        <w:t xml:space="preserve">Network security engineers</w:t>
      </w:r>
    </w:p>
    <w:p>
      <w:pPr>
        <w:pStyle w:val="ListParagraph"/>
        <w:numPr>
          <w:ilvl w:val="0"/>
          <w:numId w:val="2"/>
        </w:numPr>
      </w:pPr>
      <w:r>
        <w:rPr>
          <w:b/>
          <w:bCs/>
        </w:rPr>
        <w:t xml:space="preserve">Forensics: </w:t>
      </w:r>
      <w:r>
        <w:t xml:space="preserve">Digital forensics specialist (internal or external)</w:t>
      </w:r>
    </w:p>
    <w:p>
      <w:pPr>
        <w:pStyle w:val="ListParagraph"/>
        <w:numPr>
          <w:ilvl w:val="0"/>
          <w:numId w:val="2"/>
        </w:numPr>
      </w:pPr>
      <w:r>
        <w:rPr>
          <w:b/>
          <w:bCs/>
        </w:rPr>
        <w:t xml:space="preserve">Legal: </w:t>
      </w:r>
      <w:r>
        <w:t xml:space="preserve">Legal counsel representative</w:t>
      </w:r>
    </w:p>
    <w:p>
      <w:pPr>
        <w:pStyle w:val="ListParagraph"/>
        <w:numPr>
          <w:ilvl w:val="0"/>
          <w:numId w:val="2"/>
        </w:numPr>
      </w:pPr>
      <w:r>
        <w:rPr>
          <w:b/>
          <w:bCs/>
        </w:rPr>
        <w:t xml:space="preserve">Compliance: </w:t>
      </w:r>
      <w:r>
        <w:t xml:space="preserve">Compliance representative</w:t>
      </w:r>
    </w:p>
    <w:p>
      <w:pPr>
        <w:pStyle w:val="ListParagraph"/>
        <w:numPr>
          <w:ilvl w:val="0"/>
          <w:numId w:val="2"/>
        </w:numPr>
      </w:pPr>
      <w:r>
        <w:rPr>
          <w:b/>
          <w:bCs/>
        </w:rPr>
        <w:t xml:space="preserve">Communications: </w:t>
      </w:r>
      <w:r>
        <w:t xml:space="preserve">Corporate communications representative</w:t>
      </w:r>
    </w:p>
    <w:p>
      <w:pPr>
        <w:pStyle w:val="ListParagraph"/>
        <w:numPr>
          <w:ilvl w:val="0"/>
          <w:numId w:val="2"/>
        </w:numPr>
      </w:pPr>
      <w:r>
        <w:rPr>
          <w:b/>
          <w:bCs/>
        </w:rPr>
        <w:t xml:space="preserve">Business Representatives: </w:t>
      </w:r>
      <w:r>
        <w:t xml:space="preserve">Representatives from affected business units (as needed)</w:t>
      </w:r>
    </w:p>
    <w:p>
      <w:pPr>
        <w:spacing w:before="240"/>
      </w:pPr>
    </w:p>
    <w:p>
      <w:pPr>
        <w:pStyle w:val="Heading2"/>
      </w:pPr>
      <w:r>
        <w:t xml:space="preserve">5.3 All Personnel Responsibilities</w:t>
      </w:r>
    </w:p>
    <w:p>
      <w:pPr>
        <w:spacing w:after="120"/>
      </w:pPr>
      <w:r>
        <w:t xml:space="preserve">All employees, contractors, and third parties are responsible for:</w:t>
      </w:r>
    </w:p>
    <w:p>
      <w:pPr>
        <w:pStyle w:val="ListParagraph"/>
        <w:numPr>
          <w:ilvl w:val="0"/>
          <w:numId w:val="2"/>
        </w:numPr>
      </w:pPr>
      <w:r>
        <w:t xml:space="preserve">Immediately reporting suspected security incidents through designated channels</w:t>
      </w:r>
    </w:p>
    <w:p>
      <w:pPr>
        <w:pStyle w:val="ListParagraph"/>
        <w:numPr>
          <w:ilvl w:val="0"/>
          <w:numId w:val="2"/>
        </w:numPr>
      </w:pPr>
      <w:r>
        <w:t xml:space="preserve">Preserving evidence and refraining from actions that may compromise investigation</w:t>
      </w:r>
    </w:p>
    <w:p>
      <w:pPr>
        <w:pStyle w:val="ListParagraph"/>
        <w:numPr>
          <w:ilvl w:val="0"/>
          <w:numId w:val="2"/>
        </w:numPr>
      </w:pPr>
      <w:r>
        <w:t xml:space="preserve">Following instructions from the Incident Response Team during active incidents</w:t>
      </w:r>
    </w:p>
    <w:p>
      <w:pPr>
        <w:pStyle w:val="ListParagraph"/>
        <w:numPr>
          <w:ilvl w:val="0"/>
          <w:numId w:val="2"/>
        </w:numPr>
      </w:pPr>
      <w:r>
        <w:t xml:space="preserve">Maintaining confidentiality of incident details unless authorized to disclose</w:t>
      </w:r>
    </w:p>
    <w:p>
      <w:pPr>
        <w:pStyle w:val="ListParagraph"/>
        <w:numPr>
          <w:ilvl w:val="0"/>
          <w:numId w:val="2"/>
        </w:numPr>
      </w:pPr>
      <w:r>
        <w:t xml:space="preserve">Participating in incident response training and tabletop exercises</w:t>
      </w:r>
    </w:p>
    <w:p>
      <w:pPr>
        <w:spacing w:before="480"/>
      </w:pPr>
    </w:p>
    <w:p>
      <w:pPr>
        <w:pStyle w:val="Heading1"/>
      </w:pPr>
      <w:r>
        <w:t xml:space="preserve">6. INCIDENT DETECTION AND REPORTING</w:t>
      </w:r>
    </w:p>
    <w:p>
      <w:pPr>
        <w:pStyle w:val="Heading2"/>
      </w:pPr>
      <w:r>
        <w:t xml:space="preserve">6.1 Detection Methods</w:t>
      </w:r>
    </w:p>
    <w:p>
      <w:pPr>
        <w:spacing w:after="120"/>
      </w:pPr>
      <w:r>
        <w:t xml:space="preserve">GlobalFinance Partners employs multiple detection methods:</w:t>
      </w:r>
    </w:p>
    <w:p>
      <w:pPr>
        <w:pStyle w:val="ListParagraph"/>
        <w:numPr>
          <w:ilvl w:val="0"/>
          <w:numId w:val="2"/>
        </w:numPr>
      </w:pPr>
      <w:r>
        <w:rPr>
          <w:b/>
          <w:bCs/>
        </w:rPr>
        <w:t xml:space="preserve">Security Monitoring Systems: </w:t>
      </w:r>
      <w:r>
        <w:t xml:space="preserve">SIEM, IDS/IPS, endpoint detection and response (EDR), DLP, firewall logs</w:t>
      </w:r>
    </w:p>
    <w:p>
      <w:pPr>
        <w:pStyle w:val="ListParagraph"/>
        <w:numPr>
          <w:ilvl w:val="0"/>
          <w:numId w:val="2"/>
        </w:numPr>
      </w:pPr>
      <w:r>
        <w:rPr>
          <w:b/>
          <w:bCs/>
        </w:rPr>
        <w:t xml:space="preserve">Automated Alerts: </w:t>
      </w:r>
      <w:r>
        <w:t xml:space="preserve">Triggered by security controls and monitoring tools</w:t>
      </w:r>
    </w:p>
    <w:p>
      <w:pPr>
        <w:pStyle w:val="ListParagraph"/>
        <w:numPr>
          <w:ilvl w:val="0"/>
          <w:numId w:val="2"/>
        </w:numPr>
      </w:pPr>
      <w:r>
        <w:rPr>
          <w:b/>
          <w:bCs/>
        </w:rPr>
        <w:t xml:space="preserve">User Reports: </w:t>
      </w:r>
      <w:r>
        <w:t xml:space="preserve">Personnel reporting suspicious activity or suspected incidents</w:t>
      </w:r>
    </w:p>
    <w:p>
      <w:pPr>
        <w:pStyle w:val="ListParagraph"/>
        <w:numPr>
          <w:ilvl w:val="0"/>
          <w:numId w:val="2"/>
        </w:numPr>
      </w:pPr>
      <w:r>
        <w:rPr>
          <w:b/>
          <w:bCs/>
        </w:rPr>
        <w:t xml:space="preserve">Threat Intelligence: </w:t>
      </w:r>
      <w:r>
        <w:t xml:space="preserve">External threat feeds and information sharing</w:t>
      </w:r>
    </w:p>
    <w:p>
      <w:pPr>
        <w:pStyle w:val="ListParagraph"/>
        <w:numPr>
          <w:ilvl w:val="0"/>
          <w:numId w:val="2"/>
        </w:numPr>
      </w:pPr>
      <w:r>
        <w:rPr>
          <w:b/>
          <w:bCs/>
        </w:rPr>
        <w:t xml:space="preserve">Vulnerability Assessments: </w:t>
      </w:r>
      <w:r>
        <w:t xml:space="preserve">Vulnerability scans and penetration testing findings</w:t>
      </w:r>
    </w:p>
    <w:p>
      <w:pPr>
        <w:pStyle w:val="ListParagraph"/>
        <w:numPr>
          <w:ilvl w:val="0"/>
          <w:numId w:val="2"/>
        </w:numPr>
      </w:pPr>
      <w:r>
        <w:rPr>
          <w:b/>
          <w:bCs/>
        </w:rPr>
        <w:t xml:space="preserve">Third-Party Notifications: </w:t>
      </w:r>
      <w:r>
        <w:t xml:space="preserve">Vendors, customers, or partners reporting incidents</w:t>
      </w:r>
    </w:p>
    <w:p>
      <w:pPr>
        <w:pStyle w:val="ListParagraph"/>
        <w:numPr>
          <w:ilvl w:val="0"/>
          <w:numId w:val="2"/>
        </w:numPr>
      </w:pPr>
      <w:r>
        <w:rPr>
          <w:b/>
          <w:bCs/>
        </w:rPr>
        <w:t xml:space="preserve">Audit Findings: </w:t>
      </w:r>
      <w:r>
        <w:t xml:space="preserve">Internal or external audit discoveries</w:t>
      </w:r>
    </w:p>
    <w:p>
      <w:pPr>
        <w:spacing w:before="240"/>
      </w:pPr>
    </w:p>
    <w:p>
      <w:pPr>
        <w:pStyle w:val="Heading2"/>
      </w:pPr>
      <w:r>
        <w:t xml:space="preserve">6.2 Reporting Channels</w:t>
      </w:r>
    </w:p>
    <w:p>
      <w:pPr>
        <w:spacing w:after="120"/>
      </w:pPr>
      <w:r>
        <w:t xml:space="preserve">All suspected security incidents must be reported immediately through one or more of the following channels:</w:t>
      </w:r>
    </w:p>
    <w:p>
      <w:pPr>
        <w:pStyle w:val="ListParagraph"/>
        <w:numPr>
          <w:ilvl w:val="0"/>
          <w:numId w:val="2"/>
        </w:numPr>
      </w:pPr>
      <w:r>
        <w:rPr>
          <w:b/>
          <w:bCs/>
        </w:rPr>
        <w:t xml:space="preserve">Security Operations Center: </w:t>
      </w:r>
      <w:r>
        <w:t xml:space="preserve">security@globalfinancepartners.com (monitored 24/7)</w:t>
      </w:r>
    </w:p>
    <w:p>
      <w:pPr>
        <w:pStyle w:val="ListParagraph"/>
        <w:numPr>
          <w:ilvl w:val="0"/>
          <w:numId w:val="2"/>
        </w:numPr>
      </w:pPr>
      <w:r>
        <w:rPr>
          <w:b/>
          <w:bCs/>
        </w:rPr>
        <w:t xml:space="preserve">Incident Hotline: </w:t>
      </w:r>
      <w:r>
        <w:t xml:space="preserve">1-800-SEC-RESP (1-800-732-7377) - available 24/7</w:t>
      </w:r>
    </w:p>
    <w:p>
      <w:pPr>
        <w:pStyle w:val="ListParagraph"/>
        <w:numPr>
          <w:ilvl w:val="0"/>
          <w:numId w:val="2"/>
        </w:numPr>
      </w:pPr>
      <w:r>
        <w:rPr>
          <w:b/>
          <w:bCs/>
        </w:rPr>
        <w:t xml:space="preserve">Direct Notification: </w:t>
      </w:r>
      <w:r>
        <w:t xml:space="preserve">Contact CISO, Security team member, or IT Operations</w:t>
      </w:r>
    </w:p>
    <w:p>
      <w:pPr>
        <w:pStyle w:val="ListParagraph"/>
        <w:numPr>
          <w:ilvl w:val="0"/>
          <w:numId w:val="2"/>
        </w:numPr>
      </w:pPr>
      <w:r>
        <w:rPr>
          <w:b/>
          <w:bCs/>
        </w:rPr>
        <w:t xml:space="preserve">Management Escalation: </w:t>
      </w:r>
      <w:r>
        <w:t xml:space="preserve">Report to direct manager or supervisor who will escalate</w:t>
      </w:r>
    </w:p>
    <w:p>
      <w:pPr>
        <w:pStyle w:val="ListParagraph"/>
        <w:numPr>
          <w:ilvl w:val="0"/>
          <w:numId w:val="2"/>
        </w:numPr>
      </w:pPr>
      <w:r>
        <w:rPr>
          <w:b/>
          <w:bCs/>
        </w:rPr>
        <w:t xml:space="preserve">Incident Portal: </w:t>
      </w:r>
      <w:r>
        <w:t xml:space="preserve">Internal incident reporting system (for non-urgent reports)</w:t>
      </w:r>
    </w:p>
    <w:p>
      <w:pPr>
        <w:spacing w:before="240"/>
      </w:pPr>
    </w:p>
    <w:p>
      <w:pPr>
        <w:pStyle w:val="Heading2"/>
      </w:pPr>
      <w:r>
        <w:t xml:space="preserve">6.3 Reporting Requirements</w:t>
      </w:r>
    </w:p>
    <w:p>
      <w:pPr>
        <w:spacing w:after="120"/>
      </w:pPr>
      <w:r>
        <w:t xml:space="preserve">When reporting an incident, provide the following information (if known):</w:t>
      </w:r>
    </w:p>
    <w:p>
      <w:pPr>
        <w:pStyle w:val="ListParagraph"/>
        <w:numPr>
          <w:ilvl w:val="0"/>
          <w:numId w:val="2"/>
        </w:numPr>
      </w:pPr>
      <w:r>
        <w:t xml:space="preserve">Reporter name, contact information, and location</w:t>
      </w:r>
    </w:p>
    <w:p>
      <w:pPr>
        <w:pStyle w:val="ListParagraph"/>
        <w:numPr>
          <w:ilvl w:val="0"/>
          <w:numId w:val="2"/>
        </w:numPr>
      </w:pPr>
      <w:r>
        <w:t xml:space="preserve">Date and time of discovery</w:t>
      </w:r>
    </w:p>
    <w:p>
      <w:pPr>
        <w:pStyle w:val="ListParagraph"/>
        <w:numPr>
          <w:ilvl w:val="0"/>
          <w:numId w:val="2"/>
        </w:numPr>
      </w:pPr>
      <w:r>
        <w:t xml:space="preserve">Description of the incident or suspicious activity</w:t>
      </w:r>
    </w:p>
    <w:p>
      <w:pPr>
        <w:pStyle w:val="ListParagraph"/>
        <w:numPr>
          <w:ilvl w:val="0"/>
          <w:numId w:val="2"/>
        </w:numPr>
      </w:pPr>
      <w:r>
        <w:t xml:space="preserve">Affected systems, applications, or data</w:t>
      </w:r>
    </w:p>
    <w:p>
      <w:pPr>
        <w:pStyle w:val="ListParagraph"/>
        <w:numPr>
          <w:ilvl w:val="0"/>
          <w:numId w:val="2"/>
        </w:numPr>
      </w:pPr>
      <w:r>
        <w:t xml:space="preserve">Potential business impact</w:t>
      </w:r>
    </w:p>
    <w:p>
      <w:pPr>
        <w:pStyle w:val="ListParagraph"/>
        <w:numPr>
          <w:ilvl w:val="0"/>
          <w:numId w:val="2"/>
        </w:numPr>
      </w:pPr>
      <w:r>
        <w:t xml:space="preserve">Actions already taken (if any)</w:t>
      </w:r>
    </w:p>
    <w:p>
      <w:pPr>
        <w:pStyle w:val="ListParagraph"/>
        <w:numPr>
          <w:ilvl w:val="0"/>
          <w:numId w:val="2"/>
        </w:numPr>
      </w:pPr>
      <w:r>
        <w:t xml:space="preserve">Any evidence or indicators of compromise</w:t>
      </w:r>
    </w:p>
    <w:p>
      <w:pPr>
        <w:spacing w:before="240"/>
      </w:pPr>
    </w:p>
    <w:p>
      <w:pPr>
        <w:pStyle w:val="Heading2"/>
      </w:pPr>
      <w:r>
        <w:t xml:space="preserve">6.4 Good Faith Reporting</w:t>
      </w:r>
    </w:p>
    <w:p>
      <w:pPr>
        <w:spacing w:after="120"/>
      </w:pPr>
      <w:r>
        <w:t xml:space="preserve">Personnel who report suspected incidents in good faith will not face disciplinary action, even if the report is later determined to be a false positive. The organization encourages a culture of security awareness where potential issues are reported promptly without fear of reprisal.</w:t>
      </w:r>
    </w:p>
    <w:p>
      <w:pPr>
        <w:spacing w:before="480"/>
      </w:pPr>
    </w:p>
    <w:p>
      <w:pPr>
        <w:pStyle w:val="Heading1"/>
      </w:pPr>
      <w:r>
        <w:t xml:space="preserve">7. INCIDENT ASSESSMENT AND CLASSIFICATION</w:t>
      </w:r>
    </w:p>
    <w:p>
      <w:pPr>
        <w:pStyle w:val="Heading2"/>
      </w:pPr>
      <w:r>
        <w:t xml:space="preserve">7.1 Event vs. Incident Determination</w:t>
      </w:r>
    </w:p>
    <w:p>
      <w:pPr>
        <w:spacing w:after="120"/>
      </w:pPr>
      <w:r>
        <w:t xml:space="preserve">Upon receipt of a report, the Incident Response Team assesses whether the event constitutes an incident based on the following criteria:</w:t>
      </w:r>
    </w:p>
    <w:p>
      <w:pPr>
        <w:pStyle w:val="ListParagraph"/>
        <w:numPr>
          <w:ilvl w:val="0"/>
          <w:numId w:val="2"/>
        </w:numPr>
      </w:pPr>
      <w:r>
        <w:t xml:space="preserve">Actual or suspected compromise of confidentiality, integrity, or availability of information</w:t>
      </w:r>
    </w:p>
    <w:p>
      <w:pPr>
        <w:pStyle w:val="ListParagraph"/>
        <w:numPr>
          <w:ilvl w:val="0"/>
          <w:numId w:val="2"/>
        </w:numPr>
      </w:pPr>
      <w:r>
        <w:t xml:space="preserve">Violation of security policies or legal/regulatory requirements</w:t>
      </w:r>
    </w:p>
    <w:p>
      <w:pPr>
        <w:pStyle w:val="ListParagraph"/>
        <w:numPr>
          <w:ilvl w:val="0"/>
          <w:numId w:val="2"/>
        </w:numPr>
      </w:pPr>
      <w:r>
        <w:t xml:space="preserve">Unauthorized access to systems, networks, or data</w:t>
      </w:r>
    </w:p>
    <w:p>
      <w:pPr>
        <w:pStyle w:val="ListParagraph"/>
        <w:numPr>
          <w:ilvl w:val="0"/>
          <w:numId w:val="2"/>
        </w:numPr>
      </w:pPr>
      <w:r>
        <w:t xml:space="preserve">Disruption to business operations or services</w:t>
      </w:r>
    </w:p>
    <w:p>
      <w:pPr>
        <w:pStyle w:val="ListParagraph"/>
        <w:numPr>
          <w:ilvl w:val="0"/>
          <w:numId w:val="2"/>
        </w:numPr>
      </w:pPr>
      <w:r>
        <w:t xml:space="preserve">Indicators of ongoing or attempted attack</w:t>
      </w:r>
    </w:p>
    <w:p>
      <w:pPr>
        <w:pStyle w:val="ListParagraph"/>
        <w:numPr>
          <w:ilvl w:val="0"/>
          <w:numId w:val="2"/>
        </w:numPr>
      </w:pPr>
      <w:r>
        <w:t xml:space="preserve">Potential for significant business impact or reputation damage</w:t>
      </w:r>
    </w:p>
    <w:p>
      <w:pPr>
        <w:spacing w:before="240"/>
      </w:pPr>
    </w:p>
    <w:p>
      <w:pPr>
        <w:spacing w:after="120"/>
      </w:pPr>
      <w:r>
        <w:t xml:space="preserve">Events that do not meet incident criteria are documented as security events and tracked for trend analysis but do not trigger full incident response procedures.</w:t>
      </w:r>
    </w:p>
    <w:p>
      <w:pPr>
        <w:spacing w:before="240"/>
      </w:pPr>
    </w:p>
    <w:p>
      <w:pPr>
        <w:pStyle w:val="Heading2"/>
      </w:pPr>
      <w:r>
        <w:t xml:space="preserve">7.2 Incident Severity Classification</w:t>
      </w:r>
    </w:p>
    <w:p>
      <w:pPr>
        <w:spacing w:after="120"/>
      </w:pPr>
      <w:r>
        <w:t xml:space="preserve">Incidents are classified by severity to determine response priorities and escalation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Severity</w:t>
            </w:r>
          </w:p>
        </w:tc>
        <w:tc>
          <w:tcPr>
            <w:tcW w:type="dxa" w:w="7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Criteria</w:t>
            </w:r>
          </w:p>
        </w:tc>
      </w:tr>
      <w:tr>
        <w:tc>
          <w:tcPr>
            <w:tcW w:type="dxa" w:w="1400"/>
            <w:tcBorders>
              <w:top w:val="single" w:color="CCCCCC" w:sz="1"/>
              <w:left w:val="single" w:color="CCCCCC" w:sz="1"/>
              <w:bottom w:val="single" w:color="CCCCCC" w:sz="1"/>
              <w:right w:val="single" w:color="CCCCCC" w:sz="1"/>
            </w:tcBorders>
            <w:shd w:fill="FFE6E6" w:val="clear"/>
            <w:tcMar>
              <w:top w:type="dxa" w:w="80"/>
              <w:left w:type="dxa" w:w="120"/>
              <w:bottom w:type="dxa" w:w="80"/>
              <w:right w:type="dxa" w:w="120"/>
            </w:tcMar>
          </w:tcPr>
          <w:p>
            <w:r>
              <w:rPr>
                <w:b/>
                <w:bCs/>
              </w:rPr>
              <w:t xml:space="preserve">CRITICAL
(P1)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Confirmed data breach affecting regulated data (PII, PHI, payment card data)
• Widespread system compromise or ransomware
• Critical system outage affecting core business operations
• Regulatory reporting required
• Significant financial impact or legal liability
• Major reputation damage potential
• Active ongoing attack with high impact</w:t>
            </w:r>
          </w:p>
        </w:tc>
      </w:tr>
      <w:tr>
        <w:tc>
          <w:tcPr>
            <w:tcW w:type="dxa" w:w="1400"/>
            <w:tcBorders>
              <w:top w:val="single" w:color="CCCCCC" w:sz="1"/>
              <w:left w:val="single" w:color="CCCCCC" w:sz="1"/>
              <w:bottom w:val="single" w:color="CCCCCC" w:sz="1"/>
              <w:right w:val="single" w:color="CCCCCC" w:sz="1"/>
            </w:tcBorders>
            <w:shd w:fill="FFF4E6" w:val="clear"/>
            <w:tcMar>
              <w:top w:type="dxa" w:w="80"/>
              <w:left w:type="dxa" w:w="120"/>
              <w:bottom w:type="dxa" w:w="80"/>
              <w:right w:type="dxa" w:w="120"/>
            </w:tcMar>
          </w:tcPr>
          <w:p>
            <w:r>
              <w:rPr>
                <w:b/>
                <w:bCs/>
              </w:rPr>
              <w:t xml:space="preserve">HIGH
(P2)</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Suspected data breach requiring investigation
• Compromise of multiple systems or accounts
• Significant business disruption
• Potential regulatory notification
• Executive notification required
• Moderate financial impact
• Persistent security control failure</w:t>
            </w:r>
          </w:p>
        </w:tc>
      </w:tr>
      <w:tr>
        <w:tc>
          <w:tcPr>
            <w:tcW w:type="dxa" w:w="1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b/>
                <w:bCs/>
              </w:rPr>
              <w:t xml:space="preserve">MEDIUM
(P3)</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Limited system compromise or unauthorized access
• Malware infection on individual systems
• Policy violation with security implications
• Minor business impact
• No regulatory notification required
• Contained to single system or department
• Successful phishing attack</w:t>
            </w:r>
          </w:p>
        </w:tc>
      </w:tr>
      <w:tr>
        <w:tc>
          <w:tcPr>
            <w:tcW w:type="dxa" w:w="1400"/>
            <w:tcBorders>
              <w:top w:val="single" w:color="CCCCCC" w:sz="1"/>
              <w:left w:val="single" w:color="CCCCCC" w:sz="1"/>
              <w:bottom w:val="single" w:color="CCCCCC" w:sz="1"/>
              <w:right w:val="single" w:color="CCCCCC" w:sz="1"/>
            </w:tcBorders>
            <w:shd w:fill="E6F3FF" w:val="clear"/>
            <w:tcMar>
              <w:top w:type="dxa" w:w="80"/>
              <w:left w:type="dxa" w:w="120"/>
              <w:bottom w:type="dxa" w:w="80"/>
              <w:right w:type="dxa" w:w="120"/>
            </w:tcMar>
          </w:tcPr>
          <w:p>
            <w:r>
              <w:rPr>
                <w:b/>
                <w:bCs/>
              </w:rPr>
              <w:t xml:space="preserve">LOW
(P4)</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Isolated security event with minimal impact
• Blocked attack attempt
• Minor policy violation
• No business disruption
• Routine handling
• Single user affected
• Security awareness opportunity</w:t>
            </w:r>
          </w:p>
        </w:tc>
      </w:tr>
    </w:tbl>
    <w:p>
      <w:pPr>
        <w:spacing w:before="240"/>
      </w:pPr>
    </w:p>
    <w:p>
      <w:pPr>
        <w:pStyle w:val="Heading2"/>
      </w:pPr>
      <w:r>
        <w:t xml:space="preserve">7.3 Response Time Objectives</w:t>
      </w:r>
    </w:p>
    <w:p>
      <w:pPr>
        <w:spacing w:after="120"/>
      </w:pPr>
      <w:r>
        <w:t xml:space="preserve">Incidents must be acknowledged and initial assessment completed within the following timeframes:</w:t>
      </w:r>
    </w:p>
    <w:p>
      <w:pPr>
        <w:pStyle w:val="ListParagraph"/>
        <w:numPr>
          <w:ilvl w:val="0"/>
          <w:numId w:val="2"/>
        </w:numPr>
      </w:pPr>
      <w:r>
        <w:rPr>
          <w:b/>
          <w:bCs/>
        </w:rPr>
        <w:t xml:space="preserve">Critical (P1): </w:t>
      </w:r>
      <w:r>
        <w:t xml:space="preserve">15 minutes - Immediate response required</w:t>
      </w:r>
    </w:p>
    <w:p>
      <w:pPr>
        <w:pStyle w:val="ListParagraph"/>
        <w:numPr>
          <w:ilvl w:val="0"/>
          <w:numId w:val="2"/>
        </w:numPr>
      </w:pPr>
      <w:r>
        <w:rPr>
          <w:b/>
          <w:bCs/>
        </w:rPr>
        <w:t xml:space="preserve">High (P2): </w:t>
      </w:r>
      <w:r>
        <w:t xml:space="preserve">1 hour - Urgent response required</w:t>
      </w:r>
    </w:p>
    <w:p>
      <w:pPr>
        <w:pStyle w:val="ListParagraph"/>
        <w:numPr>
          <w:ilvl w:val="0"/>
          <w:numId w:val="2"/>
        </w:numPr>
      </w:pPr>
      <w:r>
        <w:rPr>
          <w:b/>
          <w:bCs/>
        </w:rPr>
        <w:t xml:space="preserve">Medium (P3): </w:t>
      </w:r>
      <w:r>
        <w:t xml:space="preserve">4 hours - Standard response</w:t>
      </w:r>
    </w:p>
    <w:p>
      <w:pPr>
        <w:pStyle w:val="ListParagraph"/>
        <w:numPr>
          <w:ilvl w:val="0"/>
          <w:numId w:val="2"/>
        </w:numPr>
      </w:pPr>
      <w:r>
        <w:rPr>
          <w:b/>
          <w:bCs/>
        </w:rPr>
        <w:t xml:space="preserve">Low (P4): </w:t>
      </w:r>
      <w:r>
        <w:t xml:space="preserve">Next business day - Routine handling</w:t>
      </w:r>
    </w:p>
    <w:p>
      <w:pPr>
        <w:spacing w:before="480"/>
      </w:pPr>
    </w:p>
    <w:p>
      <w:pPr>
        <w:pStyle w:val="Heading1"/>
      </w:pPr>
      <w:r>
        <w:t xml:space="preserve">8. INCIDENT RESPONSE PROCEDURES</w:t>
      </w:r>
    </w:p>
    <w:p>
      <w:pPr>
        <w:pStyle w:val="Heading2"/>
      </w:pPr>
      <w:r>
        <w:t xml:space="preserve">8.1 Phase 1: Preparation</w:t>
      </w:r>
    </w:p>
    <w:p>
      <w:pPr>
        <w:spacing w:after="120"/>
      </w:pPr>
      <w:r>
        <w:t xml:space="preserve">The organization maintains incident response readiness through:</w:t>
      </w:r>
    </w:p>
    <w:p>
      <w:pPr>
        <w:pStyle w:val="ListParagraph"/>
        <w:numPr>
          <w:ilvl w:val="0"/>
          <w:numId w:val="2"/>
        </w:numPr>
      </w:pPr>
      <w:r>
        <w:rPr>
          <w:b/>
          <w:bCs/>
        </w:rPr>
        <w:t xml:space="preserve">Incident Response Plan: </w:t>
      </w:r>
      <w:r>
        <w:t xml:space="preserve">Maintained and reviewed annually, updated as needed</w:t>
      </w:r>
    </w:p>
    <w:p>
      <w:pPr>
        <w:pStyle w:val="ListParagraph"/>
        <w:numPr>
          <w:ilvl w:val="0"/>
          <w:numId w:val="2"/>
        </w:numPr>
      </w:pPr>
      <w:r>
        <w:rPr>
          <w:b/>
          <w:bCs/>
        </w:rPr>
        <w:t xml:space="preserve">Incident Response Team: </w:t>
      </w:r>
      <w:r>
        <w:t xml:space="preserve">Defined roles, contact lists maintained, 24/7 availability</w:t>
      </w:r>
    </w:p>
    <w:p>
      <w:pPr>
        <w:pStyle w:val="ListParagraph"/>
        <w:numPr>
          <w:ilvl w:val="0"/>
          <w:numId w:val="2"/>
        </w:numPr>
      </w:pPr>
      <w:r>
        <w:rPr>
          <w:b/>
          <w:bCs/>
        </w:rPr>
        <w:t xml:space="preserve">Tools and Resources: </w:t>
      </w:r>
      <w:r>
        <w:t xml:space="preserve">Forensic tools, jump kits, secure communications, documentation templates</w:t>
      </w:r>
    </w:p>
    <w:p>
      <w:pPr>
        <w:pStyle w:val="ListParagraph"/>
        <w:numPr>
          <w:ilvl w:val="0"/>
          <w:numId w:val="2"/>
        </w:numPr>
      </w:pPr>
      <w:r>
        <w:rPr>
          <w:b/>
          <w:bCs/>
        </w:rPr>
        <w:t xml:space="preserve">Training: </w:t>
      </w:r>
      <w:r>
        <w:t xml:space="preserve">Annual incident response training for IRT members and general security awareness for all staff</w:t>
      </w:r>
    </w:p>
    <w:p>
      <w:pPr>
        <w:pStyle w:val="ListParagraph"/>
        <w:numPr>
          <w:ilvl w:val="0"/>
          <w:numId w:val="2"/>
        </w:numPr>
      </w:pPr>
      <w:r>
        <w:rPr>
          <w:b/>
          <w:bCs/>
        </w:rPr>
        <w:t xml:space="preserve">Testing: </w:t>
      </w:r>
      <w:r>
        <w:t xml:space="preserve">Quarterly tabletop exercises, annual full-scale incident response simulation</w:t>
      </w:r>
    </w:p>
    <w:p>
      <w:pPr>
        <w:pStyle w:val="ListParagraph"/>
        <w:numPr>
          <w:ilvl w:val="0"/>
          <w:numId w:val="2"/>
        </w:numPr>
      </w:pPr>
      <w:r>
        <w:rPr>
          <w:b/>
          <w:bCs/>
        </w:rPr>
        <w:t xml:space="preserve">Documentation: </w:t>
      </w:r>
      <w:r>
        <w:t xml:space="preserve">Runbooks, playbooks, contact lists, escalation procedures</w:t>
      </w:r>
    </w:p>
    <w:p>
      <w:pPr>
        <w:pStyle w:val="ListParagraph"/>
        <w:numPr>
          <w:ilvl w:val="0"/>
          <w:numId w:val="2"/>
        </w:numPr>
      </w:pPr>
      <w:r>
        <w:rPr>
          <w:b/>
          <w:bCs/>
        </w:rPr>
        <w:t xml:space="preserve">Third-Party Relationships: </w:t>
      </w:r>
      <w:r>
        <w:t xml:space="preserve">Pre-established relationships with forensics firms, legal counsel, PR firms</w:t>
      </w:r>
    </w:p>
    <w:p>
      <w:pPr>
        <w:spacing w:before="240"/>
      </w:pPr>
    </w:p>
    <w:p>
      <w:pPr>
        <w:pStyle w:val="Heading2"/>
      </w:pPr>
      <w:r>
        <w:t xml:space="preserve">8.2 Phase 2: Detection and Analysis</w:t>
      </w:r>
    </w:p>
    <w:p>
      <w:pPr>
        <w:pStyle w:val="Heading3"/>
      </w:pPr>
      <w:r>
        <w:t xml:space="preserve">8.2.1 Initial Response</w:t>
      </w:r>
    </w:p>
    <w:p>
      <w:pPr>
        <w:spacing w:after="120"/>
      </w:pPr>
      <w:r>
        <w:t xml:space="preserve">Upon receiving an incident report:</w:t>
      </w:r>
    </w:p>
    <w:p>
      <w:pPr>
        <w:pStyle w:val="ListParagraph"/>
        <w:numPr>
          <w:ilvl w:val="0"/>
          <w:numId w:val="2"/>
        </w:numPr>
      </w:pPr>
      <w:r>
        <w:t xml:space="preserve">Acknowledge receipt and log the incident in the incident tracking system</w:t>
      </w:r>
    </w:p>
    <w:p>
      <w:pPr>
        <w:pStyle w:val="ListParagraph"/>
        <w:numPr>
          <w:ilvl w:val="0"/>
          <w:numId w:val="2"/>
        </w:numPr>
      </w:pPr>
      <w:r>
        <w:t xml:space="preserve">Assign incident number and IRT lead</w:t>
      </w:r>
    </w:p>
    <w:p>
      <w:pPr>
        <w:pStyle w:val="ListParagraph"/>
        <w:numPr>
          <w:ilvl w:val="0"/>
          <w:numId w:val="2"/>
        </w:numPr>
      </w:pPr>
      <w:r>
        <w:t xml:space="preserve">Perform initial triage to determine if event constitutes an incident</w:t>
      </w:r>
    </w:p>
    <w:p>
      <w:pPr>
        <w:pStyle w:val="ListParagraph"/>
        <w:numPr>
          <w:ilvl w:val="0"/>
          <w:numId w:val="2"/>
        </w:numPr>
      </w:pPr>
      <w:r>
        <w:t xml:space="preserve">Classify incident severity and type</w:t>
      </w:r>
    </w:p>
    <w:p>
      <w:pPr>
        <w:pStyle w:val="ListParagraph"/>
        <w:numPr>
          <w:ilvl w:val="0"/>
          <w:numId w:val="2"/>
        </w:numPr>
      </w:pPr>
      <w:r>
        <w:t xml:space="preserve">Activate appropriate IRT members based on incident type and severity</w:t>
      </w:r>
    </w:p>
    <w:p>
      <w:pPr>
        <w:pStyle w:val="ListParagraph"/>
        <w:numPr>
          <w:ilvl w:val="0"/>
          <w:numId w:val="2"/>
        </w:numPr>
      </w:pPr>
      <w:r>
        <w:t xml:space="preserve">Establish incident response communication channels</w:t>
      </w:r>
    </w:p>
    <w:p>
      <w:pPr>
        <w:spacing w:before="240"/>
      </w:pPr>
    </w:p>
    <w:p>
      <w:pPr>
        <w:pStyle w:val="Heading3"/>
      </w:pPr>
      <w:r>
        <w:t xml:space="preserve">8.2.2 Investigation and Analysis</w:t>
      </w:r>
    </w:p>
    <w:p>
      <w:pPr>
        <w:spacing w:after="120"/>
      </w:pPr>
      <w:r>
        <w:t xml:space="preserve">The IRT conducts detailed analysis to:</w:t>
      </w:r>
    </w:p>
    <w:p>
      <w:pPr>
        <w:pStyle w:val="ListParagraph"/>
        <w:numPr>
          <w:ilvl w:val="0"/>
          <w:numId w:val="2"/>
        </w:numPr>
      </w:pPr>
      <w:r>
        <w:t xml:space="preserve">Determine scope of compromise - affected systems, data, and users</w:t>
      </w:r>
    </w:p>
    <w:p>
      <w:pPr>
        <w:pStyle w:val="ListParagraph"/>
        <w:numPr>
          <w:ilvl w:val="0"/>
          <w:numId w:val="2"/>
        </w:numPr>
      </w:pPr>
      <w:r>
        <w:t xml:space="preserve">Identify attack vectors and root cause</w:t>
      </w:r>
    </w:p>
    <w:p>
      <w:pPr>
        <w:pStyle w:val="ListParagraph"/>
        <w:numPr>
          <w:ilvl w:val="0"/>
          <w:numId w:val="2"/>
        </w:numPr>
      </w:pPr>
      <w:r>
        <w:t xml:space="preserve">Collect and preserve evidence (logs, memory dumps, disk images)</w:t>
      </w:r>
    </w:p>
    <w:p>
      <w:pPr>
        <w:pStyle w:val="ListParagraph"/>
        <w:numPr>
          <w:ilvl w:val="0"/>
          <w:numId w:val="2"/>
        </w:numPr>
      </w:pPr>
      <w:r>
        <w:t xml:space="preserve">Determine indicators of compromise (IOCs)</w:t>
      </w:r>
    </w:p>
    <w:p>
      <w:pPr>
        <w:pStyle w:val="ListParagraph"/>
        <w:numPr>
          <w:ilvl w:val="0"/>
          <w:numId w:val="2"/>
        </w:numPr>
      </w:pPr>
      <w:r>
        <w:t xml:space="preserve">Assess business impact and potential data exposure</w:t>
      </w:r>
    </w:p>
    <w:p>
      <w:pPr>
        <w:pStyle w:val="ListParagraph"/>
        <w:numPr>
          <w:ilvl w:val="0"/>
          <w:numId w:val="2"/>
        </w:numPr>
      </w:pPr>
      <w:r>
        <w:t xml:space="preserve">Identify any regulatory notification requirements</w:t>
      </w:r>
    </w:p>
    <w:p>
      <w:pPr>
        <w:pStyle w:val="ListParagraph"/>
        <w:numPr>
          <w:ilvl w:val="0"/>
          <w:numId w:val="2"/>
        </w:numPr>
      </w:pPr>
      <w:r>
        <w:t xml:space="preserve">Document all findings and maintain chain of custody for evidence</w:t>
      </w:r>
    </w:p>
    <w:p>
      <w:pPr>
        <w:spacing w:before="240"/>
      </w:pPr>
    </w:p>
    <w:p>
      <w:pPr>
        <w:pStyle w:val="Heading2"/>
      </w:pPr>
      <w:r>
        <w:t xml:space="preserve">8.3 Phase 3: Containment, Eradication, and Recovery</w:t>
      </w:r>
    </w:p>
    <w:p>
      <w:pPr>
        <w:pStyle w:val="Heading3"/>
      </w:pPr>
      <w:r>
        <w:t xml:space="preserve">8.3.1 Containment</w:t>
      </w:r>
    </w:p>
    <w:p>
      <w:pPr>
        <w:spacing w:after="120"/>
      </w:pPr>
      <w:r>
        <w:t xml:space="preserve">Containment actions aim to limit incident scope while maintaining business operations. Strategies include:</w:t>
      </w:r>
    </w:p>
    <w:p>
      <w:pPr>
        <w:pStyle w:val="ListParagraph"/>
        <w:numPr>
          <w:ilvl w:val="0"/>
          <w:numId w:val="2"/>
        </w:numPr>
      </w:pPr>
      <w:r>
        <w:rPr>
          <w:b/>
          <w:bCs/>
        </w:rPr>
        <w:t xml:space="preserve">Short-term containment: </w:t>
      </w:r>
      <w:r>
        <w:t xml:space="preserve">Isolate affected systems, disable compromised accounts, block malicious IP addresses</w:t>
      </w:r>
    </w:p>
    <w:p>
      <w:pPr>
        <w:pStyle w:val="ListParagraph"/>
        <w:numPr>
          <w:ilvl w:val="0"/>
          <w:numId w:val="2"/>
        </w:numPr>
      </w:pPr>
      <w:r>
        <w:rPr>
          <w:b/>
          <w:bCs/>
        </w:rPr>
        <w:t xml:space="preserve">Long-term containment: </w:t>
      </w:r>
      <w:r>
        <w:t xml:space="preserve">Implement temporary fixes, patch systems, strengthen monitoring</w:t>
      </w:r>
    </w:p>
    <w:p>
      <w:pPr>
        <w:pStyle w:val="ListParagraph"/>
        <w:numPr>
          <w:ilvl w:val="0"/>
          <w:numId w:val="2"/>
        </w:numPr>
      </w:pPr>
      <w:r>
        <w:rPr>
          <w:b/>
          <w:bCs/>
        </w:rPr>
        <w:t xml:space="preserve">Evidence preservation: </w:t>
      </w:r>
      <w:r>
        <w:t xml:space="preserve">Create forensic images before containment actions that may destroy evidence</w:t>
      </w:r>
    </w:p>
    <w:p>
      <w:pPr>
        <w:spacing w:before="240"/>
      </w:pPr>
    </w:p>
    <w:p>
      <w:pPr>
        <w:pStyle w:val="Heading3"/>
      </w:pPr>
      <w:r>
        <w:t xml:space="preserve">8.3.2 Eradication</w:t>
      </w:r>
    </w:p>
    <w:p>
      <w:pPr>
        <w:spacing w:after="120"/>
      </w:pPr>
      <w:r>
        <w:t xml:space="preserve">Eradication removes the threat and restores systems to secure state:</w:t>
      </w:r>
    </w:p>
    <w:p>
      <w:pPr>
        <w:pStyle w:val="ListParagraph"/>
        <w:numPr>
          <w:ilvl w:val="0"/>
          <w:numId w:val="2"/>
        </w:numPr>
      </w:pPr>
      <w:r>
        <w:t xml:space="preserve">Remove malware, backdoors, and unauthorized access</w:t>
      </w:r>
    </w:p>
    <w:p>
      <w:pPr>
        <w:pStyle w:val="ListParagraph"/>
        <w:numPr>
          <w:ilvl w:val="0"/>
          <w:numId w:val="2"/>
        </w:numPr>
      </w:pPr>
      <w:r>
        <w:t xml:space="preserve">Close attack vectors and vulnerabilities exploited</w:t>
      </w:r>
    </w:p>
    <w:p>
      <w:pPr>
        <w:pStyle w:val="ListParagraph"/>
        <w:numPr>
          <w:ilvl w:val="0"/>
          <w:numId w:val="2"/>
        </w:numPr>
      </w:pPr>
      <w:r>
        <w:t xml:space="preserve">Rebuild or restore affected systems from clean backups</w:t>
      </w:r>
    </w:p>
    <w:p>
      <w:pPr>
        <w:pStyle w:val="ListParagraph"/>
        <w:numPr>
          <w:ilvl w:val="0"/>
          <w:numId w:val="2"/>
        </w:numPr>
      </w:pPr>
      <w:r>
        <w:t xml:space="preserve">Implement additional security controls to prevent recurrence</w:t>
      </w:r>
    </w:p>
    <w:p>
      <w:pPr>
        <w:pStyle w:val="ListParagraph"/>
        <w:numPr>
          <w:ilvl w:val="0"/>
          <w:numId w:val="2"/>
        </w:numPr>
      </w:pPr>
      <w:r>
        <w:t xml:space="preserve">Reset credentials and revoke unauthorized access</w:t>
      </w:r>
    </w:p>
    <w:p>
      <w:pPr>
        <w:spacing w:before="240"/>
      </w:pPr>
    </w:p>
    <w:p>
      <w:pPr>
        <w:pStyle w:val="Heading3"/>
      </w:pPr>
      <w:r>
        <w:t xml:space="preserve">8.3.3 Recovery</w:t>
      </w:r>
    </w:p>
    <w:p>
      <w:pPr>
        <w:spacing w:after="120"/>
      </w:pPr>
      <w:r>
        <w:t xml:space="preserve">Recovery restores normal business operations:</w:t>
      </w:r>
    </w:p>
    <w:p>
      <w:pPr>
        <w:pStyle w:val="ListParagraph"/>
        <w:numPr>
          <w:ilvl w:val="0"/>
          <w:numId w:val="2"/>
        </w:numPr>
      </w:pPr>
      <w:r>
        <w:t xml:space="preserve">Verify systems are functioning properly and securely</w:t>
      </w:r>
    </w:p>
    <w:p>
      <w:pPr>
        <w:pStyle w:val="ListParagraph"/>
        <w:numPr>
          <w:ilvl w:val="0"/>
          <w:numId w:val="2"/>
        </w:numPr>
      </w:pPr>
      <w:r>
        <w:t xml:space="preserve">Restore data from backups if necessary</w:t>
      </w:r>
    </w:p>
    <w:p>
      <w:pPr>
        <w:pStyle w:val="ListParagraph"/>
        <w:numPr>
          <w:ilvl w:val="0"/>
          <w:numId w:val="2"/>
        </w:numPr>
      </w:pPr>
      <w:r>
        <w:t xml:space="preserve">Return systems to production in phased approach</w:t>
      </w:r>
    </w:p>
    <w:p>
      <w:pPr>
        <w:pStyle w:val="ListParagraph"/>
        <w:numPr>
          <w:ilvl w:val="0"/>
          <w:numId w:val="2"/>
        </w:numPr>
      </w:pPr>
      <w:r>
        <w:t xml:space="preserve">Implement enhanced monitoring of recovered systems</w:t>
      </w:r>
    </w:p>
    <w:p>
      <w:pPr>
        <w:pStyle w:val="ListParagraph"/>
        <w:numPr>
          <w:ilvl w:val="0"/>
          <w:numId w:val="2"/>
        </w:numPr>
      </w:pPr>
      <w:r>
        <w:t xml:space="preserve">Communicate restoration status to stakeholders</w:t>
      </w:r>
    </w:p>
    <w:p>
      <w:pPr>
        <w:pStyle w:val="ListParagraph"/>
        <w:numPr>
          <w:ilvl w:val="0"/>
          <w:numId w:val="2"/>
        </w:numPr>
      </w:pPr>
      <w:r>
        <w:t xml:space="preserve">Document recovery timeline and activities</w:t>
      </w:r>
    </w:p>
    <w:p>
      <w:pPr>
        <w:spacing w:before="240"/>
      </w:pPr>
    </w:p>
    <w:p>
      <w:pPr>
        <w:pStyle w:val="Heading2"/>
      </w:pPr>
      <w:r>
        <w:t xml:space="preserve">8.4 Phase 4: Post-Incident Activity</w:t>
      </w:r>
    </w:p>
    <w:p>
      <w:pPr>
        <w:pStyle w:val="Heading3"/>
      </w:pPr>
      <w:r>
        <w:t xml:space="preserve">8.4.1 Post-Incident Review</w:t>
      </w:r>
    </w:p>
    <w:p>
      <w:pPr>
        <w:spacing w:after="120"/>
      </w:pPr>
      <w:r>
        <w:t xml:space="preserve">Within 5 business days of incident closure, the IRT conducts a post-incident review meeting to:</w:t>
      </w:r>
    </w:p>
    <w:p>
      <w:pPr>
        <w:pStyle w:val="ListParagraph"/>
        <w:numPr>
          <w:ilvl w:val="0"/>
          <w:numId w:val="2"/>
        </w:numPr>
      </w:pPr>
      <w:r>
        <w:t xml:space="preserve">Document incident timeline and response activities</w:t>
      </w:r>
    </w:p>
    <w:p>
      <w:pPr>
        <w:pStyle w:val="ListParagraph"/>
        <w:numPr>
          <w:ilvl w:val="0"/>
          <w:numId w:val="2"/>
        </w:numPr>
      </w:pPr>
      <w:r>
        <w:t xml:space="preserve">Identify what went well and what needs improvement</w:t>
      </w:r>
    </w:p>
    <w:p>
      <w:pPr>
        <w:pStyle w:val="ListParagraph"/>
        <w:numPr>
          <w:ilvl w:val="0"/>
          <w:numId w:val="2"/>
        </w:numPr>
      </w:pPr>
      <w:r>
        <w:t xml:space="preserve">Determine root cause and contributing factors</w:t>
      </w:r>
    </w:p>
    <w:p>
      <w:pPr>
        <w:pStyle w:val="ListParagraph"/>
        <w:numPr>
          <w:ilvl w:val="0"/>
          <w:numId w:val="2"/>
        </w:numPr>
      </w:pPr>
      <w:r>
        <w:t xml:space="preserve">Assess effectiveness of detection, response, and recovery</w:t>
      </w:r>
    </w:p>
    <w:p>
      <w:pPr>
        <w:pStyle w:val="ListParagraph"/>
        <w:numPr>
          <w:ilvl w:val="0"/>
          <w:numId w:val="2"/>
        </w:numPr>
      </w:pPr>
      <w:r>
        <w:t xml:space="preserve">Identify lessons learned and improvement opportunities</w:t>
      </w:r>
    </w:p>
    <w:p>
      <w:pPr>
        <w:pStyle w:val="ListParagraph"/>
        <w:numPr>
          <w:ilvl w:val="0"/>
          <w:numId w:val="2"/>
        </w:numPr>
      </w:pPr>
      <w:r>
        <w:t xml:space="preserve">Develop corrective action plan with owners and timelines</w:t>
      </w:r>
    </w:p>
    <w:p>
      <w:pPr>
        <w:pStyle w:val="ListParagraph"/>
        <w:numPr>
          <w:ilvl w:val="0"/>
          <w:numId w:val="2"/>
        </w:numPr>
      </w:pPr>
      <w:r>
        <w:t xml:space="preserve">Update security controls, policies, and procedures as needed</w:t>
      </w:r>
    </w:p>
    <w:p>
      <w:pPr>
        <w:spacing w:before="240"/>
      </w:pPr>
    </w:p>
    <w:p>
      <w:pPr>
        <w:pStyle w:val="Heading3"/>
      </w:pPr>
      <w:r>
        <w:t xml:space="preserve">8.4.2 Lessons Learned Documentation</w:t>
      </w:r>
    </w:p>
    <w:p>
      <w:pPr>
        <w:spacing w:after="120"/>
      </w:pPr>
      <w:r>
        <w:t xml:space="preserve">Post-incident review produces:</w:t>
      </w:r>
    </w:p>
    <w:p>
      <w:pPr>
        <w:pStyle w:val="ListParagraph"/>
        <w:numPr>
          <w:ilvl w:val="0"/>
          <w:numId w:val="2"/>
        </w:numPr>
      </w:pPr>
      <w:r>
        <w:t xml:space="preserve">Incident report documenting full incident lifecycle</w:t>
      </w:r>
    </w:p>
    <w:p>
      <w:pPr>
        <w:pStyle w:val="ListParagraph"/>
        <w:numPr>
          <w:ilvl w:val="0"/>
          <w:numId w:val="2"/>
        </w:numPr>
      </w:pPr>
      <w:r>
        <w:t xml:space="preserve">Lessons learned summary for knowledge sharing</w:t>
      </w:r>
    </w:p>
    <w:p>
      <w:pPr>
        <w:pStyle w:val="ListParagraph"/>
        <w:numPr>
          <w:ilvl w:val="0"/>
          <w:numId w:val="2"/>
        </w:numPr>
      </w:pPr>
      <w:r>
        <w:t xml:space="preserve">Corrective action plan tracking improvements</w:t>
      </w:r>
    </w:p>
    <w:p>
      <w:pPr>
        <w:pStyle w:val="ListParagraph"/>
        <w:numPr>
          <w:ilvl w:val="0"/>
          <w:numId w:val="2"/>
        </w:numPr>
      </w:pPr>
      <w:r>
        <w:t xml:space="preserve">Updates to incident response procedures and runbooks</w:t>
      </w:r>
    </w:p>
    <w:p>
      <w:pPr>
        <w:pStyle w:val="ListParagraph"/>
        <w:numPr>
          <w:ilvl w:val="0"/>
          <w:numId w:val="2"/>
        </w:numPr>
      </w:pPr>
      <w:r>
        <w:t xml:space="preserve">Communication to relevant stakeholders (sanitized as appropriate)</w:t>
      </w:r>
    </w:p>
    <w:p>
      <w:pPr>
        <w:spacing w:before="240"/>
      </w:pPr>
    </w:p>
    <w:p>
      <w:pPr>
        <w:pStyle w:val="Heading3"/>
      </w:pPr>
      <w:r>
        <w:t xml:space="preserve">8.4.3 Metrics and Reporting</w:t>
      </w:r>
    </w:p>
    <w:p>
      <w:pPr>
        <w:spacing w:after="120"/>
      </w:pPr>
      <w:r>
        <w:t xml:space="preserve">The CISO tracks and reports incident metrics quarterly to the Information Security Governance Committee:</w:t>
      </w:r>
    </w:p>
    <w:p>
      <w:pPr>
        <w:pStyle w:val="ListParagraph"/>
        <w:numPr>
          <w:ilvl w:val="0"/>
          <w:numId w:val="2"/>
        </w:numPr>
      </w:pPr>
      <w:r>
        <w:t xml:space="preserve">Number and severity of incidents</w:t>
      </w:r>
    </w:p>
    <w:p>
      <w:pPr>
        <w:pStyle w:val="ListParagraph"/>
        <w:numPr>
          <w:ilvl w:val="0"/>
          <w:numId w:val="2"/>
        </w:numPr>
      </w:pPr>
      <w:r>
        <w:t xml:space="preserve">Incident types and trends</w:t>
      </w:r>
    </w:p>
    <w:p>
      <w:pPr>
        <w:pStyle w:val="ListParagraph"/>
        <w:numPr>
          <w:ilvl w:val="0"/>
          <w:numId w:val="2"/>
        </w:numPr>
      </w:pPr>
      <w:r>
        <w:t xml:space="preserve">Mean time to detect (MTTD) and respond (MTTR)</w:t>
      </w:r>
    </w:p>
    <w:p>
      <w:pPr>
        <w:pStyle w:val="ListParagraph"/>
        <w:numPr>
          <w:ilvl w:val="0"/>
          <w:numId w:val="2"/>
        </w:numPr>
      </w:pPr>
      <w:r>
        <w:t xml:space="preserve">Root cause analysis patterns</w:t>
      </w:r>
    </w:p>
    <w:p>
      <w:pPr>
        <w:pStyle w:val="ListParagraph"/>
        <w:numPr>
          <w:ilvl w:val="0"/>
          <w:numId w:val="2"/>
        </w:numPr>
      </w:pPr>
      <w:r>
        <w:t xml:space="preserve">Effectiveness of security controls</w:t>
      </w:r>
    </w:p>
    <w:p>
      <w:pPr>
        <w:pStyle w:val="ListParagraph"/>
        <w:numPr>
          <w:ilvl w:val="0"/>
          <w:numId w:val="2"/>
        </w:numPr>
      </w:pPr>
      <w:r>
        <w:t xml:space="preserve">Corrective action implementation status</w:t>
      </w:r>
    </w:p>
    <w:p>
      <w:pPr>
        <w:spacing w:before="480"/>
      </w:pPr>
    </w:p>
    <w:p>
      <w:pPr>
        <w:pStyle w:val="Heading1"/>
      </w:pPr>
      <w:r>
        <w:t xml:space="preserve">9. EVIDENCE COLLECTION AND FORENSICS</w:t>
      </w:r>
    </w:p>
    <w:p>
      <w:pPr>
        <w:pStyle w:val="Heading2"/>
      </w:pPr>
      <w:r>
        <w:t xml:space="preserve">9.1 Evidence Collection Procedures</w:t>
      </w:r>
    </w:p>
    <w:p>
      <w:pPr>
        <w:spacing w:after="120"/>
      </w:pPr>
      <w:r>
        <w:t xml:space="preserve">GlobalFinance Partners establishes procedures for identification, collection, acquisition, and preservation of evidence related to information security incidents in accordance with ISO 27001:2022 control 5-28.</w:t>
      </w:r>
    </w:p>
    <w:p>
      <w:pPr>
        <w:spacing w:after="120" w:before="120"/>
      </w:pPr>
      <w:r>
        <w:rPr>
          <w:b/>
          <w:bCs/>
        </w:rPr>
        <w:t xml:space="preserve">Evidence collection priorities:</w:t>
      </w:r>
    </w:p>
    <w:p>
      <w:pPr>
        <w:pStyle w:val="ListParagraph"/>
        <w:numPr>
          <w:ilvl w:val="0"/>
          <w:numId w:val="2"/>
        </w:numPr>
      </w:pPr>
      <w:r>
        <w:t xml:space="preserve">Preserve volatile data first (memory, network connections, running processes)</w:t>
      </w:r>
    </w:p>
    <w:p>
      <w:pPr>
        <w:pStyle w:val="ListParagraph"/>
        <w:numPr>
          <w:ilvl w:val="0"/>
          <w:numId w:val="2"/>
        </w:numPr>
      </w:pPr>
      <w:r>
        <w:t xml:space="preserve">Document chain of custody for all evidence</w:t>
      </w:r>
    </w:p>
    <w:p>
      <w:pPr>
        <w:pStyle w:val="ListParagraph"/>
        <w:numPr>
          <w:ilvl w:val="0"/>
          <w:numId w:val="2"/>
        </w:numPr>
      </w:pPr>
      <w:r>
        <w:t xml:space="preserve">Create forensic images using write-blockers to preserve integrity</w:t>
      </w:r>
    </w:p>
    <w:p>
      <w:pPr>
        <w:pStyle w:val="ListParagraph"/>
        <w:numPr>
          <w:ilvl w:val="0"/>
          <w:numId w:val="2"/>
        </w:numPr>
      </w:pPr>
      <w:r>
        <w:t xml:space="preserve">Collect relevant logs (system, application, security, network)</w:t>
      </w:r>
    </w:p>
    <w:p>
      <w:pPr>
        <w:pStyle w:val="ListParagraph"/>
        <w:numPr>
          <w:ilvl w:val="0"/>
          <w:numId w:val="2"/>
        </w:numPr>
      </w:pPr>
      <w:r>
        <w:t xml:space="preserve">Photograph physical evidence and document scene</w:t>
      </w:r>
    </w:p>
    <w:p>
      <w:pPr>
        <w:pStyle w:val="ListParagraph"/>
        <w:numPr>
          <w:ilvl w:val="0"/>
          <w:numId w:val="2"/>
        </w:numPr>
      </w:pPr>
      <w:r>
        <w:t xml:space="preserve">Calculate and document cryptographic hashes of all collected evidence</w:t>
      </w:r>
    </w:p>
    <w:p>
      <w:pPr>
        <w:spacing w:before="240"/>
      </w:pPr>
    </w:p>
    <w:p>
      <w:pPr>
        <w:pStyle w:val="Heading2"/>
      </w:pPr>
      <w:r>
        <w:t xml:space="preserve">9.2 Chain of Custody</w:t>
      </w:r>
    </w:p>
    <w:p>
      <w:pPr>
        <w:spacing w:after="120"/>
      </w:pPr>
      <w:r>
        <w:t xml:space="preserve">All evidence must be tracked with documented chain of custody including:</w:t>
      </w:r>
    </w:p>
    <w:p>
      <w:pPr>
        <w:pStyle w:val="ListParagraph"/>
        <w:numPr>
          <w:ilvl w:val="0"/>
          <w:numId w:val="2"/>
        </w:numPr>
      </w:pPr>
      <w:r>
        <w:t xml:space="preserve">Date, time, and location of collection</w:t>
      </w:r>
    </w:p>
    <w:p>
      <w:pPr>
        <w:pStyle w:val="ListParagraph"/>
        <w:numPr>
          <w:ilvl w:val="0"/>
          <w:numId w:val="2"/>
        </w:numPr>
      </w:pPr>
      <w:r>
        <w:t xml:space="preserve">Individual who collected the evidence</w:t>
      </w:r>
    </w:p>
    <w:p>
      <w:pPr>
        <w:pStyle w:val="ListParagraph"/>
        <w:numPr>
          <w:ilvl w:val="0"/>
          <w:numId w:val="2"/>
        </w:numPr>
      </w:pPr>
      <w:r>
        <w:t xml:space="preserve">Description of evidence and unique identifiers</w:t>
      </w:r>
    </w:p>
    <w:p>
      <w:pPr>
        <w:pStyle w:val="ListParagraph"/>
        <w:numPr>
          <w:ilvl w:val="0"/>
          <w:numId w:val="2"/>
        </w:numPr>
      </w:pPr>
      <w:r>
        <w:t xml:space="preserve">Cryptographic hashes (MD5, SHA-256) of digital evidence</w:t>
      </w:r>
    </w:p>
    <w:p>
      <w:pPr>
        <w:pStyle w:val="ListParagraph"/>
        <w:numPr>
          <w:ilvl w:val="0"/>
          <w:numId w:val="2"/>
        </w:numPr>
      </w:pPr>
      <w:r>
        <w:t xml:space="preserve">All transfers of custody with signatures</w:t>
      </w:r>
    </w:p>
    <w:p>
      <w:pPr>
        <w:pStyle w:val="ListParagraph"/>
        <w:numPr>
          <w:ilvl w:val="0"/>
          <w:numId w:val="2"/>
        </w:numPr>
      </w:pPr>
      <w:r>
        <w:t xml:space="preserve">Storage location and security controls</w:t>
      </w:r>
    </w:p>
    <w:p>
      <w:pPr>
        <w:pStyle w:val="ListParagraph"/>
        <w:numPr>
          <w:ilvl w:val="0"/>
          <w:numId w:val="2"/>
        </w:numPr>
      </w:pPr>
      <w:r>
        <w:t xml:space="preserve">Access log for evidence review</w:t>
      </w:r>
    </w:p>
    <w:p>
      <w:pPr>
        <w:spacing w:before="240"/>
      </w:pPr>
    </w:p>
    <w:p>
      <w:pPr>
        <w:pStyle w:val="Heading2"/>
      </w:pPr>
      <w:r>
        <w:t xml:space="preserve">9.3 Legal Considerations</w:t>
      </w:r>
    </w:p>
    <w:p>
      <w:pPr>
        <w:spacing w:after="120"/>
      </w:pPr>
      <w:r>
        <w:t xml:space="preserve">For incidents with potential legal implications:</w:t>
      </w:r>
    </w:p>
    <w:p>
      <w:pPr>
        <w:pStyle w:val="ListParagraph"/>
        <w:numPr>
          <w:ilvl w:val="0"/>
          <w:numId w:val="2"/>
        </w:numPr>
      </w:pPr>
      <w:r>
        <w:t xml:space="preserve">Engage legal counsel early to establish attorney-client privilege</w:t>
      </w:r>
    </w:p>
    <w:p>
      <w:pPr>
        <w:pStyle w:val="ListParagraph"/>
        <w:numPr>
          <w:ilvl w:val="0"/>
          <w:numId w:val="2"/>
        </w:numPr>
      </w:pPr>
      <w:r>
        <w:t xml:space="preserve">Conduct forensics under legal counsel direction when possible</w:t>
      </w:r>
    </w:p>
    <w:p>
      <w:pPr>
        <w:pStyle w:val="ListParagraph"/>
        <w:numPr>
          <w:ilvl w:val="0"/>
          <w:numId w:val="2"/>
        </w:numPr>
      </w:pPr>
      <w:r>
        <w:t xml:space="preserve">Maintain evidence admissibility for potential legal proceedings</w:t>
      </w:r>
    </w:p>
    <w:p>
      <w:pPr>
        <w:pStyle w:val="ListParagraph"/>
        <w:numPr>
          <w:ilvl w:val="0"/>
          <w:numId w:val="2"/>
        </w:numPr>
      </w:pPr>
      <w:r>
        <w:t xml:space="preserve">Document all investigative steps and findings</w:t>
      </w:r>
    </w:p>
    <w:p>
      <w:pPr>
        <w:pStyle w:val="ListParagraph"/>
        <w:numPr>
          <w:ilvl w:val="0"/>
          <w:numId w:val="2"/>
        </w:numPr>
      </w:pPr>
      <w:r>
        <w:t xml:space="preserve">Coordinate with law enforcement when criminal activity is suspected</w:t>
      </w:r>
    </w:p>
    <w:p>
      <w:pPr>
        <w:spacing w:before="480"/>
      </w:pPr>
    </w:p>
    <w:p>
      <w:pPr>
        <w:pStyle w:val="Heading1"/>
      </w:pPr>
      <w:r>
        <w:t xml:space="preserve">10. COMMUNICATION AND NOTIFICATION</w:t>
      </w:r>
    </w:p>
    <w:p>
      <w:pPr>
        <w:pStyle w:val="Heading2"/>
      </w:pPr>
      <w:r>
        <w:t xml:space="preserve">10.1 Internal Communication</w:t>
      </w:r>
    </w:p>
    <w:p>
      <w:pPr>
        <w:pStyle w:val="Heading3"/>
      </w:pPr>
      <w:r>
        <w:t xml:space="preserve">10.1.1 Executive Notification</w:t>
      </w:r>
    </w:p>
    <w:p>
      <w:pPr>
        <w:spacing w:after="120"/>
      </w:pPr>
      <w:r>
        <w:t xml:space="preserve">The CISO notifies the following executives based on incident severity:</w:t>
      </w:r>
    </w:p>
    <w:p>
      <w:pPr>
        <w:pStyle w:val="ListParagraph"/>
        <w:numPr>
          <w:ilvl w:val="0"/>
          <w:numId w:val="2"/>
        </w:numPr>
      </w:pPr>
      <w:r>
        <w:rPr>
          <w:b/>
          <w:bCs/>
        </w:rPr>
        <w:t xml:space="preserve">Critical (P1): </w:t>
      </w:r>
      <w:r>
        <w:t xml:space="preserve">Immediate notification to CEO, COO, CIO, CFO, CCO, CRO - within 15 minutes of confirmation</w:t>
      </w:r>
    </w:p>
    <w:p>
      <w:pPr>
        <w:pStyle w:val="ListParagraph"/>
        <w:numPr>
          <w:ilvl w:val="0"/>
          <w:numId w:val="2"/>
        </w:numPr>
      </w:pPr>
      <w:r>
        <w:rPr>
          <w:b/>
          <w:bCs/>
        </w:rPr>
        <w:t xml:space="preserve">High (P2): </w:t>
      </w:r>
      <w:r>
        <w:t xml:space="preserve">Notification to CISO, COO, CIO, CCO - within 1 hour</w:t>
      </w:r>
    </w:p>
    <w:p>
      <w:pPr>
        <w:pStyle w:val="ListParagraph"/>
        <w:numPr>
          <w:ilvl w:val="0"/>
          <w:numId w:val="2"/>
        </w:numPr>
      </w:pPr>
      <w:r>
        <w:rPr>
          <w:b/>
          <w:bCs/>
        </w:rPr>
        <w:t xml:space="preserve">Medium (P3): </w:t>
      </w:r>
      <w:r>
        <w:t xml:space="preserve">Notification to CISO, CIO - within 4 hours</w:t>
      </w:r>
    </w:p>
    <w:p>
      <w:pPr>
        <w:pStyle w:val="ListParagraph"/>
        <w:numPr>
          <w:ilvl w:val="0"/>
          <w:numId w:val="2"/>
        </w:numPr>
      </w:pPr>
      <w:r>
        <w:rPr>
          <w:b/>
          <w:bCs/>
        </w:rPr>
        <w:t xml:space="preserve">Low (P4): </w:t>
      </w:r>
      <w:r>
        <w:t xml:space="preserve">Documented in incident log, reported in weekly summary</w:t>
      </w:r>
    </w:p>
    <w:p>
      <w:pPr>
        <w:spacing w:before="240"/>
      </w:pPr>
    </w:p>
    <w:p>
      <w:pPr>
        <w:pStyle w:val="Heading3"/>
      </w:pPr>
      <w:r>
        <w:t xml:space="preserve">10.1.2 Board Notification</w:t>
      </w:r>
    </w:p>
    <w:p>
      <w:pPr>
        <w:spacing w:after="120"/>
      </w:pPr>
      <w:r>
        <w:t xml:space="preserve">The CEO and CISO notify the Board of Directors for incidents involving:</w:t>
      </w:r>
    </w:p>
    <w:p>
      <w:pPr>
        <w:pStyle w:val="ListParagraph"/>
        <w:numPr>
          <w:ilvl w:val="0"/>
          <w:numId w:val="2"/>
        </w:numPr>
      </w:pPr>
      <w:r>
        <w:t xml:space="preserve">Confirmed data breach requiring regulatory notification</w:t>
      </w:r>
    </w:p>
    <w:p>
      <w:pPr>
        <w:pStyle w:val="ListParagraph"/>
        <w:numPr>
          <w:ilvl w:val="0"/>
          <w:numId w:val="2"/>
        </w:numPr>
      </w:pPr>
      <w:r>
        <w:t xml:space="preserve">Material financial impact or significant business disruption</w:t>
      </w:r>
    </w:p>
    <w:p>
      <w:pPr>
        <w:pStyle w:val="ListParagraph"/>
        <w:numPr>
          <w:ilvl w:val="0"/>
          <w:numId w:val="2"/>
        </w:numPr>
      </w:pPr>
      <w:r>
        <w:t xml:space="preserve">Potential significant legal liability or regulatory enforcement</w:t>
      </w:r>
    </w:p>
    <w:p>
      <w:pPr>
        <w:pStyle w:val="ListParagraph"/>
        <w:numPr>
          <w:ilvl w:val="0"/>
          <w:numId w:val="2"/>
        </w:numPr>
      </w:pPr>
      <w:r>
        <w:t xml:space="preserve">Major reputation damage or media attention</w:t>
      </w:r>
    </w:p>
    <w:p>
      <w:pPr>
        <w:spacing w:before="240"/>
      </w:pPr>
    </w:p>
    <w:p>
      <w:pPr>
        <w:pStyle w:val="Heading3"/>
      </w:pPr>
      <w:r>
        <w:t xml:space="preserve">10.1.3 Employee Communication</w:t>
      </w:r>
    </w:p>
    <w:p>
      <w:pPr>
        <w:spacing w:after="120"/>
      </w:pPr>
      <w:r>
        <w:t xml:space="preserve">Employee communication during incidents is coordinated by the CISO and Corporate Communications:</w:t>
      </w:r>
    </w:p>
    <w:p>
      <w:pPr>
        <w:pStyle w:val="ListParagraph"/>
        <w:numPr>
          <w:ilvl w:val="0"/>
          <w:numId w:val="2"/>
        </w:numPr>
      </w:pPr>
      <w:r>
        <w:t xml:space="preserve">Need-to-know basis during active incident response</w:t>
      </w:r>
    </w:p>
    <w:p>
      <w:pPr>
        <w:pStyle w:val="ListParagraph"/>
        <w:numPr>
          <w:ilvl w:val="0"/>
          <w:numId w:val="2"/>
        </w:numPr>
      </w:pPr>
      <w:r>
        <w:t xml:space="preserve">Broader communication after incident resolution when appropriate</w:t>
      </w:r>
    </w:p>
    <w:p>
      <w:pPr>
        <w:pStyle w:val="ListParagraph"/>
        <w:numPr>
          <w:ilvl w:val="0"/>
          <w:numId w:val="2"/>
        </w:numPr>
      </w:pPr>
      <w:r>
        <w:t xml:space="preserve">Guidance on what can and cannot be discussed externally</w:t>
      </w:r>
    </w:p>
    <w:p>
      <w:pPr>
        <w:pStyle w:val="ListParagraph"/>
        <w:numPr>
          <w:ilvl w:val="0"/>
          <w:numId w:val="2"/>
        </w:numPr>
      </w:pPr>
      <w:r>
        <w:t xml:space="preserve">Action items for affected personnel</w:t>
      </w:r>
    </w:p>
    <w:p>
      <w:pPr>
        <w:spacing w:before="240"/>
      </w:pPr>
    </w:p>
    <w:p>
      <w:pPr>
        <w:pStyle w:val="Heading2"/>
      </w:pPr>
      <w:r>
        <w:t xml:space="preserve">10.2 External Notification</w:t>
      </w:r>
    </w:p>
    <w:p>
      <w:pPr>
        <w:pStyle w:val="Heading3"/>
      </w:pPr>
      <w:r>
        <w:t xml:space="preserve">10.2.1 Regulatory Notification</w:t>
      </w:r>
    </w:p>
    <w:p>
      <w:pPr>
        <w:spacing w:after="120"/>
      </w:pPr>
      <w:r>
        <w:t xml:space="preserve">The Chief Compliance Officer coordinates regulatory notifications in consultation with legal counsel:</w:t>
      </w:r>
    </w:p>
    <w:p>
      <w:pPr>
        <w:pStyle w:val="ListParagraph"/>
        <w:numPr>
          <w:ilvl w:val="0"/>
          <w:numId w:val="2"/>
        </w:numPr>
      </w:pPr>
      <w:r>
        <w:rPr>
          <w:b/>
          <w:bCs/>
        </w:rPr>
        <w:t xml:space="preserve">PIPEDA: </w:t>
      </w:r>
      <w:r>
        <w:t xml:space="preserve">Privacy Commissioner of Canada - as soon as feasible when breach poses real risk of significant harm</w:t>
      </w:r>
    </w:p>
    <w:p>
      <w:pPr>
        <w:pStyle w:val="ListParagraph"/>
        <w:numPr>
          <w:ilvl w:val="0"/>
          <w:numId w:val="2"/>
        </w:numPr>
      </w:pPr>
      <w:r>
        <w:rPr>
          <w:b/>
          <w:bCs/>
        </w:rPr>
        <w:t xml:space="preserve">GDPR: </w:t>
      </w:r>
      <w:r>
        <w:t xml:space="preserve">Supervisory authority - within 72 hours of breach awareness; affected individuals without undue delay if high risk</w:t>
      </w:r>
    </w:p>
    <w:p>
      <w:pPr>
        <w:pStyle w:val="ListParagraph"/>
        <w:numPr>
          <w:ilvl w:val="0"/>
          <w:numId w:val="2"/>
        </w:numPr>
      </w:pPr>
      <w:r>
        <w:rPr>
          <w:b/>
          <w:bCs/>
        </w:rPr>
        <w:t xml:space="preserve">PCI-DSS: </w:t>
      </w:r>
      <w:r>
        <w:t xml:space="preserve">Payment brands and acquirer - immediately upon discovery of compromise affecting cardholder data</w:t>
      </w:r>
    </w:p>
    <w:p>
      <w:pPr>
        <w:pStyle w:val="ListParagraph"/>
        <w:numPr>
          <w:ilvl w:val="0"/>
          <w:numId w:val="2"/>
        </w:numPr>
      </w:pPr>
      <w:r>
        <w:rPr>
          <w:b/>
          <w:bCs/>
        </w:rPr>
        <w:t xml:space="preserve">Securities Regulators: </w:t>
      </w:r>
      <w:r>
        <w:t xml:space="preserve">As required by provincial and federal securities regulations</w:t>
      </w:r>
    </w:p>
    <w:p>
      <w:pPr>
        <w:spacing w:before="240"/>
      </w:pPr>
    </w:p>
    <w:p>
      <w:pPr>
        <w:pStyle w:val="Heading3"/>
      </w:pPr>
      <w:r>
        <w:t xml:space="preserve">10.2.2 Customer and Partner Notification</w:t>
      </w:r>
    </w:p>
    <w:p>
      <w:pPr>
        <w:spacing w:after="120"/>
      </w:pPr>
      <w:r>
        <w:t xml:space="preserve">Customer and partner notification is coordinated by VP of Legal Affairs and Corporate Communications:</w:t>
      </w:r>
    </w:p>
    <w:p>
      <w:pPr>
        <w:pStyle w:val="ListParagraph"/>
        <w:numPr>
          <w:ilvl w:val="0"/>
          <w:numId w:val="2"/>
        </w:numPr>
      </w:pPr>
      <w:r>
        <w:t xml:space="preserve">Required by contractual obligations</w:t>
      </w:r>
    </w:p>
    <w:p>
      <w:pPr>
        <w:pStyle w:val="ListParagraph"/>
        <w:numPr>
          <w:ilvl w:val="0"/>
          <w:numId w:val="2"/>
        </w:numPr>
      </w:pPr>
      <w:r>
        <w:t xml:space="preserve">Incident directly affects their data or services</w:t>
      </w:r>
    </w:p>
    <w:p>
      <w:pPr>
        <w:pStyle w:val="ListParagraph"/>
        <w:numPr>
          <w:ilvl w:val="0"/>
          <w:numId w:val="2"/>
        </w:numPr>
      </w:pPr>
      <w:r>
        <w:t xml:space="preserve">Regulatory requirements mandate notification</w:t>
      </w:r>
    </w:p>
    <w:p>
      <w:pPr>
        <w:pStyle w:val="ListParagraph"/>
        <w:numPr>
          <w:ilvl w:val="0"/>
          <w:numId w:val="2"/>
        </w:numPr>
      </w:pPr>
      <w:r>
        <w:t xml:space="preserve">Actions required by customers or partners</w:t>
      </w:r>
    </w:p>
    <w:p>
      <w:pPr>
        <w:spacing w:before="240"/>
      </w:pPr>
    </w:p>
    <w:p>
      <w:pPr>
        <w:pStyle w:val="Heading3"/>
      </w:pPr>
      <w:r>
        <w:t xml:space="preserve">10.2.3 Law Enforcement</w:t>
      </w:r>
    </w:p>
    <w:p>
      <w:pPr>
        <w:spacing w:after="120"/>
      </w:pPr>
      <w:r>
        <w:t xml:space="preserve">Law enforcement notification is coordinated by VP of Legal Affairs in consultation with the CISO and CEO for:</w:t>
      </w:r>
    </w:p>
    <w:p>
      <w:pPr>
        <w:pStyle w:val="ListParagraph"/>
        <w:numPr>
          <w:ilvl w:val="0"/>
          <w:numId w:val="2"/>
        </w:numPr>
      </w:pPr>
      <w:r>
        <w:t xml:space="preserve">Criminal activity (fraud, theft, extortion, etc.)</w:t>
      </w:r>
    </w:p>
    <w:p>
      <w:pPr>
        <w:pStyle w:val="ListParagraph"/>
        <w:numPr>
          <w:ilvl w:val="0"/>
          <w:numId w:val="2"/>
        </w:numPr>
      </w:pPr>
      <w:r>
        <w:t xml:space="preserve">Threats to public safety</w:t>
      </w:r>
    </w:p>
    <w:p>
      <w:pPr>
        <w:pStyle w:val="ListParagraph"/>
        <w:numPr>
          <w:ilvl w:val="0"/>
          <w:numId w:val="2"/>
        </w:numPr>
      </w:pPr>
      <w:r>
        <w:t xml:space="preserve">Critical infrastructure incidents</w:t>
      </w:r>
    </w:p>
    <w:p>
      <w:pPr>
        <w:pStyle w:val="ListParagraph"/>
        <w:numPr>
          <w:ilvl w:val="0"/>
          <w:numId w:val="2"/>
        </w:numPr>
      </w:pPr>
      <w:r>
        <w:t xml:space="preserve">Regulatory requirement to report</w:t>
      </w:r>
    </w:p>
    <w:p>
      <w:pPr>
        <w:spacing w:before="240"/>
      </w:pPr>
    </w:p>
    <w:p>
      <w:pPr>
        <w:pStyle w:val="Heading3"/>
      </w:pPr>
      <w:r>
        <w:t xml:space="preserve">10.2.4 Public Communications</w:t>
      </w:r>
    </w:p>
    <w:p>
      <w:pPr>
        <w:spacing w:after="120"/>
      </w:pPr>
      <w:r>
        <w:t xml:space="preserve">All public communications regarding security incidents require approval from CEO and are coordinated by Corporate Communications with legal review. Public communications follow principles of:</w:t>
      </w:r>
    </w:p>
    <w:p>
      <w:pPr>
        <w:pStyle w:val="ListParagraph"/>
        <w:numPr>
          <w:ilvl w:val="0"/>
          <w:numId w:val="2"/>
        </w:numPr>
      </w:pPr>
      <w:r>
        <w:t xml:space="preserve">Transparency appropriate to the situation</w:t>
      </w:r>
    </w:p>
    <w:p>
      <w:pPr>
        <w:pStyle w:val="ListParagraph"/>
        <w:numPr>
          <w:ilvl w:val="0"/>
          <w:numId w:val="2"/>
        </w:numPr>
      </w:pPr>
      <w:r>
        <w:t xml:space="preserve">Factual accuracy without speculation</w:t>
      </w:r>
    </w:p>
    <w:p>
      <w:pPr>
        <w:pStyle w:val="ListParagraph"/>
        <w:numPr>
          <w:ilvl w:val="0"/>
          <w:numId w:val="2"/>
        </w:numPr>
      </w:pPr>
      <w:r>
        <w:t xml:space="preserve">Consistency across all channels</w:t>
      </w:r>
    </w:p>
    <w:p>
      <w:pPr>
        <w:pStyle w:val="ListParagraph"/>
        <w:numPr>
          <w:ilvl w:val="0"/>
          <w:numId w:val="2"/>
        </w:numPr>
      </w:pPr>
      <w:r>
        <w:t xml:space="preserve">Protection of investigation integrity</w:t>
      </w:r>
    </w:p>
    <w:p>
      <w:pPr>
        <w:pStyle w:val="ListParagraph"/>
        <w:numPr>
          <w:ilvl w:val="0"/>
          <w:numId w:val="2"/>
        </w:numPr>
      </w:pPr>
      <w:r>
        <w:t xml:space="preserve">Support for affected individuals</w:t>
      </w:r>
    </w:p>
    <w:p>
      <w:pPr>
        <w:spacing w:before="480"/>
      </w:pPr>
    </w:p>
    <w:p>
      <w:pPr>
        <w:pStyle w:val="Heading1"/>
      </w:pPr>
      <w:r>
        <w:t xml:space="preserve">11. TRAINING AND AWARENESS</w:t>
      </w:r>
    </w:p>
    <w:p>
      <w:pPr>
        <w:pStyle w:val="Heading2"/>
      </w:pPr>
      <w:r>
        <w:t xml:space="preserve">11.1 General Security Awareness</w:t>
      </w:r>
    </w:p>
    <w:p>
      <w:pPr>
        <w:spacing w:after="120"/>
      </w:pPr>
      <w:r>
        <w:t xml:space="preserve">All personnel receive annual security awareness training that includes:</w:t>
      </w:r>
    </w:p>
    <w:p>
      <w:pPr>
        <w:pStyle w:val="ListParagraph"/>
        <w:numPr>
          <w:ilvl w:val="0"/>
          <w:numId w:val="2"/>
        </w:numPr>
      </w:pPr>
      <w:r>
        <w:t xml:space="preserve">How to recognize potential security incidents</w:t>
      </w:r>
    </w:p>
    <w:p>
      <w:pPr>
        <w:pStyle w:val="ListParagraph"/>
        <w:numPr>
          <w:ilvl w:val="0"/>
          <w:numId w:val="2"/>
        </w:numPr>
      </w:pPr>
      <w:r>
        <w:t xml:space="preserve">Incident reporting channels and procedures</w:t>
      </w:r>
    </w:p>
    <w:p>
      <w:pPr>
        <w:pStyle w:val="ListParagraph"/>
        <w:numPr>
          <w:ilvl w:val="0"/>
          <w:numId w:val="2"/>
        </w:numPr>
      </w:pPr>
      <w:r>
        <w:t xml:space="preserve">Individual responsibilities during incidents</w:t>
      </w:r>
    </w:p>
    <w:p>
      <w:pPr>
        <w:pStyle w:val="ListParagraph"/>
        <w:numPr>
          <w:ilvl w:val="0"/>
          <w:numId w:val="2"/>
        </w:numPr>
      </w:pPr>
      <w:r>
        <w:t xml:space="preserve">Common attack vectors and social engineering tactics</w:t>
      </w:r>
    </w:p>
    <w:p>
      <w:pPr>
        <w:pStyle w:val="ListParagraph"/>
        <w:numPr>
          <w:ilvl w:val="0"/>
          <w:numId w:val="2"/>
        </w:numPr>
      </w:pPr>
      <w:r>
        <w:t xml:space="preserve">Evidence preservation basics</w:t>
      </w:r>
    </w:p>
    <w:p>
      <w:pPr>
        <w:spacing w:before="240"/>
      </w:pPr>
    </w:p>
    <w:p>
      <w:pPr>
        <w:pStyle w:val="Heading2"/>
      </w:pPr>
      <w:r>
        <w:t xml:space="preserve">11.2 Incident Response Team Training</w:t>
      </w:r>
    </w:p>
    <w:p>
      <w:pPr>
        <w:spacing w:after="120"/>
      </w:pPr>
      <w:r>
        <w:t xml:space="preserve">IRT members receive specialized training including:</w:t>
      </w:r>
    </w:p>
    <w:p>
      <w:pPr>
        <w:pStyle w:val="ListParagraph"/>
        <w:numPr>
          <w:ilvl w:val="0"/>
          <w:numId w:val="2"/>
        </w:numPr>
      </w:pPr>
      <w:r>
        <w:t xml:space="preserve">Incident response procedures and playbooks</w:t>
      </w:r>
    </w:p>
    <w:p>
      <w:pPr>
        <w:pStyle w:val="ListParagraph"/>
        <w:numPr>
          <w:ilvl w:val="0"/>
          <w:numId w:val="2"/>
        </w:numPr>
      </w:pPr>
      <w:r>
        <w:t xml:space="preserve">Forensic investigation techniques</w:t>
      </w:r>
    </w:p>
    <w:p>
      <w:pPr>
        <w:pStyle w:val="ListParagraph"/>
        <w:numPr>
          <w:ilvl w:val="0"/>
          <w:numId w:val="2"/>
        </w:numPr>
      </w:pPr>
      <w:r>
        <w:t xml:space="preserve">Incident management tools and systems</w:t>
      </w:r>
    </w:p>
    <w:p>
      <w:pPr>
        <w:pStyle w:val="ListParagraph"/>
        <w:numPr>
          <w:ilvl w:val="0"/>
          <w:numId w:val="2"/>
        </w:numPr>
      </w:pPr>
      <w:r>
        <w:t xml:space="preserve">Evidence collection and chain of custody</w:t>
      </w:r>
    </w:p>
    <w:p>
      <w:pPr>
        <w:pStyle w:val="ListParagraph"/>
        <w:numPr>
          <w:ilvl w:val="0"/>
          <w:numId w:val="2"/>
        </w:numPr>
      </w:pPr>
      <w:r>
        <w:t xml:space="preserve">Communication and escalation procedures</w:t>
      </w:r>
    </w:p>
    <w:p>
      <w:pPr>
        <w:pStyle w:val="ListParagraph"/>
        <w:numPr>
          <w:ilvl w:val="0"/>
          <w:numId w:val="2"/>
        </w:numPr>
      </w:pPr>
      <w:r>
        <w:t xml:space="preserve">Legal and regulatory requirements</w:t>
      </w:r>
    </w:p>
    <w:p>
      <w:pPr>
        <w:spacing w:before="240"/>
      </w:pPr>
    </w:p>
    <w:p>
      <w:pPr>
        <w:pStyle w:val="Heading2"/>
      </w:pPr>
      <w:r>
        <w:t xml:space="preserve">11.3 Testing and Exercises</w:t>
      </w:r>
    </w:p>
    <w:p>
      <w:pPr>
        <w:spacing w:after="120"/>
      </w:pPr>
      <w:r>
        <w:t xml:space="preserve">GlobalFinance Partners conducts regular incident response testing:</w:t>
      </w:r>
    </w:p>
    <w:p>
      <w:pPr>
        <w:pStyle w:val="ListParagraph"/>
        <w:numPr>
          <w:ilvl w:val="0"/>
          <w:numId w:val="2"/>
        </w:numPr>
      </w:pPr>
      <w:r>
        <w:rPr>
          <w:b/>
          <w:bCs/>
        </w:rPr>
        <w:t xml:space="preserve">Quarterly tabletop exercises: </w:t>
      </w:r>
      <w:r>
        <w:t xml:space="preserve">Discussion-based scenarios testing procedures and decision-making</w:t>
      </w:r>
    </w:p>
    <w:p>
      <w:pPr>
        <w:pStyle w:val="ListParagraph"/>
        <w:numPr>
          <w:ilvl w:val="0"/>
          <w:numId w:val="2"/>
        </w:numPr>
      </w:pPr>
      <w:r>
        <w:rPr>
          <w:b/>
          <w:bCs/>
        </w:rPr>
        <w:t xml:space="preserve">Annual simulation exercise: </w:t>
      </w:r>
      <w:r>
        <w:t xml:space="preserve">Full-scale incident simulation involving all IRT members and executive leadership</w:t>
      </w:r>
    </w:p>
    <w:p>
      <w:pPr>
        <w:pStyle w:val="ListParagraph"/>
        <w:numPr>
          <w:ilvl w:val="0"/>
          <w:numId w:val="2"/>
        </w:numPr>
      </w:pPr>
      <w:r>
        <w:rPr>
          <w:b/>
          <w:bCs/>
        </w:rPr>
        <w:t xml:space="preserve">Purple team exercises: </w:t>
      </w:r>
      <w:r>
        <w:t xml:space="preserve">Coordinated red team/blue team activities testing detection and response</w:t>
      </w:r>
    </w:p>
    <w:p>
      <w:pPr>
        <w:pStyle w:val="ListParagraph"/>
        <w:numPr>
          <w:ilvl w:val="0"/>
          <w:numId w:val="2"/>
        </w:numPr>
      </w:pPr>
      <w:r>
        <w:rPr>
          <w:b/>
          <w:bCs/>
        </w:rPr>
        <w:t xml:space="preserve">Tool and process validation: </w:t>
      </w:r>
      <w:r>
        <w:t xml:space="preserve">Regular testing of backup restoration, forensic tools, communication channels</w:t>
      </w:r>
    </w:p>
    <w:p>
      <w:pPr>
        <w:spacing w:before="480"/>
      </w:pPr>
    </w:p>
    <w:p>
      <w:pPr>
        <w:pStyle w:val="Heading1"/>
      </w:pPr>
      <w:r>
        <w:t xml:space="preserve">12. CONTINUOUS IMPROVEMENT</w:t>
      </w:r>
    </w:p>
    <w:p>
      <w:pPr>
        <w:pStyle w:val="Heading2"/>
      </w:pPr>
      <w:r>
        <w:t xml:space="preserve">12.1 Lessons Learned Process</w:t>
      </w:r>
    </w:p>
    <w:p>
      <w:pPr>
        <w:spacing w:after="120"/>
      </w:pPr>
      <w:r>
        <w:t xml:space="preserve">Knowledge gained from incidents is systematically captured and used to improve security controls and incident response capabilities:</w:t>
      </w:r>
    </w:p>
    <w:p>
      <w:pPr>
        <w:pStyle w:val="ListParagraph"/>
        <w:numPr>
          <w:ilvl w:val="0"/>
          <w:numId w:val="2"/>
        </w:numPr>
      </w:pPr>
      <w:r>
        <w:t xml:space="preserve">Post-incident review conducted for all P1 and P2 incidents</w:t>
      </w:r>
    </w:p>
    <w:p>
      <w:pPr>
        <w:pStyle w:val="ListParagraph"/>
        <w:numPr>
          <w:ilvl w:val="0"/>
          <w:numId w:val="2"/>
        </w:numPr>
      </w:pPr>
      <w:r>
        <w:t xml:space="preserve">Quarterly analysis of incident patterns and trends</w:t>
      </w:r>
    </w:p>
    <w:p>
      <w:pPr>
        <w:pStyle w:val="ListParagraph"/>
        <w:numPr>
          <w:ilvl w:val="0"/>
          <w:numId w:val="2"/>
        </w:numPr>
      </w:pPr>
      <w:r>
        <w:t xml:space="preserve">Identification of control gaps and improvement opportunities</w:t>
      </w:r>
    </w:p>
    <w:p>
      <w:pPr>
        <w:pStyle w:val="ListParagraph"/>
        <w:numPr>
          <w:ilvl w:val="0"/>
          <w:numId w:val="2"/>
        </w:numPr>
      </w:pPr>
      <w:r>
        <w:t xml:space="preserve">Development and tracking of corrective action plans</w:t>
      </w:r>
    </w:p>
    <w:p>
      <w:pPr>
        <w:pStyle w:val="ListParagraph"/>
        <w:numPr>
          <w:ilvl w:val="0"/>
          <w:numId w:val="2"/>
        </w:numPr>
      </w:pPr>
      <w:r>
        <w:t xml:space="preserve">Update of security controls, policies, procedures, and playbooks</w:t>
      </w:r>
    </w:p>
    <w:p>
      <w:pPr>
        <w:spacing w:before="240"/>
      </w:pPr>
    </w:p>
    <w:p>
      <w:pPr>
        <w:pStyle w:val="Heading2"/>
      </w:pPr>
      <w:r>
        <w:t xml:space="preserve">12.2 Metrics and Performance Measurement</w:t>
      </w:r>
    </w:p>
    <w:p>
      <w:pPr>
        <w:spacing w:after="120"/>
      </w:pPr>
      <w:r>
        <w:t xml:space="preserve">The CISO tracks key performance indicators to measure incident management effectiveness:</w:t>
      </w:r>
    </w:p>
    <w:p>
      <w:pPr>
        <w:pStyle w:val="ListParagraph"/>
        <w:numPr>
          <w:ilvl w:val="0"/>
          <w:numId w:val="2"/>
        </w:numPr>
      </w:pPr>
      <w:r>
        <w:t xml:space="preserve">Number of incidents by severity and type</w:t>
      </w:r>
    </w:p>
    <w:p>
      <w:pPr>
        <w:pStyle w:val="ListParagraph"/>
        <w:numPr>
          <w:ilvl w:val="0"/>
          <w:numId w:val="2"/>
        </w:numPr>
      </w:pPr>
      <w:r>
        <w:t xml:space="preserve">Mean time to detect (MTTD)</w:t>
      </w:r>
    </w:p>
    <w:p>
      <w:pPr>
        <w:pStyle w:val="ListParagraph"/>
        <w:numPr>
          <w:ilvl w:val="0"/>
          <w:numId w:val="2"/>
        </w:numPr>
      </w:pPr>
      <w:r>
        <w:t xml:space="preserve">Mean time to respond (MTTR)</w:t>
      </w:r>
    </w:p>
    <w:p>
      <w:pPr>
        <w:pStyle w:val="ListParagraph"/>
        <w:numPr>
          <w:ilvl w:val="0"/>
          <w:numId w:val="2"/>
        </w:numPr>
      </w:pPr>
      <w:r>
        <w:t xml:space="preserve">Mean time to recover (MTTR recovery)</w:t>
      </w:r>
    </w:p>
    <w:p>
      <w:pPr>
        <w:pStyle w:val="ListParagraph"/>
        <w:numPr>
          <w:ilvl w:val="0"/>
          <w:numId w:val="2"/>
        </w:numPr>
      </w:pPr>
      <w:r>
        <w:t xml:space="preserve">Percentage of incidents meeting response time objectives</w:t>
      </w:r>
    </w:p>
    <w:p>
      <w:pPr>
        <w:pStyle w:val="ListParagraph"/>
        <w:numPr>
          <w:ilvl w:val="0"/>
          <w:numId w:val="2"/>
        </w:numPr>
      </w:pPr>
      <w:r>
        <w:t xml:space="preserve">Number of regulatory notifications</w:t>
      </w:r>
    </w:p>
    <w:p>
      <w:pPr>
        <w:pStyle w:val="ListParagraph"/>
        <w:numPr>
          <w:ilvl w:val="0"/>
          <w:numId w:val="2"/>
        </w:numPr>
      </w:pPr>
      <w:r>
        <w:t xml:space="preserve">Corrective action completion rate</w:t>
      </w:r>
    </w:p>
    <w:p>
      <w:pPr>
        <w:pStyle w:val="ListParagraph"/>
        <w:numPr>
          <w:ilvl w:val="0"/>
          <w:numId w:val="2"/>
        </w:numPr>
      </w:pPr>
      <w:r>
        <w:t xml:space="preserve">Training and exercise participation rates</w:t>
      </w:r>
    </w:p>
    <w:p>
      <w:pPr>
        <w:spacing w:before="240"/>
      </w:pPr>
    </w:p>
    <w:p>
      <w:pPr>
        <w:pStyle w:val="Heading2"/>
      </w:pPr>
      <w:r>
        <w:t xml:space="preserve">12.3 Annual Review and Updates</w:t>
      </w:r>
    </w:p>
    <w:p>
      <w:pPr>
        <w:spacing w:after="120"/>
      </w:pPr>
      <w:r>
        <w:t xml:space="preserve">This policy and supporting incident response procedures are reviewed annually or when:</w:t>
      </w:r>
    </w:p>
    <w:p>
      <w:pPr>
        <w:pStyle w:val="ListParagraph"/>
        <w:numPr>
          <w:ilvl w:val="0"/>
          <w:numId w:val="2"/>
        </w:numPr>
      </w:pPr>
      <w:r>
        <w:t xml:space="preserve">Significant organizational changes occur</w:t>
      </w:r>
    </w:p>
    <w:p>
      <w:pPr>
        <w:pStyle w:val="ListParagraph"/>
        <w:numPr>
          <w:ilvl w:val="0"/>
          <w:numId w:val="2"/>
        </w:numPr>
      </w:pPr>
      <w:r>
        <w:t xml:space="preserve">New regulatory requirements are introduced</w:t>
      </w:r>
    </w:p>
    <w:p>
      <w:pPr>
        <w:pStyle w:val="ListParagraph"/>
        <w:numPr>
          <w:ilvl w:val="0"/>
          <w:numId w:val="2"/>
        </w:numPr>
      </w:pPr>
      <w:r>
        <w:t xml:space="preserve">Major incidents reveal policy or procedure gaps</w:t>
      </w:r>
    </w:p>
    <w:p>
      <w:pPr>
        <w:pStyle w:val="ListParagraph"/>
        <w:numPr>
          <w:ilvl w:val="0"/>
          <w:numId w:val="2"/>
        </w:numPr>
      </w:pPr>
      <w:r>
        <w:t xml:space="preserve">Industry best practices evolve</w:t>
      </w:r>
    </w:p>
    <w:p>
      <w:pPr>
        <w:pStyle w:val="ListParagraph"/>
        <w:numPr>
          <w:ilvl w:val="0"/>
          <w:numId w:val="2"/>
        </w:numPr>
      </w:pPr>
      <w:r>
        <w:t xml:space="preserve">Technology or threat landscape changes significantly</w:t>
      </w:r>
    </w:p>
    <w:p>
      <w:pPr>
        <w:spacing w:before="480"/>
      </w:pPr>
    </w:p>
    <w:p>
      <w:pPr>
        <w:pStyle w:val="Heading1"/>
      </w:pPr>
      <w:r>
        <w:t xml:space="preserve">13. RELATED DOCUMENTS</w:t>
      </w:r>
    </w:p>
    <w:p>
      <w:pPr>
        <w:pStyle w:val="Heading2"/>
      </w:pPr>
      <w:r>
        <w:t xml:space="preserve">13.1 Supporting Policies and Procedures</w:t>
      </w:r>
    </w:p>
    <w:p>
      <w:pPr>
        <w:pStyle w:val="ListParagraph"/>
        <w:numPr>
          <w:ilvl w:val="0"/>
          <w:numId w:val="2"/>
        </w:numPr>
      </w:pPr>
      <w:r>
        <w:t xml:space="preserve">Information Security Policy</w:t>
      </w:r>
    </w:p>
    <w:p>
      <w:pPr>
        <w:pStyle w:val="ListParagraph"/>
        <w:numPr>
          <w:ilvl w:val="0"/>
          <w:numId w:val="2"/>
        </w:numPr>
      </w:pPr>
      <w:r>
        <w:t xml:space="preserve">Business Continuity Policy</w:t>
      </w:r>
    </w:p>
    <w:p>
      <w:pPr>
        <w:pStyle w:val="ListParagraph"/>
        <w:numPr>
          <w:ilvl w:val="0"/>
          <w:numId w:val="2"/>
        </w:numPr>
      </w:pPr>
      <w:r>
        <w:t xml:space="preserve">Disaster Recovery Policy</w:t>
      </w:r>
    </w:p>
    <w:p>
      <w:pPr>
        <w:pStyle w:val="ListParagraph"/>
        <w:numPr>
          <w:ilvl w:val="0"/>
          <w:numId w:val="2"/>
        </w:numPr>
      </w:pPr>
      <w:r>
        <w:t xml:space="preserve">Data Breach Response Plan</w:t>
      </w:r>
    </w:p>
    <w:p>
      <w:pPr>
        <w:pStyle w:val="ListParagraph"/>
        <w:numPr>
          <w:ilvl w:val="0"/>
          <w:numId w:val="2"/>
        </w:numPr>
      </w:pPr>
      <w:r>
        <w:t xml:space="preserve">Forensics Investigation Procedures</w:t>
      </w:r>
    </w:p>
    <w:p>
      <w:pPr>
        <w:pStyle w:val="ListParagraph"/>
        <w:numPr>
          <w:ilvl w:val="0"/>
          <w:numId w:val="2"/>
        </w:numPr>
      </w:pPr>
      <w:r>
        <w:t xml:space="preserve">Crisis Communication Plan</w:t>
      </w:r>
    </w:p>
    <w:p>
      <w:pPr>
        <w:pStyle w:val="ListParagraph"/>
        <w:numPr>
          <w:ilvl w:val="0"/>
          <w:numId w:val="2"/>
        </w:numPr>
      </w:pPr>
      <w:r>
        <w:t xml:space="preserve">Acceptable Use Policy</w:t>
      </w:r>
    </w:p>
    <w:p>
      <w:pPr>
        <w:pStyle w:val="ListParagraph"/>
        <w:numPr>
          <w:ilvl w:val="0"/>
          <w:numId w:val="2"/>
        </w:numPr>
      </w:pPr>
      <w:r>
        <w:t xml:space="preserve">Access Control Policy</w:t>
      </w:r>
    </w:p>
    <w:p>
      <w:pPr>
        <w:spacing w:before="240"/>
      </w:pPr>
    </w:p>
    <w:p>
      <w:pPr>
        <w:pStyle w:val="Heading2"/>
      </w:pPr>
      <w:r>
        <w:t xml:space="preserve">13.2 Standards and Frameworks</w:t>
      </w:r>
    </w:p>
    <w:p>
      <w:pPr>
        <w:pStyle w:val="ListParagraph"/>
        <w:numPr>
          <w:ilvl w:val="0"/>
          <w:numId w:val="2"/>
        </w:numPr>
      </w:pPr>
      <w:r>
        <w:t xml:space="preserve">ISO/IEC 27001:2022 - Information Security Management Systems</w:t>
      </w:r>
    </w:p>
    <w:p>
      <w:pPr>
        <w:pStyle w:val="ListParagraph"/>
        <w:numPr>
          <w:ilvl w:val="0"/>
          <w:numId w:val="2"/>
        </w:numPr>
      </w:pPr>
      <w:r>
        <w:t xml:space="preserve">ISO/IEC 27002:2022 - Information Security Controls</w:t>
      </w:r>
    </w:p>
    <w:p>
      <w:pPr>
        <w:pStyle w:val="ListParagraph"/>
        <w:numPr>
          <w:ilvl w:val="0"/>
          <w:numId w:val="2"/>
        </w:numPr>
      </w:pPr>
      <w:r>
        <w:t xml:space="preserve">ISO/IEC 27035 - Information Security Incident Management</w:t>
      </w:r>
    </w:p>
    <w:p>
      <w:pPr>
        <w:pStyle w:val="ListParagraph"/>
        <w:numPr>
          <w:ilvl w:val="0"/>
          <w:numId w:val="2"/>
        </w:numPr>
      </w:pPr>
      <w:r>
        <w:t xml:space="preserve">NIST SP 800-61 Revision 3 - Computer Security Incident Handling Guide</w:t>
      </w:r>
    </w:p>
    <w:p>
      <w:pPr>
        <w:pStyle w:val="ListParagraph"/>
        <w:numPr>
          <w:ilvl w:val="0"/>
          <w:numId w:val="2"/>
        </w:numPr>
      </w:pPr>
      <w:r>
        <w:t xml:space="preserve">NIST SP 800-100 - Information Security Handbook</w:t>
      </w:r>
    </w:p>
    <w:p>
      <w:pPr>
        <w:pStyle w:val="ListParagraph"/>
        <w:numPr>
          <w:ilvl w:val="0"/>
          <w:numId w:val="2"/>
        </w:numPr>
      </w:pPr>
      <w:r>
        <w:t xml:space="preserve">NIST Cybersecurity Framework (CSF)</w:t>
      </w:r>
    </w:p>
    <w:p>
      <w:pPr>
        <w:pStyle w:val="ListParagraph"/>
        <w:numPr>
          <w:ilvl w:val="0"/>
          <w:numId w:val="2"/>
        </w:numPr>
      </w:pPr>
      <w:r>
        <w:t xml:space="preserve">PCI-DSS - Payment Card Industry Data Security Standard</w:t>
      </w:r>
    </w:p>
    <w:p>
      <w:pPr>
        <w:spacing w:before="480"/>
      </w:pPr>
    </w:p>
    <w:p>
      <w:pPr>
        <w:pStyle w:val="Heading1"/>
      </w:pPr>
      <w:r>
        <w:t xml:space="preserve">14. APPROVAL AND AUTHORIZATION</w:t>
      </w:r>
    </w:p>
    <w:p>
      <w:pPr>
        <w:spacing w:after="240"/>
      </w:pPr>
      <w:r>
        <w:t xml:space="preserve">This Incident Management Policy has been reviewed and approved by:</w:t>
      </w:r>
    </w:p>
    <w:p>
      <w:pPr>
        <w:spacing w:after="120" w:before="240"/>
      </w:pPr>
      <w:r>
        <w:t xml:space="preserve">________________________________________</w:t>
      </w:r>
    </w:p>
    <w:p>
      <w:pPr>
        <w:spacing w:after="60"/>
      </w:pPr>
      <w:r>
        <w:rPr>
          <w:b/>
          <w:bCs/>
        </w:rPr>
        <w:t xml:space="preserve">Richard Harlow</w:t>
      </w:r>
    </w:p>
    <w:p>
      <w:pPr>
        <w:spacing w:after="240"/>
      </w:pPr>
      <w:r>
        <w:t xml:space="preserve">Chief Executive Officer</w:t>
      </w:r>
    </w:p>
    <w:p>
      <w:pPr>
        <w:spacing w:after="120"/>
      </w:pPr>
      <w:r>
        <w:t xml:space="preserve">________________________________________</w:t>
      </w:r>
    </w:p>
    <w:p>
      <w:pPr>
        <w:spacing w:after="60"/>
      </w:pPr>
      <w:r>
        <w:rPr>
          <w:b/>
          <w:bCs/>
        </w:rPr>
        <w:t xml:space="preserve">Priya Nair</w:t>
      </w:r>
    </w:p>
    <w:p>
      <w:pPr>
        <w:spacing w:after="240"/>
      </w:pPr>
      <w:r>
        <w:t xml:space="preserve">Chief Information Security Officer</w:t>
      </w:r>
    </w:p>
    <w:p>
      <w:pPr>
        <w:spacing w:after="240" w:before="240"/>
      </w:pPr>
      <w:r>
        <w:rPr>
          <w:b/>
          <w:bCs/>
        </w:rPr>
        <w:t xml:space="preserve">Effective Date: May 2026</w:t>
      </w:r>
    </w:p>
    <w:p>
      <w:pPr>
        <w:spacing w:before="480"/>
        <w:jc w:val="center"/>
      </w:pPr>
      <w:r>
        <w:rPr>
          <w:b/>
          <w:bCs/>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60" w:before="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2026-05-05T18:53:53.422Z</dcterms:created>
  <dcterms:modified xsi:type="dcterms:W3CDTF">2026-05-05T18:53:53.435Z</dcterms:modified>
</cp:coreProperties>
</file>

<file path=docProps/custom.xml><?xml version="1.0" encoding="utf-8"?>
<Properties xmlns="http://schemas.openxmlformats.org/officeDocument/2006/custom-properties" xmlns:vt="http://schemas.openxmlformats.org/officeDocument/2006/docPropsVTypes"/>
</file>