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GLOBALFINANCE PARTNERS</w:t>
      </w:r>
    </w:p>
    <w:p>
      <w:pPr>
        <w:jc w:val="center"/>
      </w:pPr>
      <w:r>
        <w:rPr>
          <w:sz w:val="32"/>
        </w:rPr>
        <w:t>Information Security Incident Response Report</w:t>
      </w:r>
    </w:p>
    <w:p>
      <w:pPr>
        <w:jc w:val="center"/>
      </w:pPr>
      <w:r>
        <w:rPr>
          <w:b/>
          <w:sz w:val="28"/>
        </w:rPr>
        <w:t>INCIDENT #2026-05-047</w:t>
      </w:r>
    </w:p>
    <w:p/>
    <w:p>
      <w:pPr>
        <w:jc w:val="center"/>
      </w:pPr>
      <w:r>
        <w:rPr>
          <w:i/>
        </w:rPr>
        <w:t>Classification: CONFIDENTIAL - INCIDENT RESPONSE</w:t>
      </w:r>
    </w:p>
    <w:p>
      <w:pPr>
        <w:jc w:val="center"/>
      </w:pPr>
      <w:r>
        <w:rPr>
          <w:i/>
        </w:rPr>
        <w:t>ISO/IEC 27001:2022 Control 5-24 Compliant</w:t>
      </w:r>
    </w:p>
    <w:p>
      <w:pPr>
        <w:jc w:val="center"/>
      </w:pPr>
      <w:r>
        <w:rPr>
          <w:i/>
        </w:rPr>
        <w:t>NIST SP 800-61r3 Aligned</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Incident Number</w:t>
            </w:r>
          </w:p>
        </w:tc>
        <w:tc>
          <w:tcPr>
            <w:tcW w:type="dxa" w:w="4320"/>
          </w:tcPr>
          <w:p>
            <w:r>
              <w:t>2026-05-047</w:t>
            </w:r>
          </w:p>
        </w:tc>
      </w:tr>
      <w:tr>
        <w:tc>
          <w:tcPr>
            <w:tcW w:type="dxa" w:w="4320"/>
          </w:tcPr>
          <w:p>
            <w:r>
              <w:rPr>
                <w:b/>
              </w:rPr>
              <w:t>Incident Type</w:t>
            </w:r>
          </w:p>
        </w:tc>
        <w:tc>
          <w:tcPr>
            <w:tcW w:type="dxa" w:w="4320"/>
          </w:tcPr>
          <w:p>
            <w:r>
              <w:t>Phishing / Unauthorized Access / Data Breach</w:t>
            </w:r>
          </w:p>
        </w:tc>
      </w:tr>
      <w:tr>
        <w:tc>
          <w:tcPr>
            <w:tcW w:type="dxa" w:w="4320"/>
          </w:tcPr>
          <w:p>
            <w:r>
              <w:rPr>
                <w:b/>
              </w:rPr>
              <w:t>Severity Classification</w:t>
            </w:r>
          </w:p>
        </w:tc>
        <w:tc>
          <w:tcPr>
            <w:tcW w:type="dxa" w:w="4320"/>
          </w:tcPr>
          <w:p>
            <w:r>
              <w:t>HIGH (P2)</w:t>
            </w:r>
          </w:p>
        </w:tc>
      </w:tr>
      <w:tr>
        <w:tc>
          <w:tcPr>
            <w:tcW w:type="dxa" w:w="4320"/>
          </w:tcPr>
          <w:p>
            <w:r>
              <w:rPr>
                <w:b/>
              </w:rPr>
              <w:t>Date Detected</w:t>
            </w:r>
          </w:p>
        </w:tc>
        <w:tc>
          <w:tcPr>
            <w:tcW w:type="dxa" w:w="4320"/>
          </w:tcPr>
          <w:p>
            <w:r>
              <w:t>May 15, 2026, 14:23 EDT</w:t>
            </w:r>
          </w:p>
        </w:tc>
      </w:tr>
      <w:tr>
        <w:tc>
          <w:tcPr>
            <w:tcW w:type="dxa" w:w="4320"/>
          </w:tcPr>
          <w:p>
            <w:r>
              <w:rPr>
                <w:b/>
              </w:rPr>
              <w:t>Date Declared Incident</w:t>
            </w:r>
          </w:p>
        </w:tc>
        <w:tc>
          <w:tcPr>
            <w:tcW w:type="dxa" w:w="4320"/>
          </w:tcPr>
          <w:p>
            <w:r>
              <w:t>May 15, 2026, 14:58 EDT</w:t>
            </w:r>
          </w:p>
        </w:tc>
      </w:tr>
      <w:tr>
        <w:tc>
          <w:tcPr>
            <w:tcW w:type="dxa" w:w="4320"/>
          </w:tcPr>
          <w:p>
            <w:r>
              <w:rPr>
                <w:b/>
              </w:rPr>
              <w:t>Date Contained</w:t>
            </w:r>
          </w:p>
        </w:tc>
        <w:tc>
          <w:tcPr>
            <w:tcW w:type="dxa" w:w="4320"/>
          </w:tcPr>
          <w:p>
            <w:r>
              <w:t>May 15, 2026, 17:45 EDT</w:t>
            </w:r>
          </w:p>
        </w:tc>
      </w:tr>
      <w:tr>
        <w:tc>
          <w:tcPr>
            <w:tcW w:type="dxa" w:w="4320"/>
          </w:tcPr>
          <w:p>
            <w:r>
              <w:rPr>
                <w:b/>
              </w:rPr>
              <w:t>Date Closed</w:t>
            </w:r>
          </w:p>
        </w:tc>
        <w:tc>
          <w:tcPr>
            <w:tcW w:type="dxa" w:w="4320"/>
          </w:tcPr>
          <w:p>
            <w:r>
              <w:t>May 17, 2026, 16:00 EDT</w:t>
            </w:r>
          </w:p>
        </w:tc>
      </w:tr>
      <w:tr>
        <w:tc>
          <w:tcPr>
            <w:tcW w:type="dxa" w:w="4320"/>
          </w:tcPr>
          <w:p>
            <w:r>
              <w:rPr>
                <w:b/>
              </w:rPr>
              <w:t>IRT Lead</w:t>
            </w:r>
          </w:p>
        </w:tc>
        <w:tc>
          <w:tcPr>
            <w:tcW w:type="dxa" w:w="4320"/>
          </w:tcPr>
          <w:p>
            <w:r>
              <w:t>Priya Nair, Chief Information Security Officer</w:t>
            </w:r>
          </w:p>
        </w:tc>
      </w:tr>
      <w:tr>
        <w:tc>
          <w:tcPr>
            <w:tcW w:type="dxa" w:w="4320"/>
          </w:tcPr>
          <w:p>
            <w:r>
              <w:rPr>
                <w:b/>
              </w:rPr>
              <w:t>Report Author</w:t>
            </w:r>
          </w:p>
        </w:tc>
        <w:tc>
          <w:tcPr>
            <w:tcW w:type="dxa" w:w="4320"/>
          </w:tcPr>
          <w:p>
            <w:r>
              <w:t>Michael Zhang, Security Operations Center Manager</w:t>
            </w:r>
          </w:p>
        </w:tc>
      </w:tr>
      <w:tr>
        <w:tc>
          <w:tcPr>
            <w:tcW w:type="dxa" w:w="4320"/>
          </w:tcPr>
          <w:p>
            <w:r>
              <w:rPr>
                <w:b/>
              </w:rPr>
              <w:t>Report Date</w:t>
            </w:r>
          </w:p>
        </w:tc>
        <w:tc>
          <w:tcPr>
            <w:tcW w:type="dxa" w:w="4320"/>
          </w:tcPr>
          <w:p>
            <w:r>
              <w:t>May 22, 2026</w:t>
            </w:r>
          </w:p>
        </w:tc>
      </w:tr>
    </w:tbl>
    <w:p>
      <w:r>
        <w:br w:type="page"/>
      </w:r>
    </w:p>
    <w:p>
      <w:pPr>
        <w:pStyle w:val="Heading1"/>
      </w:pPr>
      <w:r>
        <w:t>1. EXECUTIVE SUMMARY</w:t>
      </w:r>
    </w:p>
    <w:p>
      <w:pPr>
        <w:pStyle w:val="Heading2"/>
      </w:pPr>
      <w:r>
        <w:t>Overview</w:t>
      </w:r>
    </w:p>
    <w:p>
      <w:r>
        <w:t>On May 15, 2026, GlobalFinance Partners experienced a targeted phishing attack that resulted in unauthorized access to two employee email accounts. The incident was detected through automated security monitoring alerts and resulted in the potential exposure of client communications and internal business documents. The incident was classified as HIGH severity (P2) under the organization's Incident Management Policy and required executive notification, forensic investigation, and regulatory assessment.</w:t>
      </w:r>
    </w:p>
    <w:p>
      <w:pPr>
        <w:pStyle w:val="Heading2"/>
      </w:pPr>
      <w:r>
        <w:t>Impact Assessment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Accounts Compromised</w:t>
            </w:r>
          </w:p>
        </w:tc>
        <w:tc>
          <w:tcPr>
            <w:tcW w:type="dxa" w:w="4320"/>
          </w:tcPr>
          <w:p>
            <w:r>
              <w:t>2 employee email accounts (Client Services Department)</w:t>
            </w:r>
          </w:p>
        </w:tc>
      </w:tr>
      <w:tr>
        <w:tc>
          <w:tcPr>
            <w:tcW w:type="dxa" w:w="4320"/>
          </w:tcPr>
          <w:p>
            <w:r>
              <w:rPr>
                <w:b/>
              </w:rPr>
              <w:t>Data Accessed</w:t>
            </w:r>
          </w:p>
        </w:tc>
        <w:tc>
          <w:tcPr>
            <w:tcW w:type="dxa" w:w="4320"/>
          </w:tcPr>
          <w:p>
            <w:r>
              <w:t>Approximately 847 emails containing client communications, internal memos, and portfolio documentation from a 14-day period</w:t>
            </w:r>
          </w:p>
        </w:tc>
      </w:tr>
      <w:tr>
        <w:tc>
          <w:tcPr>
            <w:tcW w:type="dxa" w:w="4320"/>
          </w:tcPr>
          <w:p>
            <w:r>
              <w:rPr>
                <w:b/>
              </w:rPr>
              <w:t>Sensitive Data</w:t>
            </w:r>
          </w:p>
        </w:tc>
        <w:tc>
          <w:tcPr>
            <w:tcW w:type="dxa" w:w="4320"/>
          </w:tcPr>
          <w:p>
            <w:r>
              <w:t>Client names and contact information; no financial account numbers, SSNs, or payment card data compromised</w:t>
            </w:r>
          </w:p>
        </w:tc>
      </w:tr>
      <w:tr>
        <w:tc>
          <w:tcPr>
            <w:tcW w:type="dxa" w:w="4320"/>
          </w:tcPr>
          <w:p>
            <w:r>
              <w:rPr>
                <w:b/>
              </w:rPr>
              <w:t>Business Impact</w:t>
            </w:r>
          </w:p>
        </w:tc>
        <w:tc>
          <w:tcPr>
            <w:tcW w:type="dxa" w:w="4320"/>
          </w:tcPr>
          <w:p>
            <w:r>
              <w:t>Limited - No service disruption; client notification completed; reputation impact mitigated through proactive communication</w:t>
            </w:r>
          </w:p>
        </w:tc>
      </w:tr>
      <w:tr>
        <w:tc>
          <w:tcPr>
            <w:tcW w:type="dxa" w:w="4320"/>
          </w:tcPr>
          <w:p>
            <w:r>
              <w:rPr>
                <w:b/>
              </w:rPr>
              <w:t>Financial Impact</w:t>
            </w:r>
          </w:p>
        </w:tc>
        <w:tc>
          <w:tcPr>
            <w:tcW w:type="dxa" w:w="4320"/>
          </w:tcPr>
          <w:p>
            <w:r>
              <w:t>Estimated $47,000 (forensic analysis, enhanced monitoring, legal review, client notification)</w:t>
            </w:r>
          </w:p>
        </w:tc>
      </w:tr>
      <w:tr>
        <w:tc>
          <w:tcPr>
            <w:tcW w:type="dxa" w:w="4320"/>
          </w:tcPr>
          <w:p>
            <w:r>
              <w:rPr>
                <w:b/>
              </w:rPr>
              <w:t>Regulatory Notification</w:t>
            </w:r>
          </w:p>
        </w:tc>
        <w:tc>
          <w:tcPr>
            <w:tcW w:type="dxa" w:w="4320"/>
          </w:tcPr>
          <w:p>
            <w:r>
              <w:t>PIPEDA assessment completed - notification not required as incident did not meet 'real risk of significant harm' threshold. GDPR not applicable (no EU data subjects affected). PCI-DSS not applicable (no cardholder data accessed).</w:t>
            </w:r>
          </w:p>
        </w:tc>
      </w:tr>
      <w:tr>
        <w:tc>
          <w:tcPr>
            <w:tcW w:type="dxa" w:w="4320"/>
          </w:tcPr>
          <w:p/>
        </w:tc>
        <w:tc>
          <w:tcPr>
            <w:tcW w:type="dxa" w:w="4320"/>
          </w:tcPr>
          <w:p/>
        </w:tc>
      </w:tr>
    </w:tbl>
    <w:p>
      <w:pPr>
        <w:pStyle w:val="Heading2"/>
      </w:pPr>
      <w:r>
        <w:t>Key Findings</w:t>
      </w:r>
    </w:p>
    <w:p>
      <w:r>
        <w:rPr>
          <w:b/>
        </w:rPr>
        <w:t xml:space="preserve">• Attack Vector: </w:t>
      </w:r>
      <w:r>
        <w:t>Spear-phishing email masquerading as IT department password reset notification. Email bypassed initial spam filters due to sophisticated domain spoofing (globalfinancepartn3rs.com vs. globalfinancepartners.com).</w:t>
      </w:r>
    </w:p>
    <w:p>
      <w:r>
        <w:rPr>
          <w:b/>
        </w:rPr>
        <w:t xml:space="preserve">• Credential Compromise: </w:t>
      </w:r>
      <w:r>
        <w:t>Two employees submitted credentials to phishing site. Attacker used credentials to access email accounts from IP addresses in Eastern Europe.</w:t>
      </w:r>
    </w:p>
    <w:p>
      <w:r>
        <w:rPr>
          <w:b/>
        </w:rPr>
        <w:t xml:space="preserve">• Detection: </w:t>
      </w:r>
      <w:r>
        <w:t>SIEM alert triggered by impossible travel detection (account access from Toronto and Romania within 15-minute window).</w:t>
      </w:r>
    </w:p>
    <w:p>
      <w:r>
        <w:rPr>
          <w:b/>
        </w:rPr>
        <w:t xml:space="preserve">• Response Time: </w:t>
      </w:r>
      <w:r>
        <w:t>35 minutes from detection to incident declaration; 3.4 hours from declaration to containment. Exceeded P2 response time objective of 1 hour acknowledgment.</w:t>
      </w:r>
    </w:p>
    <w:p>
      <w:r>
        <w:rPr>
          <w:b/>
        </w:rPr>
        <w:t xml:space="preserve">• Root Cause: </w:t>
      </w:r>
      <w:r>
        <w:t>Combination of sophisticated social engineering, lack of multi-factor authentication (MFA) on email accounts, and incomplete phishing awareness training for recently hired employees.</w:t>
      </w:r>
    </w:p>
    <w:p>
      <w:pPr>
        <w:pStyle w:val="Heading2"/>
      </w:pPr>
      <w:r>
        <w:t>Executive Actions Required</w:t>
      </w:r>
    </w:p>
    <w:p>
      <w:r>
        <w:t xml:space="preserve">• </w:t>
      </w:r>
      <w:r>
        <w:rPr>
          <w:i/>
        </w:rPr>
        <w:t>Mandatory MFA deployment for all email and cloud services by June 15, 2026</w:t>
      </w:r>
    </w:p>
    <w:p>
      <w:r>
        <w:t xml:space="preserve">• </w:t>
      </w:r>
      <w:r>
        <w:rPr>
          <w:i/>
        </w:rPr>
        <w:t>Enhanced phishing awareness training rollout to all staff by June 30, 2026</w:t>
      </w:r>
    </w:p>
    <w:p>
      <w:r>
        <w:t xml:space="preserve">• </w:t>
      </w:r>
      <w:r>
        <w:rPr>
          <w:i/>
        </w:rPr>
        <w:t>Email security gateway upgrade with advanced threat protection by July 15, 2026</w:t>
      </w:r>
    </w:p>
    <w:p>
      <w:r>
        <w:t xml:space="preserve">• </w:t>
      </w:r>
      <w:r>
        <w:rPr>
          <w:i/>
        </w:rPr>
        <w:t>Quarterly phishing simulation exercises implemented starting Q3 2026</w:t>
      </w:r>
    </w:p>
    <w:p>
      <w:r>
        <w:br w:type="page"/>
      </w:r>
    </w:p>
    <w:p>
      <w:pPr>
        <w:pStyle w:val="Heading1"/>
      </w:pPr>
      <w:r>
        <w:t>2. INCIDENT DETAILS AND CLASSIFICATION</w:t>
      </w:r>
    </w:p>
    <w:p>
      <w:pPr>
        <w:pStyle w:val="Heading2"/>
      </w:pPr>
      <w:r>
        <w:t>2.1 Incident Classification</w:t>
      </w:r>
    </w:p>
    <w:p>
      <w:r>
        <w:t xml:space="preserve">This incident was classified as </w:t>
      </w:r>
      <w:r>
        <w:rPr>
          <w:b/>
        </w:rPr>
        <w:t>HIGH severity (P2)</w:t>
      </w:r>
      <w:r>
        <w:t xml:space="preserve"> based on the criteria established in GlobalFinance Partners' Incident Management Policy. The classification was determined during the initial assessment phase based on the following factors:</w:t>
      </w:r>
    </w:p>
    <w:p>
      <w:pPr>
        <w:pStyle w:val="ListBullet"/>
      </w:pPr>
      <w:r>
        <w:t>Suspected data breach requiring investigation</w:t>
      </w:r>
    </w:p>
    <w:p>
      <w:pPr>
        <w:pStyle w:val="ListBullet"/>
      </w:pPr>
      <w:r>
        <w:t>Compromise of multiple user accounts</w:t>
      </w:r>
    </w:p>
    <w:p>
      <w:pPr>
        <w:pStyle w:val="ListBullet"/>
      </w:pPr>
      <w:r>
        <w:t>Unauthorized access to client communications</w:t>
      </w:r>
    </w:p>
    <w:p>
      <w:pPr>
        <w:pStyle w:val="ListBullet"/>
      </w:pPr>
      <w:r>
        <w:t>Potential regulatory notification requirements under PIPEDA</w:t>
      </w:r>
    </w:p>
    <w:p>
      <w:pPr>
        <w:pStyle w:val="ListBullet"/>
      </w:pPr>
      <w:r>
        <w:t>Executive notification required per policy</w:t>
      </w:r>
    </w:p>
    <w:p>
      <w:pPr>
        <w:pStyle w:val="ListBullet"/>
      </w:pPr>
      <w:r>
        <w:t>Moderate financial impact from response activities</w:t>
      </w:r>
    </w:p>
    <w:p>
      <w:pPr>
        <w:pStyle w:val="Heading2"/>
      </w:pPr>
      <w:r>
        <w:t>2.2 Incident Timeline</w:t>
      </w:r>
    </w:p>
    <w:tbl>
      <w:tblPr>
        <w:tblStyle w:val="LightGrid-Accent1"/>
        <w:tblW w:type="auto" w:w="0"/>
        <w:tblLook w:firstColumn="1" w:firstRow="1" w:lastColumn="0" w:lastRow="0" w:noHBand="0" w:noVBand="1" w:val="04A0"/>
      </w:tblPr>
      <w:tblGrid>
        <w:gridCol w:w="4320"/>
        <w:gridCol w:w="4320"/>
      </w:tblGrid>
      <w:tr>
        <w:tc>
          <w:tcPr>
            <w:tcW w:type="dxa" w:w="4320"/>
          </w:tcPr>
          <w:p>
            <w:r>
              <w:t>May 15, 08:47</w:t>
            </w:r>
          </w:p>
        </w:tc>
        <w:tc>
          <w:tcPr>
            <w:tcW w:type="dxa" w:w="4320"/>
          </w:tcPr>
          <w:p>
            <w:r>
              <w:t>Phishing emails sent to 37 employees from spoofed domain globalfinancepartn3rs.com</w:t>
            </w:r>
          </w:p>
        </w:tc>
      </w:tr>
      <w:tr>
        <w:tc>
          <w:tcPr>
            <w:tcW w:type="dxa" w:w="4320"/>
          </w:tcPr>
          <w:p>
            <w:r>
              <w:t>May 15, 09:12</w:t>
            </w:r>
          </w:p>
        </w:tc>
        <w:tc>
          <w:tcPr>
            <w:tcW w:type="dxa" w:w="4320"/>
          </w:tcPr>
          <w:p>
            <w:r>
              <w:t>Employee Sarah Mitchell (Client Services Analyst) clicks phishing link and submits credentials</w:t>
            </w:r>
          </w:p>
        </w:tc>
      </w:tr>
      <w:tr>
        <w:tc>
          <w:tcPr>
            <w:tcW w:type="dxa" w:w="4320"/>
          </w:tcPr>
          <w:p>
            <w:r>
              <w:t>May 15, 09:34</w:t>
            </w:r>
          </w:p>
        </w:tc>
        <w:tc>
          <w:tcPr>
            <w:tcW w:type="dxa" w:w="4320"/>
          </w:tcPr>
          <w:p>
            <w:r>
              <w:t>Employee David Cheng (Client Services Associate) clicks phishing link and submits credentials</w:t>
            </w:r>
          </w:p>
        </w:tc>
      </w:tr>
      <w:tr>
        <w:tc>
          <w:tcPr>
            <w:tcW w:type="dxa" w:w="4320"/>
          </w:tcPr>
          <w:p>
            <w:r>
              <w:t>May 15, 09:41</w:t>
            </w:r>
          </w:p>
        </w:tc>
        <w:tc>
          <w:tcPr>
            <w:tcW w:type="dxa" w:w="4320"/>
          </w:tcPr>
          <w:p>
            <w:r>
              <w:t>First unauthorized access to Sarah Mitchell's email account from IP 185.220.101.47 (Romania)</w:t>
            </w:r>
          </w:p>
        </w:tc>
      </w:tr>
      <w:tr>
        <w:tc>
          <w:tcPr>
            <w:tcW w:type="dxa" w:w="4320"/>
          </w:tcPr>
          <w:p>
            <w:r>
              <w:t>May 15, 10:03</w:t>
            </w:r>
          </w:p>
        </w:tc>
        <w:tc>
          <w:tcPr>
            <w:tcW w:type="dxa" w:w="4320"/>
          </w:tcPr>
          <w:p>
            <w:r>
              <w:t>Unauthorized access to David Cheng's email account from IP 185.220.102.89 (Romania)</w:t>
            </w:r>
          </w:p>
        </w:tc>
      </w:tr>
      <w:tr>
        <w:tc>
          <w:tcPr>
            <w:tcW w:type="dxa" w:w="4320"/>
          </w:tcPr>
          <w:p>
            <w:r>
              <w:t>May 15, 14:23</w:t>
            </w:r>
          </w:p>
        </w:tc>
        <w:tc>
          <w:tcPr>
            <w:tcW w:type="dxa" w:w="4320"/>
          </w:tcPr>
          <w:p>
            <w:r>
              <w:t>SIEM alert: Impossible travel detected for Sarah Mitchell (Toronto office login at 14:08, Romania login at 14:23)</w:t>
            </w:r>
          </w:p>
        </w:tc>
      </w:tr>
      <w:tr>
        <w:tc>
          <w:tcPr>
            <w:tcW w:type="dxa" w:w="4320"/>
          </w:tcPr>
          <w:p>
            <w:r>
              <w:t>May 15, 14:26</w:t>
            </w:r>
          </w:p>
        </w:tc>
        <w:tc>
          <w:tcPr>
            <w:tcW w:type="dxa" w:w="4320"/>
          </w:tcPr>
          <w:p>
            <w:r>
              <w:t>SOC analyst Michael Zhang reviews SIEM alert and identifies suspicious activity</w:t>
            </w:r>
          </w:p>
        </w:tc>
      </w:tr>
      <w:tr>
        <w:tc>
          <w:tcPr>
            <w:tcW w:type="dxa" w:w="4320"/>
          </w:tcPr>
          <w:p>
            <w:r>
              <w:t>May 15, 14:35</w:t>
            </w:r>
          </w:p>
        </w:tc>
        <w:tc>
          <w:tcPr>
            <w:tcW w:type="dxa" w:w="4320"/>
          </w:tcPr>
          <w:p>
            <w:r>
              <w:t>SOC analyst identifies second compromised account (David Cheng) with similar pattern</w:t>
            </w:r>
          </w:p>
        </w:tc>
      </w:tr>
      <w:tr>
        <w:tc>
          <w:tcPr>
            <w:tcW w:type="dxa" w:w="4320"/>
          </w:tcPr>
          <w:p>
            <w:r>
              <w:t>May 15, 14:42</w:t>
            </w:r>
          </w:p>
        </w:tc>
        <w:tc>
          <w:tcPr>
            <w:tcW w:type="dxa" w:w="4320"/>
          </w:tcPr>
          <w:p>
            <w:r>
              <w:t>Incident reported to CISO Priya Nair via security@globalfinancepartners.com and phone call</w:t>
            </w:r>
          </w:p>
        </w:tc>
      </w:tr>
      <w:tr>
        <w:tc>
          <w:tcPr>
            <w:tcW w:type="dxa" w:w="4320"/>
          </w:tcPr>
          <w:p>
            <w:r>
              <w:t>May 15, 14:58</w:t>
            </w:r>
          </w:p>
        </w:tc>
        <w:tc>
          <w:tcPr>
            <w:tcW w:type="dxa" w:w="4320"/>
          </w:tcPr>
          <w:p>
            <w:r>
              <w:t>CISO declares incident #2026-05-047, assigns HIGH (P2) severity, activates Incident Response Team</w:t>
            </w:r>
          </w:p>
        </w:tc>
      </w:tr>
      <w:tr>
        <w:tc>
          <w:tcPr>
            <w:tcW w:type="dxa" w:w="4320"/>
          </w:tcPr>
          <w:p>
            <w:r>
              <w:t>May 15, 15:05</w:t>
            </w:r>
          </w:p>
        </w:tc>
        <w:tc>
          <w:tcPr>
            <w:tcW w:type="dxa" w:w="4320"/>
          </w:tcPr>
          <w:p>
            <w:r>
              <w:t>Executive notification: CISO notifies CEO Richard Harlow, COO James Whitfield, CIO Marcus Chen, CCO Elaine Rousseau</w:t>
            </w:r>
          </w:p>
        </w:tc>
      </w:tr>
      <w:tr>
        <w:tc>
          <w:tcPr>
            <w:tcW w:type="dxa" w:w="4320"/>
          </w:tcPr>
          <w:p>
            <w:r>
              <w:t>May 15, 15:18</w:t>
            </w:r>
          </w:p>
        </w:tc>
        <w:tc>
          <w:tcPr>
            <w:tcW w:type="dxa" w:w="4320"/>
          </w:tcPr>
          <w:p>
            <w:r>
              <w:t>IRT convenes initial response call. Attendees: CISO Priya Nair, SOC Manager Michael Zhang, IT Operations Manager Lisa Thompson, Network Security Engineer Kevin Park, Legal Counsel</w:t>
            </w:r>
          </w:p>
        </w:tc>
      </w:tr>
      <w:tr>
        <w:tc>
          <w:tcPr>
            <w:tcW w:type="dxa" w:w="4320"/>
          </w:tcPr>
          <w:p>
            <w:r>
              <w:t>May 15, 15:30</w:t>
            </w:r>
          </w:p>
        </w:tc>
        <w:tc>
          <w:tcPr>
            <w:tcW w:type="dxa" w:w="4320"/>
          </w:tcPr>
          <w:p>
            <w:r>
              <w:t>Containment initiated: Both compromised accounts disabled, passwords reset, active sessions terminated</w:t>
            </w:r>
          </w:p>
        </w:tc>
      </w:tr>
      <w:tr>
        <w:tc>
          <w:tcPr>
            <w:tcW w:type="dxa" w:w="4320"/>
          </w:tcPr>
          <w:p>
            <w:r>
              <w:t>May 15, 15:45</w:t>
            </w:r>
          </w:p>
        </w:tc>
        <w:tc>
          <w:tcPr>
            <w:tcW w:type="dxa" w:w="4320"/>
          </w:tcPr>
          <w:p>
            <w:r>
              <w:t>IP addresses blocked at firewall perimeter, phishing domain added to block lists</w:t>
            </w:r>
          </w:p>
        </w:tc>
      </w:tr>
      <w:tr>
        <w:tc>
          <w:tcPr>
            <w:tcW w:type="dxa" w:w="4320"/>
          </w:tcPr>
          <w:p>
            <w:r>
              <w:t>May 15, 16:20</w:t>
            </w:r>
          </w:p>
        </w:tc>
        <w:tc>
          <w:tcPr>
            <w:tcW w:type="dxa" w:w="4320"/>
          </w:tcPr>
          <w:p>
            <w:r>
              <w:t>Forensic evidence collection: Email logs preserved, authentication logs captured, affected mailbox snapshots created</w:t>
            </w:r>
          </w:p>
        </w:tc>
      </w:tr>
      <w:tr>
        <w:tc>
          <w:tcPr>
            <w:tcW w:type="dxa" w:w="4320"/>
          </w:tcPr>
          <w:p>
            <w:r>
              <w:t>May 15, 17:45</w:t>
            </w:r>
          </w:p>
        </w:tc>
        <w:tc>
          <w:tcPr>
            <w:tcW w:type="dxa" w:w="4320"/>
          </w:tcPr>
          <w:p>
            <w:r>
              <w:t>Containment complete: All unauthorized access blocked, no further malicious activity detected</w:t>
            </w:r>
          </w:p>
        </w:tc>
      </w:tr>
      <w:tr>
        <w:tc>
          <w:tcPr>
            <w:tcW w:type="dxa" w:w="4320"/>
          </w:tcPr>
          <w:p>
            <w:r>
              <w:t>May 15, 18:30</w:t>
            </w:r>
          </w:p>
        </w:tc>
        <w:tc>
          <w:tcPr>
            <w:tcW w:type="dxa" w:w="4320"/>
          </w:tcPr>
          <w:p>
            <w:r>
              <w:t>Analysis complete: Scope of accessed emails determined - 847 emails reviewed over 14-day period</w:t>
            </w:r>
          </w:p>
        </w:tc>
      </w:tr>
      <w:tr>
        <w:tc>
          <w:tcPr>
            <w:tcW w:type="dxa" w:w="4320"/>
          </w:tcPr>
          <w:p>
            <w:r>
              <w:t>May 16, 09:00</w:t>
            </w:r>
          </w:p>
        </w:tc>
        <w:tc>
          <w:tcPr>
            <w:tcW w:type="dxa" w:w="4320"/>
          </w:tcPr>
          <w:p>
            <w:r>
              <w:t>Regulatory assessment completed by CCO Elaine Rousseau with legal counsel - PIPEDA notification not required</w:t>
            </w:r>
          </w:p>
        </w:tc>
      </w:tr>
      <w:tr>
        <w:tc>
          <w:tcPr>
            <w:tcW w:type="dxa" w:w="4320"/>
          </w:tcPr>
          <w:p>
            <w:r>
              <w:t>May 16, 14:00</w:t>
            </w:r>
          </w:p>
        </w:tc>
        <w:tc>
          <w:tcPr>
            <w:tcW w:type="dxa" w:w="4320"/>
          </w:tcPr>
          <w:p>
            <w:r>
              <w:t>Eradication: New accounts provisioned for affected users with MFA enabled, forensic review confirms no persistence mechanisms</w:t>
            </w:r>
          </w:p>
        </w:tc>
      </w:tr>
      <w:tr>
        <w:tc>
          <w:tcPr>
            <w:tcW w:type="dxa" w:w="4320"/>
          </w:tcPr>
          <w:p>
            <w:r>
              <w:t>May 17, 10:00</w:t>
            </w:r>
          </w:p>
        </w:tc>
        <w:tc>
          <w:tcPr>
            <w:tcW w:type="dxa" w:w="4320"/>
          </w:tcPr>
          <w:p>
            <w:r>
              <w:t>Recovery: User accounts restored to production, enhanced monitoring activated, affected employees briefed</w:t>
            </w:r>
          </w:p>
        </w:tc>
      </w:tr>
      <w:tr>
        <w:tc>
          <w:tcPr>
            <w:tcW w:type="dxa" w:w="4320"/>
          </w:tcPr>
          <w:p>
            <w:r>
              <w:t>May 17, 16:00</w:t>
            </w:r>
          </w:p>
        </w:tc>
        <w:tc>
          <w:tcPr>
            <w:tcW w:type="dxa" w:w="4320"/>
          </w:tcPr>
          <w:p>
            <w:r>
              <w:t>Incident closed after 48-hour monitoring period with no additional suspicious activity</w:t>
            </w:r>
          </w:p>
        </w:tc>
      </w:tr>
      <w:tr>
        <w:tc>
          <w:tcPr>
            <w:tcW w:type="dxa" w:w="4320"/>
          </w:tcPr>
          <w:p>
            <w:r>
              <w:t>May 20, 2026</w:t>
            </w:r>
          </w:p>
        </w:tc>
        <w:tc>
          <w:tcPr>
            <w:tcW w:type="dxa" w:w="4320"/>
          </w:tcPr>
          <w:p>
            <w:r>
              <w:t>Proactive client notification letters sent to 142 affected clients</w:t>
            </w:r>
          </w:p>
        </w:tc>
      </w:tr>
      <w:tr>
        <w:tc>
          <w:tcPr>
            <w:tcW w:type="dxa" w:w="4320"/>
          </w:tcPr>
          <w:p>
            <w:r>
              <w:t>May 22, 14:00</w:t>
            </w:r>
          </w:p>
        </w:tc>
        <w:tc>
          <w:tcPr>
            <w:tcW w:type="dxa" w:w="4320"/>
          </w:tcPr>
          <w:p>
            <w:r>
              <w:t>Post-incident review completed, lessons learned documented, corrective action plan approved</w:t>
            </w:r>
          </w:p>
        </w:tc>
      </w:tr>
      <w:tr>
        <w:tc>
          <w:tcPr>
            <w:tcW w:type="dxa" w:w="4320"/>
          </w:tcPr>
          <w:p>
            <w:r>
              <w:t>May 23, 2026</w:t>
            </w:r>
          </w:p>
        </w:tc>
        <w:tc>
          <w:tcPr>
            <w:tcW w:type="dxa" w:w="4320"/>
          </w:tcPr>
          <w:p>
            <w:r>
              <w:t>Final incident report approved by CEO and executive leadership</w:t>
            </w:r>
          </w:p>
        </w:tc>
      </w:tr>
    </w:tbl>
    <w:p>
      <w:r>
        <w:br w:type="page"/>
      </w:r>
    </w:p>
    <w:p>
      <w:pPr>
        <w:pStyle w:val="Heading1"/>
      </w:pPr>
      <w:r>
        <w:t>3. DETECTION AND ANALYSIS (NIST Phase 2)</w:t>
      </w:r>
    </w:p>
    <w:p>
      <w:pPr>
        <w:pStyle w:val="Heading2"/>
      </w:pPr>
      <w:r>
        <w:t>3.1 Initial Detection</w:t>
      </w:r>
    </w:p>
    <w:p>
      <w:r>
        <w:t>The incident was initially detected through automated security monitoring at 14:23 EDT on May 15, 2026. The GlobalFinance Partners SIEM platform (Splunk Enterprise Security) triggered a high-priority alert based on the impossible travel detection rule, which identified authentication to Sarah Mitchell's email account from two geographically distant locations within a 15-minute window.</w:t>
      </w:r>
    </w:p>
    <w:p>
      <w:r>
        <w:t>Detection Indicators:</w:t>
      </w:r>
    </w:p>
    <w:p>
      <w:pPr>
        <w:pStyle w:val="ListBullet"/>
      </w:pPr>
      <w:r>
        <w:t>Authentication from Romanian IP address (185.220.101.47) at 14:23 EDT, following legitimate Toronto office authentication at 14:08 EDT</w:t>
      </w:r>
    </w:p>
    <w:p>
      <w:pPr>
        <w:pStyle w:val="ListBullet"/>
      </w:pPr>
      <w:r>
        <w:t>User-Agent string inconsistent with employee's typical browser profile</w:t>
      </w:r>
    </w:p>
    <w:p>
      <w:pPr>
        <w:pStyle w:val="ListBullet"/>
      </w:pPr>
      <w:r>
        <w:t>Authentication method: Basic authentication (password only, no MFA)</w:t>
      </w:r>
    </w:p>
    <w:p>
      <w:pPr>
        <w:pStyle w:val="ListBullet"/>
      </w:pPr>
      <w:r>
        <w:t>Unusual email folder access patterns (focused on specific client communications)</w:t>
      </w:r>
    </w:p>
    <w:p>
      <w:pPr>
        <w:pStyle w:val="Heading2"/>
      </w:pPr>
      <w:r>
        <w:t>3.2 Investigation and Analysis</w:t>
      </w:r>
    </w:p>
    <w:p>
      <w:r>
        <w:t>Following the SIEM alert, SOC analyst Michael Zhang conducted immediate triage and analysis. The investigation revealed a coordinated phishing attack targeting multiple employees. Analysis of email server logs, authentication logs, and email gateway records provided the following findings.</w:t>
      </w:r>
    </w:p>
    <w:p>
      <w:pPr>
        <w:pStyle w:val="Heading3"/>
      </w:pPr>
      <w:r>
        <w:t>3.2.1 Attack Vector Analysis</w:t>
      </w:r>
    </w:p>
    <w:p>
      <w:r>
        <w:t>The attack began with a spear-phishing campaign at 08:47 EDT on May 15, 2026. Thirty-seven (37) GlobalFinance Partners employees received an email with the following characteristics:</w:t>
      </w:r>
    </w:p>
    <w:p>
      <w:pPr>
        <w:pStyle w:val="ListBullet"/>
      </w:pPr>
      <w:r>
        <w:t>From Address: it-security@globalfinancepartn3rs.com (typosquatting domain)</w:t>
      </w:r>
    </w:p>
    <w:p>
      <w:pPr>
        <w:pStyle w:val="ListBullet"/>
      </w:pPr>
      <w:r>
        <w:t>Subject: "URGENT: Password Expiration - Action Required Within 24 Hours"</w:t>
      </w:r>
    </w:p>
    <w:p>
      <w:pPr>
        <w:pStyle w:val="ListBullet"/>
      </w:pPr>
      <w:r>
        <w:t>Content: Professional-looking email mimicking GlobalFinance Partners IT department branding, warning of imminent account lockout</w:t>
      </w:r>
    </w:p>
    <w:p>
      <w:pPr>
        <w:pStyle w:val="ListBullet"/>
      </w:pPr>
      <w:r>
        <w:t>Call to Action: Link to spoofed login page at https://globalfinancepartn3rs.com/portal/login.php</w:t>
      </w:r>
    </w:p>
    <w:p>
      <w:pPr>
        <w:pStyle w:val="ListBullet"/>
      </w:pPr>
      <w:r>
        <w:t>Email passed initial spam filters due to DKIM/SPF validation on attacker-controlled domain</w:t>
      </w:r>
    </w:p>
    <w:p>
      <w:pPr>
        <w:pStyle w:val="Heading3"/>
      </w:pPr>
      <w:r>
        <w:t>3.2.2 Scope of Compromise</w:t>
      </w:r>
    </w:p>
    <w:tbl>
      <w:tblPr>
        <w:tblStyle w:val="LightGrid-Accent1"/>
        <w:tblW w:type="auto" w:w="0"/>
        <w:tblLook w:firstColumn="1" w:firstRow="1" w:lastColumn="0" w:lastRow="0" w:noHBand="0" w:noVBand="1" w:val="04A0"/>
      </w:tblPr>
      <w:tblGrid>
        <w:gridCol w:w="4320"/>
        <w:gridCol w:w="4320"/>
      </w:tblGrid>
      <w:tr>
        <w:tc>
          <w:tcPr>
            <w:tcW w:type="dxa" w:w="4320"/>
          </w:tcPr>
          <w:p>
            <w:r>
              <w:rPr>
                <w:b/>
              </w:rPr>
              <w:t>Phishing emails sent</w:t>
            </w:r>
          </w:p>
        </w:tc>
        <w:tc>
          <w:tcPr>
            <w:tcW w:type="dxa" w:w="4320"/>
          </w:tcPr>
          <w:p>
            <w:r>
              <w:t>37 employees targeted</w:t>
            </w:r>
          </w:p>
        </w:tc>
      </w:tr>
      <w:tr>
        <w:tc>
          <w:tcPr>
            <w:tcW w:type="dxa" w:w="4320"/>
          </w:tcPr>
          <w:p>
            <w:r>
              <w:rPr>
                <w:b/>
              </w:rPr>
              <w:t>Employees who clicked link</w:t>
            </w:r>
          </w:p>
        </w:tc>
        <w:tc>
          <w:tcPr>
            <w:tcW w:type="dxa" w:w="4320"/>
          </w:tcPr>
          <w:p>
            <w:r>
              <w:t>5 employees (13.5% click rate)</w:t>
            </w:r>
          </w:p>
        </w:tc>
      </w:tr>
      <w:tr>
        <w:tc>
          <w:tcPr>
            <w:tcW w:type="dxa" w:w="4320"/>
          </w:tcPr>
          <w:p>
            <w:r>
              <w:rPr>
                <w:b/>
              </w:rPr>
              <w:t>Credentials submitted</w:t>
            </w:r>
          </w:p>
        </w:tc>
        <w:tc>
          <w:tcPr>
            <w:tcW w:type="dxa" w:w="4320"/>
          </w:tcPr>
          <w:p>
            <w:r>
              <w:t>2 employees (Sarah Mitchell, David Cheng)</w:t>
            </w:r>
          </w:p>
        </w:tc>
      </w:tr>
      <w:tr>
        <w:tc>
          <w:tcPr>
            <w:tcW w:type="dxa" w:w="4320"/>
          </w:tcPr>
          <w:p>
            <w:r>
              <w:rPr>
                <w:b/>
              </w:rPr>
              <w:t>Accounts compromised</w:t>
            </w:r>
          </w:p>
        </w:tc>
        <w:tc>
          <w:tcPr>
            <w:tcW w:type="dxa" w:w="4320"/>
          </w:tcPr>
          <w:p>
            <w:r>
              <w:t>2 accounts successfully accessed by attacker</w:t>
            </w:r>
          </w:p>
        </w:tc>
      </w:tr>
      <w:tr>
        <w:tc>
          <w:tcPr>
            <w:tcW w:type="dxa" w:w="4320"/>
          </w:tcPr>
          <w:p>
            <w:r>
              <w:rPr>
                <w:b/>
              </w:rPr>
              <w:t>Duration of unauthorized access</w:t>
            </w:r>
          </w:p>
        </w:tc>
        <w:tc>
          <w:tcPr>
            <w:tcW w:type="dxa" w:w="4320"/>
          </w:tcPr>
          <w:p>
            <w:r>
              <w:t>Sarah Mitchell: 4 hours 49 minutes; David Cheng: 4 hours 27 minutes</w:t>
            </w:r>
          </w:p>
        </w:tc>
      </w:tr>
      <w:tr>
        <w:tc>
          <w:tcPr>
            <w:tcW w:type="dxa" w:w="4320"/>
          </w:tcPr>
          <w:p>
            <w:r>
              <w:rPr>
                <w:b/>
              </w:rPr>
              <w:t>Emails accessed</w:t>
            </w:r>
          </w:p>
        </w:tc>
        <w:tc>
          <w:tcPr>
            <w:tcW w:type="dxa" w:w="4320"/>
          </w:tcPr>
          <w:p>
            <w:r>
              <w:t>847 emails reviewed (sent/received over 14-day period from May 1-15, 2026)</w:t>
            </w:r>
          </w:p>
        </w:tc>
      </w:tr>
      <w:tr>
        <w:tc>
          <w:tcPr>
            <w:tcW w:type="dxa" w:w="4320"/>
          </w:tcPr>
          <w:p>
            <w:r>
              <w:rPr>
                <w:b/>
              </w:rPr>
              <w:t>Data exfiltration</w:t>
            </w:r>
          </w:p>
        </w:tc>
        <w:tc>
          <w:tcPr>
            <w:tcW w:type="dxa" w:w="4320"/>
          </w:tcPr>
          <w:p>
            <w:r>
              <w:t>23 emails forwarded to external address darkstar.operations@protonmail.com</w:t>
            </w:r>
          </w:p>
        </w:tc>
      </w:tr>
      <w:tr>
        <w:tc>
          <w:tcPr>
            <w:tcW w:type="dxa" w:w="4320"/>
          </w:tcPr>
          <w:p>
            <w:r>
              <w:rPr>
                <w:b/>
              </w:rPr>
              <w:t>Attachments downloaded</w:t>
            </w:r>
          </w:p>
        </w:tc>
        <w:tc>
          <w:tcPr>
            <w:tcW w:type="dxa" w:w="4320"/>
          </w:tcPr>
          <w:p>
            <w:r>
              <w:t>7 PDF documents downloaded (client proposals, portfolio summaries)</w:t>
            </w:r>
          </w:p>
        </w:tc>
      </w:tr>
      <w:tr>
        <w:tc>
          <w:tcPr>
            <w:tcW w:type="dxa" w:w="4320"/>
          </w:tcPr>
          <w:p/>
        </w:tc>
        <w:tc>
          <w:tcPr>
            <w:tcW w:type="dxa" w:w="4320"/>
          </w:tcPr>
          <w:p/>
        </w:tc>
      </w:tr>
    </w:tbl>
    <w:p>
      <w:r>
        <w:br w:type="page"/>
      </w:r>
    </w:p>
    <w:p>
      <w:pPr>
        <w:pStyle w:val="Heading1"/>
      </w:pPr>
      <w:r>
        <w:t>4. CONTAINMENT, ERADICATION, AND RECOVERY (NIST Phase 3)</w:t>
      </w:r>
    </w:p>
    <w:p>
      <w:pPr>
        <w:pStyle w:val="Heading2"/>
      </w:pPr>
      <w:r>
        <w:t>4.1 Containment Actions</w:t>
      </w:r>
    </w:p>
    <w:p>
      <w:r>
        <w:t>Following incident declaration at 14:58 EDT, the Incident Response Team implemented immediate containment measures to prevent further unauthorized access and limit the scope of the incident. All containment actions were completed by 17:45 EDT on May 15, 2026.</w:t>
      </w:r>
    </w:p>
    <w:p>
      <w:pPr>
        <w:pStyle w:val="Heading3"/>
      </w:pPr>
      <w:r>
        <w:t>4.1.1 Short-term Containment (Completed 15:30 EDT)</w:t>
      </w:r>
    </w:p>
    <w:p>
      <w:pPr>
        <w:pStyle w:val="ListBullet"/>
      </w:pPr>
      <w:r>
        <w:t>Disabled both compromised user accounts (Sarah Mitchell, David Cheng) in Active Directory</w:t>
      </w:r>
    </w:p>
    <w:p>
      <w:pPr>
        <w:pStyle w:val="ListBullet"/>
      </w:pPr>
      <w:r>
        <w:t>Terminated all active email sessions for affected accounts</w:t>
      </w:r>
    </w:p>
    <w:p>
      <w:pPr>
        <w:pStyle w:val="ListBullet"/>
      </w:pPr>
      <w:r>
        <w:t>Reset passwords for both accounts using secure out-of-band process</w:t>
      </w:r>
    </w:p>
    <w:p>
      <w:pPr>
        <w:pStyle w:val="ListBullet"/>
      </w:pPr>
      <w:r>
        <w:t>Revoked all OAuth tokens and application-specific passwords associated with accounts</w:t>
      </w:r>
    </w:p>
    <w:p>
      <w:pPr>
        <w:pStyle w:val="ListBullet"/>
      </w:pPr>
      <w:r>
        <w:t>Contacted affected employees to verify their physical locations and confirm they were not attempting access</w:t>
      </w:r>
    </w:p>
    <w:p>
      <w:pPr>
        <w:pStyle w:val="Heading3"/>
      </w:pPr>
      <w:r>
        <w:t>4.1.2 Long-term Containment (Completed 17:45 EDT)</w:t>
      </w:r>
    </w:p>
    <w:p>
      <w:pPr>
        <w:pStyle w:val="ListBullet"/>
      </w:pPr>
      <w:r>
        <w:t>Blocked attacker IP addresses at firewall perimeter (185.220.101.47, 185.220.102.89, and /24 subnet)</w:t>
      </w:r>
    </w:p>
    <w:p>
      <w:pPr>
        <w:pStyle w:val="ListBullet"/>
      </w:pPr>
      <w:r>
        <w:t>Added phishing domain (globalfinancepartn3rs.com) to DNS sinkhole and email gateway block lists</w:t>
      </w:r>
    </w:p>
    <w:p>
      <w:pPr>
        <w:pStyle w:val="ListBullet"/>
      </w:pPr>
      <w:r>
        <w:t>Implemented enhanced logging and monitoring for all Client Services Department email accounts</w:t>
      </w:r>
    </w:p>
    <w:p>
      <w:pPr>
        <w:pStyle w:val="ListBullet"/>
      </w:pPr>
      <w:r>
        <w:t>Enabled geo-blocking for authentication attempts from Eastern European IP ranges (temporary measure)</w:t>
      </w:r>
    </w:p>
    <w:p>
      <w:pPr>
        <w:pStyle w:val="ListBullet"/>
      </w:pPr>
      <w:r>
        <w:t>Created forensic copies of affected mailboxes before any remediation activities</w:t>
      </w:r>
    </w:p>
    <w:p>
      <w:pPr>
        <w:pStyle w:val="ListBullet"/>
      </w:pPr>
      <w:r>
        <w:t>Notified email service provider (Microsoft 365) of compromised accounts and coordinated additional protective measures</w:t>
      </w:r>
    </w:p>
    <w:p>
      <w:pPr>
        <w:pStyle w:val="Heading2"/>
      </w:pPr>
      <w:r>
        <w:t>4.2 Eradication</w:t>
      </w:r>
    </w:p>
    <w:p>
      <w:r>
        <w:t>Eradication activities focused on removing the attacker's access methods and closing the vulnerability that allowed the incident to occur. All eradication activities were completed by May 16, 2026, at 14:00 EDT.</w:t>
      </w:r>
    </w:p>
    <w:p>
      <w:pPr>
        <w:pStyle w:val="Heading3"/>
      </w:pPr>
      <w:r>
        <w:t>4.2.1 Account Remediation</w:t>
      </w:r>
    </w:p>
    <w:p>
      <w:pPr>
        <w:pStyle w:val="ListBullet"/>
      </w:pPr>
      <w:r>
        <w:t>Provisioned new email accounts for affected users with fresh credentials</w:t>
      </w:r>
    </w:p>
    <w:p>
      <w:pPr>
        <w:pStyle w:val="ListBullet"/>
      </w:pPr>
      <w:r>
        <w:t>Enforced multi-factor authentication (MFA) using Microsoft Authenticator for new accounts</w:t>
      </w:r>
    </w:p>
    <w:p>
      <w:pPr>
        <w:pStyle w:val="ListBullet"/>
      </w:pPr>
      <w:r>
        <w:t>Migrated mailbox contents from quarantined accounts to new accounts after forensic review</w:t>
      </w:r>
    </w:p>
    <w:p>
      <w:pPr>
        <w:pStyle w:val="ListBullet"/>
      </w:pPr>
      <w:r>
        <w:t>Reviewed and removed any suspicious email forwarding rules or inbox rules created by attacker (none found)</w:t>
      </w:r>
    </w:p>
    <w:p>
      <w:pPr>
        <w:pStyle w:val="ListBullet"/>
      </w:pPr>
      <w:r>
        <w:t>Verified no persistence mechanisms (auto-forwarding, delegate permissions, Outlook forms) were established</w:t>
      </w:r>
    </w:p>
    <w:p>
      <w:pPr>
        <w:pStyle w:val="Heading2"/>
      </w:pPr>
      <w:r>
        <w:t>4.3 Recovery</w:t>
      </w:r>
    </w:p>
    <w:p>
      <w:r>
        <w:t>Recovery activities restored affected employees to full productivity while maintaining enhanced security monitoring. All recovery activities were completed by May 17, 2026, at 10:00 EDT.</w:t>
      </w:r>
    </w:p>
    <w:p>
      <w:pPr>
        <w:pStyle w:val="ListBullet"/>
      </w:pPr>
      <w:r>
        <w:t>Activated new user accounts with MFA enforced for Sarah Mitchell and David Cheng</w:t>
      </w:r>
    </w:p>
    <w:p>
      <w:pPr>
        <w:pStyle w:val="ListBullet"/>
      </w:pPr>
      <w:r>
        <w:t>Verified mailbox synchronization and Outlook client connectivity</w:t>
      </w:r>
    </w:p>
    <w:p>
      <w:pPr>
        <w:pStyle w:val="ListBullet"/>
      </w:pPr>
      <w:r>
        <w:t>Restored calendar appointments and contacts from backup</w:t>
      </w:r>
    </w:p>
    <w:p>
      <w:pPr>
        <w:pStyle w:val="ListBullet"/>
      </w:pPr>
      <w:r>
        <w:t>Provided in-person security briefing to affected employees on MFA usage and phishing awareness</w:t>
      </w:r>
    </w:p>
    <w:p>
      <w:pPr>
        <w:pStyle w:val="ListBullet"/>
      </w:pPr>
      <w:r>
        <w:t>Updated internal directory and contact lists with new email addresses</w:t>
      </w:r>
    </w:p>
    <w:p>
      <w:pPr>
        <w:pStyle w:val="ListBullet"/>
      </w:pPr>
      <w:r>
        <w:t>Implemented 48-hour enhanced monitoring period for all Client Services Department accounts</w:t>
      </w:r>
    </w:p>
    <w:p>
      <w:pPr>
        <w:pStyle w:val="ListBullet"/>
      </w:pPr>
      <w:r>
        <w:t>Configured alerts for any authentication attempts from previously identified malicious IP addresses</w:t>
      </w:r>
    </w:p>
    <w:p>
      <w:pPr>
        <w:pStyle w:val="ListBullet"/>
      </w:pPr>
      <w:r>
        <w:t>Verified no additional unauthorized access attempts during monitoring period</w:t>
      </w:r>
    </w:p>
    <w:p>
      <w:pPr>
        <w:pStyle w:val="ListBullet"/>
      </w:pPr>
      <w:r>
        <w:t>Confirmed MFA enrollment successful for 100% of Client Services Department staff (37 employees)</w:t>
      </w:r>
    </w:p>
    <w:p>
      <w:r>
        <w:br w:type="page"/>
      </w:r>
    </w:p>
    <w:p>
      <w:pPr>
        <w:pStyle w:val="Heading1"/>
      </w:pPr>
      <w:r>
        <w:t>5. EVIDENCE COLLECTION AND FORENSICS (ISO 27001 Control 5-28)</w:t>
      </w:r>
    </w:p>
    <w:p>
      <w:pPr>
        <w:pStyle w:val="Heading2"/>
      </w:pPr>
      <w:r>
        <w:t>5.1 Evidence Collection Procedures</w:t>
      </w:r>
    </w:p>
    <w:p>
      <w:r>
        <w:t>In accordance with ISO/IEC 27001:2022 control 5-28 and GlobalFinance Partners' Incident Management Policy, the Incident Response Team established procedures for identification, collection, acquisition, and preservation of evidence related to this incident. All evidence collection activities maintained chain of custody and forensic integrity.</w:t>
      </w:r>
    </w:p>
    <w:p>
      <w:pPr>
        <w:pStyle w:val="Heading2"/>
      </w:pPr>
      <w:r>
        <w:t>5.2 Evidence Inventory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Evidence ID</w:t>
            </w:r>
          </w:p>
        </w:tc>
        <w:tc>
          <w:tcPr>
            <w:tcW w:type="dxa" w:w="2160"/>
          </w:tcPr>
          <w:p>
            <w:r>
              <w:rPr>
                <w:b/>
              </w:rPr>
              <w:t>Description</w:t>
            </w:r>
          </w:p>
        </w:tc>
        <w:tc>
          <w:tcPr>
            <w:tcW w:type="dxa" w:w="2160"/>
          </w:tcPr>
          <w:p>
            <w:r>
              <w:rPr>
                <w:b/>
              </w:rPr>
              <w:t>Collection Method</w:t>
            </w:r>
          </w:p>
        </w:tc>
        <w:tc>
          <w:tcPr>
            <w:tcW w:type="dxa" w:w="2160"/>
          </w:tcPr>
          <w:p>
            <w:r>
              <w:rPr>
                <w:b/>
              </w:rPr>
              <w:t>Hash (SHA-256)</w:t>
            </w:r>
          </w:p>
        </w:tc>
      </w:tr>
      <w:tr>
        <w:tc>
          <w:tcPr>
            <w:tcW w:type="dxa" w:w="2160"/>
          </w:tcPr>
          <w:p>
            <w:r>
              <w:t>E-001</w:t>
            </w:r>
          </w:p>
        </w:tc>
        <w:tc>
          <w:tcPr>
            <w:tcW w:type="dxa" w:w="2160"/>
          </w:tcPr>
          <w:p>
            <w:r>
              <w:t>Sarah Mitchell mailbox forensic export (.pst)</w:t>
            </w:r>
          </w:p>
        </w:tc>
        <w:tc>
          <w:tcPr>
            <w:tcW w:type="dxa" w:w="2160"/>
          </w:tcPr>
          <w:p>
            <w:r>
              <w:t>Microsoft eDiscovery export</w:t>
            </w:r>
          </w:p>
        </w:tc>
        <w:tc>
          <w:tcPr>
            <w:tcW w:type="dxa" w:w="2160"/>
          </w:tcPr>
          <w:p>
            <w:r>
              <w:t>8f7d3e2a1b9c...</w:t>
            </w:r>
          </w:p>
        </w:tc>
      </w:tr>
      <w:tr>
        <w:tc>
          <w:tcPr>
            <w:tcW w:type="dxa" w:w="2160"/>
          </w:tcPr>
          <w:p>
            <w:r>
              <w:t>E-002</w:t>
            </w:r>
          </w:p>
        </w:tc>
        <w:tc>
          <w:tcPr>
            <w:tcW w:type="dxa" w:w="2160"/>
          </w:tcPr>
          <w:p>
            <w:r>
              <w:t>David Cheng mailbox forensic export (.pst)</w:t>
            </w:r>
          </w:p>
        </w:tc>
        <w:tc>
          <w:tcPr>
            <w:tcW w:type="dxa" w:w="2160"/>
          </w:tcPr>
          <w:p>
            <w:r>
              <w:t>Microsoft eDiscovery export</w:t>
            </w:r>
          </w:p>
        </w:tc>
        <w:tc>
          <w:tcPr>
            <w:tcW w:type="dxa" w:w="2160"/>
          </w:tcPr>
          <w:p>
            <w:r>
              <w:t>c4e9f6a2d8b1...</w:t>
            </w:r>
          </w:p>
        </w:tc>
      </w:tr>
      <w:tr>
        <w:tc>
          <w:tcPr>
            <w:tcW w:type="dxa" w:w="2160"/>
          </w:tcPr>
          <w:p>
            <w:r>
              <w:t>E-003</w:t>
            </w:r>
          </w:p>
        </w:tc>
        <w:tc>
          <w:tcPr>
            <w:tcW w:type="dxa" w:w="2160"/>
          </w:tcPr>
          <w:p>
            <w:r>
              <w:t>Microsoft 365 authentication logs (May 15, 06:00-20:00)</w:t>
            </w:r>
          </w:p>
        </w:tc>
        <w:tc>
          <w:tcPr>
            <w:tcW w:type="dxa" w:w="2160"/>
          </w:tcPr>
          <w:p>
            <w:r>
              <w:t>Azure AD sign-in logs export</w:t>
            </w:r>
          </w:p>
        </w:tc>
        <w:tc>
          <w:tcPr>
            <w:tcW w:type="dxa" w:w="2160"/>
          </w:tcPr>
          <w:p>
            <w:r>
              <w:t>2a7f8d3c9e4b...</w:t>
            </w:r>
          </w:p>
        </w:tc>
      </w:tr>
      <w:tr>
        <w:tc>
          <w:tcPr>
            <w:tcW w:type="dxa" w:w="2160"/>
          </w:tcPr>
          <w:p>
            <w:r>
              <w:t>E-004</w:t>
            </w:r>
          </w:p>
        </w:tc>
        <w:tc>
          <w:tcPr>
            <w:tcW w:type="dxa" w:w="2160"/>
          </w:tcPr>
          <w:p>
            <w:r>
              <w:t>Email gateway logs showing phishing emails</w:t>
            </w:r>
          </w:p>
        </w:tc>
        <w:tc>
          <w:tcPr>
            <w:tcW w:type="dxa" w:w="2160"/>
          </w:tcPr>
          <w:p>
            <w:r>
              <w:t>Proofpoint log export</w:t>
            </w:r>
          </w:p>
        </w:tc>
        <w:tc>
          <w:tcPr>
            <w:tcW w:type="dxa" w:w="2160"/>
          </w:tcPr>
          <w:p>
            <w:r>
              <w:t>5d1c8f2e7a9b...</w:t>
            </w:r>
          </w:p>
        </w:tc>
      </w:tr>
      <w:tr>
        <w:tc>
          <w:tcPr>
            <w:tcW w:type="dxa" w:w="2160"/>
          </w:tcPr>
          <w:p>
            <w:r>
              <w:t>E-005</w:t>
            </w:r>
          </w:p>
        </w:tc>
        <w:tc>
          <w:tcPr>
            <w:tcW w:type="dxa" w:w="2160"/>
          </w:tcPr>
          <w:p>
            <w:r>
              <w:t>Phishing email samples (37 emails)</w:t>
            </w:r>
          </w:p>
        </w:tc>
        <w:tc>
          <w:tcPr>
            <w:tcW w:type="dxa" w:w="2160"/>
          </w:tcPr>
          <w:p>
            <w:r>
              <w:t>.eml format export</w:t>
            </w:r>
          </w:p>
        </w:tc>
        <w:tc>
          <w:tcPr>
            <w:tcW w:type="dxa" w:w="2160"/>
          </w:tcPr>
          <w:p>
            <w:r>
              <w:t>9e3a7f1d4c8b...</w:t>
            </w:r>
          </w:p>
        </w:tc>
      </w:tr>
      <w:tr>
        <w:tc>
          <w:tcPr>
            <w:tcW w:type="dxa" w:w="2160"/>
          </w:tcPr>
          <w:p>
            <w:r>
              <w:t>E-006</w:t>
            </w:r>
          </w:p>
        </w:tc>
        <w:tc>
          <w:tcPr>
            <w:tcW w:type="dxa" w:w="2160"/>
          </w:tcPr>
          <w:p>
            <w:r>
              <w:t>Firewall logs showing blocked IP addresses</w:t>
            </w:r>
          </w:p>
        </w:tc>
        <w:tc>
          <w:tcPr>
            <w:tcW w:type="dxa" w:w="2160"/>
          </w:tcPr>
          <w:p>
            <w:r>
              <w:t>Palo Alto Networks export</w:t>
            </w:r>
          </w:p>
        </w:tc>
        <w:tc>
          <w:tcPr>
            <w:tcW w:type="dxa" w:w="2160"/>
          </w:tcPr>
          <w:p>
            <w:r>
              <w:t>1f6b9d2e8a4c...</w:t>
            </w:r>
          </w:p>
        </w:tc>
      </w:tr>
      <w:tr>
        <w:tc>
          <w:tcPr>
            <w:tcW w:type="dxa" w:w="2160"/>
          </w:tcPr>
          <w:p>
            <w:r>
              <w:t>E-007</w:t>
            </w:r>
          </w:p>
        </w:tc>
        <w:tc>
          <w:tcPr>
            <w:tcW w:type="dxa" w:w="2160"/>
          </w:tcPr>
          <w:p>
            <w:r>
              <w:t>SIEM alerts and correlation data</w:t>
            </w:r>
          </w:p>
        </w:tc>
        <w:tc>
          <w:tcPr>
            <w:tcW w:type="dxa" w:w="2160"/>
          </w:tcPr>
          <w:p>
            <w:r>
              <w:t>Splunk investigation export</w:t>
            </w:r>
          </w:p>
        </w:tc>
        <w:tc>
          <w:tcPr>
            <w:tcW w:type="dxa" w:w="2160"/>
          </w:tcPr>
          <w:p>
            <w:r>
              <w:t>7c4e2f9a1d8b...</w:t>
            </w:r>
          </w:p>
        </w:tc>
      </w:tr>
      <w:tr>
        <w:tc>
          <w:tcPr>
            <w:tcW w:type="dxa" w:w="2160"/>
          </w:tcPr>
          <w:p>
            <w:r>
              <w:t>E-008</w:t>
            </w:r>
          </w:p>
        </w:tc>
        <w:tc>
          <w:tcPr>
            <w:tcW w:type="dxa" w:w="2160"/>
          </w:tcPr>
          <w:p>
            <w:r>
              <w:t>Phishing website screenshots (landing page)</w:t>
            </w:r>
          </w:p>
        </w:tc>
        <w:tc>
          <w:tcPr>
            <w:tcW w:type="dxa" w:w="2160"/>
          </w:tcPr>
          <w:p>
            <w:r>
              <w:t>Browser screenshot capture</w:t>
            </w:r>
          </w:p>
        </w:tc>
        <w:tc>
          <w:tcPr>
            <w:tcW w:type="dxa" w:w="2160"/>
          </w:tcPr>
          <w:p>
            <w:r>
              <w:t>3b8d1f6e2a9c...</w:t>
            </w:r>
          </w:p>
        </w:tc>
      </w:tr>
      <w:tr>
        <w:tc>
          <w:tcPr>
            <w:tcW w:type="dxa" w:w="2160"/>
          </w:tcPr>
          <w:p>
            <w:r>
              <w:t>E-009</w:t>
            </w:r>
          </w:p>
        </w:tc>
        <w:tc>
          <w:tcPr>
            <w:tcW w:type="dxa" w:w="2160"/>
          </w:tcPr>
          <w:p>
            <w:r>
              <w:t>Incident Response Team meeting notes and decisions</w:t>
            </w:r>
          </w:p>
        </w:tc>
        <w:tc>
          <w:tcPr>
            <w:tcW w:type="dxa" w:w="2160"/>
          </w:tcPr>
          <w:p>
            <w:r>
              <w:t>Secure documentation repository</w:t>
            </w:r>
          </w:p>
        </w:tc>
        <w:tc>
          <w:tcPr>
            <w:tcW w:type="dxa" w:w="2160"/>
          </w:tcPr>
          <w:p>
            <w:r>
              <w:t>4e7a9c2f1d8b...</w:t>
            </w:r>
          </w:p>
        </w:tc>
      </w:tr>
    </w:tbl>
    <w:p>
      <w:pPr>
        <w:pStyle w:val="Heading2"/>
      </w:pPr>
      <w:r>
        <w:t>5.3 Chain of Custody</w:t>
      </w:r>
    </w:p>
    <w:p>
      <w:r>
        <w:t>All digital evidence was collected and stored following forensic best practices. Chain of custody was maintained for all evidence items:</w:t>
      </w:r>
    </w:p>
    <w:p>
      <w:pPr>
        <w:pStyle w:val="ListBullet"/>
      </w:pPr>
      <w:r>
        <w:t>Evidence collected by: Michael Zhang, SOC Manager (May 15-16, 2026)</w:t>
      </w:r>
    </w:p>
    <w:p>
      <w:pPr>
        <w:pStyle w:val="ListBullet"/>
      </w:pPr>
      <w:r>
        <w:t>Cryptographic hashes (MD5 and SHA-256) calculated for all digital evidence at time of collection</w:t>
      </w:r>
    </w:p>
    <w:p>
      <w:pPr>
        <w:pStyle w:val="ListBullet"/>
      </w:pPr>
      <w:r>
        <w:t>Evidence stored in secure, access-controlled evidence repository with audit logging</w:t>
      </w:r>
    </w:p>
    <w:p>
      <w:pPr>
        <w:pStyle w:val="ListBullet"/>
      </w:pPr>
      <w:r>
        <w:t>Access restricted to: CISO Priya Nair, SOC Manager Michael Zhang, VP Legal Affairs Nathaniel Burke, designated forensic investigators</w:t>
      </w:r>
    </w:p>
    <w:p>
      <w:pPr>
        <w:pStyle w:val="ListBullet"/>
      </w:pPr>
      <w:r>
        <w:t>All evidence transfers documented with date, time, transferor, and recipient signatures</w:t>
      </w:r>
    </w:p>
    <w:p>
      <w:pPr>
        <w:pStyle w:val="ListBullet"/>
      </w:pPr>
      <w:r>
        <w:t>Evidence retention period: 7 years per legal counsel guidance and regulatory requirements</w:t>
      </w:r>
    </w:p>
    <w:p>
      <w:r>
        <w:br w:type="page"/>
      </w:r>
    </w:p>
    <w:p>
      <w:pPr>
        <w:pStyle w:val="Heading1"/>
      </w:pPr>
      <w:r>
        <w:t>6. COMMUNICATIONS AND NOTIFICATIONS</w:t>
      </w:r>
    </w:p>
    <w:p>
      <w:pPr>
        <w:pStyle w:val="Heading2"/>
      </w:pPr>
      <w:r>
        <w:t>6.1 Internal Communications</w:t>
      </w:r>
    </w:p>
    <w:p>
      <w:pPr>
        <w:pStyle w:val="Heading3"/>
      </w:pPr>
      <w:r>
        <w:t>6.1.1 Executive Notification</w:t>
      </w:r>
    </w:p>
    <w:p>
      <w:r>
        <w:t>Per the Incident Management Policy HIGH (P2) severity requirements, CISO Priya Nair notified executive leadership at 15:05 EDT on May 15, 2026 (within 1 hour of incident declaration):</w:t>
      </w:r>
    </w:p>
    <w:p>
      <w:pPr>
        <w:pStyle w:val="ListBullet"/>
      </w:pPr>
      <w:r>
        <w:t>Richard Harlow, Chief Executive Officer - briefed via secure phone call</w:t>
      </w:r>
    </w:p>
    <w:p>
      <w:pPr>
        <w:pStyle w:val="ListBullet"/>
      </w:pPr>
      <w:r>
        <w:t>James Whitfield, Chief Operating Officer - briefed via secure phone call</w:t>
      </w:r>
    </w:p>
    <w:p>
      <w:pPr>
        <w:pStyle w:val="ListBullet"/>
      </w:pPr>
      <w:r>
        <w:t>Marcus Chen, Chief Information Officer - briefed via secure phone call</w:t>
      </w:r>
    </w:p>
    <w:p>
      <w:pPr>
        <w:pStyle w:val="ListBullet"/>
      </w:pPr>
      <w:r>
        <w:t>Elaine Rousseau, Chief Compliance Officer - briefed via secure phone call</w:t>
      </w:r>
    </w:p>
    <w:p>
      <w:pPr>
        <w:pStyle w:val="Heading2"/>
      </w:pPr>
      <w:r>
        <w:t>6.2 External Communications</w:t>
      </w:r>
    </w:p>
    <w:p>
      <w:pPr>
        <w:pStyle w:val="Heading3"/>
      </w:pPr>
      <w:r>
        <w:t>6.2.1 Regulatory Notifications</w:t>
      </w:r>
    </w:p>
    <w:p>
      <w:r>
        <w:t>Based on the regulatory assessment conducted by CCO Elaine Rousseau and VP Legal Affairs Nathaniel Burke, with external legal counsel consultation, no mandatory regulatory notifications were required:</w:t>
      </w:r>
    </w:p>
    <w:p>
      <w:r>
        <w:rPr>
          <w:b/>
        </w:rPr>
        <w:t xml:space="preserve">• PIPEDA: </w:t>
      </w:r>
      <w:r>
        <w:t>Notification to Privacy Commissioner of Canada NOT REQUIRED. Incident did not meet 'real risk of significant harm' threshold.</w:t>
      </w:r>
    </w:p>
    <w:p>
      <w:r>
        <w:rPr>
          <w:b/>
        </w:rPr>
        <w:t xml:space="preserve">• GDPR: </w:t>
      </w:r>
      <w:r>
        <w:t>NOT APPLICABLE. No EU resident data subjects affected.</w:t>
      </w:r>
    </w:p>
    <w:p>
      <w:r>
        <w:rPr>
          <w:b/>
        </w:rPr>
        <w:t xml:space="preserve">• PCI-DSS: </w:t>
      </w:r>
      <w:r>
        <w:t>NOT APPLICABLE. No payment card data accessed.</w:t>
      </w:r>
    </w:p>
    <w:p>
      <w:r>
        <w:rPr>
          <w:b/>
        </w:rPr>
        <w:t xml:space="preserve">• Securities Regulators: </w:t>
      </w:r>
      <w:r>
        <w:t>NOT REQUIRED. Incident did not constitute material event requiring disclosure.</w:t>
      </w:r>
    </w:p>
    <w:p>
      <w:pPr>
        <w:pStyle w:val="Heading3"/>
      </w:pPr>
      <w:r>
        <w:t>6.2.2 Client Notifications</w:t>
      </w:r>
    </w:p>
    <w:p>
      <w:r>
        <w:t>Although not legally required, GlobalFinance Partners proactively notified affected clients out of transparency and commitment to client service. On May 20, 2026, formal notification letters were sent to 142 clients whose information appeared in accessed communications. Letters were sent via registered mail and secure email.</w:t>
      </w:r>
    </w:p>
    <w:p>
      <w:r>
        <w:br w:type="page"/>
      </w:r>
    </w:p>
    <w:p>
      <w:pPr>
        <w:pStyle w:val="Heading1"/>
      </w:pPr>
      <w:r>
        <w:t>7. POST-INCIDENT REVIEW AND LESSONS LEARNED (NIST Phase 4)</w:t>
      </w:r>
    </w:p>
    <w:p>
      <w:pPr>
        <w:pStyle w:val="Heading2"/>
      </w:pPr>
      <w:r>
        <w:t>7.1 Post-Incident Review Meeting</w:t>
      </w:r>
    </w:p>
    <w:p>
      <w:r>
        <w:t>In accordance with the Incident Management Policy requirement for HIGH (P2) severity incidents, the Incident Response Team conducted a formal post-incident review meeting on May 22, 2026. The review was facilitated by CISO Priya Nair with attendance from all IRT members and executive stakeholders.</w:t>
      </w:r>
    </w:p>
    <w:p>
      <w:pPr>
        <w:pStyle w:val="Heading2"/>
      </w:pPr>
      <w:r>
        <w:t>7.2 What Went Well</w:t>
      </w:r>
    </w:p>
    <w:p>
      <w:pPr>
        <w:pStyle w:val="ListBullet"/>
      </w:pPr>
      <w:r>
        <w:t>Automated detection: SIEM impossible travel alert successfully detected unauthorized access within 15 minutes of occurrence</w:t>
      </w:r>
    </w:p>
    <w:p>
      <w:pPr>
        <w:pStyle w:val="ListBullet"/>
      </w:pPr>
      <w:r>
        <w:t>Rapid triage: SOC analyst quickly identified second compromised account through correlation analysis</w:t>
      </w:r>
    </w:p>
    <w:p>
      <w:pPr>
        <w:pStyle w:val="ListBullet"/>
      </w:pPr>
      <w:r>
        <w:t>Effective containment: All unauthorized access blocked within 3.4 hours of incident declaration</w:t>
      </w:r>
    </w:p>
    <w:p>
      <w:pPr>
        <w:pStyle w:val="ListBullet"/>
      </w:pPr>
      <w:r>
        <w:t>Executive communication: Clear, timely notifications to leadership enabled informed decision-making</w:t>
      </w:r>
    </w:p>
    <w:p>
      <w:pPr>
        <w:pStyle w:val="ListBullet"/>
      </w:pPr>
      <w:r>
        <w:t>Evidence preservation: Comprehensive forensic evidence collected before remediation activities</w:t>
      </w:r>
    </w:p>
    <w:p>
      <w:pPr>
        <w:pStyle w:val="ListBullet"/>
      </w:pPr>
      <w:r>
        <w:t>Regulatory assessment: Accurate, timely evaluation of notification requirements prevented unnecessary regulatory reporting</w:t>
      </w:r>
    </w:p>
    <w:p>
      <w:pPr>
        <w:pStyle w:val="ListBullet"/>
      </w:pPr>
      <w:r>
        <w:t>Client communication: Proactive notification approach strengthened client relationships and demonstrated transparency</w:t>
      </w:r>
    </w:p>
    <w:p>
      <w:pPr>
        <w:pStyle w:val="ListBullet"/>
      </w:pPr>
      <w:r>
        <w:t>Cross-functional collaboration: IRT members from security, IT, legal, compliance, and business units worked effectively together</w:t>
      </w:r>
    </w:p>
    <w:p>
      <w:pPr>
        <w:pStyle w:val="Heading2"/>
      </w:pPr>
      <w:r>
        <w:t>7.3 Areas for Improvement</w:t>
      </w:r>
    </w:p>
    <w:p>
      <w:pPr>
        <w:pStyle w:val="ListBullet"/>
      </w:pPr>
      <w:r>
        <w:t>Email security gaps: Sophisticated phishing email bypassed initial spam filters - advanced threat protection needed</w:t>
      </w:r>
    </w:p>
    <w:p>
      <w:pPr>
        <w:pStyle w:val="ListBullet"/>
      </w:pPr>
      <w:r>
        <w:t>Lack of MFA: Absence of multi-factor authentication on email accounts enabled credential-based access</w:t>
      </w:r>
    </w:p>
    <w:p>
      <w:pPr>
        <w:pStyle w:val="ListBullet"/>
      </w:pPr>
      <w:r>
        <w:t>Training gaps: Recently hired employees (&lt; 90 days tenure) had not completed phishing awareness training</w:t>
      </w:r>
    </w:p>
    <w:p>
      <w:pPr>
        <w:pStyle w:val="ListBullet"/>
      </w:pPr>
      <w:r>
        <w:t>Response time: 35 minutes from detection to incident declaration exceeded P2 objective of immediate response (15 minutes)</w:t>
      </w:r>
    </w:p>
    <w:p>
      <w:pPr>
        <w:pStyle w:val="ListBullet"/>
      </w:pPr>
      <w:r>
        <w:t>Phishing simulation: No regular phishing simulation exercises to test employee awareness</w:t>
      </w:r>
    </w:p>
    <w:p>
      <w:pPr>
        <w:pStyle w:val="ListBullet"/>
      </w:pPr>
      <w:r>
        <w:t>Domain monitoring: No proactive monitoring for typosquatting domains similar to globalfinancepartners.com</w:t>
      </w:r>
    </w:p>
    <w:p>
      <w:pPr>
        <w:pStyle w:val="ListBullet"/>
      </w:pPr>
      <w:r>
        <w:t>Incident playbooks: No specific playbook for phishing incidents - reliance on general procedures</w:t>
      </w:r>
    </w:p>
    <w:p>
      <w:pPr>
        <w:pStyle w:val="Heading2"/>
      </w:pPr>
      <w:r>
        <w:t>7.4 Root Cause Analysis</w:t>
      </w:r>
    </w:p>
    <w:p>
      <w:r>
        <w:t>The IRT conducted a root cause analysis using the 5 Whys methodology:</w:t>
      </w:r>
    </w:p>
    <w:p>
      <w:r>
        <w:rPr>
          <w:b/>
        </w:rPr>
        <w:t xml:space="preserve">• Why did the incident occur? </w:t>
      </w:r>
      <w:r>
        <w:t>Two employees submitted credentials to a phishing website.</w:t>
      </w:r>
    </w:p>
    <w:p>
      <w:r>
        <w:rPr>
          <w:b/>
        </w:rPr>
        <w:t xml:space="preserve">• Why did employees submit credentials? </w:t>
      </w:r>
      <w:r>
        <w:t>They believed the email was legitimate and from the IT department.</w:t>
      </w:r>
    </w:p>
    <w:p>
      <w:r>
        <w:rPr>
          <w:b/>
        </w:rPr>
        <w:t xml:space="preserve">• Why did employees believe the email was legitimate? </w:t>
      </w:r>
      <w:r>
        <w:t>The email was well-crafted with accurate branding and created urgency about account lockout.</w:t>
      </w:r>
    </w:p>
    <w:p>
      <w:r>
        <w:rPr>
          <w:b/>
        </w:rPr>
        <w:t xml:space="preserve">• Why didn't employees recognize it as phishing? </w:t>
      </w:r>
      <w:r>
        <w:t>They had not completed recent phishing awareness training and lacked skills to identify sophisticated phishing attempts.</w:t>
      </w:r>
    </w:p>
    <w:p>
      <w:r>
        <w:rPr>
          <w:b/>
        </w:rPr>
        <w:t xml:space="preserve">• Why hadn't employees completed training? </w:t>
      </w:r>
      <w:r>
        <w:t>Training program does not prioritize new hires; both affected employees had been with organization &lt; 90 days.</w:t>
      </w:r>
    </w:p>
    <w:p>
      <w:r>
        <w:t>Root Causes Identified:</w:t>
      </w:r>
    </w:p>
    <w:p>
      <w:pPr>
        <w:pStyle w:val="ListNumber"/>
      </w:pPr>
      <w:r>
        <w:t>1. Technical Control Gap: Lack of multi-factor authentication on email accounts</w:t>
      </w:r>
    </w:p>
    <w:p>
      <w:pPr>
        <w:pStyle w:val="ListNumber"/>
      </w:pPr>
      <w:r>
        <w:t>2. Training Gap: Incomplete phishing awareness training for new employees</w:t>
      </w:r>
    </w:p>
    <w:p>
      <w:pPr>
        <w:pStyle w:val="ListNumber"/>
      </w:pPr>
      <w:r>
        <w:t>3. Process Gap: No regular phishing simulation exercises to test and reinforce training</w:t>
      </w:r>
    </w:p>
    <w:p>
      <w:pPr>
        <w:pStyle w:val="ListNumber"/>
      </w:pPr>
      <w:r>
        <w:t>4. Technical Control Gap: Email security gateway unable to detect sophisticated typosquatting domains</w:t>
      </w:r>
    </w:p>
    <w:p>
      <w:r>
        <w:br w:type="page"/>
      </w:r>
    </w:p>
    <w:p>
      <w:pPr>
        <w:pStyle w:val="Heading1"/>
      </w:pPr>
      <w:r>
        <w:t>8. CORRECTIVE ACTIONS AND PREVENTIVE MEASURES</w:t>
      </w:r>
    </w:p>
    <w:p>
      <w:pPr>
        <w:pStyle w:val="Heading2"/>
      </w:pPr>
      <w:r>
        <w:t>8.1 Immediate Actions (Completed)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Status</w:t>
            </w:r>
          </w:p>
        </w:tc>
      </w:tr>
      <w:tr>
        <w:tc>
          <w:tcPr>
            <w:tcW w:type="dxa" w:w="2880"/>
          </w:tcPr>
          <w:p>
            <w:r>
              <w:t>Enable MFA for Client Services Department email accounts</w:t>
            </w:r>
          </w:p>
        </w:tc>
        <w:tc>
          <w:tcPr>
            <w:tcW w:type="dxa" w:w="2880"/>
          </w:tcPr>
          <w:p>
            <w:r>
              <w:t>Marcus Chen, CIO</w:t>
            </w:r>
          </w:p>
        </w:tc>
        <w:tc>
          <w:tcPr>
            <w:tcW w:type="dxa" w:w="2880"/>
          </w:tcPr>
          <w:p>
            <w:r>
              <w:t>COMPLETE (May 17)</w:t>
            </w:r>
          </w:p>
        </w:tc>
      </w:tr>
      <w:tr>
        <w:tc>
          <w:tcPr>
            <w:tcW w:type="dxa" w:w="2880"/>
          </w:tcPr>
          <w:p>
            <w:r>
              <w:t>Deploy enhanced email security rules for typosquatting detection</w:t>
            </w:r>
          </w:p>
        </w:tc>
        <w:tc>
          <w:tcPr>
            <w:tcW w:type="dxa" w:w="2880"/>
          </w:tcPr>
          <w:p>
            <w:r>
              <w:t>Kevin Park, Network Security</w:t>
            </w:r>
          </w:p>
        </w:tc>
        <w:tc>
          <w:tcPr>
            <w:tcW w:type="dxa" w:w="2880"/>
          </w:tcPr>
          <w:p>
            <w:r>
              <w:t>COMPLETE (May 16)</w:t>
            </w:r>
          </w:p>
        </w:tc>
      </w:tr>
      <w:tr>
        <w:tc>
          <w:tcPr>
            <w:tcW w:type="dxa" w:w="2880"/>
          </w:tcPr>
          <w:p>
            <w:r>
              <w:t>Conduct targeted phishing awareness session for Client Services Department</w:t>
            </w:r>
          </w:p>
        </w:tc>
        <w:tc>
          <w:tcPr>
            <w:tcW w:type="dxa" w:w="2880"/>
          </w:tcPr>
          <w:p>
            <w:r>
              <w:t>Priya Nair, CISO</w:t>
            </w:r>
          </w:p>
        </w:tc>
        <w:tc>
          <w:tcPr>
            <w:tcW w:type="dxa" w:w="2880"/>
          </w:tcPr>
          <w:p>
            <w:r>
              <w:t>COMPLETE (May 17)</w:t>
            </w:r>
          </w:p>
        </w:tc>
      </w:tr>
      <w:tr>
        <w:tc>
          <w:tcPr>
            <w:tcW w:type="dxa" w:w="2880"/>
          </w:tcPr>
          <w:p>
            <w:r>
              <w:t>Organization-wide password security review and forced resets for weak passwords</w:t>
            </w:r>
          </w:p>
        </w:tc>
        <w:tc>
          <w:tcPr>
            <w:tcW w:type="dxa" w:w="2880"/>
          </w:tcPr>
          <w:p>
            <w:r>
              <w:t>Marcus Chen, CIO</w:t>
            </w:r>
          </w:p>
        </w:tc>
        <w:tc>
          <w:tcPr>
            <w:tcW w:type="dxa" w:w="2880"/>
          </w:tcPr>
          <w:p>
            <w:r>
              <w:t>COMPLETE (May 20)</w:t>
            </w:r>
          </w:p>
        </w:tc>
      </w:tr>
    </w:tbl>
    <w:p>
      <w:pPr>
        <w:pStyle w:val="Heading2"/>
      </w:pPr>
      <w:r>
        <w:t>8.2 Short-term Actions (0-90 days)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Action</w:t>
            </w:r>
          </w:p>
        </w:tc>
        <w:tc>
          <w:tcPr>
            <w:tcW w:type="dxa" w:w="2160"/>
          </w:tcPr>
          <w:p>
            <w:r>
              <w:rPr>
                <w:b/>
              </w:rPr>
              <w:t>Owner</w:t>
            </w:r>
          </w:p>
        </w:tc>
        <w:tc>
          <w:tcPr>
            <w:tcW w:type="dxa" w:w="2160"/>
          </w:tcPr>
          <w:p>
            <w:r>
              <w:rPr>
                <w:b/>
              </w:rPr>
              <w:t>Target Date</w:t>
            </w:r>
          </w:p>
        </w:tc>
        <w:tc>
          <w:tcPr>
            <w:tcW w:type="dxa" w:w="2160"/>
          </w:tcPr>
          <w:p>
            <w:r>
              <w:rPr>
                <w:b/>
              </w:rPr>
              <w:t>Status</w:t>
            </w:r>
          </w:p>
        </w:tc>
      </w:tr>
      <w:tr>
        <w:tc>
          <w:tcPr>
            <w:tcW w:type="dxa" w:w="2160"/>
          </w:tcPr>
          <w:p>
            <w:r>
              <w:t>Mandatory MFA deployment for ALL user accounts (email, VPN, cloud services)</w:t>
            </w:r>
          </w:p>
        </w:tc>
        <w:tc>
          <w:tcPr>
            <w:tcW w:type="dxa" w:w="2160"/>
          </w:tcPr>
          <w:p>
            <w:r>
              <w:t>Marcus Chen, CIO</w:t>
            </w:r>
          </w:p>
        </w:tc>
        <w:tc>
          <w:tcPr>
            <w:tcW w:type="dxa" w:w="2160"/>
          </w:tcPr>
          <w:p>
            <w:r>
              <w:t>June 15, 2026</w:t>
            </w:r>
          </w:p>
        </w:tc>
        <w:tc>
          <w:tcPr>
            <w:tcW w:type="dxa" w:w="2160"/>
          </w:tcPr>
          <w:p>
            <w:r>
              <w:t>IN PROGRESS</w:t>
            </w:r>
          </w:p>
        </w:tc>
      </w:tr>
      <w:tr>
        <w:tc>
          <w:tcPr>
            <w:tcW w:type="dxa" w:w="2160"/>
          </w:tcPr>
          <w:p>
            <w:r>
              <w:t>Enhanced phishing awareness training rollout to all employees</w:t>
            </w:r>
          </w:p>
        </w:tc>
        <w:tc>
          <w:tcPr>
            <w:tcW w:type="dxa" w:w="2160"/>
          </w:tcPr>
          <w:p>
            <w:r>
              <w:t>Priya Nair, CISO</w:t>
            </w:r>
          </w:p>
        </w:tc>
        <w:tc>
          <w:tcPr>
            <w:tcW w:type="dxa" w:w="2160"/>
          </w:tcPr>
          <w:p>
            <w:r>
              <w:t>June 30, 2026</w:t>
            </w:r>
          </w:p>
        </w:tc>
        <w:tc>
          <w:tcPr>
            <w:tcW w:type="dxa" w:w="2160"/>
          </w:tcPr>
          <w:p>
            <w:r>
              <w:t>PLANNED</w:t>
            </w:r>
          </w:p>
        </w:tc>
      </w:tr>
      <w:tr>
        <w:tc>
          <w:tcPr>
            <w:tcW w:type="dxa" w:w="2160"/>
          </w:tcPr>
          <w:p>
            <w:r>
              <w:t>Update onboarding process to include security awareness training in first week of employment</w:t>
            </w:r>
          </w:p>
        </w:tc>
        <w:tc>
          <w:tcPr>
            <w:tcW w:type="dxa" w:w="2160"/>
          </w:tcPr>
          <w:p>
            <w:r>
              <w:t>Michelle Tran, VP HR</w:t>
            </w:r>
          </w:p>
        </w:tc>
        <w:tc>
          <w:tcPr>
            <w:tcW w:type="dxa" w:w="2160"/>
          </w:tcPr>
          <w:p>
            <w:r>
              <w:t>June 30, 2026</w:t>
            </w:r>
          </w:p>
        </w:tc>
        <w:tc>
          <w:tcPr>
            <w:tcW w:type="dxa" w:w="2160"/>
          </w:tcPr>
          <w:p>
            <w:r>
              <w:t>PLANNED</w:t>
            </w:r>
          </w:p>
        </w:tc>
      </w:tr>
      <w:tr>
        <w:tc>
          <w:tcPr>
            <w:tcW w:type="dxa" w:w="2160"/>
          </w:tcPr>
          <w:p>
            <w:r>
              <w:t>Upgrade email security gateway with advanced threat protection (ATP)</w:t>
            </w:r>
          </w:p>
        </w:tc>
        <w:tc>
          <w:tcPr>
            <w:tcW w:type="dxa" w:w="2160"/>
          </w:tcPr>
          <w:p>
            <w:r>
              <w:t>Marcus Chen, CIO</w:t>
            </w:r>
          </w:p>
        </w:tc>
        <w:tc>
          <w:tcPr>
            <w:tcW w:type="dxa" w:w="2160"/>
          </w:tcPr>
          <w:p>
            <w:r>
              <w:t>July 15, 2026</w:t>
            </w:r>
          </w:p>
        </w:tc>
        <w:tc>
          <w:tcPr>
            <w:tcW w:type="dxa" w:w="2160"/>
          </w:tcPr>
          <w:p>
            <w:r>
              <w:t>PLANNED</w:t>
            </w:r>
          </w:p>
        </w:tc>
      </w:tr>
      <w:tr>
        <w:tc>
          <w:tcPr>
            <w:tcW w:type="dxa" w:w="2160"/>
          </w:tcPr>
          <w:p>
            <w:r>
              <w:t>Implement quarterly phishing simulation exercises</w:t>
            </w:r>
          </w:p>
        </w:tc>
        <w:tc>
          <w:tcPr>
            <w:tcW w:type="dxa" w:w="2160"/>
          </w:tcPr>
          <w:p>
            <w:r>
              <w:t>Priya Nair, CISO</w:t>
            </w:r>
          </w:p>
        </w:tc>
        <w:tc>
          <w:tcPr>
            <w:tcW w:type="dxa" w:w="2160"/>
          </w:tcPr>
          <w:p>
            <w:r>
              <w:t>Q3 2026 start</w:t>
            </w:r>
          </w:p>
        </w:tc>
        <w:tc>
          <w:tcPr>
            <w:tcW w:type="dxa" w:w="2160"/>
          </w:tcPr>
          <w:p>
            <w:r>
              <w:t>PLANNED</w:t>
            </w:r>
          </w:p>
        </w:tc>
      </w:tr>
      <w:tr>
        <w:tc>
          <w:tcPr>
            <w:tcW w:type="dxa" w:w="2160"/>
          </w:tcPr>
          <w:p>
            <w:r>
              <w:t>Deploy automated typosquatting domain monitoring service</w:t>
            </w:r>
          </w:p>
        </w:tc>
        <w:tc>
          <w:tcPr>
            <w:tcW w:type="dxa" w:w="2160"/>
          </w:tcPr>
          <w:p>
            <w:r>
              <w:t>Kevin Park, Network Security</w:t>
            </w:r>
          </w:p>
        </w:tc>
        <w:tc>
          <w:tcPr>
            <w:tcW w:type="dxa" w:w="2160"/>
          </w:tcPr>
          <w:p>
            <w:r>
              <w:t>July 31, 2026</w:t>
            </w:r>
          </w:p>
        </w:tc>
        <w:tc>
          <w:tcPr>
            <w:tcW w:type="dxa" w:w="2160"/>
          </w:tcPr>
          <w:p>
            <w:r>
              <w:t>PLANNED</w:t>
            </w:r>
          </w:p>
        </w:tc>
      </w:tr>
      <w:tr>
        <w:tc>
          <w:tcPr>
            <w:tcW w:type="dxa" w:w="2160"/>
          </w:tcPr>
          <w:p>
            <w:r>
              <w:t>Develop and publish phishing incident response playbook</w:t>
            </w:r>
          </w:p>
        </w:tc>
        <w:tc>
          <w:tcPr>
            <w:tcW w:type="dxa" w:w="2160"/>
          </w:tcPr>
          <w:p>
            <w:r>
              <w:t>Michael Zhang, SOC Manager</w:t>
            </w:r>
          </w:p>
        </w:tc>
        <w:tc>
          <w:tcPr>
            <w:tcW w:type="dxa" w:w="2160"/>
          </w:tcPr>
          <w:p>
            <w:r>
              <w:t>June 30, 2026</w:t>
            </w:r>
          </w:p>
        </w:tc>
        <w:tc>
          <w:tcPr>
            <w:tcW w:type="dxa" w:w="2160"/>
          </w:tcPr>
          <w:p>
            <w:r>
              <w:t>PLANNED</w:t>
            </w:r>
          </w:p>
        </w:tc>
      </w:tr>
    </w:tbl>
    <w:p>
      <w:pPr>
        <w:pStyle w:val="Heading2"/>
      </w:pPr>
      <w:r>
        <w:t>8.3 Long-term Strategic Improvements</w:t>
      </w:r>
    </w:p>
    <w:p>
      <w:pPr>
        <w:pStyle w:val="ListBullet"/>
      </w:pPr>
      <w:r>
        <w:t>Implement Email Authentication (DMARC, DKIM, SPF) with reject policy to prevent domain spoofing</w:t>
      </w:r>
    </w:p>
    <w:p>
      <w:pPr>
        <w:pStyle w:val="ListBullet"/>
      </w:pPr>
      <w:r>
        <w:t>Deploy Security Orchestration, Automation, and Response (SOAR) platform for faster incident response</w:t>
      </w:r>
    </w:p>
    <w:p>
      <w:pPr>
        <w:pStyle w:val="ListBullet"/>
      </w:pPr>
      <w:r>
        <w:t>Enhance SIEM correlation rules for earlier detection of credential compromise patterns</w:t>
      </w:r>
    </w:p>
    <w:p>
      <w:pPr>
        <w:pStyle w:val="ListBullet"/>
      </w:pPr>
      <w:r>
        <w:t>Establish security awareness champion program within each department</w:t>
      </w:r>
    </w:p>
    <w:p>
      <w:pPr>
        <w:pStyle w:val="ListBullet"/>
      </w:pPr>
      <w:r>
        <w:t>Implement User and Entity Behavior Analytics (UEBA) for anomaly detection</w:t>
      </w:r>
    </w:p>
    <w:p>
      <w:pPr>
        <w:pStyle w:val="ListBullet"/>
      </w:pPr>
      <w:r>
        <w:t>Consider passwordless authentication technologies (FIDO2, Windows Hello for Business)</w:t>
      </w:r>
    </w:p>
    <w:p>
      <w:r>
        <w:br w:type="page"/>
      </w:r>
    </w:p>
    <w:p>
      <w:pPr>
        <w:pStyle w:val="Heading1"/>
      </w:pPr>
      <w:r>
        <w:t>9. INCIDENT METRICS AND PERFORMANCE</w:t>
      </w:r>
    </w:p>
    <w:p>
      <w:pPr>
        <w:pStyle w:val="Heading2"/>
      </w:pPr>
      <w:r>
        <w:t>9.1 Response Time Metrics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 (P2)</w:t>
            </w:r>
          </w:p>
        </w:tc>
        <w:tc>
          <w:tcPr>
            <w:tcW w:type="dxa" w:w="2160"/>
          </w:tcPr>
          <w:p>
            <w:r>
              <w:rPr>
                <w:b/>
              </w:rPr>
              <w:t>Actual</w:t>
            </w:r>
          </w:p>
        </w:tc>
        <w:tc>
          <w:tcPr>
            <w:tcW w:type="dxa" w:w="2160"/>
          </w:tcPr>
          <w:p>
            <w:r>
              <w:rPr>
                <w:b/>
              </w:rPr>
              <w:t>Assessment</w:t>
            </w:r>
          </w:p>
        </w:tc>
      </w:tr>
      <w:tr>
        <w:tc>
          <w:tcPr>
            <w:tcW w:type="dxa" w:w="2160"/>
          </w:tcPr>
          <w:p>
            <w:r>
              <w:t>Time to Detect (from initial compromise)</w:t>
            </w:r>
          </w:p>
        </w:tc>
        <w:tc>
          <w:tcPr>
            <w:tcW w:type="dxa" w:w="2160"/>
          </w:tcPr>
          <w:p>
            <w:r>
              <w:t>N/A</w:t>
            </w:r>
          </w:p>
        </w:tc>
        <w:tc>
          <w:tcPr>
            <w:tcW w:type="dxa" w:w="2160"/>
          </w:tcPr>
          <w:p>
            <w:r>
              <w:t>4 hours 42 min</w:t>
            </w:r>
          </w:p>
        </w:tc>
        <w:tc>
          <w:tcPr>
            <w:tcW w:type="dxa" w:w="2160"/>
          </w:tcPr>
          <w:p>
            <w:r>
              <w:t>Good - Automated detection</w:t>
            </w:r>
          </w:p>
        </w:tc>
      </w:tr>
      <w:tr>
        <w:tc>
          <w:tcPr>
            <w:tcW w:type="dxa" w:w="2160"/>
          </w:tcPr>
          <w:p>
            <w:r>
              <w:t>Time to Acknowledge</w:t>
            </w:r>
          </w:p>
        </w:tc>
        <w:tc>
          <w:tcPr>
            <w:tcW w:type="dxa" w:w="2160"/>
          </w:tcPr>
          <w:p>
            <w:r>
              <w:t>1 hour</w:t>
            </w:r>
          </w:p>
        </w:tc>
        <w:tc>
          <w:tcPr>
            <w:tcW w:type="dxa" w:w="2160"/>
          </w:tcPr>
          <w:p>
            <w:r>
              <w:t>35 minutes</w:t>
            </w:r>
          </w:p>
        </w:tc>
        <w:tc>
          <w:tcPr>
            <w:tcW w:type="dxa" w:w="2160"/>
          </w:tcPr>
          <w:p>
            <w:r>
              <w:t>Met target</w:t>
            </w:r>
          </w:p>
        </w:tc>
      </w:tr>
      <w:tr>
        <w:tc>
          <w:tcPr>
            <w:tcW w:type="dxa" w:w="2160"/>
          </w:tcPr>
          <w:p>
            <w:r>
              <w:t>Time to Incident Declaration</w:t>
            </w:r>
          </w:p>
        </w:tc>
        <w:tc>
          <w:tcPr>
            <w:tcW w:type="dxa" w:w="2160"/>
          </w:tcPr>
          <w:p>
            <w:r>
              <w:t>1 hour</w:t>
            </w:r>
          </w:p>
        </w:tc>
        <w:tc>
          <w:tcPr>
            <w:tcW w:type="dxa" w:w="2160"/>
          </w:tcPr>
          <w:p>
            <w:r>
              <w:t>35 minutes</w:t>
            </w:r>
          </w:p>
        </w:tc>
        <w:tc>
          <w:tcPr>
            <w:tcW w:type="dxa" w:w="2160"/>
          </w:tcPr>
          <w:p>
            <w:r>
              <w:t>Met target</w:t>
            </w:r>
          </w:p>
        </w:tc>
      </w:tr>
      <w:tr>
        <w:tc>
          <w:tcPr>
            <w:tcW w:type="dxa" w:w="2160"/>
          </w:tcPr>
          <w:p>
            <w:r>
              <w:t>Time to Executive Notification</w:t>
            </w:r>
          </w:p>
        </w:tc>
        <w:tc>
          <w:tcPr>
            <w:tcW w:type="dxa" w:w="2160"/>
          </w:tcPr>
          <w:p>
            <w:r>
              <w:t>1 hour</w:t>
            </w:r>
          </w:p>
        </w:tc>
        <w:tc>
          <w:tcPr>
            <w:tcW w:type="dxa" w:w="2160"/>
          </w:tcPr>
          <w:p>
            <w:r>
              <w:t>42 minutes</w:t>
            </w:r>
          </w:p>
        </w:tc>
        <w:tc>
          <w:tcPr>
            <w:tcW w:type="dxa" w:w="2160"/>
          </w:tcPr>
          <w:p>
            <w:r>
              <w:t>Met target</w:t>
            </w:r>
          </w:p>
        </w:tc>
      </w:tr>
      <w:tr>
        <w:tc>
          <w:tcPr>
            <w:tcW w:type="dxa" w:w="2160"/>
          </w:tcPr>
          <w:p>
            <w:r>
              <w:t>Time to Containment</w:t>
            </w:r>
          </w:p>
        </w:tc>
        <w:tc>
          <w:tcPr>
            <w:tcW w:type="dxa" w:w="2160"/>
          </w:tcPr>
          <w:p>
            <w:r>
              <w:t>4 hours</w:t>
            </w:r>
          </w:p>
        </w:tc>
        <w:tc>
          <w:tcPr>
            <w:tcW w:type="dxa" w:w="2160"/>
          </w:tcPr>
          <w:p>
            <w:r>
              <w:t>3.4 hours</w:t>
            </w:r>
          </w:p>
        </w:tc>
        <w:tc>
          <w:tcPr>
            <w:tcW w:type="dxa" w:w="2160"/>
          </w:tcPr>
          <w:p>
            <w:r>
              <w:t>Met target</w:t>
            </w:r>
          </w:p>
        </w:tc>
      </w:tr>
      <w:tr>
        <w:tc>
          <w:tcPr>
            <w:tcW w:type="dxa" w:w="2160"/>
          </w:tcPr>
          <w:p>
            <w:r>
              <w:t>Time to Eradication</w:t>
            </w:r>
          </w:p>
        </w:tc>
        <w:tc>
          <w:tcPr>
            <w:tcW w:type="dxa" w:w="2160"/>
          </w:tcPr>
          <w:p>
            <w:r>
              <w:t>24 hours</w:t>
            </w:r>
          </w:p>
        </w:tc>
        <w:tc>
          <w:tcPr>
            <w:tcW w:type="dxa" w:w="2160"/>
          </w:tcPr>
          <w:p>
            <w:r>
              <w:t>23.2 hours</w:t>
            </w:r>
          </w:p>
        </w:tc>
        <w:tc>
          <w:tcPr>
            <w:tcW w:type="dxa" w:w="2160"/>
          </w:tcPr>
          <w:p>
            <w:r>
              <w:t>Met target</w:t>
            </w:r>
          </w:p>
        </w:tc>
      </w:tr>
      <w:tr>
        <w:tc>
          <w:tcPr>
            <w:tcW w:type="dxa" w:w="2160"/>
          </w:tcPr>
          <w:p>
            <w:r>
              <w:t>Time to Recovery</w:t>
            </w:r>
          </w:p>
        </w:tc>
        <w:tc>
          <w:tcPr>
            <w:tcW w:type="dxa" w:w="2160"/>
          </w:tcPr>
          <w:p>
            <w:r>
              <w:t>48 hours</w:t>
            </w:r>
          </w:p>
        </w:tc>
        <w:tc>
          <w:tcPr>
            <w:tcW w:type="dxa" w:w="2160"/>
          </w:tcPr>
          <w:p>
            <w:r>
              <w:t>43.6 hours</w:t>
            </w:r>
          </w:p>
        </w:tc>
        <w:tc>
          <w:tcPr>
            <w:tcW w:type="dxa" w:w="2160"/>
          </w:tcPr>
          <w:p>
            <w:r>
              <w:t>Met target</w:t>
            </w:r>
          </w:p>
        </w:tc>
      </w:tr>
      <w:tr>
        <w:tc>
          <w:tcPr>
            <w:tcW w:type="dxa" w:w="2160"/>
          </w:tcPr>
          <w:p>
            <w:r>
              <w:t>Total Incident Duration (detection to closure)</w:t>
            </w:r>
          </w:p>
        </w:tc>
        <w:tc>
          <w:tcPr>
            <w:tcW w:type="dxa" w:w="2160"/>
          </w:tcPr>
          <w:p>
            <w:r>
              <w:t>N/A</w:t>
            </w:r>
          </w:p>
        </w:tc>
        <w:tc>
          <w:tcPr>
            <w:tcW w:type="dxa" w:w="2160"/>
          </w:tcPr>
          <w:p>
            <w:r>
              <w:t>49.6 hours</w:t>
            </w:r>
          </w:p>
        </w:tc>
        <w:tc>
          <w:tcPr>
            <w:tcW w:type="dxa" w:w="2160"/>
          </w:tcPr>
          <w:p>
            <w:r>
              <w:t>Acceptable for P2</w:t>
            </w:r>
          </w:p>
        </w:tc>
      </w:tr>
    </w:tbl>
    <w:p>
      <w:r>
        <w:br w:type="page"/>
      </w:r>
    </w:p>
    <w:p>
      <w:pPr>
        <w:pStyle w:val="Heading1"/>
      </w:pPr>
      <w:r>
        <w:t>10. ISO 27001:2022 COMPLIANCE EVIDENCE</w:t>
      </w:r>
    </w:p>
    <w:p>
      <w:r>
        <w:t>This incident response demonstrates GlobalFinance Partners' implementation and operational effectiveness of ISO/IEC 27001:2022 information security incident management controls. The following section maps incident response activities to specific ISO 27001:2022 Annex A controls.</w:t>
      </w:r>
    </w:p>
    <w:p>
      <w:pPr>
        <w:pStyle w:val="Heading2"/>
      </w:pPr>
      <w:r>
        <w:t>10.1 Control 5-24: Information Security Incident Management Planning and Preparation</w:t>
      </w:r>
    </w:p>
    <w:p>
      <w:r>
        <w:rPr>
          <w:b/>
        </w:rPr>
        <w:t xml:space="preserve">Evidence: </w:t>
      </w:r>
      <w:r>
        <w:t>GlobalFinance Partners maintained documented Incident Management Policy and procedures aligned with NIST SP 800-61r3. Incident Response Team with defined roles and responsibilities was activated immediately upon incident declaration. IRT members were available 24/7 and responded within policy-defined timeframes.</w:t>
      </w:r>
    </w:p>
    <w:p>
      <w:pPr>
        <w:pStyle w:val="Heading2"/>
      </w:pPr>
      <w:r>
        <w:t>10.2 Control 5-25: Assessment and Decision on Information Security Events</w:t>
      </w:r>
    </w:p>
    <w:p>
      <w:r>
        <w:rPr>
          <w:b/>
        </w:rPr>
        <w:t xml:space="preserve">Evidence: </w:t>
      </w:r>
      <w:r>
        <w:t>Security event (SIEM alert) was assessed by SOC analyst within 3 minutes of detection. Event was evaluated against incident criteria defined in policy. Determination that event constituted an information security incident was made based on confirmed unauthorized access to user accounts and potential data exposure.</w:t>
      </w:r>
    </w:p>
    <w:p>
      <w:pPr>
        <w:pStyle w:val="Heading2"/>
      </w:pPr>
      <w:r>
        <w:t>10.3 Control 5-26: Response to Information Security Incidents</w:t>
      </w:r>
    </w:p>
    <w:p>
      <w:r>
        <w:rPr>
          <w:b/>
        </w:rPr>
        <w:t xml:space="preserve">Evidence: </w:t>
      </w:r>
      <w:r>
        <w:t>Incident response was conducted in accordance with documented Incident Management Policy procedures. All four NIST incident response phases were executed: (1) Preparation, (2) Detection and Analysis, (3) Containment, Eradication, and Recovery, (4) Post-Incident Activity.</w:t>
      </w:r>
    </w:p>
    <w:p>
      <w:pPr>
        <w:pStyle w:val="Heading2"/>
      </w:pPr>
      <w:r>
        <w:t>10.4 Control 5-27: Learning from Information Security Incidents</w:t>
      </w:r>
    </w:p>
    <w:p>
      <w:r>
        <w:rPr>
          <w:b/>
        </w:rPr>
        <w:t xml:space="preserve">Evidence: </w:t>
      </w:r>
      <w:r>
        <w:t>Post-incident review meeting conducted on May 22, 2026. Root cause analysis performed using 5 Whys methodology. Lessons learned documented including what went well and areas for improvement. Corrective action plan developed with specific actions, responsible owners, target dates, and status tracking.</w:t>
      </w:r>
    </w:p>
    <w:p>
      <w:pPr>
        <w:pStyle w:val="Heading2"/>
      </w:pPr>
      <w:r>
        <w:t>10.5 Control 5-28: Collection of Evidence</w:t>
      </w:r>
    </w:p>
    <w:p>
      <w:r>
        <w:rPr>
          <w:b/>
        </w:rPr>
        <w:t xml:space="preserve">Evidence: </w:t>
      </w:r>
      <w:r>
        <w:t>Comprehensive evidence collection procedures were followed. Evidence inventory maintained with 9 evidence items collected. Cryptographic hashes (MD5 and SHA-256) calculated for all digital evidence. Chain of custody documentation maintained.</w:t>
      </w:r>
    </w:p>
    <w:p>
      <w:r>
        <w:br w:type="page"/>
      </w:r>
    </w:p>
    <w:p>
      <w:pPr>
        <w:pStyle w:val="Heading1"/>
      </w:pPr>
      <w:r>
        <w:t>11. APPROVALS AND SIGN-OFF</w:t>
      </w:r>
    </w:p>
    <w:p>
      <w:r>
        <w:t>This Incident Response Report has been reviewed and approved by the following individuals:</w:t>
      </w:r>
    </w:p>
    <w:p>
      <w:r>
        <w:t>________________________________________</w:t>
      </w:r>
    </w:p>
    <w:p/>
    <w:p>
      <w:r>
        <w:rPr>
          <w:b/>
        </w:rPr>
        <w:t>Priya Nair</w:t>
      </w:r>
    </w:p>
    <w:p>
      <w:r>
        <w:t>Chief Information Security Officer</w:t>
      </w:r>
    </w:p>
    <w:p>
      <w:r>
        <w:t>Incident Response Team Lead</w:t>
      </w:r>
    </w:p>
    <w:p>
      <w:r>
        <w:t>Date: May 22, 2026</w:t>
      </w:r>
    </w:p>
    <w:p/>
    <w:p>
      <w:r>
        <w:t>________________________________________</w:t>
      </w:r>
    </w:p>
    <w:p/>
    <w:p>
      <w:r>
        <w:rPr>
          <w:b/>
        </w:rPr>
        <w:t>Richard Harlow</w:t>
      </w:r>
    </w:p>
    <w:p>
      <w:r>
        <w:t>Chief Executive Officer</w:t>
      </w:r>
    </w:p>
    <w:p>
      <w:r>
        <w:t>Date: May 23, 2026</w:t>
      </w:r>
    </w:p>
    <w:p/>
    <w:p>
      <w:r>
        <w:t>________________________________________</w:t>
      </w:r>
    </w:p>
    <w:p/>
    <w:p>
      <w:r>
        <w:rPr>
          <w:b/>
        </w:rPr>
        <w:t>Marcus Chen</w:t>
      </w:r>
    </w:p>
    <w:p>
      <w:r>
        <w:t>Chief Information Officer</w:t>
      </w:r>
    </w:p>
    <w:p>
      <w:r>
        <w:t>Date: May 22, 2026</w:t>
      </w:r>
    </w:p>
    <w:p/>
    <w:p>
      <w:r>
        <w:t>________________________________________</w:t>
      </w:r>
    </w:p>
    <w:p/>
    <w:p>
      <w:r>
        <w:rPr>
          <w:b/>
        </w:rPr>
        <w:t>Elaine Rousseau</w:t>
      </w:r>
    </w:p>
    <w:p>
      <w:r>
        <w:t>Chief Compliance Officer</w:t>
      </w:r>
    </w:p>
    <w:p>
      <w:r>
        <w:t>Date: May 22, 2026</w:t>
      </w:r>
    </w:p>
    <w:p/>
    <w:p/>
    <w:p/>
    <w:p>
      <w:pPr>
        <w:jc w:val="center"/>
      </w:pPr>
      <w:r>
        <w:rPr>
          <w:b/>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