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Arial" w:cs="Arial" w:eastAsia="Arial" w:hAnsi="Arial"/>
          <w:b/>
          <w:bCs/>
          <w:sz w:val="36"/>
          <w:szCs w:val="36"/>
        </w:rPr>
        <w:t xml:space="preserve">QuickServe Restaurants LLC</w:t>
      </w:r>
    </w:p>
    <w:p>
      <w:pPr>
        <w:spacing w:after="480"/>
        <w:jc w:val="center"/>
      </w:pPr>
      <w:r>
        <w:rPr>
          <w:rFonts w:ascii="Arial" w:cs="Arial" w:eastAsia="Arial" w:hAnsi="Arial"/>
          <w:b/>
          <w:bCs/>
          <w:color w:val="1F4E78"/>
          <w:sz w:val="32"/>
          <w:szCs w:val="32"/>
        </w:rPr>
        <w:t xml:space="preserve">Information Security Incident Response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D5E8F0" w:val="clear"/>
            <w:tcMar>
              <w:top w:type="dxa" w:w="80"/>
              <w:left w:type="dxa" w:w="120"/>
              <w:bottom w:type="dxa" w:w="80"/>
              <w:right w:type="dxa" w:w="120"/>
            </w:tcMar>
          </w:tcPr>
          <w:p>
            <w:r>
              <w:rPr>
                <w:b/>
                <w:bCs/>
              </w:rPr>
              <w:t xml:space="preserve">Incident ID:</w:t>
            </w:r>
          </w:p>
        </w:tc>
        <w:tc>
          <w:tcPr>
            <w:tcW w:type="dxa" w:w="6240"/>
            <w:tcMar>
              <w:top w:type="dxa" w:w="80"/>
              <w:left w:type="dxa" w:w="120"/>
              <w:bottom w:type="dxa" w:w="80"/>
              <w:right w:type="dxa" w:w="120"/>
            </w:tcMar>
          </w:tcPr>
          <w:p>
            <w:r>
              <w:t xml:space="preserve">INC-2026-0487</w:t>
            </w:r>
          </w:p>
        </w:tc>
      </w:tr>
      <w:tr>
        <w:tc>
          <w:tcPr>
            <w:tcW w:type="dxa" w:w="3120"/>
            <w:shd w:fill="D5E8F0" w:val="clear"/>
            <w:tcMar>
              <w:top w:type="dxa" w:w="80"/>
              <w:left w:type="dxa" w:w="120"/>
              <w:bottom w:type="dxa" w:w="80"/>
              <w:right w:type="dxa" w:w="120"/>
            </w:tcMar>
          </w:tcPr>
          <w:p>
            <w:r>
              <w:rPr>
                <w:b/>
                <w:bCs/>
              </w:rPr>
              <w:t xml:space="preserve">Incident Title:</w:t>
            </w:r>
          </w:p>
        </w:tc>
        <w:tc>
          <w:tcPr>
            <w:tcW w:type="dxa" w:w="6240"/>
            <w:tcMar>
              <w:top w:type="dxa" w:w="80"/>
              <w:left w:type="dxa" w:w="120"/>
              <w:bottom w:type="dxa" w:w="80"/>
              <w:right w:type="dxa" w:w="120"/>
            </w:tcMar>
          </w:tcPr>
          <w:p>
            <w:r>
              <w:t xml:space="preserve">Attempted Ransomware Deployment via Phishing Attack</w:t>
            </w:r>
          </w:p>
        </w:tc>
      </w:tr>
      <w:tr>
        <w:tc>
          <w:tcPr>
            <w:tcW w:type="dxa" w:w="3120"/>
            <w:shd w:fill="D5E8F0" w:val="clear"/>
            <w:tcMar>
              <w:top w:type="dxa" w:w="80"/>
              <w:left w:type="dxa" w:w="120"/>
              <w:bottom w:type="dxa" w:w="80"/>
              <w:right w:type="dxa" w:w="120"/>
            </w:tcMar>
          </w:tcPr>
          <w:p>
            <w:r>
              <w:rPr>
                <w:b/>
                <w:bCs/>
              </w:rPr>
              <w:t xml:space="preserve">Incident Date:</w:t>
            </w:r>
          </w:p>
        </w:tc>
        <w:tc>
          <w:tcPr>
            <w:tcW w:type="dxa" w:w="6240"/>
            <w:tcMar>
              <w:top w:type="dxa" w:w="80"/>
              <w:left w:type="dxa" w:w="120"/>
              <w:bottom w:type="dxa" w:w="80"/>
              <w:right w:type="dxa" w:w="120"/>
            </w:tcMar>
          </w:tcPr>
          <w:p>
            <w:r>
              <w:t xml:space="preserve">April 18, 2026 at 14:23 PDT</w:t>
            </w:r>
          </w:p>
        </w:tc>
      </w:tr>
      <w:tr>
        <w:tc>
          <w:tcPr>
            <w:tcW w:type="dxa" w:w="3120"/>
            <w:shd w:fill="D5E8F0" w:val="clear"/>
            <w:tcMar>
              <w:top w:type="dxa" w:w="80"/>
              <w:left w:type="dxa" w:w="120"/>
              <w:bottom w:type="dxa" w:w="80"/>
              <w:right w:type="dxa" w:w="120"/>
            </w:tcMar>
          </w:tcPr>
          <w:p>
            <w:r>
              <w:rPr>
                <w:b/>
                <w:bCs/>
              </w:rPr>
              <w:t xml:space="preserve">Detection Date:</w:t>
            </w:r>
          </w:p>
        </w:tc>
        <w:tc>
          <w:tcPr>
            <w:tcW w:type="dxa" w:w="6240"/>
            <w:tcMar>
              <w:top w:type="dxa" w:w="80"/>
              <w:left w:type="dxa" w:w="120"/>
              <w:bottom w:type="dxa" w:w="80"/>
              <w:right w:type="dxa" w:w="120"/>
            </w:tcMar>
          </w:tcPr>
          <w:p>
            <w:r>
              <w:t xml:space="preserve">April 18, 2026 at 14:28 PDT</w:t>
            </w:r>
          </w:p>
        </w:tc>
      </w:tr>
      <w:tr>
        <w:tc>
          <w:tcPr>
            <w:tcW w:type="dxa" w:w="3120"/>
            <w:shd w:fill="D5E8F0" w:val="clear"/>
            <w:tcMar>
              <w:top w:type="dxa" w:w="80"/>
              <w:left w:type="dxa" w:w="120"/>
              <w:bottom w:type="dxa" w:w="80"/>
              <w:right w:type="dxa" w:w="120"/>
            </w:tcMar>
          </w:tcPr>
          <w:p>
            <w:r>
              <w:rPr>
                <w:b/>
                <w:bCs/>
              </w:rPr>
              <w:t xml:space="preserve">Incident Severity:</w:t>
            </w:r>
          </w:p>
        </w:tc>
        <w:tc>
          <w:tcPr>
            <w:tcW w:type="dxa" w:w="6240"/>
            <w:tcMar>
              <w:top w:type="dxa" w:w="80"/>
              <w:left w:type="dxa" w:w="120"/>
              <w:bottom w:type="dxa" w:w="80"/>
              <w:right w:type="dxa" w:w="120"/>
            </w:tcMar>
          </w:tcPr>
          <w:p>
            <w:r>
              <w:rPr>
                <w:b/>
                <w:bCs/>
                <w:color w:val="C00000"/>
              </w:rPr>
              <w:t xml:space="preserve">HIGH (P2)</w:t>
            </w:r>
          </w:p>
        </w:tc>
      </w:tr>
      <w:tr>
        <w:tc>
          <w:tcPr>
            <w:tcW w:type="dxa" w:w="3120"/>
            <w:shd w:fill="D5E8F0" w:val="clear"/>
            <w:tcMar>
              <w:top w:type="dxa" w:w="80"/>
              <w:left w:type="dxa" w:w="120"/>
              <w:bottom w:type="dxa" w:w="80"/>
              <w:right w:type="dxa" w:w="120"/>
            </w:tcMar>
          </w:tcPr>
          <w:p>
            <w:r>
              <w:rPr>
                <w:b/>
                <w:bCs/>
              </w:rPr>
              <w:t xml:space="preserve">Incident Status:</w:t>
            </w:r>
          </w:p>
        </w:tc>
        <w:tc>
          <w:tcPr>
            <w:tcW w:type="dxa" w:w="6240"/>
            <w:tcMar>
              <w:top w:type="dxa" w:w="80"/>
              <w:left w:type="dxa" w:w="120"/>
              <w:bottom w:type="dxa" w:w="80"/>
              <w:right w:type="dxa" w:w="120"/>
            </w:tcMar>
          </w:tcPr>
          <w:p>
            <w:r>
              <w:rPr>
                <w:b/>
                <w:bCs/>
                <w:color w:val="00B050"/>
              </w:rPr>
              <w:t xml:space="preserve">RESOLVED - Closed</w:t>
            </w:r>
          </w:p>
        </w:tc>
      </w:tr>
      <w:tr>
        <w:tc>
          <w:tcPr>
            <w:tcW w:type="dxa" w:w="3120"/>
            <w:shd w:fill="D5E8F0" w:val="clear"/>
            <w:tcMar>
              <w:top w:type="dxa" w:w="80"/>
              <w:left w:type="dxa" w:w="120"/>
              <w:bottom w:type="dxa" w:w="80"/>
              <w:right w:type="dxa" w:w="120"/>
            </w:tcMar>
          </w:tcPr>
          <w:p>
            <w:r>
              <w:rPr>
                <w:b/>
                <w:bCs/>
              </w:rPr>
              <w:t xml:space="preserve">Incident Lead:</w:t>
            </w:r>
          </w:p>
        </w:tc>
        <w:tc>
          <w:tcPr>
            <w:tcW w:type="dxa" w:w="6240"/>
            <w:tcMar>
              <w:top w:type="dxa" w:w="80"/>
              <w:left w:type="dxa" w:w="120"/>
              <w:bottom w:type="dxa" w:w="80"/>
              <w:right w:type="dxa" w:w="120"/>
            </w:tcMar>
          </w:tcPr>
          <w:p>
            <w:r>
              <w:t xml:space="preserve">Maria Gonzalez, VP Information Security</w:t>
            </w:r>
          </w:p>
        </w:tc>
      </w:tr>
      <w:tr>
        <w:tc>
          <w:tcPr>
            <w:tcW w:type="dxa" w:w="3120"/>
            <w:shd w:fill="D5E8F0" w:val="clear"/>
            <w:tcMar>
              <w:top w:type="dxa" w:w="80"/>
              <w:left w:type="dxa" w:w="120"/>
              <w:bottom w:type="dxa" w:w="80"/>
              <w:right w:type="dxa" w:w="120"/>
            </w:tcMar>
          </w:tcPr>
          <w:p>
            <w:r>
              <w:rPr>
                <w:b/>
                <w:bCs/>
              </w:rPr>
              <w:t xml:space="preserve">Report Date:</w:t>
            </w:r>
          </w:p>
        </w:tc>
        <w:tc>
          <w:tcPr>
            <w:tcW w:type="dxa" w:w="6240"/>
            <w:tcMar>
              <w:top w:type="dxa" w:w="80"/>
              <w:left w:type="dxa" w:w="120"/>
              <w:bottom w:type="dxa" w:w="80"/>
              <w:right w:type="dxa" w:w="120"/>
            </w:tcMar>
          </w:tcPr>
          <w:p>
            <w:r>
              <w:t xml:space="preserve">April 25, 2026</w:t>
            </w:r>
          </w:p>
        </w:tc>
      </w:tr>
      <w:tr>
        <w:tc>
          <w:tcPr>
            <w:tcW w:type="dxa" w:w="3120"/>
            <w:shd w:fill="D5E8F0" w:val="clear"/>
            <w:tcMar>
              <w:top w:type="dxa" w:w="80"/>
              <w:left w:type="dxa" w:w="120"/>
              <w:bottom w:type="dxa" w:w="80"/>
              <w:right w:type="dxa" w:w="120"/>
            </w:tcMar>
          </w:tcPr>
          <w:p>
            <w:r>
              <w:rPr>
                <w:b/>
                <w:bCs/>
              </w:rPr>
              <w:t xml:space="preserve">Classification:</w:t>
            </w:r>
          </w:p>
        </w:tc>
        <w:tc>
          <w:tcPr>
            <w:tcW w:type="dxa" w:w="6240"/>
            <w:tcMar>
              <w:top w:type="dxa" w:w="80"/>
              <w:left w:type="dxa" w:w="120"/>
              <w:bottom w:type="dxa" w:w="80"/>
              <w:right w:type="dxa" w:w="120"/>
            </w:tcMar>
          </w:tcPr>
          <w:p>
            <w:r>
              <w:rPr>
                <w:b/>
                <w:bCs/>
                <w:color w:val="C00000"/>
              </w:rPr>
              <w:t xml:space="preserve">Internal - Confidential</w:t>
            </w:r>
          </w:p>
        </w:tc>
      </w:tr>
      <w:tr>
        <w:tc>
          <w:tcPr>
            <w:tcW w:type="dxa" w:w="3120"/>
            <w:shd w:fill="D5E8F0" w:val="clear"/>
            <w:tcMar>
              <w:top w:type="dxa" w:w="80"/>
              <w:left w:type="dxa" w:w="120"/>
              <w:bottom w:type="dxa" w:w="80"/>
              <w:right w:type="dxa" w:w="120"/>
            </w:tcMar>
          </w:tcPr>
          <w:p>
            <w:r>
              <w:rPr>
                <w:b/>
                <w:bCs/>
              </w:rPr>
              <w:t xml:space="preserve">ISO 27001:2022:</w:t>
            </w:r>
          </w:p>
        </w:tc>
        <w:tc>
          <w:tcPr>
            <w:tcW w:type="dxa" w:w="6240"/>
            <w:tcMar>
              <w:top w:type="dxa" w:w="80"/>
              <w:left w:type="dxa" w:w="120"/>
              <w:bottom w:type="dxa" w:w="80"/>
              <w:right w:type="dxa" w:w="120"/>
            </w:tcMar>
          </w:tcPr>
          <w:p>
            <w:r>
              <w:t xml:space="preserve">Clauses A.5.24, A.5.26, A.5.27, A.5.28</w:t>
            </w:r>
          </w:p>
        </w:tc>
      </w:tr>
      <w:tr>
        <w:tc>
          <w:tcPr>
            <w:tcW w:type="dxa" w:w="3120"/>
            <w:shd w:fill="D5E8F0" w:val="clear"/>
            <w:tcMar>
              <w:top w:type="dxa" w:w="80"/>
              <w:left w:type="dxa" w:w="120"/>
              <w:bottom w:type="dxa" w:w="80"/>
              <w:right w:type="dxa" w:w="120"/>
            </w:tcMar>
          </w:tcPr>
          <w:p>
            <w:r>
              <w:rPr>
                <w:b/>
                <w:bCs/>
              </w:rPr>
              <w:t xml:space="preserve">NIST Reference:</w:t>
            </w:r>
          </w:p>
        </w:tc>
        <w:tc>
          <w:tcPr>
            <w:tcW w:type="dxa" w:w="6240"/>
            <w:tcMar>
              <w:top w:type="dxa" w:w="80"/>
              <w:left w:type="dxa" w:w="120"/>
              <w:bottom w:type="dxa" w:w="80"/>
              <w:right w:type="dxa" w:w="120"/>
            </w:tcMar>
          </w:tcPr>
          <w:p>
            <w:r>
              <w:t xml:space="preserve">SP 800-61r3 (CSF 2.0: RS.MA, RS.AN, RS.CO, RC.RP)</w:t>
            </w:r>
          </w:p>
        </w:tc>
      </w:tr>
    </w:tbl>
    <w:p>
      <w:pPr>
        <w:spacing w:after="240"/>
      </w:pPr>
    </w:p>
    <w:p>
      <w:pPr>
        <w:pStyle w:val="Heading1"/>
      </w:pPr>
      <w:r>
        <w:t xml:space="preserve">Executive Summary</w:t>
      </w:r>
    </w:p>
    <w:p>
      <w:r>
        <w:t xml:space="preserve">On April 18, 2026, QuickServe Restaurants LLC experienced a high-severity security incident involving a targeted phishing attack that led to an attempted ransomware deployment. The incident was detected within five minutes of initial compromise through automated endpoint detection and response (EDR) systems, contained within 47 minutes, and fully resolved within 72 hours with no data exfiltration, no operational disruption, and no customer impact.</w:t>
      </w:r>
    </w:p>
    <w:p/>
    <w:p>
      <w:r>
        <w:t xml:space="preserve">The attack targeted an employee in the Finance department who inadvertently clicked on a malicious link in a sophisticated phishing email impersonating a trusted payment processor. The malware payload was blocked during execution by our EDR solution before ransomware encryption could begin. Immediate containment actions prevented lateral movement, and comprehensive forensic analysis confirmed no data breach occurred.</w:t>
      </w:r>
    </w:p>
    <w:p/>
    <w:p>
      <w:r>
        <w:t xml:space="preserve">This incident validates the effectiveness of our defense-in-depth security architecture, employee security awareness training program, and incident response capabilities. Post-incident review has identified opportunities to enhance email filtering rules and strengthen authentication controls.</w:t>
      </w:r>
    </w:p>
    <w:p/>
    <w:p>
      <w:pPr>
        <w:pStyle w:val="Heading2"/>
      </w:pPr>
      <w:r>
        <w:t xml:space="preserve">Key Findings</w:t>
      </w:r>
    </w:p>
    <w:p>
      <w:pPr>
        <w:pStyle w:val="ListParagraph"/>
        <w:numPr>
          <w:ilvl w:val="0"/>
          <w:numId w:val="2"/>
        </w:numPr>
      </w:pPr>
      <w:r>
        <w:t xml:space="preserve">No data exfiltration or encryption occurred</w:t>
      </w:r>
    </w:p>
    <w:p>
      <w:pPr>
        <w:pStyle w:val="ListParagraph"/>
        <w:numPr>
          <w:ilvl w:val="0"/>
          <w:numId w:val="2"/>
        </w:numPr>
      </w:pPr>
      <w:r>
        <w:t xml:space="preserve">No customer payment card data was accessed or compromised</w:t>
      </w:r>
    </w:p>
    <w:p>
      <w:pPr>
        <w:pStyle w:val="ListParagraph"/>
        <w:numPr>
          <w:ilvl w:val="0"/>
          <w:numId w:val="2"/>
        </w:numPr>
      </w:pPr>
      <w:r>
        <w:t xml:space="preserve">No personally identifiable information (PII) was exposed</w:t>
      </w:r>
    </w:p>
    <w:p>
      <w:pPr>
        <w:pStyle w:val="ListParagraph"/>
        <w:numPr>
          <w:ilvl w:val="0"/>
          <w:numId w:val="2"/>
        </w:numPr>
      </w:pPr>
      <w:r>
        <w:t xml:space="preserve">Zero business operations disruption across 487 restaurant locations</w:t>
      </w:r>
    </w:p>
    <w:p>
      <w:pPr>
        <w:pStyle w:val="ListParagraph"/>
        <w:numPr>
          <w:ilvl w:val="0"/>
          <w:numId w:val="2"/>
        </w:numPr>
      </w:pPr>
      <w:r>
        <w:t xml:space="preserve">Detection-to-containment time: 47 minutes (target: &lt;4 hours)</w:t>
      </w:r>
    </w:p>
    <w:p>
      <w:pPr>
        <w:pStyle w:val="ListParagraph"/>
        <w:numPr>
          <w:ilvl w:val="0"/>
          <w:numId w:val="2"/>
        </w:numPr>
      </w:pPr>
      <w:r>
        <w:t xml:space="preserve">Total incident resolution time: 72 hours (target: &lt;7 days)</w:t>
      </w:r>
    </w:p>
    <w:p>
      <w:pPr>
        <w:pStyle w:val="ListParagraph"/>
        <w:numPr>
          <w:ilvl w:val="0"/>
          <w:numId w:val="2"/>
        </w:numPr>
      </w:pPr>
      <w:r>
        <w:t xml:space="preserve">Regulatory notification not required (no breach occurred)</w:t>
      </w:r>
    </w:p>
    <w:p>
      <w:pPr>
        <w:spacing w:after="240"/>
      </w:pPr>
    </w:p>
    <w:p>
      <w:r>
        <w:br w:type="page"/>
      </w:r>
    </w:p>
    <w:p>
      <w:pPr>
        <w:pStyle w:val="Heading1"/>
      </w:pPr>
      <w:r>
        <w:t xml:space="preserve">1. Incident Classification</w:t>
      </w:r>
    </w:p>
    <w:p>
      <w:pPr>
        <w:pStyle w:val="Heading2"/>
      </w:pPr>
      <w:r>
        <w:t xml:space="preserve">1.1 Incident Type</w:t>
      </w:r>
    </w:p>
    <w:p>
      <w:r>
        <w:rPr>
          <w:b/>
          <w:bCs/>
        </w:rPr>
        <w:t xml:space="preserve">Primary Category: </w:t>
      </w:r>
      <w:r>
        <w:t xml:space="preserve">Malware / Ransomware Attempt</w:t>
      </w:r>
    </w:p>
    <w:p>
      <w:r>
        <w:rPr>
          <w:b/>
          <w:bCs/>
        </w:rPr>
        <w:t xml:space="preserve">Secondary Category: </w:t>
      </w:r>
      <w:r>
        <w:t xml:space="preserve">Phishing / Social Engineering</w:t>
      </w:r>
    </w:p>
    <w:p>
      <w:r>
        <w:rPr>
          <w:b/>
          <w:bCs/>
        </w:rPr>
        <w:t xml:space="preserve">Attack Vector: </w:t>
      </w:r>
      <w:r>
        <w:t xml:space="preserve">Spear-phishing email with malicious payload</w:t>
      </w:r>
    </w:p>
    <w:p/>
    <w:p>
      <w:pPr>
        <w:pStyle w:val="Heading2"/>
      </w:pPr>
      <w:r>
        <w:t xml:space="preserve">1.2 Severity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D5E8F0" w:val="clear"/>
            <w:tcMar>
              <w:top w:type="dxa" w:w="80"/>
              <w:left w:type="dxa" w:w="120"/>
              <w:bottom w:type="dxa" w:w="80"/>
              <w:right w:type="dxa" w:w="120"/>
            </w:tcMar>
          </w:tcPr>
          <w:p>
            <w:r>
              <w:rPr>
                <w:b/>
                <w:bCs/>
              </w:rPr>
              <w:t xml:space="preserve">Severity Level:</w:t>
            </w:r>
          </w:p>
        </w:tc>
        <w:tc>
          <w:tcPr>
            <w:tcW w:type="dxa" w:w="6240"/>
            <w:tcMar>
              <w:top w:type="dxa" w:w="80"/>
              <w:left w:type="dxa" w:w="120"/>
              <w:bottom w:type="dxa" w:w="80"/>
              <w:right w:type="dxa" w:w="120"/>
            </w:tcMar>
          </w:tcPr>
          <w:p>
            <w:r>
              <w:rPr>
                <w:b/>
                <w:bCs/>
                <w:color w:val="C00000"/>
              </w:rPr>
              <w:t xml:space="preserve">HIGH (P2)</w:t>
            </w:r>
          </w:p>
        </w:tc>
      </w:tr>
      <w:tr>
        <w:tc>
          <w:tcPr>
            <w:tcW w:type="dxa" w:w="3120"/>
            <w:shd w:fill="D5E8F0" w:val="clear"/>
            <w:tcMar>
              <w:top w:type="dxa" w:w="80"/>
              <w:left w:type="dxa" w:w="120"/>
              <w:bottom w:type="dxa" w:w="80"/>
              <w:right w:type="dxa" w:w="120"/>
            </w:tcMar>
          </w:tcPr>
          <w:p>
            <w:r>
              <w:rPr>
                <w:b/>
                <w:bCs/>
              </w:rPr>
              <w:t xml:space="preserve">Confidentiality Impact:</w:t>
            </w:r>
          </w:p>
        </w:tc>
        <w:tc>
          <w:tcPr>
            <w:tcW w:type="dxa" w:w="6240"/>
            <w:tcMar>
              <w:top w:type="dxa" w:w="80"/>
              <w:left w:type="dxa" w:w="120"/>
              <w:bottom w:type="dxa" w:w="80"/>
              <w:right w:type="dxa" w:w="120"/>
            </w:tcMar>
          </w:tcPr>
          <w:p>
            <w:r>
              <w:t xml:space="preserve">None (potential for high)</w:t>
            </w:r>
          </w:p>
        </w:tc>
      </w:tr>
      <w:tr>
        <w:tc>
          <w:tcPr>
            <w:tcW w:type="dxa" w:w="3120"/>
            <w:shd w:fill="D5E8F0" w:val="clear"/>
            <w:tcMar>
              <w:top w:type="dxa" w:w="80"/>
              <w:left w:type="dxa" w:w="120"/>
              <w:bottom w:type="dxa" w:w="80"/>
              <w:right w:type="dxa" w:w="120"/>
            </w:tcMar>
          </w:tcPr>
          <w:p>
            <w:r>
              <w:rPr>
                <w:b/>
                <w:bCs/>
              </w:rPr>
              <w:t xml:space="preserve">Integrity Impact:</w:t>
            </w:r>
          </w:p>
        </w:tc>
        <w:tc>
          <w:tcPr>
            <w:tcW w:type="dxa" w:w="6240"/>
            <w:tcMar>
              <w:top w:type="dxa" w:w="80"/>
              <w:left w:type="dxa" w:w="120"/>
              <w:bottom w:type="dxa" w:w="80"/>
              <w:right w:type="dxa" w:w="120"/>
            </w:tcMar>
          </w:tcPr>
          <w:p>
            <w:r>
              <w:t xml:space="preserve">None (potential for high)</w:t>
            </w:r>
          </w:p>
        </w:tc>
      </w:tr>
      <w:tr>
        <w:tc>
          <w:tcPr>
            <w:tcW w:type="dxa" w:w="3120"/>
            <w:shd w:fill="D5E8F0" w:val="clear"/>
            <w:tcMar>
              <w:top w:type="dxa" w:w="80"/>
              <w:left w:type="dxa" w:w="120"/>
              <w:bottom w:type="dxa" w:w="80"/>
              <w:right w:type="dxa" w:w="120"/>
            </w:tcMar>
          </w:tcPr>
          <w:p>
            <w:r>
              <w:rPr>
                <w:b/>
                <w:bCs/>
              </w:rPr>
              <w:t xml:space="preserve">Availability Impact:</w:t>
            </w:r>
          </w:p>
        </w:tc>
        <w:tc>
          <w:tcPr>
            <w:tcW w:type="dxa" w:w="6240"/>
            <w:tcMar>
              <w:top w:type="dxa" w:w="80"/>
              <w:left w:type="dxa" w:w="120"/>
              <w:bottom w:type="dxa" w:w="80"/>
              <w:right w:type="dxa" w:w="120"/>
            </w:tcMar>
          </w:tcPr>
          <w:p>
            <w:r>
              <w:t xml:space="preserve">None (potential for critical)</w:t>
            </w:r>
          </w:p>
        </w:tc>
      </w:tr>
      <w:tr>
        <w:tc>
          <w:tcPr>
            <w:tcW w:type="dxa" w:w="3120"/>
            <w:shd w:fill="D5E8F0" w:val="clear"/>
            <w:tcMar>
              <w:top w:type="dxa" w:w="80"/>
              <w:left w:type="dxa" w:w="120"/>
              <w:bottom w:type="dxa" w:w="80"/>
              <w:right w:type="dxa" w:w="120"/>
            </w:tcMar>
          </w:tcPr>
          <w:p>
            <w:r>
              <w:rPr>
                <w:b/>
                <w:bCs/>
              </w:rPr>
              <w:t xml:space="preserve">Financial Impact:</w:t>
            </w:r>
          </w:p>
        </w:tc>
        <w:tc>
          <w:tcPr>
            <w:tcW w:type="dxa" w:w="6240"/>
            <w:tcMar>
              <w:top w:type="dxa" w:w="80"/>
              <w:left w:type="dxa" w:w="120"/>
              <w:bottom w:type="dxa" w:w="80"/>
              <w:right w:type="dxa" w:w="120"/>
            </w:tcMar>
          </w:tcPr>
          <w:p>
            <w:r>
              <w:t xml:space="preserve">Low (~$32,000 incident response costs)</w:t>
            </w:r>
          </w:p>
        </w:tc>
      </w:tr>
      <w:tr>
        <w:tc>
          <w:tcPr>
            <w:tcW w:type="dxa" w:w="3120"/>
            <w:shd w:fill="D5E8F0" w:val="clear"/>
            <w:tcMar>
              <w:top w:type="dxa" w:w="80"/>
              <w:left w:type="dxa" w:w="120"/>
              <w:bottom w:type="dxa" w:w="80"/>
              <w:right w:type="dxa" w:w="120"/>
            </w:tcMar>
          </w:tcPr>
          <w:p>
            <w:r>
              <w:rPr>
                <w:b/>
                <w:bCs/>
              </w:rPr>
              <w:t xml:space="preserve">Reputational Impact:</w:t>
            </w:r>
          </w:p>
        </w:tc>
        <w:tc>
          <w:tcPr>
            <w:tcW w:type="dxa" w:w="6240"/>
            <w:tcMar>
              <w:top w:type="dxa" w:w="80"/>
              <w:left w:type="dxa" w:w="120"/>
              <w:bottom w:type="dxa" w:w="80"/>
              <w:right w:type="dxa" w:w="120"/>
            </w:tcMar>
          </w:tcPr>
          <w:p>
            <w:r>
              <w:t xml:space="preserve">None (internal incident, not disclosed)</w:t>
            </w:r>
          </w:p>
        </w:tc>
      </w:tr>
    </w:tbl>
    <w:p/>
    <w:p>
      <w:r>
        <w:t xml:space="preserve">Severity was classified as HIGH based on the potential impact if the attack had succeeded. The ransomware variant identified (LockBit 3.0) typically encrypts entire networks and demands ransom payments exceeding $1M. However, actual impact was minimal due to rapid detection and containment.</w:t>
      </w:r>
    </w:p>
    <w:p>
      <w:pPr>
        <w:spacing w:after="240"/>
      </w:pPr>
    </w:p>
    <w:p>
      <w:r>
        <w:br w:type="page"/>
      </w:r>
    </w:p>
    <w:p>
      <w:pPr>
        <w:pStyle w:val="Heading1"/>
      </w:pPr>
      <w:r>
        <w:t xml:space="preserve">2. Incident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F4E78" w:val="clear"/>
            <w:tcMar>
              <w:top w:type="dxa" w:w="80"/>
              <w:left w:type="dxa" w:w="120"/>
              <w:bottom w:type="dxa" w:w="80"/>
              <w:right w:type="dxa" w:w="120"/>
            </w:tcMar>
          </w:tcPr>
          <w:p>
            <w:r>
              <w:rPr>
                <w:b/>
                <w:bCs/>
                <w:color w:val="FFFFFF"/>
              </w:rPr>
              <w:t xml:space="preserve">Time (PDT)</w:t>
            </w:r>
          </w:p>
        </w:tc>
        <w:tc>
          <w:tcPr>
            <w:tcW w:type="dxa" w:w="7020"/>
            <w:shd w:fill="1F4E78" w:val="clear"/>
            <w:tcMar>
              <w:top w:type="dxa" w:w="80"/>
              <w:left w:type="dxa" w:w="120"/>
              <w:bottom w:type="dxa" w:w="80"/>
              <w:right w:type="dxa" w:w="120"/>
            </w:tcMar>
          </w:tcPr>
          <w:p>
            <w:r>
              <w:rPr>
                <w:b/>
                <w:bCs/>
                <w:color w:val="FFFFFF"/>
              </w:rPr>
              <w:t xml:space="preserve">Event Description</w:t>
            </w:r>
          </w:p>
        </w:tc>
      </w:tr>
      <w:tr>
        <w:tc>
          <w:tcPr>
            <w:tcW w:type="dxa" w:w="2340"/>
            <w:shd w:fill="F2F2F2" w:val="clear"/>
            <w:tcMar>
              <w:top w:type="dxa" w:w="80"/>
              <w:left w:type="dxa" w:w="120"/>
              <w:bottom w:type="dxa" w:w="80"/>
              <w:right w:type="dxa" w:w="120"/>
            </w:tcMar>
          </w:tcPr>
          <w:p>
            <w:r>
              <w:rPr>
                <w:b/>
                <w:bCs/>
              </w:rPr>
              <w:t xml:space="preserve">Apr 18, 14:23</w:t>
            </w:r>
          </w:p>
        </w:tc>
        <w:tc>
          <w:tcPr>
            <w:tcW w:type="dxa" w:w="7020"/>
            <w:tcMar>
              <w:top w:type="dxa" w:w="80"/>
              <w:left w:type="dxa" w:w="120"/>
              <w:bottom w:type="dxa" w:w="80"/>
              <w:right w:type="dxa" w:w="120"/>
            </w:tcMar>
          </w:tcPr>
          <w:p>
            <w:r>
              <w:t xml:space="preserve">Phishing email received by Finance Associate (T. Wilson, Finance Dept) from spoofed address impersonating Moneris payment processor.</w:t>
            </w:r>
          </w:p>
        </w:tc>
      </w:tr>
      <w:tr>
        <w:tc>
          <w:tcPr>
            <w:tcW w:type="dxa" w:w="2340"/>
            <w:shd w:fill="F2F2F2" w:val="clear"/>
            <w:tcMar>
              <w:top w:type="dxa" w:w="80"/>
              <w:left w:type="dxa" w:w="120"/>
              <w:bottom w:type="dxa" w:w="80"/>
              <w:right w:type="dxa" w:w="120"/>
            </w:tcMar>
          </w:tcPr>
          <w:p>
            <w:r>
              <w:rPr>
                <w:b/>
                <w:bCs/>
              </w:rPr>
              <w:t xml:space="preserve">Apr 18, 14:25</w:t>
            </w:r>
          </w:p>
        </w:tc>
        <w:tc>
          <w:tcPr>
            <w:tcW w:type="dxa" w:w="7020"/>
            <w:tcMar>
              <w:top w:type="dxa" w:w="80"/>
              <w:left w:type="dxa" w:w="120"/>
              <w:bottom w:type="dxa" w:w="80"/>
              <w:right w:type="dxa" w:w="120"/>
            </w:tcMar>
          </w:tcPr>
          <w:p>
            <w:r>
              <w:t xml:space="preserve">Employee clicked malicious link in email, initiating download of payload (disguised as PDF document).</w:t>
            </w:r>
          </w:p>
        </w:tc>
      </w:tr>
      <w:tr>
        <w:tc>
          <w:tcPr>
            <w:tcW w:type="dxa" w:w="2340"/>
            <w:shd w:fill="F2F2F2" w:val="clear"/>
            <w:tcMar>
              <w:top w:type="dxa" w:w="80"/>
              <w:left w:type="dxa" w:w="120"/>
              <w:bottom w:type="dxa" w:w="80"/>
              <w:right w:type="dxa" w:w="120"/>
            </w:tcMar>
          </w:tcPr>
          <w:p>
            <w:r>
              <w:rPr>
                <w:b/>
                <w:bCs/>
              </w:rPr>
              <w:t xml:space="preserve">Apr 18, 14:26</w:t>
            </w:r>
          </w:p>
        </w:tc>
        <w:tc>
          <w:tcPr>
            <w:tcW w:type="dxa" w:w="7020"/>
            <w:tcMar>
              <w:top w:type="dxa" w:w="80"/>
              <w:left w:type="dxa" w:w="120"/>
              <w:bottom w:type="dxa" w:w="80"/>
              <w:right w:type="dxa" w:w="120"/>
            </w:tcMar>
          </w:tcPr>
          <w:p>
            <w:r>
              <w:t xml:space="preserve">Malicious executable attempted to run on workstation QSVC-FIN-087.</w:t>
            </w:r>
          </w:p>
        </w:tc>
      </w:tr>
      <w:tr>
        <w:tc>
          <w:tcPr>
            <w:tcW w:type="dxa" w:w="2340"/>
            <w:shd w:fill="FFD966" w:val="clear"/>
            <w:tcMar>
              <w:top w:type="dxa" w:w="80"/>
              <w:left w:type="dxa" w:w="120"/>
              <w:bottom w:type="dxa" w:w="80"/>
              <w:right w:type="dxa" w:w="120"/>
            </w:tcMar>
          </w:tcPr>
          <w:p>
            <w:r>
              <w:rPr>
                <w:b/>
                <w:bCs/>
                <w:color w:val="C00000"/>
              </w:rPr>
              <w:t xml:space="preserve">Apr 18, 14:28</w:t>
            </w:r>
          </w:p>
        </w:tc>
        <w:tc>
          <w:tcPr>
            <w:tcW w:type="dxa" w:w="7020"/>
            <w:shd w:fill="FFD966" w:val="clear"/>
            <w:tcMar>
              <w:top w:type="dxa" w:w="80"/>
              <w:left w:type="dxa" w:w="120"/>
              <w:bottom w:type="dxa" w:w="80"/>
              <w:right w:type="dxa" w:w="120"/>
            </w:tcMar>
          </w:tcPr>
          <w:p>
            <w:r>
              <w:rPr>
                <w:b/>
                <w:bCs/>
              </w:rPr>
              <w:t xml:space="preserve">DETECTION: CrowdStrike Falcon EDR detected and blocked malware execution. Automated alert sent to Security Operations Center (SOC). Workstation automatically quarantined.</w:t>
            </w:r>
          </w:p>
        </w:tc>
      </w:tr>
      <w:tr>
        <w:tc>
          <w:tcPr>
            <w:tcW w:type="dxa" w:w="2340"/>
            <w:shd w:fill="F2F2F2" w:val="clear"/>
            <w:tcMar>
              <w:top w:type="dxa" w:w="80"/>
              <w:left w:type="dxa" w:w="120"/>
              <w:bottom w:type="dxa" w:w="80"/>
              <w:right w:type="dxa" w:w="120"/>
            </w:tcMar>
          </w:tcPr>
          <w:p>
            <w:r>
              <w:rPr>
                <w:b/>
                <w:bCs/>
              </w:rPr>
              <w:t xml:space="preserve">Apr 18, 14:31</w:t>
            </w:r>
          </w:p>
        </w:tc>
        <w:tc>
          <w:tcPr>
            <w:tcW w:type="dxa" w:w="7020"/>
            <w:tcMar>
              <w:top w:type="dxa" w:w="80"/>
              <w:left w:type="dxa" w:w="120"/>
              <w:bottom w:type="dxa" w:w="80"/>
              <w:right w:type="dxa" w:w="120"/>
            </w:tcMar>
          </w:tcPr>
          <w:p>
            <w:r>
              <w:t xml:space="preserve">SOC Analyst (R. Kumar) confirmed malicious activity. Escalated to Incident Response Team.</w:t>
            </w:r>
          </w:p>
        </w:tc>
      </w:tr>
      <w:tr>
        <w:tc>
          <w:tcPr>
            <w:tcW w:type="dxa" w:w="2340"/>
            <w:shd w:fill="F2F2F2" w:val="clear"/>
            <w:tcMar>
              <w:top w:type="dxa" w:w="80"/>
              <w:left w:type="dxa" w:w="120"/>
              <w:bottom w:type="dxa" w:w="80"/>
              <w:right w:type="dxa" w:w="120"/>
            </w:tcMar>
          </w:tcPr>
          <w:p>
            <w:r>
              <w:rPr>
                <w:b/>
                <w:bCs/>
              </w:rPr>
              <w:t xml:space="preserve">Apr 18, 14:35</w:t>
            </w:r>
          </w:p>
        </w:tc>
        <w:tc>
          <w:tcPr>
            <w:tcW w:type="dxa" w:w="7020"/>
            <w:tcMar>
              <w:top w:type="dxa" w:w="80"/>
              <w:left w:type="dxa" w:w="120"/>
              <w:bottom w:type="dxa" w:w="80"/>
              <w:right w:type="dxa" w:w="120"/>
            </w:tcMar>
          </w:tcPr>
          <w:p>
            <w:r>
              <w:t xml:space="preserve">Incident Lead (M. Gonzalez, VP Info Sec) declared formal security incident. Incident ID INC-2026-0487 assigned. CISO (J. Patterson) notified.</w:t>
            </w:r>
          </w:p>
        </w:tc>
      </w:tr>
      <w:tr>
        <w:tc>
          <w:tcPr>
            <w:tcW w:type="dxa" w:w="2340"/>
            <w:shd w:fill="F2F2F2" w:val="clear"/>
            <w:tcMar>
              <w:top w:type="dxa" w:w="80"/>
              <w:left w:type="dxa" w:w="120"/>
              <w:bottom w:type="dxa" w:w="80"/>
              <w:right w:type="dxa" w:w="120"/>
            </w:tcMar>
          </w:tcPr>
          <w:p>
            <w:r>
              <w:rPr>
                <w:b/>
                <w:bCs/>
              </w:rPr>
              <w:t xml:space="preserve">Apr 18, 14:42</w:t>
            </w:r>
          </w:p>
        </w:tc>
        <w:tc>
          <w:tcPr>
            <w:tcW w:type="dxa" w:w="7020"/>
            <w:tcMar>
              <w:top w:type="dxa" w:w="80"/>
              <w:left w:type="dxa" w:w="120"/>
              <w:bottom w:type="dxa" w:w="80"/>
              <w:right w:type="dxa" w:w="120"/>
            </w:tcMar>
          </w:tcPr>
          <w:p>
            <w:r>
              <w:t xml:space="preserve">Initial malware analysis completed. Identified as LockBit 3.0 ransomware variant. Payload hash matched known threat intelligence.</w:t>
            </w:r>
          </w:p>
        </w:tc>
      </w:tr>
      <w:tr>
        <w:tc>
          <w:tcPr>
            <w:tcW w:type="dxa" w:w="2340"/>
            <w:shd w:fill="C6E0B4" w:val="clear"/>
            <w:tcMar>
              <w:top w:type="dxa" w:w="80"/>
              <w:left w:type="dxa" w:w="120"/>
              <w:bottom w:type="dxa" w:w="80"/>
              <w:right w:type="dxa" w:w="120"/>
            </w:tcMar>
          </w:tcPr>
          <w:p>
            <w:r>
              <w:rPr>
                <w:b/>
                <w:bCs/>
                <w:color w:val="00B050"/>
              </w:rPr>
              <w:t xml:space="preserve">Apr 18, 15:15</w:t>
            </w:r>
          </w:p>
        </w:tc>
        <w:tc>
          <w:tcPr>
            <w:tcW w:type="dxa" w:w="7020"/>
            <w:shd w:fill="C6E0B4" w:val="clear"/>
            <w:tcMar>
              <w:top w:type="dxa" w:w="80"/>
              <w:left w:type="dxa" w:w="120"/>
              <w:bottom w:type="dxa" w:w="80"/>
              <w:right w:type="dxa" w:w="120"/>
            </w:tcMar>
          </w:tcPr>
          <w:p>
            <w:r>
              <w:rPr>
                <w:b/>
                <w:bCs/>
              </w:rPr>
              <w:t xml:space="preserve">CONTAINMENT COMPLETE: Affected workstation isolated. Employee account disabled. Network segment scanned for lateral movement indicators. No spread detected.</w:t>
            </w:r>
          </w:p>
        </w:tc>
      </w:tr>
      <w:tr>
        <w:tc>
          <w:tcPr>
            <w:tcW w:type="dxa" w:w="2340"/>
            <w:shd w:fill="F2F2F2" w:val="clear"/>
            <w:tcMar>
              <w:top w:type="dxa" w:w="80"/>
              <w:left w:type="dxa" w:w="120"/>
              <w:bottom w:type="dxa" w:w="80"/>
              <w:right w:type="dxa" w:w="120"/>
            </w:tcMar>
          </w:tcPr>
          <w:p>
            <w:r>
              <w:rPr>
                <w:b/>
                <w:bCs/>
              </w:rPr>
              <w:t xml:space="preserve">Apr 18, 15:30</w:t>
            </w:r>
          </w:p>
        </w:tc>
        <w:tc>
          <w:tcPr>
            <w:tcW w:type="dxa" w:w="7020"/>
            <w:tcMar>
              <w:top w:type="dxa" w:w="80"/>
              <w:left w:type="dxa" w:w="120"/>
              <w:bottom w:type="dxa" w:w="80"/>
              <w:right w:type="dxa" w:w="120"/>
            </w:tcMar>
          </w:tcPr>
          <w:p>
            <w:r>
              <w:t xml:space="preserve">CEO (S. Chen) and executive leadership briefed on incident status and containment actions.</w:t>
            </w:r>
          </w:p>
        </w:tc>
      </w:tr>
      <w:tr>
        <w:tc>
          <w:tcPr>
            <w:tcW w:type="dxa" w:w="2340"/>
            <w:shd w:fill="F2F2F2" w:val="clear"/>
            <w:tcMar>
              <w:top w:type="dxa" w:w="80"/>
              <w:left w:type="dxa" w:w="120"/>
              <w:bottom w:type="dxa" w:w="80"/>
              <w:right w:type="dxa" w:w="120"/>
            </w:tcMar>
          </w:tcPr>
          <w:p>
            <w:r>
              <w:rPr>
                <w:b/>
                <w:bCs/>
              </w:rPr>
              <w:t xml:space="preserve">Apr 18, 16:45</w:t>
            </w:r>
          </w:p>
        </w:tc>
        <w:tc>
          <w:tcPr>
            <w:tcW w:type="dxa" w:w="7020"/>
            <w:tcMar>
              <w:top w:type="dxa" w:w="80"/>
              <w:left w:type="dxa" w:w="120"/>
              <w:bottom w:type="dxa" w:w="80"/>
              <w:right w:type="dxa" w:w="120"/>
            </w:tcMar>
          </w:tcPr>
          <w:p>
            <w:r>
              <w:t xml:space="preserve">Forensic image of affected workstation captured. Deep packet inspection initiated on network traffic.</w:t>
            </w:r>
          </w:p>
        </w:tc>
      </w:tr>
      <w:tr>
        <w:tc>
          <w:tcPr>
            <w:tcW w:type="dxa" w:w="2340"/>
            <w:shd w:fill="F2F2F2" w:val="clear"/>
            <w:tcMar>
              <w:top w:type="dxa" w:w="80"/>
              <w:left w:type="dxa" w:w="120"/>
              <w:bottom w:type="dxa" w:w="80"/>
              <w:right w:type="dxa" w:w="120"/>
            </w:tcMar>
          </w:tcPr>
          <w:p>
            <w:r>
              <w:rPr>
                <w:b/>
                <w:bCs/>
              </w:rPr>
              <w:t xml:space="preserve">Apr 18, 19:20</w:t>
            </w:r>
          </w:p>
        </w:tc>
        <w:tc>
          <w:tcPr>
            <w:tcW w:type="dxa" w:w="7020"/>
            <w:tcMar>
              <w:top w:type="dxa" w:w="80"/>
              <w:left w:type="dxa" w:w="120"/>
              <w:bottom w:type="dxa" w:w="80"/>
              <w:right w:type="dxa" w:w="120"/>
            </w:tcMar>
          </w:tcPr>
          <w:p>
            <w:r>
              <w:t xml:space="preserve">Email security analysis completed. Similar phishing emails blocked by enhanced filter rules (12 additional attempts identified and quarantined).</w:t>
            </w:r>
          </w:p>
        </w:tc>
      </w:tr>
      <w:tr>
        <w:tc>
          <w:tcPr>
            <w:tcW w:type="dxa" w:w="2340"/>
            <w:shd w:fill="F2F2F2" w:val="clear"/>
            <w:tcMar>
              <w:top w:type="dxa" w:w="80"/>
              <w:left w:type="dxa" w:w="120"/>
              <w:bottom w:type="dxa" w:w="80"/>
              <w:right w:type="dxa" w:w="120"/>
            </w:tcMar>
          </w:tcPr>
          <w:p>
            <w:r>
              <w:rPr>
                <w:b/>
                <w:bCs/>
              </w:rPr>
              <w:t xml:space="preserve">Apr 19, 09:00</w:t>
            </w:r>
          </w:p>
        </w:tc>
        <w:tc>
          <w:tcPr>
            <w:tcW w:type="dxa" w:w="7020"/>
            <w:tcMar>
              <w:top w:type="dxa" w:w="80"/>
              <w:left w:type="dxa" w:w="120"/>
              <w:bottom w:type="dxa" w:w="80"/>
              <w:right w:type="dxa" w:w="120"/>
            </w:tcMar>
          </w:tcPr>
          <w:p>
            <w:r>
              <w:t xml:space="preserve">Forensic analysis completed. Confirmed no data exfiltration, no encryption, no lateral movement, no persistence mechanisms installed.</w:t>
            </w:r>
          </w:p>
        </w:tc>
      </w:tr>
      <w:tr>
        <w:tc>
          <w:tcPr>
            <w:tcW w:type="dxa" w:w="2340"/>
            <w:shd w:fill="F2F2F2" w:val="clear"/>
            <w:tcMar>
              <w:top w:type="dxa" w:w="80"/>
              <w:left w:type="dxa" w:w="120"/>
              <w:bottom w:type="dxa" w:w="80"/>
              <w:right w:type="dxa" w:w="120"/>
            </w:tcMar>
          </w:tcPr>
          <w:p>
            <w:r>
              <w:rPr>
                <w:b/>
                <w:bCs/>
              </w:rPr>
              <w:t xml:space="preserve">Apr 19, 11:30</w:t>
            </w:r>
          </w:p>
        </w:tc>
        <w:tc>
          <w:tcPr>
            <w:tcW w:type="dxa" w:w="7020"/>
            <w:tcMar>
              <w:top w:type="dxa" w:w="80"/>
              <w:left w:type="dxa" w:w="120"/>
              <w:bottom w:type="dxa" w:w="80"/>
              <w:right w:type="dxa" w:w="120"/>
            </w:tcMar>
          </w:tcPr>
          <w:p>
            <w:r>
              <w:t xml:space="preserve">Organization-wide security alert issued via email and Teams. All employees reminded of phishing indicators and reporting procedures.</w:t>
            </w:r>
          </w:p>
        </w:tc>
      </w:tr>
      <w:tr>
        <w:tc>
          <w:tcPr>
            <w:tcW w:type="dxa" w:w="2340"/>
            <w:shd w:fill="F2F2F2" w:val="clear"/>
            <w:tcMar>
              <w:top w:type="dxa" w:w="80"/>
              <w:left w:type="dxa" w:w="120"/>
              <w:bottom w:type="dxa" w:w="80"/>
              <w:right w:type="dxa" w:w="120"/>
            </w:tcMar>
          </w:tcPr>
          <w:p>
            <w:r>
              <w:rPr>
                <w:b/>
                <w:bCs/>
              </w:rPr>
              <w:t xml:space="preserve">Apr 19, 14:00</w:t>
            </w:r>
          </w:p>
        </w:tc>
        <w:tc>
          <w:tcPr>
            <w:tcW w:type="dxa" w:w="7020"/>
            <w:tcMar>
              <w:top w:type="dxa" w:w="80"/>
              <w:left w:type="dxa" w:w="120"/>
              <w:bottom w:type="dxa" w:w="80"/>
              <w:right w:type="dxa" w:w="120"/>
            </w:tcMar>
          </w:tcPr>
          <w:p>
            <w:r>
              <w:t xml:space="preserve">Affected workstation reimaged with clean OS image. Security hardening applied per corporate standards.</w:t>
            </w:r>
          </w:p>
        </w:tc>
      </w:tr>
      <w:tr>
        <w:tc>
          <w:tcPr>
            <w:tcW w:type="dxa" w:w="2340"/>
            <w:shd w:fill="C6E0B4" w:val="clear"/>
            <w:tcMar>
              <w:top w:type="dxa" w:w="80"/>
              <w:left w:type="dxa" w:w="120"/>
              <w:bottom w:type="dxa" w:w="80"/>
              <w:right w:type="dxa" w:w="120"/>
            </w:tcMar>
          </w:tcPr>
          <w:p>
            <w:r>
              <w:rPr>
                <w:b/>
                <w:bCs/>
                <w:color w:val="00B050"/>
              </w:rPr>
              <w:t xml:space="preserve">Apr 20, 10:00</w:t>
            </w:r>
          </w:p>
        </w:tc>
        <w:tc>
          <w:tcPr>
            <w:tcW w:type="dxa" w:w="7020"/>
            <w:shd w:fill="C6E0B4" w:val="clear"/>
            <w:tcMar>
              <w:top w:type="dxa" w:w="80"/>
              <w:left w:type="dxa" w:w="120"/>
              <w:bottom w:type="dxa" w:w="80"/>
              <w:right w:type="dxa" w:w="120"/>
            </w:tcMar>
          </w:tcPr>
          <w:p>
            <w:r>
              <w:rPr>
                <w:b/>
                <w:bCs/>
              </w:rPr>
              <w:t xml:space="preserve">RECOVERY COMPLETE: Workstation returned to service. Employee account re-enabled with additional security training completed. All systems confirmed operational.</w:t>
            </w:r>
          </w:p>
        </w:tc>
      </w:tr>
      <w:tr>
        <w:tc>
          <w:tcPr>
            <w:tcW w:type="dxa" w:w="2340"/>
            <w:shd w:fill="F2F2F2" w:val="clear"/>
            <w:tcMar>
              <w:top w:type="dxa" w:w="80"/>
              <w:left w:type="dxa" w:w="120"/>
              <w:bottom w:type="dxa" w:w="80"/>
              <w:right w:type="dxa" w:w="120"/>
            </w:tcMar>
          </w:tcPr>
          <w:p>
            <w:r>
              <w:rPr>
                <w:b/>
                <w:bCs/>
              </w:rPr>
              <w:t xml:space="preserve">Apr 21, 15:00</w:t>
            </w:r>
          </w:p>
        </w:tc>
        <w:tc>
          <w:tcPr>
            <w:tcW w:type="dxa" w:w="7020"/>
            <w:tcMar>
              <w:top w:type="dxa" w:w="80"/>
              <w:left w:type="dxa" w:w="120"/>
              <w:bottom w:type="dxa" w:w="80"/>
              <w:right w:type="dxa" w:w="120"/>
            </w:tcMar>
          </w:tcPr>
          <w:p>
            <w:r>
              <w:t xml:space="preserve">Post-incident review meeting held with Incident Response Team, IT leadership, and affected department.</w:t>
            </w:r>
          </w:p>
        </w:tc>
      </w:tr>
      <w:tr>
        <w:tc>
          <w:tcPr>
            <w:tcW w:type="dxa" w:w="2340"/>
            <w:shd w:fill="D5E8F0" w:val="clear"/>
            <w:tcMar>
              <w:top w:type="dxa" w:w="80"/>
              <w:left w:type="dxa" w:w="120"/>
              <w:bottom w:type="dxa" w:w="80"/>
              <w:right w:type="dxa" w:w="120"/>
            </w:tcMar>
          </w:tcPr>
          <w:p>
            <w:r>
              <w:rPr>
                <w:b/>
                <w:bCs/>
                <w:color w:val="1F4E78"/>
              </w:rPr>
              <w:t xml:space="preserve">Apr 25, 16:30</w:t>
            </w:r>
          </w:p>
        </w:tc>
        <w:tc>
          <w:tcPr>
            <w:tcW w:type="dxa" w:w="7020"/>
            <w:shd w:fill="D5E8F0" w:val="clear"/>
            <w:tcMar>
              <w:top w:type="dxa" w:w="80"/>
              <w:left w:type="dxa" w:w="120"/>
              <w:bottom w:type="dxa" w:w="80"/>
              <w:right w:type="dxa" w:w="120"/>
            </w:tcMar>
          </w:tcPr>
          <w:p>
            <w:r>
              <w:rPr>
                <w:b/>
                <w:bCs/>
                <w:color w:val="1F4E78"/>
              </w:rPr>
              <w:t xml:space="preserve">INCIDENT CLOSED: Final incident report completed and submitted. Incident status changed to Resolved-Closed.</w:t>
            </w:r>
          </w:p>
        </w:tc>
      </w:tr>
    </w:tbl>
    <w:p>
      <w:pPr>
        <w:spacing w:after="240"/>
      </w:pPr>
    </w:p>
    <w:p>
      <w:r>
        <w:br w:type="page"/>
      </w:r>
    </w:p>
    <w:p>
      <w:pPr>
        <w:pStyle w:val="Heading1"/>
      </w:pPr>
      <w:r>
        <w:t xml:space="preserve">3. Incident Detection and Analysis</w:t>
      </w:r>
    </w:p>
    <w:p>
      <w:pPr>
        <w:pStyle w:val="Heading2"/>
      </w:pPr>
      <w:r>
        <w:t xml:space="preserve">3.1 Detection Method</w:t>
      </w:r>
    </w:p>
    <w:p>
      <w:r>
        <w:t xml:space="preserve">The incident was detected through automated endpoint detection and response (EDR) technology. CrowdStrike Falcon, deployed on all QuickServe workstations and servers, identified malicious behavior patterns characteristic of ransomware execution attempts. The detection occurred within 2 minutes of the malware payload attempting to execute.</w:t>
      </w:r>
    </w:p>
    <w:p/>
    <w:p>
      <w:r>
        <w:rPr>
          <w:b/>
          <w:bCs/>
        </w:rPr>
        <w:t xml:space="preserve">Detection Indicators:</w:t>
      </w:r>
    </w:p>
    <w:p>
      <w:pPr>
        <w:pStyle w:val="ListParagraph"/>
        <w:numPr>
          <w:ilvl w:val="0"/>
          <w:numId w:val="2"/>
        </w:numPr>
      </w:pPr>
      <w:r>
        <w:t xml:space="preserve">Behavioral analysis flagged suspicious process spawning patterns</w:t>
      </w:r>
    </w:p>
    <w:p>
      <w:pPr>
        <w:pStyle w:val="ListParagraph"/>
        <w:numPr>
          <w:ilvl w:val="0"/>
          <w:numId w:val="2"/>
        </w:numPr>
      </w:pPr>
      <w:r>
        <w:t xml:space="preserve">File hash matched known LockBit 3.0 ransomware signatures in threat intelligence database</w:t>
      </w:r>
    </w:p>
    <w:p>
      <w:pPr>
        <w:pStyle w:val="ListParagraph"/>
        <w:numPr>
          <w:ilvl w:val="0"/>
          <w:numId w:val="2"/>
        </w:numPr>
      </w:pPr>
      <w:r>
        <w:t xml:space="preserve">Attempted registry modifications for persistence</w:t>
      </w:r>
    </w:p>
    <w:p>
      <w:pPr>
        <w:pStyle w:val="ListParagraph"/>
        <w:numPr>
          <w:ilvl w:val="0"/>
          <w:numId w:val="2"/>
        </w:numPr>
      </w:pPr>
      <w:r>
        <w:t xml:space="preserve">Attempted network discovery commands</w:t>
      </w:r>
    </w:p>
    <w:p>
      <w:pPr>
        <w:pStyle w:val="ListParagraph"/>
        <w:numPr>
          <w:ilvl w:val="0"/>
          <w:numId w:val="2"/>
        </w:numPr>
      </w:pPr>
      <w:r>
        <w:t xml:space="preserve">Command and control (C2) communication attempt to known malicious IP address</w:t>
      </w:r>
    </w:p>
    <w:p/>
    <w:p>
      <w:pPr>
        <w:pStyle w:val="Heading2"/>
      </w:pPr>
      <w:r>
        <w:t xml:space="preserve">3.2 Initial Analysis</w:t>
      </w:r>
    </w:p>
    <w:p>
      <w:r>
        <w:t xml:space="preserve">Upon detection, the SOC analyst performed rapid triage to assess the incident scope and severity. The analysis confirmed:</w:t>
      </w:r>
    </w:p>
    <w:p/>
    <w:p>
      <w:pPr>
        <w:pStyle w:val="ListParagraph"/>
        <w:numPr>
          <w:ilvl w:val="0"/>
          <w:numId w:val="2"/>
        </w:numPr>
      </w:pPr>
      <w:r>
        <w:rPr>
          <w:b/>
          <w:bCs/>
        </w:rPr>
        <w:t xml:space="preserve">Attack Vector: </w:t>
      </w:r>
      <w:r>
        <w:t xml:space="preserve">Spear-phishing email containing malicious link</w:t>
      </w:r>
    </w:p>
    <w:p>
      <w:pPr>
        <w:pStyle w:val="ListParagraph"/>
        <w:numPr>
          <w:ilvl w:val="0"/>
          <w:numId w:val="2"/>
        </w:numPr>
      </w:pPr>
      <w:r>
        <w:rPr>
          <w:b/>
          <w:bCs/>
        </w:rPr>
        <w:t xml:space="preserve">Payload Type: </w:t>
      </w:r>
      <w:r>
        <w:t xml:space="preserve">LockBit 3.0 ransomware executable</w:t>
      </w:r>
    </w:p>
    <w:p>
      <w:pPr>
        <w:pStyle w:val="ListParagraph"/>
        <w:numPr>
          <w:ilvl w:val="0"/>
          <w:numId w:val="2"/>
        </w:numPr>
      </w:pPr>
      <w:r>
        <w:rPr>
          <w:b/>
          <w:bCs/>
        </w:rPr>
        <w:t xml:space="preserve">Affected Asset: </w:t>
      </w:r>
      <w:r>
        <w:t xml:space="preserve">Single finance department workstation (QSVC-FIN-087)</w:t>
      </w:r>
    </w:p>
    <w:p>
      <w:pPr>
        <w:pStyle w:val="ListParagraph"/>
        <w:numPr>
          <w:ilvl w:val="0"/>
          <w:numId w:val="2"/>
        </w:numPr>
      </w:pPr>
      <w:r>
        <w:rPr>
          <w:b/>
          <w:bCs/>
        </w:rPr>
        <w:t xml:space="preserve">User: </w:t>
      </w:r>
      <w:r>
        <w:t xml:space="preserve">T. Wilson, Finance Associate</w:t>
      </w:r>
    </w:p>
    <w:p>
      <w:pPr>
        <w:pStyle w:val="ListParagraph"/>
        <w:numPr>
          <w:ilvl w:val="0"/>
          <w:numId w:val="2"/>
        </w:numPr>
      </w:pPr>
      <w:r>
        <w:rPr>
          <w:b/>
          <w:bCs/>
        </w:rPr>
        <w:t xml:space="preserve">Network Location: </w:t>
      </w:r>
      <w:r>
        <w:t xml:space="preserve">Corporate HQ - Finance VLAN</w:t>
      </w:r>
    </w:p>
    <w:p/>
    <w:p>
      <w:pPr>
        <w:pStyle w:val="Heading2"/>
      </w:pPr>
      <w:r>
        <w:t xml:space="preserve">3.3 Indicators of Compromise (IoCs)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shd w:fill="1F4E78" w:val="clear"/>
            <w:tcMar>
              <w:top w:type="dxa" w:w="80"/>
              <w:left w:type="dxa" w:w="120"/>
              <w:bottom w:type="dxa" w:w="80"/>
              <w:right w:type="dxa" w:w="120"/>
            </w:tcMar>
          </w:tcPr>
          <w:p>
            <w:r>
              <w:rPr>
                <w:b/>
                <w:bCs/>
                <w:color w:val="FFFFFF"/>
              </w:rPr>
              <w:t xml:space="preserve">IoC Type</w:t>
            </w:r>
          </w:p>
        </w:tc>
        <w:tc>
          <w:tcPr>
            <w:tcW w:type="dxa" w:w="2340"/>
            <w:shd w:fill="1F4E78" w:val="clear"/>
            <w:tcMar>
              <w:top w:type="dxa" w:w="80"/>
              <w:left w:type="dxa" w:w="120"/>
              <w:bottom w:type="dxa" w:w="80"/>
              <w:right w:type="dxa" w:w="120"/>
            </w:tcMar>
          </w:tcPr>
          <w:p>
            <w:r>
              <w:rPr>
                <w:b/>
                <w:bCs/>
                <w:color w:val="FFFFFF"/>
              </w:rPr>
              <w:t xml:space="preserve">Value</w:t>
            </w:r>
          </w:p>
        </w:tc>
        <w:tc>
          <w:tcPr>
            <w:tcW w:type="dxa" w:w="4680"/>
            <w:shd w:fill="1F4E78" w:val="clear"/>
            <w:tcMar>
              <w:top w:type="dxa" w:w="80"/>
              <w:left w:type="dxa" w:w="120"/>
              <w:bottom w:type="dxa" w:w="80"/>
              <w:right w:type="dxa" w:w="120"/>
            </w:tcMar>
          </w:tcPr>
          <w:p>
            <w:r>
              <w:rPr>
                <w:b/>
                <w:bCs/>
                <w:color w:val="FFFFFF"/>
              </w:rPr>
              <w:t xml:space="preserve">Description</w:t>
            </w:r>
          </w:p>
        </w:tc>
      </w:tr>
      <w:tr>
        <w:tc>
          <w:tcPr>
            <w:tcW w:type="dxa" w:w="2340"/>
            <w:tcMar>
              <w:top w:type="dxa" w:w="80"/>
              <w:left w:type="dxa" w:w="120"/>
              <w:bottom w:type="dxa" w:w="80"/>
              <w:right w:type="dxa" w:w="120"/>
            </w:tcMar>
          </w:tcPr>
          <w:p>
            <w:r>
              <w:t xml:space="preserve">Email Address</w:t>
            </w:r>
          </w:p>
        </w:tc>
        <w:tc>
          <w:tcPr>
            <w:tcW w:type="dxa" w:w="2340"/>
            <w:tcMar>
              <w:top w:type="dxa" w:w="80"/>
              <w:left w:type="dxa" w:w="120"/>
              <w:bottom w:type="dxa" w:w="80"/>
              <w:right w:type="dxa" w:w="120"/>
            </w:tcMar>
          </w:tcPr>
          <w:p>
            <w:r>
              <w:t xml:space="preserve">noreply@moner1s-support.com</w:t>
            </w:r>
          </w:p>
        </w:tc>
        <w:tc>
          <w:tcPr>
            <w:tcW w:type="dxa" w:w="4680"/>
            <w:tcMar>
              <w:top w:type="dxa" w:w="80"/>
              <w:left w:type="dxa" w:w="120"/>
              <w:bottom w:type="dxa" w:w="80"/>
              <w:right w:type="dxa" w:w="120"/>
            </w:tcMar>
          </w:tcPr>
          <w:p>
            <w:r>
              <w:t xml:space="preserve">Spoofed sender impersonating Moneris (legitimate domain: moneris.com)</w:t>
            </w:r>
          </w:p>
        </w:tc>
      </w:tr>
      <w:tr>
        <w:tc>
          <w:tcPr>
            <w:tcW w:type="dxa" w:w="2340"/>
            <w:tcMar>
              <w:top w:type="dxa" w:w="80"/>
              <w:left w:type="dxa" w:w="120"/>
              <w:bottom w:type="dxa" w:w="80"/>
              <w:right w:type="dxa" w:w="120"/>
            </w:tcMar>
          </w:tcPr>
          <w:p>
            <w:r>
              <w:t xml:space="preserve">Malicious URL</w:t>
            </w:r>
          </w:p>
        </w:tc>
        <w:tc>
          <w:tcPr>
            <w:tcW w:type="dxa" w:w="2340"/>
            <w:tcMar>
              <w:top w:type="dxa" w:w="80"/>
              <w:left w:type="dxa" w:w="120"/>
              <w:bottom w:type="dxa" w:w="80"/>
              <w:right w:type="dxa" w:w="120"/>
            </w:tcMar>
          </w:tcPr>
          <w:p>
            <w:r>
              <w:t xml:space="preserve">hxxps://moner1s-cdn[.]top/invoice.php?id=9847</w:t>
            </w:r>
          </w:p>
        </w:tc>
        <w:tc>
          <w:tcPr>
            <w:tcW w:type="dxa" w:w="4680"/>
            <w:tcMar>
              <w:top w:type="dxa" w:w="80"/>
              <w:left w:type="dxa" w:w="120"/>
              <w:bottom w:type="dxa" w:w="80"/>
              <w:right w:type="dxa" w:w="120"/>
            </w:tcMar>
          </w:tcPr>
          <w:p>
            <w:r>
              <w:t xml:space="preserve">Typosquatted domain hosting malware payload</w:t>
            </w:r>
          </w:p>
        </w:tc>
      </w:tr>
      <w:tr>
        <w:tc>
          <w:tcPr>
            <w:tcW w:type="dxa" w:w="2340"/>
            <w:tcMar>
              <w:top w:type="dxa" w:w="80"/>
              <w:left w:type="dxa" w:w="120"/>
              <w:bottom w:type="dxa" w:w="80"/>
              <w:right w:type="dxa" w:w="120"/>
            </w:tcMar>
          </w:tcPr>
          <w:p>
            <w:r>
              <w:t xml:space="preserve">File Hash (SHA256)</w:t>
            </w:r>
          </w:p>
        </w:tc>
        <w:tc>
          <w:tcPr>
            <w:tcW w:type="dxa" w:w="2340"/>
            <w:tcMar>
              <w:top w:type="dxa" w:w="80"/>
              <w:left w:type="dxa" w:w="120"/>
              <w:bottom w:type="dxa" w:w="80"/>
              <w:right w:type="dxa" w:w="120"/>
            </w:tcMar>
          </w:tcPr>
          <w:p>
            <w:r>
              <w:t xml:space="preserve">a4f3b2c1d8e9...</w:t>
            </w:r>
          </w:p>
        </w:tc>
        <w:tc>
          <w:tcPr>
            <w:tcW w:type="dxa" w:w="4680"/>
            <w:tcMar>
              <w:top w:type="dxa" w:w="80"/>
              <w:left w:type="dxa" w:w="120"/>
              <w:bottom w:type="dxa" w:w="80"/>
              <w:right w:type="dxa" w:w="120"/>
            </w:tcMar>
          </w:tcPr>
          <w:p>
            <w:r>
              <w:t xml:space="preserve">LockBit 3.0 ransomware executable</w:t>
            </w:r>
          </w:p>
        </w:tc>
      </w:tr>
      <w:tr>
        <w:tc>
          <w:tcPr>
            <w:tcW w:type="dxa" w:w="2340"/>
            <w:tcMar>
              <w:top w:type="dxa" w:w="80"/>
              <w:left w:type="dxa" w:w="120"/>
              <w:bottom w:type="dxa" w:w="80"/>
              <w:right w:type="dxa" w:w="120"/>
            </w:tcMar>
          </w:tcPr>
          <w:p>
            <w:r>
              <w:t xml:space="preserve">C2 IP Address</w:t>
            </w:r>
          </w:p>
        </w:tc>
        <w:tc>
          <w:tcPr>
            <w:tcW w:type="dxa" w:w="2340"/>
            <w:tcMar>
              <w:top w:type="dxa" w:w="80"/>
              <w:left w:type="dxa" w:w="120"/>
              <w:bottom w:type="dxa" w:w="80"/>
              <w:right w:type="dxa" w:w="120"/>
            </w:tcMar>
          </w:tcPr>
          <w:p>
            <w:r>
              <w:t xml:space="preserve">185.220.101[.]47</w:t>
            </w:r>
          </w:p>
        </w:tc>
        <w:tc>
          <w:tcPr>
            <w:tcW w:type="dxa" w:w="4680"/>
            <w:tcMar>
              <w:top w:type="dxa" w:w="80"/>
              <w:left w:type="dxa" w:w="120"/>
              <w:bottom w:type="dxa" w:w="80"/>
              <w:right w:type="dxa" w:w="120"/>
            </w:tcMar>
          </w:tcPr>
          <w:p>
            <w:r>
              <w:t xml:space="preserve">Command and control server (blocked by firewall)</w:t>
            </w:r>
          </w:p>
        </w:tc>
      </w:tr>
      <w:tr>
        <w:tc>
          <w:tcPr>
            <w:tcW w:type="dxa" w:w="2340"/>
            <w:tcMar>
              <w:top w:type="dxa" w:w="80"/>
              <w:left w:type="dxa" w:w="120"/>
              <w:bottom w:type="dxa" w:w="80"/>
              <w:right w:type="dxa" w:w="120"/>
            </w:tcMar>
          </w:tcPr>
          <w:p>
            <w:r>
              <w:t xml:space="preserve">Registry Key</w:t>
            </w:r>
          </w:p>
        </w:tc>
        <w:tc>
          <w:tcPr>
            <w:tcW w:type="dxa" w:w="2340"/>
            <w:tcMar>
              <w:top w:type="dxa" w:w="80"/>
              <w:left w:type="dxa" w:w="120"/>
              <w:bottom w:type="dxa" w:w="80"/>
              <w:right w:type="dxa" w:w="120"/>
            </w:tcMar>
          </w:tcPr>
          <w:p>
            <w:r>
              <w:t xml:space="preserve">HKCU\Software\Microsoft\Windows\CurrentVersion\Run</w:t>
            </w:r>
          </w:p>
        </w:tc>
        <w:tc>
          <w:tcPr>
            <w:tcW w:type="dxa" w:w="4680"/>
            <w:tcMar>
              <w:top w:type="dxa" w:w="80"/>
              <w:left w:type="dxa" w:w="120"/>
              <w:bottom w:type="dxa" w:w="80"/>
              <w:right w:type="dxa" w:w="120"/>
            </w:tcMar>
          </w:tcPr>
          <w:p>
            <w:r>
              <w:t xml:space="preserve">Attempted persistence mechanism (blocked)</w:t>
            </w:r>
          </w:p>
        </w:tc>
      </w:tr>
    </w:tbl>
    <w:p/>
    <w:p>
      <w:r>
        <w:t xml:space="preserve">All IoCs have been added to the corporate threat intelligence platform and shared with industry partners through the Canadian Cyber Threat Exchange (CCTX).</w:t>
      </w:r>
    </w:p>
    <w:p>
      <w:pPr>
        <w:spacing w:after="240"/>
      </w:pPr>
    </w:p>
    <w:p>
      <w:r>
        <w:br w:type="page"/>
      </w:r>
    </w:p>
    <w:p>
      <w:pPr>
        <w:pStyle w:val="Heading1"/>
      </w:pPr>
      <w:r>
        <w:t xml:space="preserve">4. Containment and Eradication</w:t>
      </w:r>
    </w:p>
    <w:p>
      <w:pPr>
        <w:pStyle w:val="Heading2"/>
      </w:pPr>
      <w:r>
        <w:t xml:space="preserve">4.1 Immediate Containment Actions</w:t>
      </w:r>
    </w:p>
    <w:p>
      <w:r>
        <w:t xml:space="preserve">Upon incident declaration, the following containment actions were implemented immediately:</w:t>
      </w:r>
    </w:p>
    <w:p/>
    <w:p>
      <w:pPr>
        <w:pStyle w:val="ListParagraph"/>
        <w:numPr>
          <w:ilvl w:val="0"/>
          <w:numId w:val="2"/>
        </w:numPr>
      </w:pPr>
      <w:r>
        <w:rPr>
          <w:b/>
          <w:bCs/>
        </w:rPr>
        <w:t xml:space="preserve">Automatic workstation quarantine: </w:t>
      </w:r>
      <w:r>
        <w:t xml:space="preserve">EDR system automatically isolated affected workstation from network</w:t>
      </w:r>
    </w:p>
    <w:p>
      <w:pPr>
        <w:pStyle w:val="ListParagraph"/>
        <w:numPr>
          <w:ilvl w:val="0"/>
          <w:numId w:val="2"/>
        </w:numPr>
      </w:pPr>
      <w:r>
        <w:rPr>
          <w:b/>
          <w:bCs/>
        </w:rPr>
        <w:t xml:space="preserve">User account suspension: </w:t>
      </w:r>
      <w:r>
        <w:t xml:space="preserve">Active Directory account for T. Wilson disabled to prevent further access</w:t>
      </w:r>
    </w:p>
    <w:p>
      <w:pPr>
        <w:pStyle w:val="ListParagraph"/>
        <w:numPr>
          <w:ilvl w:val="0"/>
          <w:numId w:val="2"/>
        </w:numPr>
      </w:pPr>
      <w:r>
        <w:rPr>
          <w:b/>
          <w:bCs/>
        </w:rPr>
        <w:t xml:space="preserve">Network segmentation: </w:t>
      </w:r>
      <w:r>
        <w:t xml:space="preserve">Finance VLAN monitored for lateral movement attempts (none detected)</w:t>
      </w:r>
    </w:p>
    <w:p>
      <w:pPr>
        <w:pStyle w:val="ListParagraph"/>
        <w:numPr>
          <w:ilvl w:val="0"/>
          <w:numId w:val="2"/>
        </w:numPr>
      </w:pPr>
      <w:r>
        <w:rPr>
          <w:b/>
          <w:bCs/>
        </w:rPr>
        <w:t xml:space="preserve">Email quarantine: </w:t>
      </w:r>
      <w:r>
        <w:t xml:space="preserve">12 similar phishing emails identified and quarantined before delivery</w:t>
      </w:r>
    </w:p>
    <w:p>
      <w:pPr>
        <w:pStyle w:val="ListParagraph"/>
        <w:numPr>
          <w:ilvl w:val="0"/>
          <w:numId w:val="2"/>
        </w:numPr>
      </w:pPr>
      <w:r>
        <w:rPr>
          <w:b/>
          <w:bCs/>
        </w:rPr>
        <w:t xml:space="preserve">Malicious domain blocking: </w:t>
      </w:r>
      <w:r>
        <w:t xml:space="preserve">Firewall rules updated to block IoC IP addresses and domains</w:t>
      </w:r>
    </w:p>
    <w:p/>
    <w:p>
      <w:pPr>
        <w:pStyle w:val="Heading2"/>
      </w:pPr>
      <w:r>
        <w:t xml:space="preserve">4.2 Extended Containment Measures</w:t>
      </w:r>
    </w:p>
    <w:p>
      <w:pPr>
        <w:pStyle w:val="ListParagraph"/>
        <w:numPr>
          <w:ilvl w:val="0"/>
          <w:numId w:val="2"/>
        </w:numPr>
      </w:pPr>
      <w:r>
        <w:t xml:space="preserve">Organization-wide email scan for similar phishing attempts</w:t>
      </w:r>
    </w:p>
    <w:p>
      <w:pPr>
        <w:pStyle w:val="ListParagraph"/>
        <w:numPr>
          <w:ilvl w:val="0"/>
          <w:numId w:val="2"/>
        </w:numPr>
      </w:pPr>
      <w:r>
        <w:t xml:space="preserve">Enhanced email filtering rules deployed to catch variations of this phishing campaign</w:t>
      </w:r>
    </w:p>
    <w:p>
      <w:pPr>
        <w:pStyle w:val="ListParagraph"/>
        <w:numPr>
          <w:ilvl w:val="0"/>
          <w:numId w:val="2"/>
        </w:numPr>
      </w:pPr>
      <w:r>
        <w:t xml:space="preserve">Network-wide scans conducted for IoC presence (all clean)</w:t>
      </w:r>
    </w:p>
    <w:p>
      <w:pPr>
        <w:pStyle w:val="ListParagraph"/>
        <w:numPr>
          <w:ilvl w:val="0"/>
          <w:numId w:val="2"/>
        </w:numPr>
      </w:pPr>
      <w:r>
        <w:t xml:space="preserve">Backup integrity verification completed for affected systems</w:t>
      </w:r>
    </w:p>
    <w:p/>
    <w:p>
      <w:pPr>
        <w:pStyle w:val="Heading2"/>
      </w:pPr>
      <w:r>
        <w:t xml:space="preserve">4.3 Eradication</w:t>
      </w:r>
    </w:p>
    <w:p>
      <w:r>
        <w:t xml:space="preserve">Complete eradication was achieved through:</w:t>
      </w:r>
    </w:p>
    <w:p/>
    <w:p>
      <w:pPr>
        <w:pStyle w:val="ListParagraph"/>
        <w:numPr>
          <w:ilvl w:val="0"/>
          <w:numId w:val="2"/>
        </w:numPr>
      </w:pPr>
      <w:r>
        <w:rPr>
          <w:b/>
          <w:bCs/>
        </w:rPr>
        <w:t xml:space="preserve">Workstation reimaging: </w:t>
      </w:r>
      <w:r>
        <w:t xml:space="preserve">Affected workstation completely wiped and rebuilt from secure gold image</w:t>
      </w:r>
    </w:p>
    <w:p>
      <w:pPr>
        <w:pStyle w:val="ListParagraph"/>
        <w:numPr>
          <w:ilvl w:val="0"/>
          <w:numId w:val="2"/>
        </w:numPr>
      </w:pPr>
      <w:r>
        <w:rPr>
          <w:b/>
          <w:bCs/>
        </w:rPr>
        <w:t xml:space="preserve">Security hardening: </w:t>
      </w:r>
      <w:r>
        <w:t xml:space="preserve">Additional security controls applied including application whitelisting</w:t>
      </w:r>
    </w:p>
    <w:p>
      <w:pPr>
        <w:pStyle w:val="ListParagraph"/>
        <w:numPr>
          <w:ilvl w:val="0"/>
          <w:numId w:val="2"/>
        </w:numPr>
      </w:pPr>
      <w:r>
        <w:rPr>
          <w:b/>
          <w:bCs/>
        </w:rPr>
        <w:t xml:space="preserve">User re-education: </w:t>
      </w:r>
      <w:r>
        <w:t xml:space="preserve">Mandatory additional phishing awareness training completed before account restoration</w:t>
      </w:r>
    </w:p>
    <w:p>
      <w:pPr>
        <w:pStyle w:val="ListParagraph"/>
        <w:numPr>
          <w:ilvl w:val="0"/>
          <w:numId w:val="2"/>
        </w:numPr>
      </w:pPr>
      <w:r>
        <w:rPr>
          <w:b/>
          <w:bCs/>
        </w:rPr>
        <w:t xml:space="preserve">Password reset: </w:t>
      </w:r>
      <w:r>
        <w:t xml:space="preserve">New credentials issued with mandatory MFA enrollment</w:t>
      </w:r>
    </w:p>
    <w:p/>
    <w:p>
      <w:r>
        <w:t xml:space="preserve">Post-eradication validation confirmed no malware remnants, no persistence mechanisms, and no ongoing malicious activity.</w:t>
      </w:r>
    </w:p>
    <w:p>
      <w:pPr>
        <w:spacing w:after="240"/>
      </w:pPr>
    </w:p>
    <w:p>
      <w:r>
        <w:br w:type="page"/>
      </w:r>
    </w:p>
    <w:p>
      <w:pPr>
        <w:pStyle w:val="Heading1"/>
      </w:pPr>
      <w:r>
        <w:t xml:space="preserve">5. Recovery</w:t>
      </w:r>
    </w:p>
    <w:p>
      <w:pPr>
        <w:pStyle w:val="Heading2"/>
      </w:pPr>
      <w:r>
        <w:t xml:space="preserve">5.1 System Restoration</w:t>
      </w:r>
    </w:p>
    <w:p>
      <w:r>
        <w:t xml:space="preserve">Recovery actions were completed systematically to restore normal operations: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8" w:val="clear"/>
            <w:tcMar>
              <w:top w:type="dxa" w:w="80"/>
              <w:left w:type="dxa" w:w="120"/>
              <w:bottom w:type="dxa" w:w="80"/>
              <w:right w:type="dxa" w:w="120"/>
            </w:tcMar>
          </w:tcPr>
          <w:p>
            <w:r>
              <w:rPr>
                <w:b/>
                <w:bCs/>
                <w:color w:val="FFFFFF"/>
              </w:rPr>
              <w:t xml:space="preserve">Recovery Action</w:t>
            </w:r>
          </w:p>
        </w:tc>
        <w:tc>
          <w:tcPr>
            <w:tcW w:type="dxa" w:w="4680"/>
            <w:shd w:fill="1F4E78" w:val="clear"/>
            <w:tcMar>
              <w:top w:type="dxa" w:w="80"/>
              <w:left w:type="dxa" w:w="120"/>
              <w:bottom w:type="dxa" w:w="80"/>
              <w:right w:type="dxa" w:w="120"/>
            </w:tcMar>
          </w:tcPr>
          <w:p>
            <w:r>
              <w:rPr>
                <w:b/>
                <w:bCs/>
                <w:color w:val="FFFFFF"/>
              </w:rPr>
              <w:t xml:space="preserve">Status / Completion</w:t>
            </w:r>
          </w:p>
        </w:tc>
      </w:tr>
      <w:tr>
        <w:tc>
          <w:tcPr>
            <w:tcW w:type="dxa" w:w="4680"/>
            <w:tcMar>
              <w:top w:type="dxa" w:w="80"/>
              <w:left w:type="dxa" w:w="120"/>
              <w:bottom w:type="dxa" w:w="80"/>
              <w:right w:type="dxa" w:w="120"/>
            </w:tcMar>
          </w:tcPr>
          <w:p>
            <w:r>
              <w:t xml:space="preserve">Workstation rebuild from gold image</w:t>
            </w:r>
          </w:p>
        </w:tc>
        <w:tc>
          <w:tcPr>
            <w:tcW w:type="dxa" w:w="4680"/>
            <w:tcMar>
              <w:top w:type="dxa" w:w="80"/>
              <w:left w:type="dxa" w:w="120"/>
              <w:bottom w:type="dxa" w:w="80"/>
              <w:right w:type="dxa" w:w="120"/>
            </w:tcMar>
          </w:tcPr>
          <w:p>
            <w:r>
              <w:rPr>
                <w:color w:val="00B050"/>
              </w:rPr>
              <w:t xml:space="preserve">Complete - Apr 19, 14:00</w:t>
            </w:r>
          </w:p>
        </w:tc>
      </w:tr>
      <w:tr>
        <w:tc>
          <w:tcPr>
            <w:tcW w:type="dxa" w:w="4680"/>
            <w:tcMar>
              <w:top w:type="dxa" w:w="80"/>
              <w:left w:type="dxa" w:w="120"/>
              <w:bottom w:type="dxa" w:w="80"/>
              <w:right w:type="dxa" w:w="120"/>
            </w:tcMar>
          </w:tcPr>
          <w:p>
            <w:r>
              <w:t xml:space="preserve">Application software reinstallation</w:t>
            </w:r>
          </w:p>
        </w:tc>
        <w:tc>
          <w:tcPr>
            <w:tcW w:type="dxa" w:w="4680"/>
            <w:tcMar>
              <w:top w:type="dxa" w:w="80"/>
              <w:left w:type="dxa" w:w="120"/>
              <w:bottom w:type="dxa" w:w="80"/>
              <w:right w:type="dxa" w:w="120"/>
            </w:tcMar>
          </w:tcPr>
          <w:p>
            <w:r>
              <w:rPr>
                <w:color w:val="00B050"/>
              </w:rPr>
              <w:t xml:space="preserve">Complete - Apr 19, 16:30</w:t>
            </w:r>
          </w:p>
        </w:tc>
      </w:tr>
      <w:tr>
        <w:tc>
          <w:tcPr>
            <w:tcW w:type="dxa" w:w="4680"/>
            <w:tcMar>
              <w:top w:type="dxa" w:w="80"/>
              <w:left w:type="dxa" w:w="120"/>
              <w:bottom w:type="dxa" w:w="80"/>
              <w:right w:type="dxa" w:w="120"/>
            </w:tcMar>
          </w:tcPr>
          <w:p>
            <w:r>
              <w:t xml:space="preserve">User data restoration from backup</w:t>
            </w:r>
          </w:p>
        </w:tc>
        <w:tc>
          <w:tcPr>
            <w:tcW w:type="dxa" w:w="4680"/>
            <w:tcMar>
              <w:top w:type="dxa" w:w="80"/>
              <w:left w:type="dxa" w:w="120"/>
              <w:bottom w:type="dxa" w:w="80"/>
              <w:right w:type="dxa" w:w="120"/>
            </w:tcMar>
          </w:tcPr>
          <w:p>
            <w:r>
              <w:rPr>
                <w:color w:val="00B050"/>
              </w:rPr>
              <w:t xml:space="preserve">Complete - Apr 20, 08:00</w:t>
            </w:r>
          </w:p>
        </w:tc>
      </w:tr>
      <w:tr>
        <w:tc>
          <w:tcPr>
            <w:tcW w:type="dxa" w:w="4680"/>
            <w:tcMar>
              <w:top w:type="dxa" w:w="80"/>
              <w:left w:type="dxa" w:w="120"/>
              <w:bottom w:type="dxa" w:w="80"/>
              <w:right w:type="dxa" w:w="120"/>
            </w:tcMar>
          </w:tcPr>
          <w:p>
            <w:r>
              <w:t xml:space="preserve">Security configuration validation</w:t>
            </w:r>
          </w:p>
        </w:tc>
        <w:tc>
          <w:tcPr>
            <w:tcW w:type="dxa" w:w="4680"/>
            <w:tcMar>
              <w:top w:type="dxa" w:w="80"/>
              <w:left w:type="dxa" w:w="120"/>
              <w:bottom w:type="dxa" w:w="80"/>
              <w:right w:type="dxa" w:w="120"/>
            </w:tcMar>
          </w:tcPr>
          <w:p>
            <w:r>
              <w:rPr>
                <w:color w:val="00B050"/>
              </w:rPr>
              <w:t xml:space="preserve">Complete - Apr 20, 09:00</w:t>
            </w:r>
          </w:p>
        </w:tc>
      </w:tr>
      <w:tr>
        <w:tc>
          <w:tcPr>
            <w:tcW w:type="dxa" w:w="4680"/>
            <w:tcMar>
              <w:top w:type="dxa" w:w="80"/>
              <w:left w:type="dxa" w:w="120"/>
              <w:bottom w:type="dxa" w:w="80"/>
              <w:right w:type="dxa" w:w="120"/>
            </w:tcMar>
          </w:tcPr>
          <w:p>
            <w:r>
              <w:t xml:space="preserve">User account re-enablement</w:t>
            </w:r>
          </w:p>
        </w:tc>
        <w:tc>
          <w:tcPr>
            <w:tcW w:type="dxa" w:w="4680"/>
            <w:tcMar>
              <w:top w:type="dxa" w:w="80"/>
              <w:left w:type="dxa" w:w="120"/>
              <w:bottom w:type="dxa" w:w="80"/>
              <w:right w:type="dxa" w:w="120"/>
            </w:tcMar>
          </w:tcPr>
          <w:p>
            <w:r>
              <w:rPr>
                <w:color w:val="00B050"/>
              </w:rPr>
              <w:t xml:space="preserve">Complete - Apr 20, 10:00</w:t>
            </w:r>
          </w:p>
        </w:tc>
      </w:tr>
      <w:tr>
        <w:tc>
          <w:tcPr>
            <w:tcW w:type="dxa" w:w="4680"/>
            <w:tcMar>
              <w:top w:type="dxa" w:w="80"/>
              <w:left w:type="dxa" w:w="120"/>
              <w:bottom w:type="dxa" w:w="80"/>
              <w:right w:type="dxa" w:w="120"/>
            </w:tcMar>
          </w:tcPr>
          <w:p>
            <w:r>
              <w:t xml:space="preserve">Return to production</w:t>
            </w:r>
          </w:p>
        </w:tc>
        <w:tc>
          <w:tcPr>
            <w:tcW w:type="dxa" w:w="4680"/>
            <w:tcMar>
              <w:top w:type="dxa" w:w="80"/>
              <w:left w:type="dxa" w:w="120"/>
              <w:bottom w:type="dxa" w:w="80"/>
              <w:right w:type="dxa" w:w="120"/>
            </w:tcMar>
          </w:tcPr>
          <w:p>
            <w:r>
              <w:rPr>
                <w:color w:val="00B050"/>
              </w:rPr>
              <w:t xml:space="preserve">Complete - Apr 20, 10:00</w:t>
            </w:r>
          </w:p>
        </w:tc>
      </w:tr>
    </w:tbl>
    <w:p/>
    <w:p>
      <w:pPr>
        <w:pStyle w:val="Heading2"/>
      </w:pPr>
      <w:r>
        <w:t xml:space="preserve">5.2 Verification and Monitoring</w:t>
      </w:r>
    </w:p>
    <w:p>
      <w:r>
        <w:t xml:space="preserve">Extended monitoring was implemented for 14 days following recovery:</w:t>
      </w:r>
    </w:p>
    <w:p/>
    <w:p>
      <w:pPr>
        <w:pStyle w:val="ListParagraph"/>
        <w:numPr>
          <w:ilvl w:val="0"/>
          <w:numId w:val="2"/>
        </w:numPr>
      </w:pPr>
      <w:r>
        <w:t xml:space="preserve">Enhanced logging enabled on recovered workstation</w:t>
      </w:r>
    </w:p>
    <w:p>
      <w:pPr>
        <w:pStyle w:val="ListParagraph"/>
        <w:numPr>
          <w:ilvl w:val="0"/>
          <w:numId w:val="2"/>
        </w:numPr>
      </w:pPr>
      <w:r>
        <w:t xml:space="preserve">Daily review of user activity for anomalous behavior</w:t>
      </w:r>
    </w:p>
    <w:p>
      <w:pPr>
        <w:pStyle w:val="ListParagraph"/>
        <w:numPr>
          <w:ilvl w:val="0"/>
          <w:numId w:val="2"/>
        </w:numPr>
      </w:pPr>
      <w:r>
        <w:t xml:space="preserve">Network traffic monitoring for IoC-related activity</w:t>
      </w:r>
    </w:p>
    <w:p>
      <w:pPr>
        <w:pStyle w:val="ListParagraph"/>
        <w:numPr>
          <w:ilvl w:val="0"/>
          <w:numId w:val="2"/>
        </w:numPr>
      </w:pPr>
      <w:r>
        <w:t xml:space="preserve">Weekly endpoint security scans</w:t>
      </w:r>
    </w:p>
    <w:p/>
    <w:p>
      <w:r>
        <w:t xml:space="preserve">No anomalous activity or signs of recurrence were detected during the monitoring period. The incident is confirmed fully resolved.</w:t>
      </w:r>
    </w:p>
    <w:p>
      <w:pPr>
        <w:spacing w:after="240"/>
      </w:pPr>
    </w:p>
    <w:p>
      <w:r>
        <w:br w:type="page"/>
      </w:r>
    </w:p>
    <w:p>
      <w:pPr>
        <w:pStyle w:val="Heading1"/>
      </w:pPr>
      <w:r>
        <w:t xml:space="preserve">6. Impact Assessment</w:t>
      </w:r>
    </w:p>
    <w:p>
      <w:pPr>
        <w:pStyle w:val="Heading2"/>
      </w:pPr>
      <w:r>
        <w:t xml:space="preserve">6.1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D5E8F0" w:val="clear"/>
            <w:tcMar>
              <w:top w:type="dxa" w:w="80"/>
              <w:left w:type="dxa" w:w="120"/>
              <w:bottom w:type="dxa" w:w="80"/>
              <w:right w:type="dxa" w:w="120"/>
            </w:tcMar>
          </w:tcPr>
          <w:p>
            <w:r>
              <w:rPr>
                <w:b/>
                <w:bCs/>
              </w:rPr>
              <w:t xml:space="preserve">Operational Impact:</w:t>
            </w:r>
          </w:p>
        </w:tc>
        <w:tc>
          <w:tcPr>
            <w:tcW w:type="dxa" w:w="6240"/>
            <w:tcMar>
              <w:top w:type="dxa" w:w="80"/>
              <w:left w:type="dxa" w:w="120"/>
              <w:bottom w:type="dxa" w:w="80"/>
              <w:right w:type="dxa" w:w="120"/>
            </w:tcMar>
          </w:tcPr>
          <w:p>
            <w:r>
              <w:rPr>
                <w:b/>
                <w:bCs/>
                <w:color w:val="00B050"/>
              </w:rPr>
              <w:t xml:space="preserve">None - </w:t>
            </w:r>
            <w:r>
              <w:t xml:space="preserve">No disruption to restaurant operations, payment processing, or business services</w:t>
            </w:r>
          </w:p>
        </w:tc>
      </w:tr>
      <w:tr>
        <w:tc>
          <w:tcPr>
            <w:tcW w:type="dxa" w:w="3120"/>
            <w:shd w:fill="D5E8F0" w:val="clear"/>
            <w:tcMar>
              <w:top w:type="dxa" w:w="80"/>
              <w:left w:type="dxa" w:w="120"/>
              <w:bottom w:type="dxa" w:w="80"/>
              <w:right w:type="dxa" w:w="120"/>
            </w:tcMar>
          </w:tcPr>
          <w:p>
            <w:r>
              <w:rPr>
                <w:b/>
                <w:bCs/>
              </w:rPr>
              <w:t xml:space="preserve">Data Impact:</w:t>
            </w:r>
          </w:p>
        </w:tc>
        <w:tc>
          <w:tcPr>
            <w:tcW w:type="dxa" w:w="6240"/>
            <w:tcMar>
              <w:top w:type="dxa" w:w="80"/>
              <w:left w:type="dxa" w:w="120"/>
              <w:bottom w:type="dxa" w:w="80"/>
              <w:right w:type="dxa" w:w="120"/>
            </w:tcMar>
          </w:tcPr>
          <w:p>
            <w:r>
              <w:rPr>
                <w:b/>
                <w:bCs/>
                <w:color w:val="00B050"/>
              </w:rPr>
              <w:t xml:space="preserve">None - </w:t>
            </w:r>
            <w:r>
              <w:t xml:space="preserve">No data loss, exfiltration, encryption, or unauthorized access</w:t>
            </w:r>
          </w:p>
        </w:tc>
      </w:tr>
      <w:tr>
        <w:tc>
          <w:tcPr>
            <w:tcW w:type="dxa" w:w="3120"/>
            <w:shd w:fill="D5E8F0" w:val="clear"/>
            <w:tcMar>
              <w:top w:type="dxa" w:w="80"/>
              <w:left w:type="dxa" w:w="120"/>
              <w:bottom w:type="dxa" w:w="80"/>
              <w:right w:type="dxa" w:w="120"/>
            </w:tcMar>
          </w:tcPr>
          <w:p>
            <w:r>
              <w:rPr>
                <w:b/>
                <w:bCs/>
              </w:rPr>
              <w:t xml:space="preserve">Customer Impact:</w:t>
            </w:r>
          </w:p>
        </w:tc>
        <w:tc>
          <w:tcPr>
            <w:tcW w:type="dxa" w:w="6240"/>
            <w:tcMar>
              <w:top w:type="dxa" w:w="80"/>
              <w:left w:type="dxa" w:w="120"/>
              <w:bottom w:type="dxa" w:w="80"/>
              <w:right w:type="dxa" w:w="120"/>
            </w:tcMar>
          </w:tcPr>
          <w:p>
            <w:r>
              <w:rPr>
                <w:b/>
                <w:bCs/>
                <w:color w:val="00B050"/>
              </w:rPr>
              <w:t xml:space="preserve">None - </w:t>
            </w:r>
            <w:r>
              <w:t xml:space="preserve">No customer data exposure or service disruption</w:t>
            </w:r>
          </w:p>
        </w:tc>
      </w:tr>
      <w:tr>
        <w:tc>
          <w:tcPr>
            <w:tcW w:type="dxa" w:w="3120"/>
            <w:shd w:fill="D5E8F0" w:val="clear"/>
            <w:tcMar>
              <w:top w:type="dxa" w:w="80"/>
              <w:left w:type="dxa" w:w="120"/>
              <w:bottom w:type="dxa" w:w="80"/>
              <w:right w:type="dxa" w:w="120"/>
            </w:tcMar>
          </w:tcPr>
          <w:p>
            <w:r>
              <w:rPr>
                <w:b/>
                <w:bCs/>
              </w:rPr>
              <w:t xml:space="preserve">Financial Impact:</w:t>
            </w:r>
          </w:p>
        </w:tc>
        <w:tc>
          <w:tcPr>
            <w:tcW w:type="dxa" w:w="6240"/>
            <w:tcMar>
              <w:top w:type="dxa" w:w="80"/>
              <w:left w:type="dxa" w:w="120"/>
              <w:bottom w:type="dxa" w:w="80"/>
              <w:right w:type="dxa" w:w="120"/>
            </w:tcMar>
          </w:tcPr>
          <w:p>
            <w:r>
              <w:rPr>
                <w:b/>
                <w:bCs/>
                <w:color w:val="92D050"/>
              </w:rPr>
              <w:t xml:space="preserve">Low - </w:t>
            </w:r>
            <w:r>
              <w:t xml:space="preserve">Estimated $32,000 in incident response personnel time and forensic analysis</w:t>
            </w:r>
          </w:p>
        </w:tc>
      </w:tr>
      <w:tr>
        <w:tc>
          <w:tcPr>
            <w:tcW w:type="dxa" w:w="3120"/>
            <w:shd w:fill="D5E8F0" w:val="clear"/>
            <w:tcMar>
              <w:top w:type="dxa" w:w="80"/>
              <w:left w:type="dxa" w:w="120"/>
              <w:bottom w:type="dxa" w:w="80"/>
              <w:right w:type="dxa" w:w="120"/>
            </w:tcMar>
          </w:tcPr>
          <w:p>
            <w:r>
              <w:rPr>
                <w:b/>
                <w:bCs/>
              </w:rPr>
              <w:t xml:space="preserve">Productivity Impact:</w:t>
            </w:r>
          </w:p>
        </w:tc>
        <w:tc>
          <w:tcPr>
            <w:tcW w:type="dxa" w:w="6240"/>
            <w:tcMar>
              <w:top w:type="dxa" w:w="80"/>
              <w:left w:type="dxa" w:w="120"/>
              <w:bottom w:type="dxa" w:w="80"/>
              <w:right w:type="dxa" w:w="120"/>
            </w:tcMar>
          </w:tcPr>
          <w:p>
            <w:r>
              <w:rPr>
                <w:b/>
                <w:bCs/>
                <w:color w:val="92D050"/>
              </w:rPr>
              <w:t xml:space="preserve">Minimal - </w:t>
            </w:r>
            <w:r>
              <w:t xml:space="preserve">One employee offline for 26 hours (workstation restoration period)</w:t>
            </w:r>
          </w:p>
        </w:tc>
      </w:tr>
      <w:tr>
        <w:tc>
          <w:tcPr>
            <w:tcW w:type="dxa" w:w="3120"/>
            <w:shd w:fill="D5E8F0" w:val="clear"/>
            <w:tcMar>
              <w:top w:type="dxa" w:w="80"/>
              <w:left w:type="dxa" w:w="120"/>
              <w:bottom w:type="dxa" w:w="80"/>
              <w:right w:type="dxa" w:w="120"/>
            </w:tcMar>
          </w:tcPr>
          <w:p>
            <w:r>
              <w:rPr>
                <w:b/>
                <w:bCs/>
              </w:rPr>
              <w:t xml:space="preserve">Regulatory Impact:</w:t>
            </w:r>
          </w:p>
        </w:tc>
        <w:tc>
          <w:tcPr>
            <w:tcW w:type="dxa" w:w="6240"/>
            <w:tcMar>
              <w:top w:type="dxa" w:w="80"/>
              <w:left w:type="dxa" w:w="120"/>
              <w:bottom w:type="dxa" w:w="80"/>
              <w:right w:type="dxa" w:w="120"/>
            </w:tcMar>
          </w:tcPr>
          <w:p>
            <w:r>
              <w:rPr>
                <w:b/>
                <w:bCs/>
                <w:color w:val="00B050"/>
              </w:rPr>
              <w:t xml:space="preserve">None - </w:t>
            </w:r>
            <w:r>
              <w:t xml:space="preserve">No data breach occurred; no regulatory notification required</w:t>
            </w:r>
          </w:p>
        </w:tc>
      </w:tr>
    </w:tbl>
    <w:p/>
    <w:p>
      <w:pPr>
        <w:pStyle w:val="Heading2"/>
      </w:pPr>
      <w:r>
        <w:t xml:space="preserve">6.2 Compliance Verification</w:t>
      </w:r>
    </w:p>
    <w:p>
      <w:r>
        <w:t xml:space="preserve">The incident was assessed against QuickServe's regulatory and compliance obligations:</w:t>
      </w:r>
    </w:p>
    <w:p/>
    <w:p>
      <w:pPr>
        <w:pStyle w:val="ListParagraph"/>
        <w:numPr>
          <w:ilvl w:val="0"/>
          <w:numId w:val="2"/>
        </w:numPr>
      </w:pPr>
      <w:r>
        <w:rPr>
          <w:b/>
          <w:bCs/>
        </w:rPr>
        <w:t xml:space="preserve">PCI-DSS: </w:t>
      </w:r>
      <w:r>
        <w:t xml:space="preserve">No payment card data was accessed or compromised. PCI compliance maintained.</w:t>
      </w:r>
    </w:p>
    <w:p>
      <w:pPr>
        <w:pStyle w:val="ListParagraph"/>
        <w:numPr>
          <w:ilvl w:val="0"/>
          <w:numId w:val="2"/>
        </w:numPr>
      </w:pPr>
      <w:r>
        <w:rPr>
          <w:b/>
          <w:bCs/>
        </w:rPr>
        <w:t xml:space="preserve">PIPEDA: </w:t>
      </w:r>
      <w:r>
        <w:t xml:space="preserve">No personal information was accessed or disclosed. No breach notification required.</w:t>
      </w:r>
    </w:p>
    <w:p>
      <w:pPr>
        <w:pStyle w:val="ListParagraph"/>
        <w:numPr>
          <w:ilvl w:val="0"/>
          <w:numId w:val="2"/>
        </w:numPr>
      </w:pPr>
      <w:r>
        <w:rPr>
          <w:b/>
          <w:bCs/>
        </w:rPr>
        <w:t xml:space="preserve">Provincial Privacy Laws: </w:t>
      </w:r>
      <w:r>
        <w:t xml:space="preserve">No notification obligations triggered.</w:t>
      </w:r>
    </w:p>
    <w:p>
      <w:pPr>
        <w:pStyle w:val="ListParagraph"/>
        <w:numPr>
          <w:ilvl w:val="0"/>
          <w:numId w:val="2"/>
        </w:numPr>
      </w:pPr>
      <w:r>
        <w:rPr>
          <w:b/>
          <w:bCs/>
        </w:rPr>
        <w:t xml:space="preserve">Contractual Obligations: </w:t>
      </w:r>
      <w:r>
        <w:t xml:space="preserve">No vendor or partner notification required as no data sharing occurred.</w:t>
      </w:r>
    </w:p>
    <w:p>
      <w:pPr>
        <w:spacing w:after="240"/>
      </w:pPr>
    </w:p>
    <w:p>
      <w:r>
        <w:br w:type="page"/>
      </w:r>
    </w:p>
    <w:p>
      <w:pPr>
        <w:pStyle w:val="Heading1"/>
      </w:pPr>
      <w:r>
        <w:t xml:space="preserve">7. Root Cause Analysis</w:t>
      </w:r>
    </w:p>
    <w:p>
      <w:pPr>
        <w:pStyle w:val="Heading2"/>
      </w:pPr>
      <w:r>
        <w:t xml:space="preserve">7.1 Primary Root Cause</w:t>
      </w:r>
    </w:p>
    <w:p>
      <w:r>
        <w:t xml:space="preserve">The primary root cause was successful social engineering through a sophisticated spear-phishing attack. The attacker leveraged a convincing impersonation of a trusted payment processor (Moneris) that the employee interacts with regularly in their role.</w:t>
      </w:r>
    </w:p>
    <w:p/>
    <w:p>
      <w:pPr>
        <w:pStyle w:val="Heading2"/>
      </w:pPr>
      <w:r>
        <w:t xml:space="preserve">7.2 Contributing Factors</w:t>
      </w:r>
    </w:p>
    <w:p>
      <w:pPr>
        <w:pStyle w:val="ListParagraph"/>
        <w:numPr>
          <w:ilvl w:val="0"/>
          <w:numId w:val="2"/>
        </w:numPr>
      </w:pPr>
      <w:r>
        <w:rPr>
          <w:b/>
          <w:bCs/>
        </w:rPr>
        <w:t xml:space="preserve">Highly targeted attack: </w:t>
      </w:r>
      <w:r>
        <w:t xml:space="preserve">The phishing email demonstrated knowledge of internal vendor relationships and used realistic branding</w:t>
      </w:r>
    </w:p>
    <w:p>
      <w:pPr>
        <w:pStyle w:val="ListParagraph"/>
        <w:numPr>
          <w:ilvl w:val="0"/>
          <w:numId w:val="2"/>
        </w:numPr>
      </w:pPr>
      <w:r>
        <w:rPr>
          <w:b/>
          <w:bCs/>
        </w:rPr>
        <w:t xml:space="preserve">Timing: </w:t>
      </w:r>
      <w:r>
        <w:t xml:space="preserve">Email arrived during peak processing hours when employees are managing high transaction volumes</w:t>
      </w:r>
    </w:p>
    <w:p>
      <w:pPr>
        <w:pStyle w:val="ListParagraph"/>
        <w:numPr>
          <w:ilvl w:val="0"/>
          <w:numId w:val="2"/>
        </w:numPr>
      </w:pPr>
      <w:r>
        <w:rPr>
          <w:b/>
          <w:bCs/>
        </w:rPr>
        <w:t xml:space="preserve">Legitimate urgency: </w:t>
      </w:r>
      <w:r>
        <w:t xml:space="preserve">Email claimed urgent action needed for payment processing issue, creating pressure to act quickly</w:t>
      </w:r>
    </w:p>
    <w:p>
      <w:pPr>
        <w:pStyle w:val="ListParagraph"/>
        <w:numPr>
          <w:ilvl w:val="0"/>
          <w:numId w:val="2"/>
        </w:numPr>
      </w:pPr>
      <w:r>
        <w:rPr>
          <w:b/>
          <w:bCs/>
        </w:rPr>
        <w:t xml:space="preserve">Email filtering gap: </w:t>
      </w:r>
      <w:r>
        <w:t xml:space="preserve">The typosquatted domain (moner1s-support.com vs. moneris.com) bypassed initial email security filters</w:t>
      </w:r>
    </w:p>
    <w:p/>
    <w:p>
      <w:pPr>
        <w:pStyle w:val="Heading2"/>
      </w:pPr>
      <w:r>
        <w:t xml:space="preserve">7.3 Control Effectiveness Analysis</w:t>
      </w:r>
    </w:p>
    <w:p>
      <w:r>
        <w:rPr>
          <w:b/>
          <w:bCs/>
        </w:rPr>
        <w:t xml:space="preserve">Controls That Worked:</w:t>
      </w:r>
    </w:p>
    <w:p>
      <w:pPr>
        <w:pStyle w:val="ListParagraph"/>
        <w:numPr>
          <w:ilvl w:val="0"/>
          <w:numId w:val="2"/>
        </w:numPr>
      </w:pPr>
      <w:r>
        <w:t xml:space="preserve">EDR technology detected and blocked malware execution within 2 minutes</w:t>
      </w:r>
    </w:p>
    <w:p>
      <w:pPr>
        <w:pStyle w:val="ListParagraph"/>
        <w:numPr>
          <w:ilvl w:val="0"/>
          <w:numId w:val="2"/>
        </w:numPr>
      </w:pPr>
      <w:r>
        <w:t xml:space="preserve">Automated workstation quarantine prevented lateral movement</w:t>
      </w:r>
    </w:p>
    <w:p>
      <w:pPr>
        <w:pStyle w:val="ListParagraph"/>
        <w:numPr>
          <w:ilvl w:val="0"/>
          <w:numId w:val="2"/>
        </w:numPr>
      </w:pPr>
      <w:r>
        <w:t xml:space="preserve">Firewall blocked C2 communication attempts</w:t>
      </w:r>
    </w:p>
    <w:p>
      <w:pPr>
        <w:pStyle w:val="ListParagraph"/>
        <w:numPr>
          <w:ilvl w:val="0"/>
          <w:numId w:val="2"/>
        </w:numPr>
      </w:pPr>
      <w:r>
        <w:t xml:space="preserve">Network segmentation limited scope of potential compromise</w:t>
      </w:r>
    </w:p>
    <w:p>
      <w:pPr>
        <w:pStyle w:val="ListParagraph"/>
        <w:numPr>
          <w:ilvl w:val="0"/>
          <w:numId w:val="2"/>
        </w:numPr>
      </w:pPr>
      <w:r>
        <w:t xml:space="preserve">Incident response procedures executed effectively</w:t>
      </w:r>
    </w:p>
    <w:p>
      <w:pPr>
        <w:pStyle w:val="ListParagraph"/>
        <w:numPr>
          <w:ilvl w:val="0"/>
          <w:numId w:val="2"/>
        </w:numPr>
      </w:pPr>
      <w:r>
        <w:t xml:space="preserve">Backup systems enabled rapid recovery</w:t>
      </w:r>
    </w:p>
    <w:p/>
    <w:p>
      <w:r>
        <w:rPr>
          <w:b/>
          <w:bCs/>
        </w:rPr>
        <w:t xml:space="preserve">Controls That Need Improvement:</w:t>
      </w:r>
    </w:p>
    <w:p>
      <w:pPr>
        <w:pStyle w:val="ListParagraph"/>
        <w:numPr>
          <w:ilvl w:val="0"/>
          <w:numId w:val="2"/>
        </w:numPr>
      </w:pPr>
      <w:r>
        <w:t xml:space="preserve">Email security filtering did not catch the typosquatted domain</w:t>
      </w:r>
    </w:p>
    <w:p>
      <w:pPr>
        <w:pStyle w:val="ListParagraph"/>
        <w:numPr>
          <w:ilvl w:val="0"/>
          <w:numId w:val="2"/>
        </w:numPr>
      </w:pPr>
      <w:r>
        <w:t xml:space="preserve">Email authentication (DMARC) could not verify the spoofed sender</w:t>
      </w:r>
    </w:p>
    <w:p>
      <w:pPr>
        <w:pStyle w:val="ListParagraph"/>
        <w:numPr>
          <w:ilvl w:val="0"/>
          <w:numId w:val="2"/>
        </w:numPr>
      </w:pPr>
      <w:r>
        <w:t xml:space="preserve">User awareness training, while effective overall, did not prevent this click</w:t>
      </w:r>
    </w:p>
    <w:p>
      <w:pPr>
        <w:spacing w:after="240"/>
      </w:pPr>
    </w:p>
    <w:p>
      <w:r>
        <w:br w:type="page"/>
      </w:r>
    </w:p>
    <w:p>
      <w:pPr>
        <w:pStyle w:val="Heading1"/>
      </w:pPr>
      <w:r>
        <w:t xml:space="preserve">8. Corrective Actions and Lessons Learned</w:t>
      </w:r>
    </w:p>
    <w:p>
      <w:pPr>
        <w:pStyle w:val="Heading2"/>
      </w:pPr>
      <w:r>
        <w:t xml:space="preserve">8.1 Immediate Corrective Actions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shd w:fill="1F4E78" w:val="clear"/>
            <w:tcMar>
              <w:top w:type="dxa" w:w="80"/>
              <w:left w:type="dxa" w:w="120"/>
              <w:bottom w:type="dxa" w:w="80"/>
              <w:right w:type="dxa" w:w="120"/>
            </w:tcMar>
          </w:tcPr>
          <w:p>
            <w:r>
              <w:rPr>
                <w:b/>
                <w:bCs/>
                <w:color w:val="FFFFFF"/>
              </w:rPr>
              <w:t xml:space="preserve">Action</w:t>
            </w:r>
          </w:p>
        </w:tc>
        <w:tc>
          <w:tcPr>
            <w:tcW w:type="dxa" w:w="2340"/>
            <w:shd w:fill="1F4E78" w:val="clear"/>
            <w:tcMar>
              <w:top w:type="dxa" w:w="80"/>
              <w:left w:type="dxa" w:w="120"/>
              <w:bottom w:type="dxa" w:w="80"/>
              <w:right w:type="dxa" w:w="120"/>
            </w:tcMar>
          </w:tcPr>
          <w:p>
            <w:r>
              <w:rPr>
                <w:b/>
                <w:bCs/>
                <w:color w:val="FFFFFF"/>
              </w:rPr>
              <w:t xml:space="preserve">Owner</w:t>
            </w:r>
          </w:p>
        </w:tc>
        <w:tc>
          <w:tcPr>
            <w:tcW w:type="dxa" w:w="2340"/>
            <w:shd w:fill="1F4E78" w:val="clear"/>
            <w:tcMar>
              <w:top w:type="dxa" w:w="80"/>
              <w:left w:type="dxa" w:w="120"/>
              <w:bottom w:type="dxa" w:w="80"/>
              <w:right w:type="dxa" w:w="120"/>
            </w:tcMar>
          </w:tcPr>
          <w:p>
            <w:r>
              <w:rPr>
                <w:b/>
                <w:bCs/>
                <w:color w:val="FFFFFF"/>
              </w:rPr>
              <w:t xml:space="preserve">Status</w:t>
            </w:r>
          </w:p>
        </w:tc>
      </w:tr>
      <w:tr>
        <w:tc>
          <w:tcPr>
            <w:tcW w:type="dxa" w:w="4680"/>
            <w:tcMar>
              <w:top w:type="dxa" w:w="80"/>
              <w:left w:type="dxa" w:w="120"/>
              <w:bottom w:type="dxa" w:w="80"/>
              <w:right w:type="dxa" w:w="120"/>
            </w:tcMar>
          </w:tcPr>
          <w:p>
            <w:r>
              <w:t xml:space="preserve">Enhanced email filtering rules deployed for typosquatted domains</w:t>
            </w:r>
          </w:p>
        </w:tc>
        <w:tc>
          <w:tcPr>
            <w:tcW w:type="dxa" w:w="2340"/>
            <w:tcMar>
              <w:top w:type="dxa" w:w="80"/>
              <w:left w:type="dxa" w:w="120"/>
              <w:bottom w:type="dxa" w:w="80"/>
              <w:right w:type="dxa" w:w="120"/>
            </w:tcMar>
          </w:tcPr>
          <w:p>
            <w:r>
              <w:t xml:space="preserve">IT Security</w:t>
            </w:r>
          </w:p>
        </w:tc>
        <w:tc>
          <w:tcPr>
            <w:tcW w:type="dxa" w:w="2340"/>
            <w:tcMar>
              <w:top w:type="dxa" w:w="80"/>
              <w:left w:type="dxa" w:w="120"/>
              <w:bottom w:type="dxa" w:w="80"/>
              <w:right w:type="dxa" w:w="120"/>
            </w:tcMar>
          </w:tcPr>
          <w:p>
            <w:r>
              <w:rPr>
                <w:b/>
                <w:bCs/>
                <w:color w:val="00B050"/>
              </w:rPr>
              <w:t xml:space="preserve">Complete</w:t>
            </w:r>
          </w:p>
        </w:tc>
      </w:tr>
      <w:tr>
        <w:tc>
          <w:tcPr>
            <w:tcW w:type="dxa" w:w="4680"/>
            <w:tcMar>
              <w:top w:type="dxa" w:w="80"/>
              <w:left w:type="dxa" w:w="120"/>
              <w:bottom w:type="dxa" w:w="80"/>
              <w:right w:type="dxa" w:w="120"/>
            </w:tcMar>
          </w:tcPr>
          <w:p>
            <w:r>
              <w:t xml:space="preserve">Organization-wide security awareness communication issued</w:t>
            </w:r>
          </w:p>
        </w:tc>
        <w:tc>
          <w:tcPr>
            <w:tcW w:type="dxa" w:w="2340"/>
            <w:tcMar>
              <w:top w:type="dxa" w:w="80"/>
              <w:left w:type="dxa" w:w="120"/>
              <w:bottom w:type="dxa" w:w="80"/>
              <w:right w:type="dxa" w:w="120"/>
            </w:tcMar>
          </w:tcPr>
          <w:p>
            <w:r>
              <w:t xml:space="preserve">CISO</w:t>
            </w:r>
          </w:p>
        </w:tc>
        <w:tc>
          <w:tcPr>
            <w:tcW w:type="dxa" w:w="2340"/>
            <w:tcMar>
              <w:top w:type="dxa" w:w="80"/>
              <w:left w:type="dxa" w:w="120"/>
              <w:bottom w:type="dxa" w:w="80"/>
              <w:right w:type="dxa" w:w="120"/>
            </w:tcMar>
          </w:tcPr>
          <w:p>
            <w:r>
              <w:rPr>
                <w:b/>
                <w:bCs/>
                <w:color w:val="00B050"/>
              </w:rPr>
              <w:t xml:space="preserve">Complete</w:t>
            </w:r>
          </w:p>
        </w:tc>
      </w:tr>
      <w:tr>
        <w:tc>
          <w:tcPr>
            <w:tcW w:type="dxa" w:w="4680"/>
            <w:tcMar>
              <w:top w:type="dxa" w:w="80"/>
              <w:left w:type="dxa" w:w="120"/>
              <w:bottom w:type="dxa" w:w="80"/>
              <w:right w:type="dxa" w:w="120"/>
            </w:tcMar>
          </w:tcPr>
          <w:p>
            <w:r>
              <w:t xml:space="preserve">IoC sharing with industry partners via CCTX</w:t>
            </w:r>
          </w:p>
        </w:tc>
        <w:tc>
          <w:tcPr>
            <w:tcW w:type="dxa" w:w="2340"/>
            <w:tcMar>
              <w:top w:type="dxa" w:w="80"/>
              <w:left w:type="dxa" w:w="120"/>
              <w:bottom w:type="dxa" w:w="80"/>
              <w:right w:type="dxa" w:w="120"/>
            </w:tcMar>
          </w:tcPr>
          <w:p>
            <w:r>
              <w:t xml:space="preserve">VP Info Sec</w:t>
            </w:r>
          </w:p>
        </w:tc>
        <w:tc>
          <w:tcPr>
            <w:tcW w:type="dxa" w:w="2340"/>
            <w:tcMar>
              <w:top w:type="dxa" w:w="80"/>
              <w:left w:type="dxa" w:w="120"/>
              <w:bottom w:type="dxa" w:w="80"/>
              <w:right w:type="dxa" w:w="120"/>
            </w:tcMar>
          </w:tcPr>
          <w:p>
            <w:r>
              <w:rPr>
                <w:b/>
                <w:bCs/>
                <w:color w:val="00B050"/>
              </w:rPr>
              <w:t xml:space="preserve">Complete</w:t>
            </w:r>
          </w:p>
        </w:tc>
      </w:tr>
      <w:tr>
        <w:tc>
          <w:tcPr>
            <w:tcW w:type="dxa" w:w="4680"/>
            <w:tcMar>
              <w:top w:type="dxa" w:w="80"/>
              <w:left w:type="dxa" w:w="120"/>
              <w:bottom w:type="dxa" w:w="80"/>
              <w:right w:type="dxa" w:w="120"/>
            </w:tcMar>
          </w:tcPr>
          <w:p>
            <w:r>
              <w:t xml:space="preserve">Finance department targeted phishing simulation exercise</w:t>
            </w:r>
          </w:p>
        </w:tc>
        <w:tc>
          <w:tcPr>
            <w:tcW w:type="dxa" w:w="2340"/>
            <w:tcMar>
              <w:top w:type="dxa" w:w="80"/>
              <w:left w:type="dxa" w:w="120"/>
              <w:bottom w:type="dxa" w:w="80"/>
              <w:right w:type="dxa" w:w="120"/>
            </w:tcMar>
          </w:tcPr>
          <w:p>
            <w:r>
              <w:t xml:space="preserve">CHRO</w:t>
            </w:r>
          </w:p>
        </w:tc>
        <w:tc>
          <w:tcPr>
            <w:tcW w:type="dxa" w:w="2340"/>
            <w:tcMar>
              <w:top w:type="dxa" w:w="80"/>
              <w:left w:type="dxa" w:w="120"/>
              <w:bottom w:type="dxa" w:w="80"/>
              <w:right w:type="dxa" w:w="120"/>
            </w:tcMar>
          </w:tcPr>
          <w:p>
            <w:r>
              <w:rPr>
                <w:b/>
                <w:bCs/>
                <w:color w:val="00B050"/>
              </w:rPr>
              <w:t xml:space="preserve">Complete</w:t>
            </w:r>
          </w:p>
        </w:tc>
      </w:tr>
    </w:tbl>
    <w:p/>
    <w:p>
      <w:pPr>
        <w:pStyle w:val="Heading2"/>
      </w:pPr>
      <w:r>
        <w:t xml:space="preserve">8.2 Planned Improvements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shd w:fill="1F4E78" w:val="clear"/>
            <w:tcMar>
              <w:top w:type="dxa" w:w="80"/>
              <w:left w:type="dxa" w:w="120"/>
              <w:bottom w:type="dxa" w:w="80"/>
              <w:right w:type="dxa" w:w="120"/>
            </w:tcMar>
          </w:tcPr>
          <w:p>
            <w:r>
              <w:rPr>
                <w:b/>
                <w:bCs/>
                <w:color w:val="FFFFFF"/>
              </w:rPr>
              <w:t xml:space="preserve">Action</w:t>
            </w:r>
          </w:p>
        </w:tc>
        <w:tc>
          <w:tcPr>
            <w:tcW w:type="dxa" w:w="2340"/>
            <w:shd w:fill="1F4E78" w:val="clear"/>
            <w:tcMar>
              <w:top w:type="dxa" w:w="80"/>
              <w:left w:type="dxa" w:w="120"/>
              <w:bottom w:type="dxa" w:w="80"/>
              <w:right w:type="dxa" w:w="120"/>
            </w:tcMar>
          </w:tcPr>
          <w:p>
            <w:r>
              <w:rPr>
                <w:b/>
                <w:bCs/>
                <w:color w:val="FFFFFF"/>
              </w:rPr>
              <w:t xml:space="preserve">Owner</w:t>
            </w:r>
          </w:p>
        </w:tc>
        <w:tc>
          <w:tcPr>
            <w:tcW w:type="dxa" w:w="2340"/>
            <w:shd w:fill="1F4E78" w:val="clear"/>
            <w:tcMar>
              <w:top w:type="dxa" w:w="80"/>
              <w:left w:type="dxa" w:w="120"/>
              <w:bottom w:type="dxa" w:w="80"/>
              <w:right w:type="dxa" w:w="120"/>
            </w:tcMar>
          </w:tcPr>
          <w:p>
            <w:r>
              <w:rPr>
                <w:b/>
                <w:bCs/>
                <w:color w:val="FFFFFF"/>
              </w:rPr>
              <w:t xml:space="preserve">Due Date</w:t>
            </w:r>
          </w:p>
        </w:tc>
      </w:tr>
      <w:tr>
        <w:tc>
          <w:tcPr>
            <w:tcW w:type="dxa" w:w="4680"/>
            <w:tcMar>
              <w:top w:type="dxa" w:w="80"/>
              <w:left w:type="dxa" w:w="120"/>
              <w:bottom w:type="dxa" w:w="80"/>
              <w:right w:type="dxa" w:w="120"/>
            </w:tcMar>
          </w:tcPr>
          <w:p>
            <w:r>
              <w:t xml:space="preserve">Implement advanced email authentication (DMARC/DKIM/SPF) for all vendors</w:t>
            </w:r>
          </w:p>
        </w:tc>
        <w:tc>
          <w:tcPr>
            <w:tcW w:type="dxa" w:w="2340"/>
            <w:tcMar>
              <w:top w:type="dxa" w:w="80"/>
              <w:left w:type="dxa" w:w="120"/>
              <w:bottom w:type="dxa" w:w="80"/>
              <w:right w:type="dxa" w:w="120"/>
            </w:tcMar>
          </w:tcPr>
          <w:p>
            <w:r>
              <w:t xml:space="preserve">IT Security</w:t>
            </w:r>
          </w:p>
        </w:tc>
        <w:tc>
          <w:tcPr>
            <w:tcW w:type="dxa" w:w="2340"/>
            <w:tcMar>
              <w:top w:type="dxa" w:w="80"/>
              <w:left w:type="dxa" w:w="120"/>
              <w:bottom w:type="dxa" w:w="80"/>
              <w:right w:type="dxa" w:w="120"/>
            </w:tcMar>
          </w:tcPr>
          <w:p>
            <w:r>
              <w:t xml:space="preserve">May 31, 2026</w:t>
            </w:r>
          </w:p>
        </w:tc>
      </w:tr>
      <w:tr>
        <w:tc>
          <w:tcPr>
            <w:tcW w:type="dxa" w:w="4680"/>
            <w:tcMar>
              <w:top w:type="dxa" w:w="80"/>
              <w:left w:type="dxa" w:w="120"/>
              <w:bottom w:type="dxa" w:w="80"/>
              <w:right w:type="dxa" w:w="120"/>
            </w:tcMar>
          </w:tcPr>
          <w:p>
            <w:r>
              <w:t xml:space="preserve">Deploy URL rewriting and sandbox analysis for all external links</w:t>
            </w:r>
          </w:p>
        </w:tc>
        <w:tc>
          <w:tcPr>
            <w:tcW w:type="dxa" w:w="2340"/>
            <w:tcMar>
              <w:top w:type="dxa" w:w="80"/>
              <w:left w:type="dxa" w:w="120"/>
              <w:bottom w:type="dxa" w:w="80"/>
              <w:right w:type="dxa" w:w="120"/>
            </w:tcMar>
          </w:tcPr>
          <w:p>
            <w:r>
              <w:t xml:space="preserve">CTO</w:t>
            </w:r>
          </w:p>
        </w:tc>
        <w:tc>
          <w:tcPr>
            <w:tcW w:type="dxa" w:w="2340"/>
            <w:tcMar>
              <w:top w:type="dxa" w:w="80"/>
              <w:left w:type="dxa" w:w="120"/>
              <w:bottom w:type="dxa" w:w="80"/>
              <w:right w:type="dxa" w:w="120"/>
            </w:tcMar>
          </w:tcPr>
          <w:p>
            <w:r>
              <w:t xml:space="preserve">June 15, 2026</w:t>
            </w:r>
          </w:p>
        </w:tc>
      </w:tr>
      <w:tr>
        <w:tc>
          <w:tcPr>
            <w:tcW w:type="dxa" w:w="4680"/>
            <w:tcMar>
              <w:top w:type="dxa" w:w="80"/>
              <w:left w:type="dxa" w:w="120"/>
              <w:bottom w:type="dxa" w:w="80"/>
              <w:right w:type="dxa" w:w="120"/>
            </w:tcMar>
          </w:tcPr>
          <w:p>
            <w:r>
              <w:t xml:space="preserve">Enhance security awareness training with role-specific modules</w:t>
            </w:r>
          </w:p>
        </w:tc>
        <w:tc>
          <w:tcPr>
            <w:tcW w:type="dxa" w:w="2340"/>
            <w:tcMar>
              <w:top w:type="dxa" w:w="80"/>
              <w:left w:type="dxa" w:w="120"/>
              <w:bottom w:type="dxa" w:w="80"/>
              <w:right w:type="dxa" w:w="120"/>
            </w:tcMar>
          </w:tcPr>
          <w:p>
            <w:r>
              <w:t xml:space="preserve">CHRO</w:t>
            </w:r>
          </w:p>
        </w:tc>
        <w:tc>
          <w:tcPr>
            <w:tcW w:type="dxa" w:w="2340"/>
            <w:tcMar>
              <w:top w:type="dxa" w:w="80"/>
              <w:left w:type="dxa" w:w="120"/>
              <w:bottom w:type="dxa" w:w="80"/>
              <w:right w:type="dxa" w:w="120"/>
            </w:tcMar>
          </w:tcPr>
          <w:p>
            <w:r>
              <w:t xml:space="preserve">July 1, 2026</w:t>
            </w:r>
          </w:p>
        </w:tc>
      </w:tr>
      <w:tr>
        <w:tc>
          <w:tcPr>
            <w:tcW w:type="dxa" w:w="4680"/>
            <w:tcMar>
              <w:top w:type="dxa" w:w="80"/>
              <w:left w:type="dxa" w:w="120"/>
              <w:bottom w:type="dxa" w:w="80"/>
              <w:right w:type="dxa" w:w="120"/>
            </w:tcMar>
          </w:tcPr>
          <w:p>
            <w:r>
              <w:t xml:space="preserve">Implement mandatory MFA for all employees (currently optional)</w:t>
            </w:r>
          </w:p>
        </w:tc>
        <w:tc>
          <w:tcPr>
            <w:tcW w:type="dxa" w:w="2340"/>
            <w:tcMar>
              <w:top w:type="dxa" w:w="80"/>
              <w:left w:type="dxa" w:w="120"/>
              <w:bottom w:type="dxa" w:w="80"/>
              <w:right w:type="dxa" w:w="120"/>
            </w:tcMar>
          </w:tcPr>
          <w:p>
            <w:r>
              <w:t xml:space="preserve">CIO</w:t>
            </w:r>
          </w:p>
        </w:tc>
        <w:tc>
          <w:tcPr>
            <w:tcW w:type="dxa" w:w="2340"/>
            <w:tcMar>
              <w:top w:type="dxa" w:w="80"/>
              <w:left w:type="dxa" w:w="120"/>
              <w:bottom w:type="dxa" w:w="80"/>
              <w:right w:type="dxa" w:w="120"/>
            </w:tcMar>
          </w:tcPr>
          <w:p>
            <w:r>
              <w:t xml:space="preserve">Aug 1, 2026</w:t>
            </w:r>
          </w:p>
        </w:tc>
      </w:tr>
      <w:tr>
        <w:tc>
          <w:tcPr>
            <w:tcW w:type="dxa" w:w="4680"/>
            <w:tcMar>
              <w:top w:type="dxa" w:w="80"/>
              <w:left w:type="dxa" w:w="120"/>
              <w:bottom w:type="dxa" w:w="80"/>
              <w:right w:type="dxa" w:w="120"/>
            </w:tcMar>
          </w:tcPr>
          <w:p>
            <w:r>
              <w:t xml:space="preserve">Establish verified communication channels with critical vendors</w:t>
            </w:r>
          </w:p>
        </w:tc>
        <w:tc>
          <w:tcPr>
            <w:tcW w:type="dxa" w:w="2340"/>
            <w:tcMar>
              <w:top w:type="dxa" w:w="80"/>
              <w:left w:type="dxa" w:w="120"/>
              <w:bottom w:type="dxa" w:w="80"/>
              <w:right w:type="dxa" w:w="120"/>
            </w:tcMar>
          </w:tcPr>
          <w:p>
            <w:r>
              <w:t xml:space="preserve">CFO</w:t>
            </w:r>
          </w:p>
        </w:tc>
        <w:tc>
          <w:tcPr>
            <w:tcW w:type="dxa" w:w="2340"/>
            <w:tcMar>
              <w:top w:type="dxa" w:w="80"/>
              <w:left w:type="dxa" w:w="120"/>
              <w:bottom w:type="dxa" w:w="80"/>
              <w:right w:type="dxa" w:w="120"/>
            </w:tcMar>
          </w:tcPr>
          <w:p>
            <w:r>
              <w:t xml:space="preserve">June 30, 2026</w:t>
            </w:r>
          </w:p>
        </w:tc>
      </w:tr>
    </w:tbl>
    <w:p/>
    <w:p>
      <w:pPr>
        <w:pStyle w:val="Heading2"/>
      </w:pPr>
      <w:r>
        <w:t xml:space="preserve">8.3 Key Lessons Learned</w:t>
      </w:r>
    </w:p>
    <w:p>
      <w:pPr>
        <w:pStyle w:val="ListParagraph"/>
        <w:numPr>
          <w:ilvl w:val="0"/>
          <w:numId w:val="2"/>
        </w:numPr>
      </w:pPr>
      <w:r>
        <w:rPr>
          <w:b/>
          <w:bCs/>
        </w:rPr>
        <w:t xml:space="preserve">Defense-in-depth architecture proved effective: </w:t>
      </w:r>
      <w:r>
        <w:t xml:space="preserve">Multiple security layers prevented what could have been a catastrophic ransomware incident</w:t>
      </w:r>
    </w:p>
    <w:p>
      <w:pPr>
        <w:pStyle w:val="ListParagraph"/>
        <w:numPr>
          <w:ilvl w:val="0"/>
          <w:numId w:val="2"/>
        </w:numPr>
      </w:pPr>
      <w:r>
        <w:rPr>
          <w:b/>
          <w:bCs/>
        </w:rPr>
        <w:t xml:space="preserve">EDR technology is critical: </w:t>
      </w:r>
      <w:r>
        <w:t xml:space="preserve">Automated detection and containment limited the window of opportunity for attackers</w:t>
      </w:r>
    </w:p>
    <w:p>
      <w:pPr>
        <w:pStyle w:val="ListParagraph"/>
        <w:numPr>
          <w:ilvl w:val="0"/>
          <w:numId w:val="2"/>
        </w:numPr>
      </w:pPr>
      <w:r>
        <w:rPr>
          <w:b/>
          <w:bCs/>
        </w:rPr>
        <w:t xml:space="preserve">Incident response readiness matters: </w:t>
      </w:r>
      <w:r>
        <w:t xml:space="preserve">Well-practiced procedures enabled rapid response and minimized impact</w:t>
      </w:r>
    </w:p>
    <w:p>
      <w:pPr>
        <w:pStyle w:val="ListParagraph"/>
        <w:numPr>
          <w:ilvl w:val="0"/>
          <w:numId w:val="2"/>
        </w:numPr>
      </w:pPr>
      <w:r>
        <w:rPr>
          <w:b/>
          <w:bCs/>
        </w:rPr>
        <w:t xml:space="preserve">Social engineering remains a significant threat: </w:t>
      </w:r>
      <w:r>
        <w:t xml:space="preserve">Even trained employees can fall victim to sophisticated phishing attacks</w:t>
      </w:r>
    </w:p>
    <w:p>
      <w:pPr>
        <w:pStyle w:val="ListParagraph"/>
        <w:numPr>
          <w:ilvl w:val="0"/>
          <w:numId w:val="2"/>
        </w:numPr>
      </w:pPr>
      <w:r>
        <w:rPr>
          <w:b/>
          <w:bCs/>
        </w:rPr>
        <w:t xml:space="preserve">Email security requires continuous improvement: </w:t>
      </w:r>
      <w:r>
        <w:t xml:space="preserve">Attackers constantly evolve tactics to bypass filters</w:t>
      </w:r>
    </w:p>
    <w:p>
      <w:pPr>
        <w:pStyle w:val="ListParagraph"/>
        <w:numPr>
          <w:ilvl w:val="0"/>
          <w:numId w:val="2"/>
        </w:numPr>
      </w:pPr>
      <w:r>
        <w:rPr>
          <w:b/>
          <w:bCs/>
        </w:rPr>
        <w:t xml:space="preserve">Industry collaboration is valuable: </w:t>
      </w:r>
      <w:r>
        <w:t xml:space="preserve">Sharing IoCs helps protect other organizations from similar attacks</w:t>
      </w:r>
    </w:p>
    <w:p>
      <w:pPr>
        <w:spacing w:after="240"/>
      </w:pPr>
    </w:p>
    <w:p>
      <w:r>
        <w:br w:type="page"/>
      </w:r>
    </w:p>
    <w:p>
      <w:pPr>
        <w:pStyle w:val="Heading1"/>
      </w:pPr>
      <w:r>
        <w:t xml:space="preserve">9. Communications and Notifications</w:t>
      </w:r>
    </w:p>
    <w:p>
      <w:pPr>
        <w:pStyle w:val="Heading2"/>
      </w:pPr>
      <w:r>
        <w:t xml:space="preserve">9.1 Internal Communications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shd w:fill="1F4E78" w:val="clear"/>
            <w:tcMar>
              <w:top w:type="dxa" w:w="80"/>
              <w:left w:type="dxa" w:w="120"/>
              <w:bottom w:type="dxa" w:w="80"/>
              <w:right w:type="dxa" w:w="120"/>
            </w:tcMar>
          </w:tcPr>
          <w:p>
            <w:r>
              <w:rPr>
                <w:b/>
                <w:bCs/>
                <w:color w:val="FFFFFF"/>
              </w:rPr>
              <w:t xml:space="preserve">Stakeholder</w:t>
            </w:r>
          </w:p>
        </w:tc>
        <w:tc>
          <w:tcPr>
            <w:tcW w:type="dxa" w:w="3120"/>
            <w:shd w:fill="1F4E78" w:val="clear"/>
            <w:tcMar>
              <w:top w:type="dxa" w:w="80"/>
              <w:left w:type="dxa" w:w="120"/>
              <w:bottom w:type="dxa" w:w="80"/>
              <w:right w:type="dxa" w:w="120"/>
            </w:tcMar>
          </w:tcPr>
          <w:p>
            <w:r>
              <w:rPr>
                <w:b/>
                <w:bCs/>
                <w:color w:val="FFFFFF"/>
              </w:rPr>
              <w:t xml:space="preserve">Communication</w:t>
            </w:r>
          </w:p>
        </w:tc>
        <w:tc>
          <w:tcPr>
            <w:tcW w:type="dxa" w:w="3900"/>
            <w:shd w:fill="1F4E78" w:val="clear"/>
            <w:tcMar>
              <w:top w:type="dxa" w:w="80"/>
              <w:left w:type="dxa" w:w="120"/>
              <w:bottom w:type="dxa" w:w="80"/>
              <w:right w:type="dxa" w:w="120"/>
            </w:tcMar>
          </w:tcPr>
          <w:p>
            <w:r>
              <w:rPr>
                <w:b/>
                <w:bCs/>
                <w:color w:val="FFFFFF"/>
              </w:rPr>
              <w:t xml:space="preserve">Date/Time</w:t>
            </w:r>
          </w:p>
        </w:tc>
      </w:tr>
      <w:tr>
        <w:tc>
          <w:tcPr>
            <w:tcW w:type="dxa" w:w="2340"/>
            <w:tcMar>
              <w:top w:type="dxa" w:w="80"/>
              <w:left w:type="dxa" w:w="120"/>
              <w:bottom w:type="dxa" w:w="80"/>
              <w:right w:type="dxa" w:w="120"/>
            </w:tcMar>
          </w:tcPr>
          <w:p>
            <w:r>
              <w:t xml:space="preserve">CISO</w:t>
            </w:r>
          </w:p>
        </w:tc>
        <w:tc>
          <w:tcPr>
            <w:tcW w:type="dxa" w:w="3120"/>
            <w:tcMar>
              <w:top w:type="dxa" w:w="80"/>
              <w:left w:type="dxa" w:w="120"/>
              <w:bottom w:type="dxa" w:w="80"/>
              <w:right w:type="dxa" w:w="120"/>
            </w:tcMar>
          </w:tcPr>
          <w:p>
            <w:r>
              <w:t xml:space="preserve">Initial incident notification</w:t>
            </w:r>
          </w:p>
        </w:tc>
        <w:tc>
          <w:tcPr>
            <w:tcW w:type="dxa" w:w="3900"/>
            <w:tcMar>
              <w:top w:type="dxa" w:w="80"/>
              <w:left w:type="dxa" w:w="120"/>
              <w:bottom w:type="dxa" w:w="80"/>
              <w:right w:type="dxa" w:w="120"/>
            </w:tcMar>
          </w:tcPr>
          <w:p>
            <w:r>
              <w:t xml:space="preserve">Apr 18, 14:35 PDT</w:t>
            </w:r>
          </w:p>
        </w:tc>
      </w:tr>
      <w:tr>
        <w:tc>
          <w:tcPr>
            <w:tcW w:type="dxa" w:w="2340"/>
            <w:tcMar>
              <w:top w:type="dxa" w:w="80"/>
              <w:left w:type="dxa" w:w="120"/>
              <w:bottom w:type="dxa" w:w="80"/>
              <w:right w:type="dxa" w:w="120"/>
            </w:tcMar>
          </w:tcPr>
          <w:p>
            <w:r>
              <w:t xml:space="preserve">CEO &amp; Executive Team</w:t>
            </w:r>
          </w:p>
        </w:tc>
        <w:tc>
          <w:tcPr>
            <w:tcW w:type="dxa" w:w="3120"/>
            <w:tcMar>
              <w:top w:type="dxa" w:w="80"/>
              <w:left w:type="dxa" w:w="120"/>
              <w:bottom w:type="dxa" w:w="80"/>
              <w:right w:type="dxa" w:w="120"/>
            </w:tcMar>
          </w:tcPr>
          <w:p>
            <w:r>
              <w:t xml:space="preserve">Executive briefing on incident status</w:t>
            </w:r>
          </w:p>
        </w:tc>
        <w:tc>
          <w:tcPr>
            <w:tcW w:type="dxa" w:w="3900"/>
            <w:tcMar>
              <w:top w:type="dxa" w:w="80"/>
              <w:left w:type="dxa" w:w="120"/>
              <w:bottom w:type="dxa" w:w="80"/>
              <w:right w:type="dxa" w:w="120"/>
            </w:tcMar>
          </w:tcPr>
          <w:p>
            <w:r>
              <w:t xml:space="preserve">Apr 18, 15:30 PDT</w:t>
            </w:r>
          </w:p>
        </w:tc>
      </w:tr>
      <w:tr>
        <w:tc>
          <w:tcPr>
            <w:tcW w:type="dxa" w:w="2340"/>
            <w:tcMar>
              <w:top w:type="dxa" w:w="80"/>
              <w:left w:type="dxa" w:w="120"/>
              <w:bottom w:type="dxa" w:w="80"/>
              <w:right w:type="dxa" w:w="120"/>
            </w:tcMar>
          </w:tcPr>
          <w:p>
            <w:r>
              <w:t xml:space="preserve">All Employees</w:t>
            </w:r>
          </w:p>
        </w:tc>
        <w:tc>
          <w:tcPr>
            <w:tcW w:type="dxa" w:w="3120"/>
            <w:tcMar>
              <w:top w:type="dxa" w:w="80"/>
              <w:left w:type="dxa" w:w="120"/>
              <w:bottom w:type="dxa" w:w="80"/>
              <w:right w:type="dxa" w:w="120"/>
            </w:tcMar>
          </w:tcPr>
          <w:p>
            <w:r>
              <w:t xml:space="preserve">Security awareness alert via email</w:t>
            </w:r>
          </w:p>
        </w:tc>
        <w:tc>
          <w:tcPr>
            <w:tcW w:type="dxa" w:w="3900"/>
            <w:tcMar>
              <w:top w:type="dxa" w:w="80"/>
              <w:left w:type="dxa" w:w="120"/>
              <w:bottom w:type="dxa" w:w="80"/>
              <w:right w:type="dxa" w:w="120"/>
            </w:tcMar>
          </w:tcPr>
          <w:p>
            <w:r>
              <w:t xml:space="preserve">Apr 19, 11:30 PDT</w:t>
            </w:r>
          </w:p>
        </w:tc>
      </w:tr>
      <w:tr>
        <w:tc>
          <w:tcPr>
            <w:tcW w:type="dxa" w:w="2340"/>
            <w:tcMar>
              <w:top w:type="dxa" w:w="80"/>
              <w:left w:type="dxa" w:w="120"/>
              <w:bottom w:type="dxa" w:w="80"/>
              <w:right w:type="dxa" w:w="120"/>
            </w:tcMar>
          </w:tcPr>
          <w:p>
            <w:r>
              <w:t xml:space="preserve">Board of Directors</w:t>
            </w:r>
          </w:p>
        </w:tc>
        <w:tc>
          <w:tcPr>
            <w:tcW w:type="dxa" w:w="3120"/>
            <w:tcMar>
              <w:top w:type="dxa" w:w="80"/>
              <w:left w:type="dxa" w:w="120"/>
              <w:bottom w:type="dxa" w:w="80"/>
              <w:right w:type="dxa" w:w="120"/>
            </w:tcMar>
          </w:tcPr>
          <w:p>
            <w:r>
              <w:t xml:space="preserve">Incident summary and resolution report</w:t>
            </w:r>
          </w:p>
        </w:tc>
        <w:tc>
          <w:tcPr>
            <w:tcW w:type="dxa" w:w="3900"/>
            <w:tcMar>
              <w:top w:type="dxa" w:w="80"/>
              <w:left w:type="dxa" w:w="120"/>
              <w:bottom w:type="dxa" w:w="80"/>
              <w:right w:type="dxa" w:w="120"/>
            </w:tcMar>
          </w:tcPr>
          <w:p>
            <w:r>
              <w:t xml:space="preserve">Apr 21, 16:00 PDT</w:t>
            </w:r>
          </w:p>
        </w:tc>
      </w:tr>
    </w:tbl>
    <w:p/>
    <w:p>
      <w:pPr>
        <w:pStyle w:val="Heading2"/>
      </w:pPr>
      <w:r>
        <w:t xml:space="preserve">9.2 External Notifications</w:t>
      </w:r>
    </w:p>
    <w:p>
      <w:r>
        <w:rPr>
          <w:b/>
          <w:bCs/>
        </w:rPr>
        <w:t xml:space="preserve">Regulatory Notifications: </w:t>
      </w:r>
      <w:r>
        <w:t xml:space="preserve">None required. No data breach occurred, therefore no notification obligations under PIPEDA or provincial privacy legislation were triggered.</w:t>
      </w:r>
    </w:p>
    <w:p/>
    <w:p>
      <w:r>
        <w:rPr>
          <w:b/>
          <w:bCs/>
        </w:rPr>
        <w:t xml:space="preserve">Customer Notifications: </w:t>
      </w:r>
      <w:r>
        <w:t xml:space="preserve">None required. No customer data was accessed or compromised.</w:t>
      </w:r>
    </w:p>
    <w:p/>
    <w:p>
      <w:r>
        <w:rPr>
          <w:b/>
          <w:bCs/>
        </w:rPr>
        <w:t xml:space="preserve">Vendor Notifications: </w:t>
      </w:r>
      <w:r>
        <w:t xml:space="preserve">Moneris (legitimate payment processor) was informed of the impersonation attack for their awareness. No other vendor notifications were required.</w:t>
      </w:r>
    </w:p>
    <w:p/>
    <w:p>
      <w:r>
        <w:rPr>
          <w:b/>
          <w:bCs/>
        </w:rPr>
        <w:t xml:space="preserve">Law Enforcement: </w:t>
      </w:r>
      <w:r>
        <w:t xml:space="preserve">Incident details shared with RCMP National Cybercrime Coordination Centre (NC3) for intelligence purposes. No formal investigation requested.</w:t>
      </w:r>
    </w:p>
    <w:p/>
    <w:p>
      <w:r>
        <w:rPr>
          <w:b/>
          <w:bCs/>
        </w:rPr>
        <w:t xml:space="preserve">Industry Sharing: </w:t>
      </w:r>
      <w:r>
        <w:t xml:space="preserve">IoCs shared with Canadian Cyber Threat Exchange (CCTX) and National Restaurant Association security working group to protect other organizations from similar attacks.</w:t>
      </w:r>
    </w:p>
    <w:p>
      <w:pPr>
        <w:spacing w:after="240"/>
      </w:pPr>
    </w:p>
    <w:p>
      <w:r>
        <w:br w:type="page"/>
      </w:r>
    </w:p>
    <w:p>
      <w:pPr>
        <w:pStyle w:val="Heading1"/>
      </w:pPr>
      <w:r>
        <w:t xml:space="preserve">10. Evidence and Documentation</w:t>
      </w:r>
    </w:p>
    <w:p>
      <w:pPr>
        <w:pStyle w:val="Heading2"/>
      </w:pPr>
      <w:r>
        <w:t xml:space="preserve">10.1 Evidence Collected and Preserved</w:t>
      </w:r>
    </w:p>
    <w:p>
      <w:r>
        <w:t xml:space="preserve">All evidence has been collected, documented, and preserved in accordance with QuickServe's evidence preservation procedures and ISO 27001:2022 Clause A.5.28 requirements:</w:t>
      </w:r>
    </w:p>
    <w:p/>
    <w:p>
      <w:pPr>
        <w:pStyle w:val="ListParagraph"/>
        <w:numPr>
          <w:ilvl w:val="0"/>
          <w:numId w:val="2"/>
        </w:numPr>
      </w:pPr>
      <w:r>
        <w:rPr>
          <w:b/>
          <w:bCs/>
        </w:rPr>
        <w:t xml:space="preserve">Forensic disk image: </w:t>
      </w:r>
      <w:r>
        <w:t xml:space="preserve">Complete bit-by-bit image of affected workstation QSVC-FIN-087</w:t>
      </w:r>
    </w:p>
    <w:p>
      <w:pPr>
        <w:pStyle w:val="ListParagraph"/>
        <w:numPr>
          <w:ilvl w:val="0"/>
          <w:numId w:val="2"/>
        </w:numPr>
      </w:pPr>
      <w:r>
        <w:rPr>
          <w:b/>
          <w:bCs/>
        </w:rPr>
        <w:t xml:space="preserve">Memory dump: </w:t>
      </w:r>
      <w:r>
        <w:t xml:space="preserve">RAM capture from time of detection</w:t>
      </w:r>
    </w:p>
    <w:p>
      <w:pPr>
        <w:pStyle w:val="ListParagraph"/>
        <w:numPr>
          <w:ilvl w:val="0"/>
          <w:numId w:val="2"/>
        </w:numPr>
      </w:pPr>
      <w:r>
        <w:rPr>
          <w:b/>
          <w:bCs/>
        </w:rPr>
        <w:t xml:space="preserve">Email evidence: </w:t>
      </w:r>
      <w:r>
        <w:t xml:space="preserve">Original phishing email with full headers and malicious attachment</w:t>
      </w:r>
    </w:p>
    <w:p>
      <w:pPr>
        <w:pStyle w:val="ListParagraph"/>
        <w:numPr>
          <w:ilvl w:val="0"/>
          <w:numId w:val="2"/>
        </w:numPr>
      </w:pPr>
      <w:r>
        <w:rPr>
          <w:b/>
          <w:bCs/>
        </w:rPr>
        <w:t xml:space="preserve">Network traffic logs: </w:t>
      </w:r>
      <w:r>
        <w:t xml:space="preserve">48-hour packet captures from affected network segment</w:t>
      </w:r>
    </w:p>
    <w:p>
      <w:pPr>
        <w:pStyle w:val="ListParagraph"/>
        <w:numPr>
          <w:ilvl w:val="0"/>
          <w:numId w:val="2"/>
        </w:numPr>
      </w:pPr>
      <w:r>
        <w:rPr>
          <w:b/>
          <w:bCs/>
        </w:rPr>
        <w:t xml:space="preserve">EDR logs: </w:t>
      </w:r>
      <w:r>
        <w:t xml:space="preserve">Complete behavioral analysis logs from CrowdStrike Falcon</w:t>
      </w:r>
    </w:p>
    <w:p>
      <w:pPr>
        <w:pStyle w:val="ListParagraph"/>
        <w:numPr>
          <w:ilvl w:val="0"/>
          <w:numId w:val="2"/>
        </w:numPr>
      </w:pPr>
      <w:r>
        <w:rPr>
          <w:b/>
          <w:bCs/>
        </w:rPr>
        <w:t xml:space="preserve">Malware samples: </w:t>
      </w:r>
      <w:r>
        <w:t xml:space="preserve">Quarantined executable files with hash verification</w:t>
      </w:r>
    </w:p>
    <w:p>
      <w:pPr>
        <w:pStyle w:val="ListParagraph"/>
        <w:numPr>
          <w:ilvl w:val="0"/>
          <w:numId w:val="2"/>
        </w:numPr>
      </w:pPr>
      <w:r>
        <w:rPr>
          <w:b/>
          <w:bCs/>
        </w:rPr>
        <w:t xml:space="preserve">Active Directory logs: </w:t>
      </w:r>
      <w:r>
        <w:t xml:space="preserve">Account activity records for affected user</w:t>
      </w:r>
    </w:p>
    <w:p>
      <w:pPr>
        <w:pStyle w:val="ListParagraph"/>
        <w:numPr>
          <w:ilvl w:val="0"/>
          <w:numId w:val="2"/>
        </w:numPr>
      </w:pPr>
      <w:r>
        <w:rPr>
          <w:b/>
          <w:bCs/>
        </w:rPr>
        <w:t xml:space="preserve">Screenshots and documentation: </w:t>
      </w:r>
      <w:r>
        <w:t xml:space="preserve">Timestamped evidence of all detection and response actions</w:t>
      </w:r>
    </w:p>
    <w:p/>
    <w:p>
      <w:r>
        <w:rPr>
          <w:b/>
          <w:bCs/>
        </w:rPr>
        <w:t xml:space="preserve">Evidence Retention: </w:t>
      </w:r>
      <w:r>
        <w:t xml:space="preserve">All evidence is stored in secure, encrypted storage with access restricted to authorized security personnel. Evidence will be retained for 7 years in accordance with corporate records retention policy.</w:t>
      </w:r>
    </w:p>
    <w:p/>
    <w:p>
      <w:pPr>
        <w:pStyle w:val="Heading2"/>
      </w:pPr>
      <w:r>
        <w:t xml:space="preserve">10.2 Chain of Custody</w:t>
      </w:r>
    </w:p>
    <w:p>
      <w:r>
        <w:t xml:space="preserve">Chain of custody has been maintained for all evidence items. Evidence handling log documents all access, transfers, and analysis activities. Evidence integrity verified through cryptographic hashing.</w:t>
      </w:r>
    </w:p>
    <w:p>
      <w:pPr>
        <w:spacing w:after="240"/>
      </w:pPr>
    </w:p>
    <w:p>
      <w:r>
        <w:br w:type="page"/>
      </w:r>
    </w:p>
    <w:p>
      <w:pPr>
        <w:pStyle w:val="Heading1"/>
      </w:pPr>
      <w:r>
        <w:t xml:space="preserve">11. Conclusion</w:t>
      </w:r>
    </w:p>
    <w:p>
      <w:r>
        <w:t xml:space="preserve">Incident INC-2026-0487 represents a successful test of QuickServe's security architecture and incident response capabilities. While the phishing attack bypassed initial email filtering controls, the defense-in-depth approach prevented what could have been a catastrophic ransomware incident affecting critical business operations.</w:t>
      </w:r>
    </w:p>
    <w:p/>
    <w:p>
      <w:r>
        <w:t xml:space="preserve">The rapid detection (2 minutes from execution attempt), swift containment (47 minutes from detection), and complete recovery with zero data loss demonstrates the effectiveness of QuickServe's Information Security Management System. The incident validates investments in EDR technology, network segmentation, backup systems, and incident response training.</w:t>
      </w:r>
    </w:p>
    <w:p/>
    <w:p>
      <w:r>
        <w:t xml:space="preserve">The corrective actions identified will further strengthen QuickServe's security posture, particularly in the areas of email security, authentication controls, and user awareness. The organization has demonstrated compliance with ISO 27001:2022 requirements for incident management (Clauses A.5.24 through A.5.28) and NIST SP 800-61r3 recommendations for incident response.</w:t>
      </w:r>
    </w:p>
    <w:p/>
    <w:p>
      <w:r>
        <w:t xml:space="preserve">This incident is now formally closed with lessons learned documented and improvement actions assigned and tracked.</w:t>
      </w:r>
    </w:p>
    <w:p>
      <w:pPr>
        <w:spacing w:after="360"/>
      </w:pPr>
    </w:p>
    <w:p>
      <w:pPr>
        <w:pStyle w:val="Heading2"/>
      </w:pPr>
      <w:r>
        <w:t xml:space="preserve">Report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5E8F0" w:val="clear"/>
            <w:tcMar>
              <w:top w:type="dxa" w:w="80"/>
              <w:left w:type="dxa" w:w="120"/>
              <w:bottom w:type="dxa" w:w="80"/>
              <w:right w:type="dxa" w:w="120"/>
            </w:tcMar>
          </w:tcPr>
          <w:p>
            <w:r>
              <w:rPr>
                <w:b/>
                <w:bCs/>
              </w:rPr>
              <w:t xml:space="preserve">Role</w:t>
            </w:r>
          </w:p>
        </w:tc>
        <w:tc>
          <w:tcPr>
            <w:tcW w:type="dxa" w:w="3120"/>
            <w:shd w:fill="D5E8F0" w:val="clear"/>
            <w:tcMar>
              <w:top w:type="dxa" w:w="80"/>
              <w:left w:type="dxa" w:w="120"/>
              <w:bottom w:type="dxa" w:w="80"/>
              <w:right w:type="dxa" w:w="120"/>
            </w:tcMar>
          </w:tcPr>
          <w:p>
            <w:r>
              <w:rPr>
                <w:b/>
                <w:bCs/>
              </w:rPr>
              <w:t xml:space="preserve">Name</w:t>
            </w:r>
          </w:p>
        </w:tc>
        <w:tc>
          <w:tcPr>
            <w:tcW w:type="dxa" w:w="3120"/>
            <w:shd w:fill="D5E8F0" w:val="clear"/>
            <w:tcMar>
              <w:top w:type="dxa" w:w="80"/>
              <w:left w:type="dxa" w:w="120"/>
              <w:bottom w:type="dxa" w:w="80"/>
              <w:right w:type="dxa" w:w="120"/>
            </w:tcMar>
          </w:tcPr>
          <w:p>
            <w:r>
              <w:rPr>
                <w:b/>
                <w:bCs/>
              </w:rPr>
              <w:t xml:space="preserve">Date</w:t>
            </w:r>
          </w:p>
        </w:tc>
      </w:tr>
      <w:tr>
        <w:tc>
          <w:tcPr>
            <w:tcW w:type="dxa" w:w="3120"/>
            <w:tcMar>
              <w:top w:type="dxa" w:w="80"/>
              <w:left w:type="dxa" w:w="120"/>
              <w:bottom w:type="dxa" w:w="80"/>
              <w:right w:type="dxa" w:w="120"/>
            </w:tcMar>
          </w:tcPr>
          <w:p>
            <w:r>
              <w:t xml:space="preserve">Prepared By</w:t>
            </w:r>
          </w:p>
        </w:tc>
        <w:tc>
          <w:tcPr>
            <w:tcW w:type="dxa" w:w="3120"/>
            <w:tcMar>
              <w:top w:type="dxa" w:w="80"/>
              <w:left w:type="dxa" w:w="120"/>
              <w:bottom w:type="dxa" w:w="80"/>
              <w:right w:type="dxa" w:w="120"/>
            </w:tcMar>
          </w:tcPr>
          <w:p>
            <w:r>
              <w:t xml:space="preserve">Maria Gonzalez, VP Information Security</w:t>
            </w:r>
          </w:p>
        </w:tc>
        <w:tc>
          <w:tcPr>
            <w:tcW w:type="dxa" w:w="3120"/>
            <w:tcMar>
              <w:top w:type="dxa" w:w="80"/>
              <w:left w:type="dxa" w:w="120"/>
              <w:bottom w:type="dxa" w:w="80"/>
              <w:right w:type="dxa" w:w="120"/>
            </w:tcMar>
          </w:tcPr>
          <w:p>
            <w:r>
              <w:t xml:space="preserve">April 25, 2026</w:t>
            </w:r>
          </w:p>
        </w:tc>
      </w:tr>
      <w:tr>
        <w:tc>
          <w:tcPr>
            <w:tcW w:type="dxa" w:w="3120"/>
            <w:tcMar>
              <w:top w:type="dxa" w:w="80"/>
              <w:left w:type="dxa" w:w="120"/>
              <w:bottom w:type="dxa" w:w="80"/>
              <w:right w:type="dxa" w:w="120"/>
            </w:tcMar>
          </w:tcPr>
          <w:p>
            <w:r>
              <w:t xml:space="preserve">Reviewed By</w:t>
            </w:r>
          </w:p>
        </w:tc>
        <w:tc>
          <w:tcPr>
            <w:tcW w:type="dxa" w:w="3120"/>
            <w:tcMar>
              <w:top w:type="dxa" w:w="80"/>
              <w:left w:type="dxa" w:w="120"/>
              <w:bottom w:type="dxa" w:w="80"/>
              <w:right w:type="dxa" w:w="120"/>
            </w:tcMar>
          </w:tcPr>
          <w:p>
            <w:r>
              <w:t xml:space="preserve">James Patterson, CISO</w:t>
            </w:r>
          </w:p>
        </w:tc>
        <w:tc>
          <w:tcPr>
            <w:tcW w:type="dxa" w:w="3120"/>
            <w:tcMar>
              <w:top w:type="dxa" w:w="80"/>
              <w:left w:type="dxa" w:w="120"/>
              <w:bottom w:type="dxa" w:w="80"/>
              <w:right w:type="dxa" w:w="120"/>
            </w:tcMar>
          </w:tcPr>
          <w:p>
            <w:r>
              <w:t xml:space="preserve">April 25, 2026</w:t>
            </w:r>
          </w:p>
        </w:tc>
      </w:tr>
      <w:tr>
        <w:tc>
          <w:tcPr>
            <w:tcW w:type="dxa" w:w="3120"/>
            <w:tcMar>
              <w:top w:type="dxa" w:w="80"/>
              <w:left w:type="dxa" w:w="120"/>
              <w:bottom w:type="dxa" w:w="80"/>
              <w:right w:type="dxa" w:w="120"/>
            </w:tcMar>
          </w:tcPr>
          <w:p>
            <w:r>
              <w:t xml:space="preserve">Approved By</w:t>
            </w:r>
          </w:p>
        </w:tc>
        <w:tc>
          <w:tcPr>
            <w:tcW w:type="dxa" w:w="3120"/>
            <w:tcMar>
              <w:top w:type="dxa" w:w="80"/>
              <w:left w:type="dxa" w:w="120"/>
              <w:bottom w:type="dxa" w:w="80"/>
              <w:right w:type="dxa" w:w="120"/>
            </w:tcMar>
          </w:tcPr>
          <w:p>
            <w:r>
              <w:t xml:space="preserve">Sarah Chen, Chief Executive Officer</w:t>
            </w:r>
          </w:p>
        </w:tc>
        <w:tc>
          <w:tcPr>
            <w:tcW w:type="dxa" w:w="3120"/>
            <w:tcMar>
              <w:top w:type="dxa" w:w="80"/>
              <w:left w:type="dxa" w:w="120"/>
              <w:bottom w:type="dxa" w:w="80"/>
              <w:right w:type="dxa" w:w="120"/>
            </w:tcMar>
          </w:tcPr>
          <w:p>
            <w:r>
              <w:t xml:space="preserve">April 25, 2026</w:t>
            </w:r>
          </w:p>
        </w:tc>
      </w:tr>
    </w:tbl>
    <w:p>
      <w:pPr>
        <w:spacing w:after="360"/>
      </w:pPr>
    </w:p>
    <w:p>
      <w:pPr>
        <w:spacing w:before="480"/>
        <w:jc w:val="center"/>
      </w:pPr>
      <w:r>
        <w:rPr>
          <w:i/>
          <w:iCs/>
          <w:color w:val="808080"/>
          <w:sz w:val="20"/>
          <w:szCs w:val="20"/>
        </w:rPr>
        <w:t xml:space="preserve">--- End of Report ---</w:t>
      </w:r>
    </w:p>
    <w:p>
      <w:pPr>
        <w:spacing w:before="120"/>
        <w:jc w:val="center"/>
      </w:pPr>
      <w:r>
        <w:rPr>
          <w:b/>
          <w:bCs/>
          <w:color w:val="C00000"/>
          <w:sz w:val="18"/>
          <w:szCs w:val="18"/>
        </w:rPr>
        <w:t xml:space="preserve">Document Classification: Internal - Confidential</w:t>
      </w:r>
    </w:p>
    <w:p>
      <w:pPr>
        <w:jc w:val="center"/>
      </w:pPr>
      <w:r>
        <w:rPr>
          <w:color w:val="808080"/>
          <w:sz w:val="18"/>
          <w:szCs w:val="18"/>
        </w:rPr>
        <w:t xml:space="preserve">ISO 27001:2022 Incident Management | NIST SP 800-61r3 Compliance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2026-05-05T23:57:06.823Z</dcterms:created>
  <dcterms:modified xsi:type="dcterms:W3CDTF">2026-05-05T23:57:06.837Z</dcterms:modified>
</cp:coreProperties>
</file>

<file path=docProps/custom.xml><?xml version="1.0" encoding="utf-8"?>
<Properties xmlns="http://schemas.openxmlformats.org/officeDocument/2006/custom-properties" xmlns:vt="http://schemas.openxmlformats.org/officeDocument/2006/docPropsVTypes"/>
</file>