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EC8D" w14:textId="77777777" w:rsidR="00D97A3F" w:rsidRPr="00D97A3F" w:rsidRDefault="00D97A3F" w:rsidP="00D97A3F">
      <w:pPr>
        <w:rPr>
          <w:b/>
          <w:bCs/>
        </w:rPr>
      </w:pPr>
      <w:proofErr w:type="spellStart"/>
      <w:r w:rsidRPr="00D97A3F">
        <w:rPr>
          <w:b/>
          <w:bCs/>
        </w:rPr>
        <w:t>GlobalFinance</w:t>
      </w:r>
      <w:proofErr w:type="spellEnd"/>
      <w:r w:rsidRPr="00D97A3F">
        <w:rPr>
          <w:b/>
          <w:bCs/>
        </w:rPr>
        <w:t xml:space="preserve"> Partners — Executive Leadership Team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53"/>
        <w:gridCol w:w="1407"/>
        <w:gridCol w:w="1764"/>
        <w:gridCol w:w="3604"/>
      </w:tblGrid>
      <w:tr w:rsidR="00D97A3F" w:rsidRPr="00D97A3F" w14:paraId="0ED09576" w14:textId="77777777" w:rsidTr="00D97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3CD8A" w14:textId="77777777" w:rsidR="00D97A3F" w:rsidRPr="00D97A3F" w:rsidRDefault="00D97A3F" w:rsidP="00D97A3F">
            <w:r w:rsidRPr="00D97A3F">
              <w:t>Title</w:t>
            </w:r>
          </w:p>
        </w:tc>
        <w:tc>
          <w:tcPr>
            <w:tcW w:w="0" w:type="auto"/>
            <w:hideMark/>
          </w:tcPr>
          <w:p w14:paraId="53010BB0" w14:textId="77777777" w:rsidR="00D97A3F" w:rsidRPr="00D97A3F" w:rsidRDefault="00D97A3F" w:rsidP="00D97A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Name</w:t>
            </w:r>
          </w:p>
        </w:tc>
        <w:tc>
          <w:tcPr>
            <w:tcW w:w="0" w:type="auto"/>
            <w:hideMark/>
          </w:tcPr>
          <w:p w14:paraId="6A2A2FA2" w14:textId="77777777" w:rsidR="00D97A3F" w:rsidRPr="00D97A3F" w:rsidRDefault="00D97A3F" w:rsidP="00D97A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Department</w:t>
            </w:r>
          </w:p>
        </w:tc>
        <w:tc>
          <w:tcPr>
            <w:tcW w:w="0" w:type="auto"/>
            <w:hideMark/>
          </w:tcPr>
          <w:p w14:paraId="6F724BBD" w14:textId="77777777" w:rsidR="00D97A3F" w:rsidRPr="00D97A3F" w:rsidRDefault="00D97A3F" w:rsidP="00D97A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Responsibilities (ISO 27001 Relevance)</w:t>
            </w:r>
          </w:p>
        </w:tc>
      </w:tr>
      <w:tr w:rsidR="00D97A3F" w:rsidRPr="00D97A3F" w14:paraId="77218142" w14:textId="77777777" w:rsidTr="00D9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296D2" w14:textId="77777777" w:rsidR="00D97A3F" w:rsidRPr="00D97A3F" w:rsidRDefault="00D97A3F" w:rsidP="00D97A3F">
            <w:r w:rsidRPr="00D97A3F">
              <w:t>Chief Executive Officer (CEO)</w:t>
            </w:r>
          </w:p>
        </w:tc>
        <w:tc>
          <w:tcPr>
            <w:tcW w:w="0" w:type="auto"/>
            <w:hideMark/>
          </w:tcPr>
          <w:p w14:paraId="4560F704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Richard Harlow</w:t>
            </w:r>
          </w:p>
        </w:tc>
        <w:tc>
          <w:tcPr>
            <w:tcW w:w="0" w:type="auto"/>
            <w:hideMark/>
          </w:tcPr>
          <w:p w14:paraId="33F130B1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Executive Office</w:t>
            </w:r>
          </w:p>
        </w:tc>
        <w:tc>
          <w:tcPr>
            <w:tcW w:w="0" w:type="auto"/>
            <w:hideMark/>
          </w:tcPr>
          <w:p w14:paraId="46E5C0C8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Overall organizational accountability; top management commitment to ISMS</w:t>
            </w:r>
          </w:p>
        </w:tc>
      </w:tr>
      <w:tr w:rsidR="00D97A3F" w:rsidRPr="00D97A3F" w14:paraId="1477BC1A" w14:textId="77777777" w:rsidTr="00D97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8C18D" w14:textId="77777777" w:rsidR="00D97A3F" w:rsidRPr="00D97A3F" w:rsidRDefault="00D97A3F" w:rsidP="00D97A3F">
            <w:r w:rsidRPr="00D97A3F">
              <w:t>Chief Financial Officer (CFO)</w:t>
            </w:r>
          </w:p>
        </w:tc>
        <w:tc>
          <w:tcPr>
            <w:tcW w:w="0" w:type="auto"/>
            <w:hideMark/>
          </w:tcPr>
          <w:p w14:paraId="5CD632BC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Sandra Okonkwo</w:t>
            </w:r>
          </w:p>
        </w:tc>
        <w:tc>
          <w:tcPr>
            <w:tcW w:w="0" w:type="auto"/>
            <w:hideMark/>
          </w:tcPr>
          <w:p w14:paraId="20654172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Finance &amp; Accounting</w:t>
            </w:r>
          </w:p>
        </w:tc>
        <w:tc>
          <w:tcPr>
            <w:tcW w:w="0" w:type="auto"/>
            <w:hideMark/>
          </w:tcPr>
          <w:p w14:paraId="678C8283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Financial risk oversight; budget authority for security investments</w:t>
            </w:r>
          </w:p>
        </w:tc>
      </w:tr>
      <w:tr w:rsidR="00D97A3F" w:rsidRPr="00D97A3F" w14:paraId="23BCF684" w14:textId="77777777" w:rsidTr="00D9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7E31F" w14:textId="77777777" w:rsidR="00D97A3F" w:rsidRPr="00D97A3F" w:rsidRDefault="00D97A3F" w:rsidP="00D97A3F">
            <w:r w:rsidRPr="00D97A3F">
              <w:t>Chief Information Officer (CIO)</w:t>
            </w:r>
          </w:p>
        </w:tc>
        <w:tc>
          <w:tcPr>
            <w:tcW w:w="0" w:type="auto"/>
            <w:hideMark/>
          </w:tcPr>
          <w:p w14:paraId="22510683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Marcus Chen</w:t>
            </w:r>
          </w:p>
        </w:tc>
        <w:tc>
          <w:tcPr>
            <w:tcW w:w="0" w:type="auto"/>
            <w:hideMark/>
          </w:tcPr>
          <w:p w14:paraId="197398CC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Information Technology</w:t>
            </w:r>
          </w:p>
        </w:tc>
        <w:tc>
          <w:tcPr>
            <w:tcW w:w="0" w:type="auto"/>
            <w:hideMark/>
          </w:tcPr>
          <w:p w14:paraId="02B98F59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IT strategy, infrastructure ownership, technology risk</w:t>
            </w:r>
          </w:p>
        </w:tc>
      </w:tr>
      <w:tr w:rsidR="00D97A3F" w:rsidRPr="00D97A3F" w14:paraId="53A23EC0" w14:textId="77777777" w:rsidTr="00D97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9EDBD" w14:textId="77777777" w:rsidR="00D97A3F" w:rsidRPr="00D97A3F" w:rsidRDefault="00D97A3F" w:rsidP="00D97A3F">
            <w:r w:rsidRPr="00D97A3F">
              <w:t>Chief Information Security Officer (CISO)</w:t>
            </w:r>
          </w:p>
        </w:tc>
        <w:tc>
          <w:tcPr>
            <w:tcW w:w="0" w:type="auto"/>
            <w:hideMark/>
          </w:tcPr>
          <w:p w14:paraId="66323696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Priya Nair</w:t>
            </w:r>
          </w:p>
        </w:tc>
        <w:tc>
          <w:tcPr>
            <w:tcW w:w="0" w:type="auto"/>
            <w:hideMark/>
          </w:tcPr>
          <w:p w14:paraId="2F650AE9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Information Security</w:t>
            </w:r>
          </w:p>
        </w:tc>
        <w:tc>
          <w:tcPr>
            <w:tcW w:w="0" w:type="auto"/>
            <w:hideMark/>
          </w:tcPr>
          <w:p w14:paraId="52604E22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ISMS ownership; risk treatment, policy authority, audit liaison</w:t>
            </w:r>
          </w:p>
        </w:tc>
      </w:tr>
      <w:tr w:rsidR="00D97A3F" w:rsidRPr="00D97A3F" w14:paraId="5795D83B" w14:textId="77777777" w:rsidTr="00D9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E21C5" w14:textId="77777777" w:rsidR="00D97A3F" w:rsidRPr="00D97A3F" w:rsidRDefault="00D97A3F" w:rsidP="00D97A3F">
            <w:r w:rsidRPr="00D97A3F">
              <w:t>Chief Operating Officer (COO)</w:t>
            </w:r>
          </w:p>
        </w:tc>
        <w:tc>
          <w:tcPr>
            <w:tcW w:w="0" w:type="auto"/>
            <w:hideMark/>
          </w:tcPr>
          <w:p w14:paraId="5A724A1F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James Whitfield</w:t>
            </w:r>
          </w:p>
        </w:tc>
        <w:tc>
          <w:tcPr>
            <w:tcW w:w="0" w:type="auto"/>
            <w:hideMark/>
          </w:tcPr>
          <w:p w14:paraId="6D927302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Operations</w:t>
            </w:r>
          </w:p>
        </w:tc>
        <w:tc>
          <w:tcPr>
            <w:tcW w:w="0" w:type="auto"/>
            <w:hideMark/>
          </w:tcPr>
          <w:p w14:paraId="2652F536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Business continuity, operational process ownership, incident response coordination</w:t>
            </w:r>
          </w:p>
        </w:tc>
      </w:tr>
      <w:tr w:rsidR="00D97A3F" w:rsidRPr="00D97A3F" w14:paraId="15F1DE12" w14:textId="77777777" w:rsidTr="00D97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53171" w14:textId="77777777" w:rsidR="00D97A3F" w:rsidRPr="00D97A3F" w:rsidRDefault="00D97A3F" w:rsidP="00D97A3F">
            <w:r w:rsidRPr="00D97A3F">
              <w:t>Chief Compliance Officer (CCO)</w:t>
            </w:r>
          </w:p>
        </w:tc>
        <w:tc>
          <w:tcPr>
            <w:tcW w:w="0" w:type="auto"/>
            <w:hideMark/>
          </w:tcPr>
          <w:p w14:paraId="38968601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Elaine Rousseau</w:t>
            </w:r>
          </w:p>
        </w:tc>
        <w:tc>
          <w:tcPr>
            <w:tcW w:w="0" w:type="auto"/>
            <w:hideMark/>
          </w:tcPr>
          <w:p w14:paraId="019FB8EC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Legal &amp; Compliance</w:t>
            </w:r>
          </w:p>
        </w:tc>
        <w:tc>
          <w:tcPr>
            <w:tcW w:w="0" w:type="auto"/>
            <w:hideMark/>
          </w:tcPr>
          <w:p w14:paraId="6785E011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Regulatory compliance (PCI-DSS, SOX, GDPR), internal audit coordination</w:t>
            </w:r>
          </w:p>
        </w:tc>
      </w:tr>
      <w:tr w:rsidR="00D97A3F" w:rsidRPr="00D97A3F" w14:paraId="02F43D07" w14:textId="77777777" w:rsidTr="00D9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11B12" w14:textId="77777777" w:rsidR="00D97A3F" w:rsidRPr="00D97A3F" w:rsidRDefault="00D97A3F" w:rsidP="00D97A3F">
            <w:r w:rsidRPr="00D97A3F">
              <w:t>Chief Risk Officer (CRO)</w:t>
            </w:r>
          </w:p>
        </w:tc>
        <w:tc>
          <w:tcPr>
            <w:tcW w:w="0" w:type="auto"/>
            <w:hideMark/>
          </w:tcPr>
          <w:p w14:paraId="28D88D22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David Osei</w:t>
            </w:r>
          </w:p>
        </w:tc>
        <w:tc>
          <w:tcPr>
            <w:tcW w:w="0" w:type="auto"/>
            <w:hideMark/>
          </w:tcPr>
          <w:p w14:paraId="16AB141E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Enterprise Risk</w:t>
            </w:r>
          </w:p>
        </w:tc>
        <w:tc>
          <w:tcPr>
            <w:tcW w:w="0" w:type="auto"/>
            <w:hideMark/>
          </w:tcPr>
          <w:p w14:paraId="3C2F704E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Enterprise risk management, risk register ownership, third-party risk</w:t>
            </w:r>
          </w:p>
        </w:tc>
      </w:tr>
      <w:tr w:rsidR="00D97A3F" w:rsidRPr="00D97A3F" w14:paraId="6963C78A" w14:textId="77777777" w:rsidTr="00D97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5DD1A" w14:textId="77777777" w:rsidR="00D97A3F" w:rsidRPr="00D97A3F" w:rsidRDefault="00D97A3F" w:rsidP="00D97A3F">
            <w:r w:rsidRPr="00D97A3F">
              <w:t>Chief Technology Officer (CTO)</w:t>
            </w:r>
          </w:p>
        </w:tc>
        <w:tc>
          <w:tcPr>
            <w:tcW w:w="0" w:type="auto"/>
            <w:hideMark/>
          </w:tcPr>
          <w:p w14:paraId="1D902B0E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Taryn Vasquez</w:t>
            </w:r>
          </w:p>
        </w:tc>
        <w:tc>
          <w:tcPr>
            <w:tcW w:w="0" w:type="auto"/>
            <w:hideMark/>
          </w:tcPr>
          <w:p w14:paraId="3ED08530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Technology &amp; Engineering</w:t>
            </w:r>
          </w:p>
        </w:tc>
        <w:tc>
          <w:tcPr>
            <w:tcW w:w="0" w:type="auto"/>
            <w:hideMark/>
          </w:tcPr>
          <w:p w14:paraId="609258C1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Product/platform architecture, secure development lifecycle</w:t>
            </w:r>
          </w:p>
        </w:tc>
      </w:tr>
      <w:tr w:rsidR="00D97A3F" w:rsidRPr="00D97A3F" w14:paraId="712B73FE" w14:textId="77777777" w:rsidTr="00D9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AFAC3" w14:textId="77777777" w:rsidR="00D97A3F" w:rsidRPr="00D97A3F" w:rsidRDefault="00D97A3F" w:rsidP="00D97A3F">
            <w:r w:rsidRPr="00D97A3F">
              <w:t>VP of Human Resources</w:t>
            </w:r>
          </w:p>
        </w:tc>
        <w:tc>
          <w:tcPr>
            <w:tcW w:w="0" w:type="auto"/>
            <w:hideMark/>
          </w:tcPr>
          <w:p w14:paraId="58A2C775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Michelle Tran</w:t>
            </w:r>
          </w:p>
        </w:tc>
        <w:tc>
          <w:tcPr>
            <w:tcW w:w="0" w:type="auto"/>
            <w:hideMark/>
          </w:tcPr>
          <w:p w14:paraId="77CAAB51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Human Resources</w:t>
            </w:r>
          </w:p>
        </w:tc>
        <w:tc>
          <w:tcPr>
            <w:tcW w:w="0" w:type="auto"/>
            <w:hideMark/>
          </w:tcPr>
          <w:p w14:paraId="351B3E22" w14:textId="77777777" w:rsidR="00D97A3F" w:rsidRPr="00D97A3F" w:rsidRDefault="00D97A3F" w:rsidP="00D97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A3F">
              <w:t>Personnel security, security awareness training, onboarding/offboarding</w:t>
            </w:r>
          </w:p>
        </w:tc>
      </w:tr>
      <w:tr w:rsidR="00D97A3F" w:rsidRPr="00D97A3F" w14:paraId="61663403" w14:textId="77777777" w:rsidTr="00D97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DC8B7" w14:textId="77777777" w:rsidR="00D97A3F" w:rsidRPr="00D97A3F" w:rsidRDefault="00D97A3F" w:rsidP="00D97A3F">
            <w:r w:rsidRPr="00D97A3F">
              <w:t>VP of Legal Affairs</w:t>
            </w:r>
          </w:p>
        </w:tc>
        <w:tc>
          <w:tcPr>
            <w:tcW w:w="0" w:type="auto"/>
            <w:hideMark/>
          </w:tcPr>
          <w:p w14:paraId="4AD9EE9E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Nathaniel Burke</w:t>
            </w:r>
          </w:p>
        </w:tc>
        <w:tc>
          <w:tcPr>
            <w:tcW w:w="0" w:type="auto"/>
            <w:hideMark/>
          </w:tcPr>
          <w:p w14:paraId="25A410F2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Legal</w:t>
            </w:r>
          </w:p>
        </w:tc>
        <w:tc>
          <w:tcPr>
            <w:tcW w:w="0" w:type="auto"/>
            <w:hideMark/>
          </w:tcPr>
          <w:p w14:paraId="222ADCD2" w14:textId="77777777" w:rsidR="00D97A3F" w:rsidRPr="00D97A3F" w:rsidRDefault="00D97A3F" w:rsidP="00D97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A3F">
              <w:t>Contractual obligations, NDA enforcement, incident legal response</w:t>
            </w:r>
          </w:p>
        </w:tc>
      </w:tr>
    </w:tbl>
    <w:p w14:paraId="4E5D18F0" w14:textId="77777777" w:rsidR="006A6AF1" w:rsidRDefault="006A6AF1"/>
    <w:sectPr w:rsidR="006A6AF1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CA887" w14:textId="77777777" w:rsidR="00304ED4" w:rsidRDefault="00304ED4" w:rsidP="00D97A3F">
      <w:r>
        <w:separator/>
      </w:r>
    </w:p>
  </w:endnote>
  <w:endnote w:type="continuationSeparator" w:id="0">
    <w:p w14:paraId="278269CD" w14:textId="77777777" w:rsidR="00304ED4" w:rsidRDefault="00304ED4" w:rsidP="00D97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7E131" w14:textId="77777777" w:rsidR="00304ED4" w:rsidRDefault="00304ED4" w:rsidP="00D97A3F">
      <w:r>
        <w:separator/>
      </w:r>
    </w:p>
  </w:footnote>
  <w:footnote w:type="continuationSeparator" w:id="0">
    <w:p w14:paraId="009DF00F" w14:textId="77777777" w:rsidR="00304ED4" w:rsidRDefault="00304ED4" w:rsidP="00D97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79"/>
    <w:rsid w:val="00304ED4"/>
    <w:rsid w:val="003D0979"/>
    <w:rsid w:val="006A6AF1"/>
    <w:rsid w:val="00913AEE"/>
    <w:rsid w:val="00945FCB"/>
    <w:rsid w:val="00955DBA"/>
    <w:rsid w:val="00D9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74F5"/>
  <w15:chartTrackingRefBased/>
  <w15:docId w15:val="{E0B7B1F5-0F15-4DFF-8A32-E3346630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979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9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9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9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9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9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979"/>
    <w:rPr>
      <w:b/>
      <w:bCs/>
      <w:smallCaps/>
      <w:color w:val="0F4761" w:themeColor="accent1" w:themeShade="BF"/>
      <w:spacing w:val="5"/>
    </w:rPr>
  </w:style>
  <w:style w:type="paragraph" w:customStyle="1" w:styleId="TableHeader">
    <w:name w:val="Table Header"/>
    <w:rsid w:val="003D0979"/>
    <w:pPr>
      <w:spacing w:after="0" w:line="240" w:lineRule="auto"/>
      <w:jc w:val="center"/>
    </w:pPr>
    <w:rPr>
      <w:rFonts w:ascii="Arial" w:eastAsia="Arial" w:hAnsi="Arial" w:cs="Arial"/>
      <w:b/>
      <w:bCs/>
      <w:color w:val="FFFFFF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7A3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A3F"/>
    <w:rPr>
      <w:rFonts w:ascii="Arial" w:eastAsia="Arial" w:hAnsi="Arial" w:cs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7A3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A3F"/>
    <w:rPr>
      <w:rFonts w:ascii="Arial" w:eastAsia="Arial" w:hAnsi="Arial" w:cs="Arial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D97A3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Risk Solutions</dc:creator>
  <cp:keywords/>
  <dc:description/>
  <cp:lastModifiedBy>Cyber Risk Solutions</cp:lastModifiedBy>
  <cp:revision>2</cp:revision>
  <dcterms:created xsi:type="dcterms:W3CDTF">2025-11-18T17:36:00Z</dcterms:created>
  <dcterms:modified xsi:type="dcterms:W3CDTF">2026-05-05T16:45:00Z</dcterms:modified>
</cp:coreProperties>
</file>