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aps/>
          <w:color w:val="1F3864"/>
          <w:sz w:val="52"/>
          <w:szCs w:val="52"/>
        </w:rPr>
        <w:t xml:space="preserve">GLOBALFINANCE PARTNERS</w:t>
      </w:r>
    </w:p>
    <w:p>
      <w:pPr>
        <w:pBdr>
          <w:bottom w:val="single" w:color="2E5FA3" w:sz="20" w:space="4"/>
        </w:pBdr>
        <w:spacing w:after="240" w:before="0"/>
      </w:pPr>
    </w:p>
    <w:p>
      <w:pPr>
        <w:spacing w:after="80" w:before="240"/>
      </w:pPr>
      <w:r>
        <w:rPr>
          <w:rFonts w:ascii="Arial" w:cs="Arial" w:eastAsia="Arial" w:hAnsi="Arial"/>
          <w:b/>
          <w:bCs/>
          <w:color w:val="2E5FA3"/>
          <w:sz w:val="40"/>
          <w:szCs w:val="40"/>
        </w:rPr>
        <w:t xml:space="preserve">Information and Communication Technology</w:t>
      </w:r>
    </w:p>
    <w:p>
      <w:pPr>
        <w:spacing w:after="240" w:before="0"/>
      </w:pPr>
      <w:r>
        <w:rPr>
          <w:rFonts w:ascii="Arial" w:cs="Arial" w:eastAsia="Arial" w:hAnsi="Arial"/>
          <w:b/>
          <w:bCs/>
          <w:color w:val="2E5FA3"/>
          <w:sz w:val="40"/>
          <w:szCs w:val="40"/>
        </w:rPr>
        <w:t xml:space="preserve">Continuity Plan</w:t>
      </w:r>
    </w:p>
    <w:p>
      <w:pPr>
        <w:spacing w:after="480" w:before="80"/>
      </w:pPr>
      <w:r>
        <w:rPr>
          <w:rFonts w:ascii="Arial" w:cs="Arial" w:eastAsia="Arial" w:hAnsi="Arial"/>
          <w:i/>
          <w:iCs/>
          <w:color w:val="555555"/>
          <w:sz w:val="22"/>
          <w:szCs w:val="22"/>
        </w:rPr>
        <w:t xml:space="preserve">ISO/IEC 27001:2022 Control 5.30 — ICT Readiness for Business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Document ID</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GFP-PLAN-ICTCP-001</w:t>
            </w:r>
          </w:p>
        </w:tc>
      </w:tr>
      <w:tr>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Version</w:t>
            </w:r>
          </w:p>
        </w:tc>
        <w:tc>
          <w:tcPr>
            <w:tcW w:type="dxa" w:w="6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Effective Date</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June 2026</w:t>
            </w:r>
          </w:p>
        </w:tc>
      </w:tr>
      <w:tr>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Review Cycle</w:t>
            </w:r>
          </w:p>
        </w:tc>
        <w:tc>
          <w:tcPr>
            <w:tcW w:type="dxa" w:w="6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w:t>
            </w:r>
          </w:p>
        </w:tc>
      </w:tr>
      <w:tr>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Owner</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Chief Information Officer (Marcus Chen)</w:t>
            </w:r>
          </w:p>
        </w:tc>
      </w:tr>
      <w:tr>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Co-Owner</w:t>
            </w:r>
          </w:p>
        </w:tc>
        <w:tc>
          <w:tcPr>
            <w:tcW w:type="dxa" w:w="6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Chief Information Security Officer (Priya Nair)</w:t>
            </w:r>
          </w:p>
        </w:tc>
      </w:tr>
      <w:tr>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Approved By</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James Whitfield, Chief Operating Officer</w:t>
            </w:r>
          </w:p>
        </w:tc>
      </w:tr>
      <w:tr>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Classification</w:t>
            </w:r>
          </w:p>
        </w:tc>
        <w:tc>
          <w:tcPr>
            <w:tcW w:type="dxa" w:w="6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CONFIDENTIAL — Internal Use Only</w:t>
            </w:r>
          </w:p>
        </w:tc>
      </w:tr>
    </w:tbl>
    <w:p>
      <w:pPr>
        <w:spacing w:after="80" w:before="320"/>
      </w:pPr>
      <w:r>
        <w:rPr>
          <w:rFonts w:ascii="Arial" w:cs="Arial" w:eastAsia="Arial" w:hAnsi="Arial"/>
          <w:b/>
          <w:bCs/>
          <w:color w:val="1F3864"/>
          <w:sz w:val="22"/>
          <w:szCs w:val="2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600"/>
        <w:gridCol w:w="2880"/>
      </w:tblGrid>
      <w:tr>
        <w:tc>
          <w:tcPr>
            <w:tcW w:type="dxa" w:w="1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Version</w:t>
            </w:r>
          </w:p>
        </w:tc>
        <w:tc>
          <w:tcPr>
            <w:tcW w:type="dxa" w:w="1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Date</w:t>
            </w:r>
          </w:p>
        </w:tc>
        <w:tc>
          <w:tcPr>
            <w:tcW w:type="dxa" w:w="36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Description</w:t>
            </w:r>
          </w:p>
        </w:tc>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Author</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June 2026</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release — ISO 27001:2022 control 5.30 aligned</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Marcus Chen, CIO</w:t>
            </w:r>
          </w:p>
        </w:tc>
      </w:tr>
    </w:tbl>
    <w:p>
      <w:r>
        <w:br w:type="page"/>
      </w:r>
    </w:p>
    <w:p>
      <w:pPr>
        <w:pStyle w:val="Heading1"/>
        <w:spacing w:after="160" w:before="320"/>
      </w:pPr>
      <w:r>
        <w:rPr>
          <w:rFonts w:ascii="Arial" w:cs="Arial" w:eastAsia="Arial" w:hAnsi="Arial"/>
          <w:b/>
          <w:bCs/>
          <w:color w:val="1F3864"/>
          <w:sz w:val="36"/>
          <w:szCs w:val="36"/>
        </w:rPr>
        <w:t xml:space="preserve">1. Purpose and Scope</w:t>
      </w:r>
    </w:p>
    <w:p>
      <w:pPr>
        <w:pBdr>
          <w:bottom w:val="single" w:color="2E5FA3" w:sz="6" w:space="1"/>
        </w:pBdr>
        <w:spacing w:after="80" w:before="80"/>
      </w:pPr>
    </w:p>
    <w:p>
      <w:pPr>
        <w:pStyle w:val="Heading2"/>
        <w:spacing w:after="120" w:before="240"/>
      </w:pPr>
      <w:r>
        <w:rPr>
          <w:rFonts w:ascii="Arial" w:cs="Arial" w:eastAsia="Arial" w:hAnsi="Arial"/>
          <w:b/>
          <w:bCs/>
          <w:color w:val="2E5FA3"/>
          <w:sz w:val="28"/>
          <w:szCs w:val="28"/>
        </w:rPr>
        <w:t xml:space="preserve">1.1 Purpose</w:t>
      </w:r>
    </w:p>
    <w:p>
      <w:pPr>
        <w:spacing w:after="80" w:before="80"/>
      </w:pPr>
      <w:r>
        <w:rPr>
          <w:rFonts w:ascii="Arial" w:cs="Arial" w:eastAsia="Arial" w:hAnsi="Arial"/>
          <w:color w:val="000000"/>
          <w:sz w:val="20"/>
          <w:szCs w:val="20"/>
        </w:rPr>
        <w:t xml:space="preserve">This ICT Continuity Plan (ICTCP) defines GlobalFinance Partners' approach to planning, implementing, maintaining, and testing the ICT readiness necessary to support business continuity objectives. It fulfils the requirements of ISO/IEC 27001:2022 Annex A control 5.30 — ICT Readiness for Business Continuity — and operates as a technical subordinate document under the GlobalFinance Partners Business Continuity Policy (GFP-POL-BCP-001).</w:t>
      </w:r>
    </w:p>
    <w:p>
      <w:pPr>
        <w:spacing w:after="80" w:before="80"/>
      </w:pPr>
      <w:r>
        <w:rPr>
          <w:rFonts w:ascii="Arial" w:cs="Arial" w:eastAsia="Arial" w:hAnsi="Arial"/>
          <w:color w:val="000000"/>
          <w:sz w:val="20"/>
          <w:szCs w:val="20"/>
        </w:rPr>
        <w:t xml:space="preserve">The ICTCP ensures that ICT systems and services can be restored to meet recovery time and recovery point objectives, that information security controls remain effective throughout recovery operations, and that ICT recovery capabilities are routinely tested and improved.</w:t>
      </w:r>
    </w:p>
    <w:p>
      <w:pPr>
        <w:pStyle w:val="Heading2"/>
        <w:spacing w:after="120" w:before="240"/>
      </w:pPr>
      <w:r>
        <w:rPr>
          <w:rFonts w:ascii="Arial" w:cs="Arial" w:eastAsia="Arial" w:hAnsi="Arial"/>
          <w:b/>
          <w:bCs/>
          <w:color w:val="2E5FA3"/>
          <w:sz w:val="28"/>
          <w:szCs w:val="28"/>
        </w:rPr>
        <w:t xml:space="preserve">1.2 Scope</w:t>
      </w:r>
    </w:p>
    <w:p>
      <w:pPr>
        <w:spacing w:after="80" w:before="80"/>
      </w:pPr>
      <w:r>
        <w:rPr>
          <w:rFonts w:ascii="Arial" w:cs="Arial" w:eastAsia="Arial" w:hAnsi="Arial"/>
          <w:color w:val="000000"/>
          <w:sz w:val="20"/>
          <w:szCs w:val="20"/>
        </w:rPr>
        <w:t xml:space="preserve">This plan applies to:</w:t>
      </w:r>
    </w:p>
    <w:p>
      <w:pPr>
        <w:pStyle w:val="ListParagraph"/>
        <w:numPr>
          <w:ilvl w:val="0"/>
          <w:numId w:val="2"/>
        </w:numPr>
        <w:spacing w:after="40" w:before="40"/>
      </w:pPr>
      <w:r>
        <w:rPr>
          <w:rFonts w:ascii="Arial" w:cs="Arial" w:eastAsia="Arial" w:hAnsi="Arial"/>
          <w:color w:val="000000"/>
          <w:sz w:val="20"/>
          <w:szCs w:val="20"/>
        </w:rPr>
        <w:t xml:space="preserve">All ICT infrastructure, platforms, applications, and data assets supporting GlobalFinance Partners operations</w:t>
      </w:r>
    </w:p>
    <w:p>
      <w:pPr>
        <w:pStyle w:val="ListParagraph"/>
        <w:numPr>
          <w:ilvl w:val="0"/>
          <w:numId w:val="2"/>
        </w:numPr>
        <w:spacing w:after="40" w:before="40"/>
      </w:pPr>
      <w:r>
        <w:rPr>
          <w:rFonts w:ascii="Arial" w:cs="Arial" w:eastAsia="Arial" w:hAnsi="Arial"/>
          <w:color w:val="000000"/>
          <w:sz w:val="20"/>
          <w:szCs w:val="20"/>
        </w:rPr>
        <w:t xml:space="preserve">All personnel with ICT recovery or disaster recovery responsibilities, including staff, contractors, and managed service providers</w:t>
      </w:r>
    </w:p>
    <w:p>
      <w:pPr>
        <w:pStyle w:val="ListParagraph"/>
        <w:numPr>
          <w:ilvl w:val="0"/>
          <w:numId w:val="2"/>
        </w:numPr>
        <w:spacing w:after="40" w:before="40"/>
      </w:pPr>
      <w:r>
        <w:rPr>
          <w:rFonts w:ascii="Arial" w:cs="Arial" w:eastAsia="Arial" w:hAnsi="Arial"/>
          <w:color w:val="000000"/>
          <w:sz w:val="20"/>
          <w:szCs w:val="20"/>
        </w:rPr>
        <w:t xml:space="preserve">All processing sites — primary, hot standby, warm, and cloud — used by GlobalFinance Partners</w:t>
      </w:r>
    </w:p>
    <w:p>
      <w:pPr>
        <w:pStyle w:val="ListParagraph"/>
        <w:numPr>
          <w:ilvl w:val="0"/>
          <w:numId w:val="2"/>
        </w:numPr>
        <w:spacing w:after="40" w:before="40"/>
      </w:pPr>
      <w:r>
        <w:rPr>
          <w:rFonts w:ascii="Arial" w:cs="Arial" w:eastAsia="Arial" w:hAnsi="Arial"/>
          <w:color w:val="000000"/>
          <w:sz w:val="20"/>
          <w:szCs w:val="20"/>
        </w:rPr>
        <w:t xml:space="preserve">Third-party ICT service providers and cloud service operators with roles in recovery operations</w:t>
      </w:r>
    </w:p>
    <w:p>
      <w:pPr>
        <w:pStyle w:val="Heading2"/>
        <w:spacing w:after="120" w:before="240"/>
      </w:pPr>
      <w:r>
        <w:rPr>
          <w:rFonts w:ascii="Arial" w:cs="Arial" w:eastAsia="Arial" w:hAnsi="Arial"/>
          <w:b/>
          <w:bCs/>
          <w:color w:val="2E5FA3"/>
          <w:sz w:val="28"/>
          <w:szCs w:val="28"/>
        </w:rPr>
        <w:t xml:space="preserve">1.3 Relationship to Other Plans</w:t>
      </w:r>
    </w:p>
    <w:p>
      <w:pPr>
        <w:spacing w:after="80" w:before="80"/>
      </w:pPr>
      <w:r>
        <w:rPr>
          <w:rFonts w:ascii="Arial" w:cs="Arial" w:eastAsia="Arial" w:hAnsi="Arial"/>
          <w:color w:val="000000"/>
          <w:sz w:val="20"/>
          <w:szCs w:val="20"/>
        </w:rPr>
        <w:t xml:space="preserve">This ICTCP operates within a plan hierarchy:</w:t>
      </w:r>
    </w:p>
    <w:p>
      <w:pPr>
        <w:pStyle w:val="ListParagraph"/>
        <w:numPr>
          <w:ilvl w:val="0"/>
          <w:numId w:val="2"/>
        </w:numPr>
        <w:spacing w:after="40" w:before="40"/>
      </w:pPr>
      <w:r>
        <w:rPr>
          <w:rFonts w:ascii="Arial" w:cs="Arial" w:eastAsia="Arial" w:hAnsi="Arial"/>
          <w:color w:val="000000"/>
          <w:sz w:val="20"/>
          <w:szCs w:val="20"/>
        </w:rPr>
        <w:t xml:space="preserve">Business Continuity Policy (GFP-POL-BCP-001) — Parent policy; sets programme governance and recovery objectives</w:t>
      </w:r>
    </w:p>
    <w:p>
      <w:pPr>
        <w:pStyle w:val="ListParagraph"/>
        <w:numPr>
          <w:ilvl w:val="0"/>
          <w:numId w:val="2"/>
        </w:numPr>
        <w:spacing w:after="40" w:before="40"/>
      </w:pPr>
      <w:r>
        <w:rPr>
          <w:rFonts w:ascii="Arial" w:cs="Arial" w:eastAsia="Arial" w:hAnsi="Arial"/>
          <w:color w:val="000000"/>
          <w:sz w:val="20"/>
          <w:szCs w:val="20"/>
        </w:rPr>
        <w:t xml:space="preserve">Information Security Policy (GFP-POL-ISP-001) — Defines IS controls that must be maintained during recovery</w:t>
      </w:r>
    </w:p>
    <w:p>
      <w:pPr>
        <w:pStyle w:val="ListParagraph"/>
        <w:numPr>
          <w:ilvl w:val="0"/>
          <w:numId w:val="2"/>
        </w:numPr>
        <w:spacing w:after="40" w:before="40"/>
      </w:pPr>
      <w:r>
        <w:rPr>
          <w:rFonts w:ascii="Arial" w:cs="Arial" w:eastAsia="Arial" w:hAnsi="Arial"/>
          <w:color w:val="000000"/>
          <w:sz w:val="20"/>
          <w:szCs w:val="20"/>
        </w:rPr>
        <w:t xml:space="preserve">Disaster Recovery Plan (DRP) — Detailed technical runbooks for individual system recovery</w:t>
      </w:r>
    </w:p>
    <w:p>
      <w:pPr>
        <w:pStyle w:val="ListParagraph"/>
        <w:numPr>
          <w:ilvl w:val="0"/>
          <w:numId w:val="2"/>
        </w:numPr>
        <w:spacing w:after="40" w:before="40"/>
      </w:pPr>
      <w:r>
        <w:rPr>
          <w:rFonts w:ascii="Arial" w:cs="Arial" w:eastAsia="Arial" w:hAnsi="Arial"/>
          <w:color w:val="000000"/>
          <w:sz w:val="20"/>
          <w:szCs w:val="20"/>
        </w:rPr>
        <w:t xml:space="preserve">Crisis Communication Plan — Stakeholder and regulatory communication procedures</w:t>
      </w:r>
    </w:p>
    <w:p>
      <w:pPr>
        <w:pStyle w:val="ListParagraph"/>
        <w:numPr>
          <w:ilvl w:val="0"/>
          <w:numId w:val="2"/>
        </w:numPr>
        <w:spacing w:after="40" w:before="40"/>
      </w:pPr>
      <w:r>
        <w:rPr>
          <w:rFonts w:ascii="Arial" w:cs="Arial" w:eastAsia="Arial" w:hAnsi="Arial"/>
          <w:color w:val="000000"/>
          <w:sz w:val="20"/>
          <w:szCs w:val="20"/>
        </w:rPr>
        <w:t xml:space="preserve">Information System Contingency Plans (ISCPs) — Per-system technical recovery procedures</w:t>
      </w:r>
    </w:p>
    <w:p>
      <w:pPr>
        <w:pStyle w:val="Heading2"/>
        <w:spacing w:after="120" w:before="240"/>
      </w:pPr>
      <w:r>
        <w:rPr>
          <w:rFonts w:ascii="Arial" w:cs="Arial" w:eastAsia="Arial" w:hAnsi="Arial"/>
          <w:b/>
          <w:bCs/>
          <w:color w:val="2E5FA3"/>
          <w:sz w:val="28"/>
          <w:szCs w:val="28"/>
        </w:rPr>
        <w:t xml:space="preserve">1.4 Regulatory and Standards Alignment</w:t>
      </w:r>
    </w:p>
    <w:p>
      <w:pPr>
        <w:spacing w:after="80" w:before="80"/>
      </w:pPr>
      <w:r>
        <w:rPr>
          <w:rFonts w:ascii="Arial" w:cs="Arial" w:eastAsia="Arial" w:hAnsi="Arial"/>
          <w:color w:val="000000"/>
          <w:sz w:val="20"/>
          <w:szCs w:val="20"/>
        </w:rPr>
        <w:t xml:space="preserve">This plan is aligned with:</w:t>
      </w:r>
    </w:p>
    <w:p>
      <w:pPr>
        <w:pStyle w:val="ListParagraph"/>
        <w:numPr>
          <w:ilvl w:val="0"/>
          <w:numId w:val="2"/>
        </w:numPr>
        <w:spacing w:after="40" w:before="40"/>
      </w:pPr>
      <w:r>
        <w:rPr>
          <w:rFonts w:ascii="Arial" w:cs="Arial" w:eastAsia="Arial" w:hAnsi="Arial"/>
          <w:color w:val="000000"/>
          <w:sz w:val="20"/>
          <w:szCs w:val="20"/>
        </w:rPr>
        <w:t xml:space="preserve">ISO/IEC 27001:2022 — Control 5.30 (ICT Readiness for Business Continuity) and Control 5.29 (Information Security During Disruption)</w:t>
      </w:r>
    </w:p>
    <w:p>
      <w:pPr>
        <w:pStyle w:val="ListParagraph"/>
        <w:numPr>
          <w:ilvl w:val="0"/>
          <w:numId w:val="2"/>
        </w:numPr>
        <w:spacing w:after="40" w:before="40"/>
      </w:pPr>
      <w:r>
        <w:rPr>
          <w:rFonts w:ascii="Arial" w:cs="Arial" w:eastAsia="Arial" w:hAnsi="Arial"/>
          <w:color w:val="000000"/>
          <w:sz w:val="20"/>
          <w:szCs w:val="20"/>
        </w:rPr>
        <w:t xml:space="preserve">ISO/IEC 27002:2022 — Implementation guidance for controls 5.29 and 5.30</w:t>
      </w:r>
    </w:p>
    <w:p>
      <w:pPr>
        <w:pStyle w:val="ListParagraph"/>
        <w:numPr>
          <w:ilvl w:val="0"/>
          <w:numId w:val="2"/>
        </w:numPr>
        <w:spacing w:after="40" w:before="40"/>
      </w:pPr>
      <w:r>
        <w:rPr>
          <w:rFonts w:ascii="Arial" w:cs="Arial" w:eastAsia="Arial" w:hAnsi="Arial"/>
          <w:color w:val="000000"/>
          <w:sz w:val="20"/>
          <w:szCs w:val="20"/>
        </w:rPr>
        <w:t xml:space="preserve">ISO 22301 — Business Continuity Management Systems</w:t>
      </w:r>
    </w:p>
    <w:p>
      <w:pPr>
        <w:pStyle w:val="ListParagraph"/>
        <w:numPr>
          <w:ilvl w:val="0"/>
          <w:numId w:val="2"/>
        </w:numPr>
        <w:spacing w:after="40" w:before="40"/>
      </w:pPr>
      <w:r>
        <w:rPr>
          <w:rFonts w:ascii="Arial" w:cs="Arial" w:eastAsia="Arial" w:hAnsi="Arial"/>
          <w:color w:val="000000"/>
          <w:sz w:val="20"/>
          <w:szCs w:val="20"/>
        </w:rPr>
        <w:t xml:space="preserve">NIST SP 800-34 — Contingency Planning Guide for Federal Information Systems</w:t>
      </w:r>
    </w:p>
    <w:p>
      <w:pPr>
        <w:pStyle w:val="ListParagraph"/>
        <w:numPr>
          <w:ilvl w:val="0"/>
          <w:numId w:val="2"/>
        </w:numPr>
        <w:spacing w:after="40" w:before="40"/>
      </w:pPr>
      <w:r>
        <w:rPr>
          <w:rFonts w:ascii="Arial" w:cs="Arial" w:eastAsia="Arial" w:hAnsi="Arial"/>
          <w:color w:val="000000"/>
          <w:sz w:val="20"/>
          <w:szCs w:val="20"/>
        </w:rPr>
        <w:t xml:space="preserve">NIST SP 800-53 — Security and Privacy Controls (CP family)</w:t>
      </w:r>
    </w:p>
    <w:p>
      <w:pPr>
        <w:pStyle w:val="ListParagraph"/>
        <w:numPr>
          <w:ilvl w:val="0"/>
          <w:numId w:val="2"/>
        </w:numPr>
        <w:spacing w:after="40" w:before="40"/>
      </w:pPr>
      <w:r>
        <w:rPr>
          <w:rFonts w:ascii="Arial" w:cs="Arial" w:eastAsia="Arial" w:hAnsi="Arial"/>
          <w:color w:val="000000"/>
          <w:sz w:val="20"/>
          <w:szCs w:val="20"/>
        </w:rPr>
        <w:t xml:space="preserve">PCI-DSS, SOX, GDPR, and PIPEDA — as applicable to recovery operations</w:t>
      </w:r>
    </w:p>
    <w:p>
      <w:r>
        <w:br w:type="page"/>
      </w:r>
    </w:p>
    <w:p>
      <w:pPr>
        <w:pStyle w:val="Heading1"/>
        <w:spacing w:after="160" w:before="320"/>
      </w:pPr>
      <w:r>
        <w:rPr>
          <w:rFonts w:ascii="Arial" w:cs="Arial" w:eastAsia="Arial" w:hAnsi="Arial"/>
          <w:b/>
          <w:bCs/>
          <w:color w:val="1F3864"/>
          <w:sz w:val="36"/>
          <w:szCs w:val="36"/>
        </w:rPr>
        <w:t xml:space="preserve">2. Roles and Responsibilities</w:t>
      </w:r>
    </w:p>
    <w:p>
      <w:pPr>
        <w:pBdr>
          <w:bottom w:val="single" w:color="2E5FA3" w:sz="6" w:space="1"/>
        </w:pBdr>
        <w:spacing w:after="80" w:before="80"/>
      </w:pPr>
    </w:p>
    <w:p>
      <w:pPr>
        <w:spacing w:after="80" w:before="80"/>
      </w:pPr>
      <w:r>
        <w:rPr>
          <w:rFonts w:ascii="Arial" w:cs="Arial" w:eastAsia="Arial" w:hAnsi="Arial"/>
          <w:color w:val="000000"/>
          <w:sz w:val="20"/>
          <w:szCs w:val="20"/>
        </w:rPr>
        <w:t xml:space="preserve">ICT continuity is a shared accountability across GlobalFinance Partners executive leadership and operational teams. The table below defines primary ICTCP responsibilities in alignment with the corporate governance structure.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Role</w:t>
            </w:r>
          </w:p>
        </w:tc>
        <w:tc>
          <w:tcPr>
            <w:tcW w:type="dxa" w:w="62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Responsibilities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Chief Operating Officer
James Whitfield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Executive sponsor of the ICTCP. Chairs Business Continuity Steering Committee. Approves plan activations above P2 severity. Authorises ICT recovery resource allocation.</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Chief Information Officer
Marcus Chen</w:t>
            </w:r>
          </w:p>
        </w:tc>
        <w:tc>
          <w:tcPr>
            <w:tcW w:type="dxa" w:w="62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 owner. Directs ICT recovery operations. Oversees hot site, warm site, and cloud failover execution. Accountable for RTO/RPO achievement. Reports recovery status to COO.</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Chief Information Security Officer
Priya Nair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Ensures information security controls remain effective throughout all recovery phases. Validates IS posture in recovery environments. Authorises resumed operations from a security standpoint. Manages SIEM continuity.</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Chief Technology Officer
Taryn Vasquez</w:t>
            </w:r>
          </w:p>
        </w:tc>
        <w:tc>
          <w:tcPr>
            <w:tcW w:type="dxa" w:w="62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Responsible for application-layer recovery and platform architecture resilience. Oversees secure development practices in recovery tool chains. Coordinates vendor and cloud-provider technical engagement.</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Chief Risk Officer
David Osei</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Maintains risk register entries for ICT continuity risks. Provides risk acceptance decisions during recovery trade-offs. Coordinates with third-party risk monitoring during incidents.</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Chief Compliance Officer
Elaine Rousseau</w:t>
            </w:r>
          </w:p>
        </w:tc>
        <w:tc>
          <w:tcPr>
            <w:tcW w:type="dxa" w:w="62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Ensures regulatory notification obligations (PCI-DSS, SOX, GDPR, PIPEDA) are met during activations. Coordinates with internal audit on compliance evidence capture during disruptions.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VP Legal Affairs
Nathaniel Burke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Advises on contractual obligations to clients and providers during disruptions. Engages external counsel for data breach or regulatory proceedings as required.</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IT Operations Lead</w:t>
            </w:r>
          </w:p>
        </w:tc>
        <w:tc>
          <w:tcPr>
            <w:tcW w:type="dxa" w:w="62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Executes technical recovery procedures. Manages backup restoration, failover, and infrastructure re-provisioning. Reports status to CIO at defined intervals.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Business Continuity Coordinator
(reports to COO)</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Coordinates plan activation logistics. Maintains contact lists. Schedules and documents tests and exercises. Tracks corrective actions.</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Business Unit Managers</w:t>
            </w:r>
          </w:p>
        </w:tc>
        <w:tc>
          <w:tcPr>
            <w:tcW w:type="dxa" w:w="62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Confirm ICT recovery priorities for their units. Validate that recovered systems meet operational requirements before resuming business processes.</w:t>
            </w:r>
          </w:p>
        </w:tc>
      </w:tr>
    </w:tbl>
    <w:p>
      <w:r>
        <w:br w:type="page"/>
      </w:r>
    </w:p>
    <w:p>
      <w:pPr>
        <w:pStyle w:val="Heading1"/>
        <w:spacing w:after="160" w:before="320"/>
      </w:pPr>
      <w:r>
        <w:rPr>
          <w:rFonts w:ascii="Arial" w:cs="Arial" w:eastAsia="Arial" w:hAnsi="Arial"/>
          <w:b/>
          <w:bCs/>
          <w:color w:val="1F3864"/>
          <w:sz w:val="36"/>
          <w:szCs w:val="36"/>
        </w:rPr>
        <w:t xml:space="preserve">3. Business Impact Analysis and ICT Recovery Objectives</w:t>
      </w:r>
    </w:p>
    <w:p>
      <w:pPr>
        <w:pBdr>
          <w:bottom w:val="single" w:color="2E5FA3" w:sz="6" w:space="1"/>
        </w:pBdr>
        <w:spacing w:after="80" w:before="80"/>
      </w:pPr>
    </w:p>
    <w:p>
      <w:pPr>
        <w:pStyle w:val="Heading2"/>
        <w:spacing w:after="120" w:before="240"/>
      </w:pPr>
      <w:r>
        <w:rPr>
          <w:rFonts w:ascii="Arial" w:cs="Arial" w:eastAsia="Arial" w:hAnsi="Arial"/>
          <w:b/>
          <w:bCs/>
          <w:color w:val="2E5FA3"/>
          <w:sz w:val="28"/>
          <w:szCs w:val="28"/>
        </w:rPr>
        <w:t xml:space="preserve">3.1 Business Impact Analysis Integration</w:t>
      </w:r>
    </w:p>
    <w:p>
      <w:pPr>
        <w:spacing w:after="80" w:before="80"/>
      </w:pPr>
      <w:r>
        <w:rPr>
          <w:rFonts w:ascii="Arial" w:cs="Arial" w:eastAsia="Arial" w:hAnsi="Arial"/>
          <w:color w:val="000000"/>
          <w:sz w:val="20"/>
          <w:szCs w:val="20"/>
        </w:rPr>
        <w:t xml:space="preserve">ICT recovery objectives are derived from the annual Business Impact Analysis (BIA) conducted under GFP-POL-BCP-001. The BIA identifies critical business processes, their ICT dependencies, maximum tolerable downtime (MTD), and the financial, operational, and regulatory consequences of ICT system unavailability.</w:t>
      </w:r>
    </w:p>
    <w:p>
      <w:pPr>
        <w:spacing w:after="80" w:before="80"/>
      </w:pPr>
      <w:r>
        <w:rPr>
          <w:rFonts w:ascii="Arial" w:cs="Arial" w:eastAsia="Arial" w:hAnsi="Arial"/>
          <w:color w:val="000000"/>
          <w:sz w:val="20"/>
          <w:szCs w:val="20"/>
        </w:rPr>
        <w:t xml:space="preserve">The CIO reviews BIA outputs annually and translates them into ICT recovery tiers, RTOs, RPOs, and infrastructure investment decisions. Any significant change to business process criticality must trigger a review of this plan.</w:t>
      </w:r>
    </w:p>
    <w:p>
      <w:pPr>
        <w:pStyle w:val="Heading2"/>
        <w:spacing w:after="120" w:before="240"/>
      </w:pPr>
      <w:r>
        <w:rPr>
          <w:rFonts w:ascii="Arial" w:cs="Arial" w:eastAsia="Arial" w:hAnsi="Arial"/>
          <w:b/>
          <w:bCs/>
          <w:color w:val="2E5FA3"/>
          <w:sz w:val="28"/>
          <w:szCs w:val="28"/>
        </w:rPr>
        <w:t xml:space="preserve">3.2 ICT System Recovery Tiers</w:t>
      </w:r>
    </w:p>
    <w:p>
      <w:pPr>
        <w:spacing w:after="80" w:before="80"/>
      </w:pPr>
      <w:r>
        <w:rPr>
          <w:rFonts w:ascii="Arial" w:cs="Arial" w:eastAsia="Arial" w:hAnsi="Arial"/>
          <w:color w:val="000000"/>
          <w:sz w:val="20"/>
          <w:szCs w:val="20"/>
        </w:rPr>
        <w:t xml:space="preserve">GlobalFinance Partners classifies ICT systems into three recovery tiers based on BIA results. Tier assignment is reviewed annually and following material changes to business operations.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560"/>
        <w:gridCol w:w="1560"/>
        <w:gridCol w:w="2400"/>
      </w:tblGrid>
      <w:tr>
        <w:tc>
          <w:tcPr>
            <w:tcW w:type="dxa" w:w="1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Tier</w:t>
            </w:r>
          </w:p>
        </w:tc>
        <w:tc>
          <w:tcPr>
            <w:tcW w:type="dxa" w:w="24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Systems / Services</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RTO</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RPO</w:t>
            </w:r>
          </w:p>
        </w:tc>
        <w:tc>
          <w:tcPr>
            <w:tcW w:type="dxa" w:w="24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Recovery Strategy</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Tier 1 — Critical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banking platform, payment processing, trading systems, authentication (AD/IdP), SIEM/SOC tooling</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4 hours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1 hour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Hot standby — real-time replication, automated failover to geographically separated data centre</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Tier 2 — Essential</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portal, ERP, risk management system, email/communications, VPN concentrators, ITSM platform</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24 hours</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4 hours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Warm site — daily synchronised snapshots, manual failover within 24 h</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Tier 3 — Important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Reporting &amp; analytics, HR systems, archival document management, dev/test environments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72 hours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24 hours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Cold recovery — weekly full backups restored to cloud infrastructure</w:t>
            </w:r>
          </w:p>
        </w:tc>
      </w:tr>
    </w:tbl>
    <w:p>
      <w:pPr>
        <w:spacing w:after="80" w:before="120"/>
      </w:pPr>
    </w:p>
    <w:p>
      <w:pPr>
        <w:pStyle w:val="Heading2"/>
        <w:spacing w:after="120" w:before="240"/>
      </w:pPr>
      <w:r>
        <w:rPr>
          <w:rFonts w:ascii="Arial" w:cs="Arial" w:eastAsia="Arial" w:hAnsi="Arial"/>
          <w:b/>
          <w:bCs/>
          <w:color w:val="2E5FA3"/>
          <w:sz w:val="28"/>
          <w:szCs w:val="28"/>
        </w:rPr>
        <w:t xml:space="preserve">3.3 Data Recovery Objectives</w:t>
      </w:r>
    </w:p>
    <w:p>
      <w:pPr>
        <w:spacing w:after="80" w:before="80"/>
      </w:pPr>
      <w:r>
        <w:rPr>
          <w:rFonts w:ascii="Arial" w:cs="Arial" w:eastAsia="Arial" w:hAnsi="Arial"/>
          <w:color w:val="000000"/>
          <w:sz w:val="20"/>
          <w:szCs w:val="20"/>
        </w:rPr>
        <w:t xml:space="preserve">Recovery point objectives are implemented through the following data protection mechanisms, aligned with GFP-POL-BCP-001 Section 4.3.2:</w:t>
      </w:r>
    </w:p>
    <w:p>
      <w:pPr>
        <w:pStyle w:val="ListParagraph"/>
        <w:numPr>
          <w:ilvl w:val="0"/>
          <w:numId w:val="2"/>
        </w:numPr>
        <w:spacing w:after="40" w:before="40"/>
      </w:pPr>
      <w:r>
        <w:rPr>
          <w:rFonts w:ascii="Arial" w:cs="Arial" w:eastAsia="Arial" w:hAnsi="Arial"/>
          <w:color w:val="000000"/>
          <w:sz w:val="20"/>
          <w:szCs w:val="20"/>
        </w:rPr>
        <w:t xml:space="preserve">Tier 1 (RPO ≤ 1 hour): Synchronous and near-synchronous replication to geographically separated data centre. Transaction logs continuously shipped. Immutable backup snapshots retained for 30 days minimum.</w:t>
      </w:r>
    </w:p>
    <w:p>
      <w:pPr>
        <w:pStyle w:val="ListParagraph"/>
        <w:numPr>
          <w:ilvl w:val="0"/>
          <w:numId w:val="2"/>
        </w:numPr>
        <w:spacing w:after="40" w:before="40"/>
      </w:pPr>
      <w:r>
        <w:rPr>
          <w:rFonts w:ascii="Arial" w:cs="Arial" w:eastAsia="Arial" w:hAnsi="Arial"/>
          <w:color w:val="000000"/>
          <w:sz w:val="20"/>
          <w:szCs w:val="20"/>
        </w:rPr>
        <w:t xml:space="preserve">Tier 2 (RPO ≤ 4 hours): Daily incremental backups with continuous log shipping. Weekly full backups stored encrypted offsite and in cloud object storage.</w:t>
      </w:r>
    </w:p>
    <w:p>
      <w:pPr>
        <w:pStyle w:val="ListParagraph"/>
        <w:numPr>
          <w:ilvl w:val="0"/>
          <w:numId w:val="2"/>
        </w:numPr>
        <w:spacing w:after="40" w:before="40"/>
      </w:pPr>
      <w:r>
        <w:rPr>
          <w:rFonts w:ascii="Arial" w:cs="Arial" w:eastAsia="Arial" w:hAnsi="Arial"/>
          <w:color w:val="000000"/>
          <w:sz w:val="20"/>
          <w:szCs w:val="20"/>
        </w:rPr>
        <w:t xml:space="preserve">Tier 3 (RPO ≤ 24 hours): Daily differential backups and weekly full backups. Monthly archives retained per records retention schedule.</w:t>
      </w:r>
    </w:p>
    <w:p>
      <w:pPr>
        <w:pStyle w:val="ListParagraph"/>
        <w:numPr>
          <w:ilvl w:val="0"/>
          <w:numId w:val="2"/>
        </w:numPr>
        <w:spacing w:after="40" w:before="40"/>
      </w:pPr>
      <w:r>
        <w:rPr>
          <w:rFonts w:ascii="Arial" w:cs="Arial" w:eastAsia="Arial" w:hAnsi="Arial"/>
          <w:color w:val="000000"/>
          <w:sz w:val="20"/>
          <w:szCs w:val="20"/>
        </w:rPr>
        <w:t xml:space="preserve">All backup data: Encrypted at rest (AES-256) and in transit (TLS 1.2 minimum). Encryption key management maintained separately from backup storage. Integrity hashes verified on each backup cycle.</w:t>
      </w:r>
    </w:p>
    <w:p>
      <w:r>
        <w:br w:type="page"/>
      </w:r>
    </w:p>
    <w:p>
      <w:pPr>
        <w:pStyle w:val="Heading1"/>
        <w:spacing w:after="160" w:before="320"/>
      </w:pPr>
      <w:r>
        <w:rPr>
          <w:rFonts w:ascii="Arial" w:cs="Arial" w:eastAsia="Arial" w:hAnsi="Arial"/>
          <w:b/>
          <w:bCs/>
          <w:color w:val="1F3864"/>
          <w:sz w:val="36"/>
          <w:szCs w:val="36"/>
        </w:rPr>
        <w:t xml:space="preserve">4. ICT Recovery Strategies</w:t>
      </w:r>
    </w:p>
    <w:p>
      <w:pPr>
        <w:pBdr>
          <w:bottom w:val="single" w:color="2E5FA3" w:sz="6" w:space="1"/>
        </w:pBdr>
        <w:spacing w:after="80" w:before="80"/>
      </w:pPr>
    </w:p>
    <w:p>
      <w:pPr>
        <w:pStyle w:val="Heading2"/>
        <w:spacing w:after="120" w:before="240"/>
      </w:pPr>
      <w:r>
        <w:rPr>
          <w:rFonts w:ascii="Arial" w:cs="Arial" w:eastAsia="Arial" w:hAnsi="Arial"/>
          <w:b/>
          <w:bCs/>
          <w:color w:val="2E5FA3"/>
          <w:sz w:val="28"/>
          <w:szCs w:val="28"/>
        </w:rPr>
        <w:t xml:space="preserve">4.1 Site and Infrastructure Strategy</w:t>
      </w:r>
    </w:p>
    <w:p>
      <w:pPr>
        <w:pStyle w:val="Heading3"/>
        <w:spacing w:after="80" w:before="160"/>
      </w:pPr>
      <w:r>
        <w:rPr>
          <w:rFonts w:ascii="Arial" w:cs="Arial" w:eastAsia="Arial" w:hAnsi="Arial"/>
          <w:b/>
          <w:bCs/>
          <w:color w:val="1F3864"/>
          <w:sz w:val="22"/>
          <w:szCs w:val="22"/>
        </w:rPr>
        <w:t xml:space="preserve">4.1.1 Primary Data Centre</w:t>
      </w:r>
    </w:p>
    <w:p>
      <w:pPr>
        <w:spacing w:after="80" w:before="80"/>
      </w:pPr>
      <w:r>
        <w:rPr>
          <w:rFonts w:ascii="Arial" w:cs="Arial" w:eastAsia="Arial" w:hAnsi="Arial"/>
          <w:color w:val="000000"/>
          <w:sz w:val="20"/>
          <w:szCs w:val="20"/>
        </w:rPr>
        <w:t xml:space="preserve">The primary data centre hosts all Tier 1, 2, and 3 systems under standard operations. Physical and environmental controls comply with ISO/IEC 27001:2022 controls 7.1–7.14. Redundant power (UPS and generator), HVAC, and telecommunications are implemented.</w:t>
      </w:r>
    </w:p>
    <w:p>
      <w:pPr>
        <w:pStyle w:val="Heading3"/>
        <w:spacing w:after="80" w:before="160"/>
      </w:pPr>
      <w:r>
        <w:rPr>
          <w:rFonts w:ascii="Arial" w:cs="Arial" w:eastAsia="Arial" w:hAnsi="Arial"/>
          <w:b/>
          <w:bCs/>
          <w:color w:val="1F3864"/>
          <w:sz w:val="22"/>
          <w:szCs w:val="22"/>
        </w:rPr>
        <w:t xml:space="preserve">4.1.2 Hot Standby Site (Tier 1)</w:t>
      </w:r>
    </w:p>
    <w:p>
      <w:pPr>
        <w:spacing w:after="80" w:before="80"/>
      </w:pPr>
      <w:r>
        <w:rPr>
          <w:rFonts w:ascii="Arial" w:cs="Arial" w:eastAsia="Arial" w:hAnsi="Arial"/>
          <w:color w:val="000000"/>
          <w:sz w:val="20"/>
          <w:szCs w:val="20"/>
        </w:rPr>
        <w:t xml:space="preserve">A geographically separated hot standby site maintains real-time or near-real-time replicas of all Tier 1 systems. The site is maintained in a continuously ready state. Automated failover is configured for core banking and payment processing systems. Security hardening, patch levels, and IS controls are maintained at parity with the primary site. Access controls and monitoring are independently operational.</w:t>
      </w:r>
    </w:p>
    <w:p>
      <w:pPr>
        <w:pStyle w:val="Heading3"/>
        <w:spacing w:after="80" w:before="160"/>
      </w:pPr>
      <w:r>
        <w:rPr>
          <w:rFonts w:ascii="Arial" w:cs="Arial" w:eastAsia="Arial" w:hAnsi="Arial"/>
          <w:b/>
          <w:bCs/>
          <w:color w:val="1F3864"/>
          <w:sz w:val="22"/>
          <w:szCs w:val="22"/>
        </w:rPr>
        <w:t xml:space="preserve">4.1.3 Warm Recovery Site (Tier 2)</w:t>
      </w:r>
    </w:p>
    <w:p>
      <w:pPr>
        <w:spacing w:after="80" w:before="80"/>
      </w:pPr>
      <w:r>
        <w:rPr>
          <w:rFonts w:ascii="Arial" w:cs="Arial" w:eastAsia="Arial" w:hAnsi="Arial"/>
          <w:color w:val="000000"/>
          <w:sz w:val="20"/>
          <w:szCs w:val="20"/>
        </w:rPr>
        <w:t xml:space="preserve">A warm site is pre-provisioned with hardware and network connectivity to support Tier 2 system recovery within 24 hours. Systems are restored from the most recent synchronised snapshots. Manual failover procedures are documented in per-system ISCPs. Security controls are validated before systems are brought online.</w:t>
      </w:r>
    </w:p>
    <w:p>
      <w:pPr>
        <w:pStyle w:val="Heading3"/>
        <w:spacing w:after="80" w:before="160"/>
      </w:pPr>
      <w:r>
        <w:rPr>
          <w:rFonts w:ascii="Arial" w:cs="Arial" w:eastAsia="Arial" w:hAnsi="Arial"/>
          <w:b/>
          <w:bCs/>
          <w:color w:val="1F3864"/>
          <w:sz w:val="22"/>
          <w:szCs w:val="22"/>
        </w:rPr>
        <w:t xml:space="preserve">4.1.4 Cloud Recovery (Tier 3)</w:t>
      </w:r>
    </w:p>
    <w:p>
      <w:pPr>
        <w:spacing w:after="80" w:before="80"/>
      </w:pPr>
      <w:r>
        <w:rPr>
          <w:rFonts w:ascii="Arial" w:cs="Arial" w:eastAsia="Arial" w:hAnsi="Arial"/>
          <w:color w:val="000000"/>
          <w:sz w:val="20"/>
          <w:szCs w:val="20"/>
        </w:rPr>
        <w:t xml:space="preserve">Tier 3 systems are recovered to pre-configured cloud infrastructure (IaaS/PaaS) within 72 hours. Cloud environments are provisioned from infrastructure-as-code templates maintained in version control. Security group configurations, encryption settings, and access controls are applied automatically on provisioning. Cloud service providers hold current SOC 2 Type II and ISO 27001 certifications.</w:t>
      </w:r>
    </w:p>
    <w:p>
      <w:pPr>
        <w:pStyle w:val="Heading2"/>
        <w:spacing w:after="120" w:before="240"/>
      </w:pPr>
      <w:r>
        <w:rPr>
          <w:rFonts w:ascii="Arial" w:cs="Arial" w:eastAsia="Arial" w:hAnsi="Arial"/>
          <w:b/>
          <w:bCs/>
          <w:color w:val="2E5FA3"/>
          <w:sz w:val="28"/>
          <w:szCs w:val="28"/>
        </w:rPr>
        <w:t xml:space="preserve">4.2 Network and Telecommunications Continuity</w:t>
      </w:r>
    </w:p>
    <w:p>
      <w:pPr>
        <w:pStyle w:val="ListParagraph"/>
        <w:numPr>
          <w:ilvl w:val="0"/>
          <w:numId w:val="2"/>
        </w:numPr>
        <w:spacing w:after="40" w:before="40"/>
      </w:pPr>
      <w:r>
        <w:rPr>
          <w:rFonts w:ascii="Arial" w:cs="Arial" w:eastAsia="Arial" w:hAnsi="Arial"/>
          <w:color w:val="000000"/>
          <w:sz w:val="20"/>
          <w:szCs w:val="20"/>
        </w:rPr>
        <w:t xml:space="preserve">Diverse WAN connectivity from at least two independent carriers at primary and hot standby sites</w:t>
      </w:r>
    </w:p>
    <w:p>
      <w:pPr>
        <w:pStyle w:val="ListParagraph"/>
        <w:numPr>
          <w:ilvl w:val="0"/>
          <w:numId w:val="2"/>
        </w:numPr>
        <w:spacing w:after="40" w:before="40"/>
      </w:pPr>
      <w:r>
        <w:rPr>
          <w:rFonts w:ascii="Arial" w:cs="Arial" w:eastAsia="Arial" w:hAnsi="Arial"/>
          <w:color w:val="000000"/>
          <w:sz w:val="20"/>
          <w:szCs w:val="20"/>
        </w:rPr>
        <w:t xml:space="preserve">BGP-based automatic traffic rerouting to hot standby on primary link failure</w:t>
      </w:r>
    </w:p>
    <w:p>
      <w:pPr>
        <w:pStyle w:val="ListParagraph"/>
        <w:numPr>
          <w:ilvl w:val="0"/>
          <w:numId w:val="2"/>
        </w:numPr>
        <w:spacing w:after="40" w:before="40"/>
      </w:pPr>
      <w:r>
        <w:rPr>
          <w:rFonts w:ascii="Arial" w:cs="Arial" w:eastAsia="Arial" w:hAnsi="Arial"/>
          <w:color w:val="000000"/>
          <w:sz w:val="20"/>
          <w:szCs w:val="20"/>
        </w:rPr>
        <w:t xml:space="preserve">VPN concentrator capacity sized for 110% of designated remote-work headcount</w:t>
      </w:r>
    </w:p>
    <w:p>
      <w:pPr>
        <w:pStyle w:val="ListParagraph"/>
        <w:numPr>
          <w:ilvl w:val="0"/>
          <w:numId w:val="2"/>
        </w:numPr>
        <w:spacing w:after="40" w:before="40"/>
      </w:pPr>
      <w:r>
        <w:rPr>
          <w:rFonts w:ascii="Arial" w:cs="Arial" w:eastAsia="Arial" w:hAnsi="Arial"/>
          <w:color w:val="000000"/>
          <w:sz w:val="20"/>
          <w:szCs w:val="20"/>
        </w:rPr>
        <w:t xml:space="preserve">Out-of-band management network (OOB) available for crisis team communication independent of production network</w:t>
      </w:r>
    </w:p>
    <w:p>
      <w:pPr>
        <w:pStyle w:val="ListParagraph"/>
        <w:numPr>
          <w:ilvl w:val="0"/>
          <w:numId w:val="2"/>
        </w:numPr>
        <w:spacing w:after="40" w:before="40"/>
      </w:pPr>
      <w:r>
        <w:rPr>
          <w:rFonts w:ascii="Arial" w:cs="Arial" w:eastAsia="Arial" w:hAnsi="Arial"/>
          <w:color w:val="000000"/>
          <w:sz w:val="20"/>
          <w:szCs w:val="20"/>
        </w:rPr>
        <w:t xml:space="preserve">DNS failover configured for externally resolved service endpoints</w:t>
      </w:r>
    </w:p>
    <w:p>
      <w:pPr>
        <w:pStyle w:val="ListParagraph"/>
        <w:numPr>
          <w:ilvl w:val="0"/>
          <w:numId w:val="2"/>
        </w:numPr>
        <w:spacing w:after="40" w:before="40"/>
      </w:pPr>
      <w:r>
        <w:rPr>
          <w:rFonts w:ascii="Arial" w:cs="Arial" w:eastAsia="Arial" w:hAnsi="Arial"/>
          <w:color w:val="000000"/>
          <w:sz w:val="20"/>
          <w:szCs w:val="20"/>
        </w:rPr>
        <w:t xml:space="preserve">Cellular backup connectivity for on-call engineering team devices</w:t>
      </w:r>
    </w:p>
    <w:p>
      <w:pPr>
        <w:pStyle w:val="Heading2"/>
        <w:spacing w:after="120" w:before="240"/>
      </w:pPr>
      <w:r>
        <w:rPr>
          <w:rFonts w:ascii="Arial" w:cs="Arial" w:eastAsia="Arial" w:hAnsi="Arial"/>
          <w:b/>
          <w:bCs/>
          <w:color w:val="2E5FA3"/>
          <w:sz w:val="28"/>
          <w:szCs w:val="28"/>
        </w:rPr>
        <w:t xml:space="preserve">4.3 Remote Work Capabilities</w:t>
      </w:r>
    </w:p>
    <w:p>
      <w:pPr>
        <w:spacing w:after="80" w:before="80"/>
      </w:pPr>
      <w:r>
        <w:rPr>
          <w:rFonts w:ascii="Arial" w:cs="Arial" w:eastAsia="Arial" w:hAnsi="Arial"/>
          <w:color w:val="000000"/>
          <w:sz w:val="20"/>
          <w:szCs w:val="20"/>
        </w:rPr>
        <w:t xml:space="preserve">All knowledge worker roles are equipped to operate remotely. Remote work security controls are defined in the Information Security Policy and enforced during both normal and disruption operations:</w:t>
      </w:r>
    </w:p>
    <w:p>
      <w:pPr>
        <w:pStyle w:val="ListParagraph"/>
        <w:numPr>
          <w:ilvl w:val="0"/>
          <w:numId w:val="2"/>
        </w:numPr>
        <w:spacing w:after="40" w:before="40"/>
      </w:pPr>
      <w:r>
        <w:rPr>
          <w:rFonts w:ascii="Arial" w:cs="Arial" w:eastAsia="Arial" w:hAnsi="Arial"/>
          <w:color w:val="000000"/>
          <w:sz w:val="20"/>
          <w:szCs w:val="20"/>
        </w:rPr>
        <w:t xml:space="preserve">Multi-factor authentication required for all remote access sessions</w:t>
      </w:r>
    </w:p>
    <w:p>
      <w:pPr>
        <w:pStyle w:val="ListParagraph"/>
        <w:numPr>
          <w:ilvl w:val="0"/>
          <w:numId w:val="2"/>
        </w:numPr>
        <w:spacing w:after="40" w:before="40"/>
      </w:pPr>
      <w:r>
        <w:rPr>
          <w:rFonts w:ascii="Arial" w:cs="Arial" w:eastAsia="Arial" w:hAnsi="Arial"/>
          <w:color w:val="000000"/>
          <w:sz w:val="20"/>
          <w:szCs w:val="20"/>
        </w:rPr>
        <w:t xml:space="preserve">Device compliance verified by endpoint detection and response (EDR) tooling before VPN access is granted</w:t>
      </w:r>
    </w:p>
    <w:p>
      <w:pPr>
        <w:pStyle w:val="ListParagraph"/>
        <w:numPr>
          <w:ilvl w:val="0"/>
          <w:numId w:val="2"/>
        </w:numPr>
        <w:spacing w:after="40" w:before="40"/>
      </w:pPr>
      <w:r>
        <w:rPr>
          <w:rFonts w:ascii="Arial" w:cs="Arial" w:eastAsia="Arial" w:hAnsi="Arial"/>
          <w:color w:val="000000"/>
          <w:sz w:val="20"/>
          <w:szCs w:val="20"/>
        </w:rPr>
        <w:t xml:space="preserve">Split-tunnelling disabled for all privileged access sessions</w:t>
      </w:r>
    </w:p>
    <w:p>
      <w:pPr>
        <w:pStyle w:val="ListParagraph"/>
        <w:numPr>
          <w:ilvl w:val="0"/>
          <w:numId w:val="2"/>
        </w:numPr>
        <w:spacing w:after="40" w:before="40"/>
      </w:pPr>
      <w:r>
        <w:rPr>
          <w:rFonts w:ascii="Arial" w:cs="Arial" w:eastAsia="Arial" w:hAnsi="Arial"/>
          <w:color w:val="000000"/>
          <w:sz w:val="20"/>
          <w:szCs w:val="20"/>
        </w:rPr>
        <w:t xml:space="preserve">Remote desktop and collaboration tools hosted in security-controlled cloud tenants</w:t>
      </w:r>
    </w:p>
    <w:p>
      <w:pPr>
        <w:pStyle w:val="ListParagraph"/>
        <w:numPr>
          <w:ilvl w:val="0"/>
          <w:numId w:val="2"/>
        </w:numPr>
        <w:spacing w:after="40" w:before="40"/>
      </w:pPr>
      <w:r>
        <w:rPr>
          <w:rFonts w:ascii="Arial" w:cs="Arial" w:eastAsia="Arial" w:hAnsi="Arial"/>
          <w:color w:val="000000"/>
          <w:sz w:val="20"/>
          <w:szCs w:val="20"/>
        </w:rPr>
        <w:t xml:space="preserve">Clear screen and clear desk policy enforced through user training and remote session timeout policies</w:t>
      </w:r>
    </w:p>
    <w:p>
      <w:pPr>
        <w:pStyle w:val="Heading2"/>
        <w:spacing w:after="120" w:before="240"/>
      </w:pPr>
      <w:r>
        <w:rPr>
          <w:rFonts w:ascii="Arial" w:cs="Arial" w:eastAsia="Arial" w:hAnsi="Arial"/>
          <w:b/>
          <w:bCs/>
          <w:color w:val="2E5FA3"/>
          <w:sz w:val="28"/>
          <w:szCs w:val="28"/>
        </w:rPr>
        <w:t xml:space="preserve">4.4 Third-Party and Cloud Service Provider Requirements</w:t>
      </w:r>
    </w:p>
    <w:p>
      <w:pPr>
        <w:spacing w:after="80" w:before="80"/>
      </w:pPr>
      <w:r>
        <w:rPr>
          <w:rFonts w:ascii="Arial" w:cs="Arial" w:eastAsia="Arial" w:hAnsi="Arial"/>
          <w:color w:val="000000"/>
          <w:sz w:val="20"/>
          <w:szCs w:val="20"/>
        </w:rPr>
        <w:t xml:space="preserve">Third-party ICT providers supporting recovery operations must:</w:t>
      </w:r>
    </w:p>
    <w:p>
      <w:pPr>
        <w:pStyle w:val="ListParagraph"/>
        <w:numPr>
          <w:ilvl w:val="0"/>
          <w:numId w:val="2"/>
        </w:numPr>
        <w:spacing w:after="40" w:before="40"/>
      </w:pPr>
      <w:r>
        <w:rPr>
          <w:rFonts w:ascii="Arial" w:cs="Arial" w:eastAsia="Arial" w:hAnsi="Arial"/>
          <w:color w:val="000000"/>
          <w:sz w:val="20"/>
          <w:szCs w:val="20"/>
        </w:rPr>
        <w:t xml:space="preserve">Hold ISO 27001 and/or SOC 2 Type II certification, reviewed annually by the CISO</w:t>
      </w:r>
    </w:p>
    <w:p>
      <w:pPr>
        <w:pStyle w:val="ListParagraph"/>
        <w:numPr>
          <w:ilvl w:val="0"/>
          <w:numId w:val="2"/>
        </w:numPr>
        <w:spacing w:after="40" w:before="40"/>
      </w:pPr>
      <w:r>
        <w:rPr>
          <w:rFonts w:ascii="Arial" w:cs="Arial" w:eastAsia="Arial" w:hAnsi="Arial"/>
          <w:color w:val="000000"/>
          <w:sz w:val="20"/>
          <w:szCs w:val="20"/>
        </w:rPr>
        <w:t xml:space="preserve">Demonstrate contractually committed RTO and RPO figures consistent with GlobalFinance Partners' tier requirements</w:t>
      </w:r>
    </w:p>
    <w:p>
      <w:pPr>
        <w:pStyle w:val="ListParagraph"/>
        <w:numPr>
          <w:ilvl w:val="0"/>
          <w:numId w:val="2"/>
        </w:numPr>
        <w:spacing w:after="40" w:before="40"/>
      </w:pPr>
      <w:r>
        <w:rPr>
          <w:rFonts w:ascii="Arial" w:cs="Arial" w:eastAsia="Arial" w:hAnsi="Arial"/>
          <w:color w:val="000000"/>
          <w:sz w:val="20"/>
          <w:szCs w:val="20"/>
        </w:rPr>
        <w:t xml:space="preserve">Permit GlobalFinance Partners to participate in or independently verify their DR testing</w:t>
      </w:r>
    </w:p>
    <w:p>
      <w:pPr>
        <w:pStyle w:val="ListParagraph"/>
        <w:numPr>
          <w:ilvl w:val="0"/>
          <w:numId w:val="2"/>
        </w:numPr>
        <w:spacing w:after="40" w:before="40"/>
      </w:pPr>
      <w:r>
        <w:rPr>
          <w:rFonts w:ascii="Arial" w:cs="Arial" w:eastAsia="Arial" w:hAnsi="Arial"/>
          <w:color w:val="000000"/>
          <w:sz w:val="20"/>
          <w:szCs w:val="20"/>
        </w:rPr>
        <w:t xml:space="preserve">Maintain data sovereignty commitments aligned with GDPR, PIPEDA, and applicable financial services regulations</w:t>
      </w:r>
    </w:p>
    <w:p>
      <w:pPr>
        <w:pStyle w:val="ListParagraph"/>
        <w:numPr>
          <w:ilvl w:val="0"/>
          <w:numId w:val="2"/>
        </w:numPr>
        <w:spacing w:after="40" w:before="40"/>
      </w:pPr>
      <w:r>
        <w:rPr>
          <w:rFonts w:ascii="Arial" w:cs="Arial" w:eastAsia="Arial" w:hAnsi="Arial"/>
          <w:color w:val="000000"/>
          <w:sz w:val="20"/>
          <w:szCs w:val="20"/>
        </w:rPr>
        <w:t xml:space="preserve">Notify GlobalFinance Partners of their own significant incidents within 2 hours under contracted terms</w:t>
      </w:r>
    </w:p>
    <w:p>
      <w:r>
        <w:br w:type="page"/>
      </w:r>
    </w:p>
    <w:p>
      <w:pPr>
        <w:pStyle w:val="Heading1"/>
        <w:spacing w:after="160" w:before="320"/>
      </w:pPr>
      <w:r>
        <w:rPr>
          <w:rFonts w:ascii="Arial" w:cs="Arial" w:eastAsia="Arial" w:hAnsi="Arial"/>
          <w:b/>
          <w:bCs/>
          <w:color w:val="1F3864"/>
          <w:sz w:val="36"/>
          <w:szCs w:val="36"/>
        </w:rPr>
        <w:t xml:space="preserve">5. Information Security During ICT Recovery</w:t>
      </w:r>
    </w:p>
    <w:p>
      <w:pPr>
        <w:pBdr>
          <w:bottom w:val="single" w:color="2E5FA3" w:sz="6" w:space="1"/>
        </w:pBdr>
        <w:spacing w:after="80" w:before="80"/>
      </w:pPr>
    </w:p>
    <w:p>
      <w:pPr>
        <w:spacing w:after="80" w:before="80"/>
      </w:pPr>
      <w:r>
        <w:rPr>
          <w:rFonts w:ascii="Arial" w:cs="Arial" w:eastAsia="Arial" w:hAnsi="Arial"/>
          <w:color w:val="000000"/>
          <w:sz w:val="20"/>
          <w:szCs w:val="20"/>
        </w:rPr>
        <w:t xml:space="preserve">ISO/IEC 27001:2022 control 5.29 requires that information security is maintained at an appropriate level throughout disruptions. This section translates that obligation into specific requirements for recovery operations. The CISO holds authority over all IS matters during plan activation.</w:t>
      </w:r>
    </w:p>
    <w:p>
      <w:pPr>
        <w:pStyle w:val="Heading2"/>
        <w:spacing w:after="120" w:before="240"/>
      </w:pPr>
      <w:r>
        <w:rPr>
          <w:rFonts w:ascii="Arial" w:cs="Arial" w:eastAsia="Arial" w:hAnsi="Arial"/>
          <w:b/>
          <w:bCs/>
          <w:color w:val="2E5FA3"/>
          <w:sz w:val="28"/>
          <w:szCs w:val="28"/>
        </w:rPr>
        <w:t xml:space="preserve">5.1 Identity and Access Management</w:t>
      </w:r>
    </w:p>
    <w:p>
      <w:pPr>
        <w:pStyle w:val="ListParagraph"/>
        <w:numPr>
          <w:ilvl w:val="0"/>
          <w:numId w:val="2"/>
        </w:numPr>
        <w:spacing w:after="40" w:before="40"/>
      </w:pPr>
      <w:r>
        <w:rPr>
          <w:rFonts w:ascii="Arial" w:cs="Arial" w:eastAsia="Arial" w:hAnsi="Arial"/>
          <w:color w:val="000000"/>
          <w:sz w:val="20"/>
          <w:szCs w:val="20"/>
        </w:rPr>
        <w:t xml:space="preserve">Authentication infrastructure (Active Directory / Identity Provider) is a Tier 1 system subject to hot standby failover. Recovery of any other system is blocked until authentication services are confirmed operational.</w:t>
      </w:r>
    </w:p>
    <w:p>
      <w:pPr>
        <w:pStyle w:val="ListParagraph"/>
        <w:numPr>
          <w:ilvl w:val="0"/>
          <w:numId w:val="2"/>
        </w:numPr>
        <w:spacing w:after="40" w:before="40"/>
      </w:pPr>
      <w:r>
        <w:rPr>
          <w:rFonts w:ascii="Arial" w:cs="Arial" w:eastAsia="Arial" w:hAnsi="Arial"/>
          <w:color w:val="000000"/>
          <w:sz w:val="20"/>
          <w:szCs w:val="20"/>
        </w:rPr>
        <w:t xml:space="preserve">Emergency break-glass accounts are maintained for critical systems. These accounts are stored in a physically secured offline vault and usage is logged and reviewed by the CISO within 24 hours of use.</w:t>
      </w:r>
    </w:p>
    <w:p>
      <w:pPr>
        <w:pStyle w:val="ListParagraph"/>
        <w:numPr>
          <w:ilvl w:val="0"/>
          <w:numId w:val="2"/>
        </w:numPr>
        <w:spacing w:after="40" w:before="40"/>
      </w:pPr>
      <w:r>
        <w:rPr>
          <w:rFonts w:ascii="Arial" w:cs="Arial" w:eastAsia="Arial" w:hAnsi="Arial"/>
          <w:color w:val="000000"/>
          <w:sz w:val="20"/>
          <w:szCs w:val="20"/>
        </w:rPr>
        <w:t xml:space="preserve">Privileged access rights are not expanded during recovery without CISO written authorisation. Emergency access grants must be documented and revoked as soon as normal operations resume.</w:t>
      </w:r>
    </w:p>
    <w:p>
      <w:pPr>
        <w:pStyle w:val="ListParagraph"/>
        <w:numPr>
          <w:ilvl w:val="0"/>
          <w:numId w:val="2"/>
        </w:numPr>
        <w:spacing w:after="40" w:before="40"/>
      </w:pPr>
      <w:r>
        <w:rPr>
          <w:rFonts w:ascii="Arial" w:cs="Arial" w:eastAsia="Arial" w:hAnsi="Arial"/>
          <w:color w:val="000000"/>
          <w:sz w:val="20"/>
          <w:szCs w:val="20"/>
        </w:rPr>
        <w:t xml:space="preserve">All administrative actions in recovery environments are logged. Logs are shipped to SIEM in real time where connectivity permits, or batched for import upon restoration of connectivity.</w:t>
      </w:r>
    </w:p>
    <w:p>
      <w:pPr>
        <w:pStyle w:val="ListParagraph"/>
        <w:numPr>
          <w:ilvl w:val="0"/>
          <w:numId w:val="2"/>
        </w:numPr>
        <w:spacing w:after="40" w:before="40"/>
      </w:pPr>
      <w:r>
        <w:rPr>
          <w:rFonts w:ascii="Arial" w:cs="Arial" w:eastAsia="Arial" w:hAnsi="Arial"/>
          <w:color w:val="000000"/>
          <w:sz w:val="20"/>
          <w:szCs w:val="20"/>
        </w:rPr>
        <w:t xml:space="preserve">Remote access re-authenticated with MFA at each session. Session tokens do not persist across recovery environment restarts.</w:t>
      </w:r>
    </w:p>
    <w:p>
      <w:pPr>
        <w:pStyle w:val="Heading2"/>
        <w:spacing w:after="120" w:before="240"/>
      </w:pPr>
      <w:r>
        <w:rPr>
          <w:rFonts w:ascii="Arial" w:cs="Arial" w:eastAsia="Arial" w:hAnsi="Arial"/>
          <w:b/>
          <w:bCs/>
          <w:color w:val="2E5FA3"/>
          <w:sz w:val="28"/>
          <w:szCs w:val="28"/>
        </w:rPr>
        <w:t xml:space="preserve">5.2 Encryption and Data Protection</w:t>
      </w:r>
    </w:p>
    <w:p>
      <w:pPr>
        <w:pStyle w:val="ListParagraph"/>
        <w:numPr>
          <w:ilvl w:val="0"/>
          <w:numId w:val="2"/>
        </w:numPr>
        <w:spacing w:after="40" w:before="40"/>
      </w:pPr>
      <w:r>
        <w:rPr>
          <w:rFonts w:ascii="Arial" w:cs="Arial" w:eastAsia="Arial" w:hAnsi="Arial"/>
          <w:color w:val="000000"/>
          <w:sz w:val="20"/>
          <w:szCs w:val="20"/>
        </w:rPr>
        <w:t xml:space="preserve">All data in transit between primary, recovery, and remote-work environments is encrypted using TLS 1.2 or higher. TLS 1.0 and 1.1 are disabled on all recovery infrastructure.</w:t>
      </w:r>
    </w:p>
    <w:p>
      <w:pPr>
        <w:pStyle w:val="ListParagraph"/>
        <w:numPr>
          <w:ilvl w:val="0"/>
          <w:numId w:val="2"/>
        </w:numPr>
        <w:spacing w:after="40" w:before="40"/>
      </w:pPr>
      <w:r>
        <w:rPr>
          <w:rFonts w:ascii="Arial" w:cs="Arial" w:eastAsia="Arial" w:hAnsi="Arial"/>
          <w:color w:val="000000"/>
          <w:sz w:val="20"/>
          <w:szCs w:val="20"/>
        </w:rPr>
        <w:t xml:space="preserve">Backup media is encrypted at rest using AES-256. Encryption keys are managed in a Hardware Security Module (HSM) independent of backup storage systems.</w:t>
      </w:r>
    </w:p>
    <w:p>
      <w:pPr>
        <w:pStyle w:val="ListParagraph"/>
        <w:numPr>
          <w:ilvl w:val="0"/>
          <w:numId w:val="2"/>
        </w:numPr>
        <w:spacing w:after="40" w:before="40"/>
      </w:pPr>
      <w:r>
        <w:rPr>
          <w:rFonts w:ascii="Arial" w:cs="Arial" w:eastAsia="Arial" w:hAnsi="Arial"/>
          <w:color w:val="000000"/>
          <w:sz w:val="20"/>
          <w:szCs w:val="20"/>
        </w:rPr>
        <w:t xml:space="preserve">Data classification and handling requirements remain in force in all recovery environments. Personnel handling customer or financial data in alternate locations are reminded of their obligations at plan activation.</w:t>
      </w:r>
    </w:p>
    <w:p>
      <w:pPr>
        <w:pStyle w:val="ListParagraph"/>
        <w:numPr>
          <w:ilvl w:val="0"/>
          <w:numId w:val="2"/>
        </w:numPr>
        <w:spacing w:after="40" w:before="40"/>
      </w:pPr>
      <w:r>
        <w:rPr>
          <w:rFonts w:ascii="Arial" w:cs="Arial" w:eastAsia="Arial" w:hAnsi="Arial"/>
          <w:color w:val="000000"/>
          <w:sz w:val="20"/>
          <w:szCs w:val="20"/>
        </w:rPr>
        <w:t xml:space="preserve">Removable media use in recovery environments is prohibited except where explicitly authorised by the CISO in writing.</w:t>
      </w:r>
    </w:p>
    <w:p>
      <w:pPr>
        <w:pStyle w:val="Heading2"/>
        <w:spacing w:after="120" w:before="240"/>
      </w:pPr>
      <w:r>
        <w:rPr>
          <w:rFonts w:ascii="Arial" w:cs="Arial" w:eastAsia="Arial" w:hAnsi="Arial"/>
          <w:b/>
          <w:bCs/>
          <w:color w:val="2E5FA3"/>
          <w:sz w:val="28"/>
          <w:szCs w:val="28"/>
        </w:rPr>
        <w:t xml:space="preserve">5.3 Security Monitoring and Incident Response</w:t>
      </w:r>
    </w:p>
    <w:p>
      <w:pPr>
        <w:pStyle w:val="ListParagraph"/>
        <w:numPr>
          <w:ilvl w:val="0"/>
          <w:numId w:val="2"/>
        </w:numPr>
        <w:spacing w:after="40" w:before="40"/>
      </w:pPr>
      <w:r>
        <w:rPr>
          <w:rFonts w:ascii="Arial" w:cs="Arial" w:eastAsia="Arial" w:hAnsi="Arial"/>
          <w:color w:val="000000"/>
          <w:sz w:val="20"/>
          <w:szCs w:val="20"/>
        </w:rPr>
        <w:t xml:space="preserve">The SIEM platform is a Tier 1 system. Security monitoring is operational before any other Tier 1 system is brought online in recovery mode.</w:t>
      </w:r>
    </w:p>
    <w:p>
      <w:pPr>
        <w:pStyle w:val="ListParagraph"/>
        <w:numPr>
          <w:ilvl w:val="0"/>
          <w:numId w:val="2"/>
        </w:numPr>
        <w:spacing w:after="40" w:before="40"/>
      </w:pPr>
      <w:r>
        <w:rPr>
          <w:rFonts w:ascii="Arial" w:cs="Arial" w:eastAsia="Arial" w:hAnsi="Arial"/>
          <w:color w:val="000000"/>
          <w:sz w:val="20"/>
          <w:szCs w:val="20"/>
        </w:rPr>
        <w:t xml:space="preserve">Detection rules and alerting thresholds are reviewed by the CISO before each DR exercise and immediately following a real activation, as adversaries may exploit known disruption windows.</w:t>
      </w:r>
    </w:p>
    <w:p>
      <w:pPr>
        <w:pStyle w:val="ListParagraph"/>
        <w:numPr>
          <w:ilvl w:val="0"/>
          <w:numId w:val="2"/>
        </w:numPr>
        <w:spacing w:after="40" w:before="40"/>
      </w:pPr>
      <w:r>
        <w:rPr>
          <w:rFonts w:ascii="Arial" w:cs="Arial" w:eastAsia="Arial" w:hAnsi="Arial"/>
          <w:color w:val="000000"/>
          <w:sz w:val="20"/>
          <w:szCs w:val="20"/>
        </w:rPr>
        <w:t xml:space="preserve">The Security Operations Centre (SOC) maintains enhanced monitoring posture during all activations, logging all privileged actions, authentication events, and network anomalies in recovery environments.</w:t>
      </w:r>
    </w:p>
    <w:p>
      <w:pPr>
        <w:pStyle w:val="ListParagraph"/>
        <w:numPr>
          <w:ilvl w:val="0"/>
          <w:numId w:val="2"/>
        </w:numPr>
        <w:spacing w:after="40" w:before="40"/>
      </w:pPr>
      <w:r>
        <w:rPr>
          <w:rFonts w:ascii="Arial" w:cs="Arial" w:eastAsia="Arial" w:hAnsi="Arial"/>
          <w:color w:val="000000"/>
          <w:sz w:val="20"/>
          <w:szCs w:val="20"/>
        </w:rPr>
        <w:t xml:space="preserve">Incident response capabilities remain active throughout recovery. If a security incident is detected during a business continuity event, the CISO convenes a parallel response track without halting ICT recovery operations.</w:t>
      </w:r>
    </w:p>
    <w:p>
      <w:pPr>
        <w:pStyle w:val="Heading2"/>
        <w:spacing w:after="120" w:before="240"/>
      </w:pPr>
      <w:r>
        <w:rPr>
          <w:rFonts w:ascii="Arial" w:cs="Arial" w:eastAsia="Arial" w:hAnsi="Arial"/>
          <w:b/>
          <w:bCs/>
          <w:color w:val="2E5FA3"/>
          <w:sz w:val="28"/>
          <w:szCs w:val="28"/>
        </w:rPr>
        <w:t xml:space="preserve">5.4 Physical Security at Recovery Sites</w:t>
      </w:r>
    </w:p>
    <w:p>
      <w:pPr>
        <w:pStyle w:val="ListParagraph"/>
        <w:numPr>
          <w:ilvl w:val="0"/>
          <w:numId w:val="2"/>
        </w:numPr>
        <w:spacing w:after="40" w:before="40"/>
      </w:pPr>
      <w:r>
        <w:rPr>
          <w:rFonts w:ascii="Arial" w:cs="Arial" w:eastAsia="Arial" w:hAnsi="Arial"/>
          <w:color w:val="000000"/>
          <w:sz w:val="20"/>
          <w:szCs w:val="20"/>
        </w:rPr>
        <w:t xml:space="preserve">Alternate processing sites enforce equivalent physical access controls to the primary data centre — badge access, CCTV, visitor logs.</w:t>
      </w:r>
    </w:p>
    <w:p>
      <w:pPr>
        <w:pStyle w:val="ListParagraph"/>
        <w:numPr>
          <w:ilvl w:val="0"/>
          <w:numId w:val="2"/>
        </w:numPr>
        <w:spacing w:after="40" w:before="40"/>
      </w:pPr>
      <w:r>
        <w:rPr>
          <w:rFonts w:ascii="Arial" w:cs="Arial" w:eastAsia="Arial" w:hAnsi="Arial"/>
          <w:color w:val="000000"/>
          <w:sz w:val="20"/>
          <w:szCs w:val="20"/>
        </w:rPr>
        <w:t xml:space="preserve">Personnel accessing hot and warm sites during activations are verified against the authorised personnel list maintained by IT Operations and approved by the CIO.</w:t>
      </w:r>
    </w:p>
    <w:p>
      <w:pPr>
        <w:pStyle w:val="ListParagraph"/>
        <w:numPr>
          <w:ilvl w:val="0"/>
          <w:numId w:val="2"/>
        </w:numPr>
        <w:spacing w:after="40" w:before="40"/>
      </w:pPr>
      <w:r>
        <w:rPr>
          <w:rFonts w:ascii="Arial" w:cs="Arial" w:eastAsia="Arial" w:hAnsi="Arial"/>
          <w:color w:val="000000"/>
          <w:sz w:val="20"/>
          <w:szCs w:val="20"/>
        </w:rPr>
        <w:t xml:space="preserve">Backup media in transit between sites is escorted by authorised personnel and tracked using chain-of-custody documentation.</w:t>
      </w:r>
    </w:p>
    <w:p>
      <w:pPr>
        <w:pStyle w:val="Heading2"/>
        <w:spacing w:after="120" w:before="240"/>
      </w:pPr>
      <w:r>
        <w:rPr>
          <w:rFonts w:ascii="Arial" w:cs="Arial" w:eastAsia="Arial" w:hAnsi="Arial"/>
          <w:b/>
          <w:bCs/>
          <w:color w:val="2E5FA3"/>
          <w:sz w:val="28"/>
          <w:szCs w:val="28"/>
        </w:rPr>
        <w:t xml:space="preserve">5.5 Regulatory Compliance During Recovery</w:t>
      </w:r>
    </w:p>
    <w:p>
      <w:pPr>
        <w:pStyle w:val="ListParagraph"/>
        <w:numPr>
          <w:ilvl w:val="0"/>
          <w:numId w:val="2"/>
        </w:numPr>
        <w:spacing w:after="40" w:before="40"/>
      </w:pPr>
      <w:r>
        <w:rPr>
          <w:rFonts w:ascii="Arial" w:cs="Arial" w:eastAsia="Arial" w:hAnsi="Arial"/>
          <w:color w:val="000000"/>
          <w:sz w:val="20"/>
          <w:szCs w:val="20"/>
        </w:rPr>
        <w:t xml:space="preserve">PCI-DSS controls are maintained for all payment card processing in recovery environments. The CCO confirms compliance posture before payment systems are brought online at alternate sites.</w:t>
      </w:r>
    </w:p>
    <w:p>
      <w:pPr>
        <w:pStyle w:val="ListParagraph"/>
        <w:numPr>
          <w:ilvl w:val="0"/>
          <w:numId w:val="2"/>
        </w:numPr>
        <w:spacing w:after="40" w:before="40"/>
      </w:pPr>
      <w:r>
        <w:rPr>
          <w:rFonts w:ascii="Arial" w:cs="Arial" w:eastAsia="Arial" w:hAnsi="Arial"/>
          <w:color w:val="000000"/>
          <w:sz w:val="20"/>
          <w:szCs w:val="20"/>
        </w:rPr>
        <w:t xml:space="preserve">SOX financial reporting controls remain operative. The CFO and CCO confirm that financial system integrity is validated before month-end or regulatory reporting deadlines.</w:t>
      </w:r>
    </w:p>
    <w:p>
      <w:pPr>
        <w:pStyle w:val="ListParagraph"/>
        <w:numPr>
          <w:ilvl w:val="0"/>
          <w:numId w:val="2"/>
        </w:numPr>
        <w:spacing w:after="40" w:before="40"/>
      </w:pPr>
      <w:r>
        <w:rPr>
          <w:rFonts w:ascii="Arial" w:cs="Arial" w:eastAsia="Arial" w:hAnsi="Arial"/>
          <w:color w:val="000000"/>
          <w:sz w:val="20"/>
          <w:szCs w:val="20"/>
        </w:rPr>
        <w:t xml:space="preserve">GDPR and PIPEDA breach notification obligations are assessed within 24 hours of activation if the disruption involves potential personal data exposure. The VP Legal Affairs coordinates regulatory notifications.</w:t>
      </w:r>
    </w:p>
    <w:p>
      <w:pPr>
        <w:pStyle w:val="ListParagraph"/>
        <w:numPr>
          <w:ilvl w:val="0"/>
          <w:numId w:val="2"/>
        </w:numPr>
        <w:spacing w:after="40" w:before="40"/>
      </w:pPr>
      <w:r>
        <w:rPr>
          <w:rFonts w:ascii="Arial" w:cs="Arial" w:eastAsia="Arial" w:hAnsi="Arial"/>
          <w:color w:val="000000"/>
          <w:sz w:val="20"/>
          <w:szCs w:val="20"/>
        </w:rPr>
        <w:t xml:space="preserve">All compliance-relevant actions taken during the disruption are documented for audit purposes.</w:t>
      </w:r>
    </w:p>
    <w:p>
      <w:r>
        <w:br w:type="page"/>
      </w:r>
    </w:p>
    <w:p>
      <w:pPr>
        <w:pStyle w:val="Heading1"/>
        <w:spacing w:after="160" w:before="320"/>
      </w:pPr>
      <w:r>
        <w:rPr>
          <w:rFonts w:ascii="Arial" w:cs="Arial" w:eastAsia="Arial" w:hAnsi="Arial"/>
          <w:b/>
          <w:bCs/>
          <w:color w:val="1F3864"/>
          <w:sz w:val="36"/>
          <w:szCs w:val="36"/>
        </w:rPr>
        <w:t xml:space="preserve">6. Plan Activation and Escalation</w:t>
      </w:r>
    </w:p>
    <w:p>
      <w:pPr>
        <w:pBdr>
          <w:bottom w:val="single" w:color="2E5FA3" w:sz="6" w:space="1"/>
        </w:pBdr>
        <w:spacing w:after="80" w:before="80"/>
      </w:pPr>
    </w:p>
    <w:p>
      <w:pPr>
        <w:pStyle w:val="Heading2"/>
        <w:spacing w:after="120" w:before="240"/>
      </w:pPr>
      <w:r>
        <w:rPr>
          <w:rFonts w:ascii="Arial" w:cs="Arial" w:eastAsia="Arial" w:hAnsi="Arial"/>
          <w:b/>
          <w:bCs/>
          <w:color w:val="2E5FA3"/>
          <w:sz w:val="28"/>
          <w:szCs w:val="28"/>
        </w:rPr>
        <w:t xml:space="preserve">6.1 Activation Criteria</w:t>
      </w:r>
    </w:p>
    <w:p>
      <w:pPr>
        <w:spacing w:after="80" w:before="80"/>
      </w:pPr>
      <w:r>
        <w:rPr>
          <w:rFonts w:ascii="Arial" w:cs="Arial" w:eastAsia="Arial" w:hAnsi="Arial"/>
          <w:color w:val="000000"/>
          <w:sz w:val="20"/>
          <w:szCs w:val="20"/>
        </w:rPr>
        <w:t xml:space="preserve">This ICTCP is activated when any of the following conditions are identified:</w:t>
      </w:r>
    </w:p>
    <w:p>
      <w:pPr>
        <w:pStyle w:val="ListParagraph"/>
        <w:numPr>
          <w:ilvl w:val="0"/>
          <w:numId w:val="2"/>
        </w:numPr>
        <w:spacing w:after="40" w:before="40"/>
      </w:pPr>
      <w:r>
        <w:rPr>
          <w:rFonts w:ascii="Arial" w:cs="Arial" w:eastAsia="Arial" w:hAnsi="Arial"/>
          <w:color w:val="000000"/>
          <w:sz w:val="20"/>
          <w:szCs w:val="20"/>
        </w:rPr>
        <w:t xml:space="preserve">A Tier 1 system is unavailable or critically degraded and cannot be restored within 2 hours using standard incident management procedures</w:t>
      </w:r>
    </w:p>
    <w:p>
      <w:pPr>
        <w:pStyle w:val="ListParagraph"/>
        <w:numPr>
          <w:ilvl w:val="0"/>
          <w:numId w:val="2"/>
        </w:numPr>
        <w:spacing w:after="40" w:before="40"/>
      </w:pPr>
      <w:r>
        <w:rPr>
          <w:rFonts w:ascii="Arial" w:cs="Arial" w:eastAsia="Arial" w:hAnsi="Arial"/>
          <w:color w:val="000000"/>
          <w:sz w:val="20"/>
          <w:szCs w:val="20"/>
        </w:rPr>
        <w:t xml:space="preserve">A cyber incident (ransomware, destructive malware, DDoS) materially impairs ICT service delivery</w:t>
      </w:r>
    </w:p>
    <w:p>
      <w:pPr>
        <w:pStyle w:val="ListParagraph"/>
        <w:numPr>
          <w:ilvl w:val="0"/>
          <w:numId w:val="2"/>
        </w:numPr>
        <w:spacing w:after="40" w:before="40"/>
      </w:pPr>
      <w:r>
        <w:rPr>
          <w:rFonts w:ascii="Arial" w:cs="Arial" w:eastAsia="Arial" w:hAnsi="Arial"/>
          <w:color w:val="000000"/>
          <w:sz w:val="20"/>
          <w:szCs w:val="20"/>
        </w:rPr>
        <w:t xml:space="preserve">Physical damage or loss of access to the primary data centre or a critical facility</w:t>
      </w:r>
    </w:p>
    <w:p>
      <w:pPr>
        <w:pStyle w:val="ListParagraph"/>
        <w:numPr>
          <w:ilvl w:val="0"/>
          <w:numId w:val="2"/>
        </w:numPr>
        <w:spacing w:after="40" w:before="40"/>
      </w:pPr>
      <w:r>
        <w:rPr>
          <w:rFonts w:ascii="Arial" w:cs="Arial" w:eastAsia="Arial" w:hAnsi="Arial"/>
          <w:color w:val="000000"/>
          <w:sz w:val="20"/>
          <w:szCs w:val="20"/>
        </w:rPr>
        <w:t xml:space="preserve">A third-party provider declares a force majeure event affecting GlobalFinance Partners ICT services</w:t>
      </w:r>
    </w:p>
    <w:p>
      <w:pPr>
        <w:pStyle w:val="ListParagraph"/>
        <w:numPr>
          <w:ilvl w:val="0"/>
          <w:numId w:val="2"/>
        </w:numPr>
        <w:spacing w:after="40" w:before="40"/>
      </w:pPr>
      <w:r>
        <w:rPr>
          <w:rFonts w:ascii="Arial" w:cs="Arial" w:eastAsia="Arial" w:hAnsi="Arial"/>
          <w:color w:val="000000"/>
          <w:sz w:val="20"/>
          <w:szCs w:val="20"/>
        </w:rPr>
        <w:t xml:space="preserve">The Crisis Management Team determines that a business continuity plan has been formally activated</w:t>
      </w:r>
    </w:p>
    <w:p>
      <w:pPr>
        <w:pStyle w:val="Heading2"/>
        <w:spacing w:after="120" w:before="240"/>
      </w:pPr>
      <w:r>
        <w:rPr>
          <w:rFonts w:ascii="Arial" w:cs="Arial" w:eastAsia="Arial" w:hAnsi="Arial"/>
          <w:b/>
          <w:bCs/>
          <w:color w:val="2E5FA3"/>
          <w:sz w:val="28"/>
          <w:szCs w:val="28"/>
        </w:rPr>
        <w:t xml:space="preserve">6.2 Notification and Escalation</w:t>
      </w:r>
    </w:p>
    <w:p>
      <w:pPr>
        <w:spacing w:after="80" w:before="80"/>
      </w:pPr>
      <w:r>
        <w:rPr>
          <w:rFonts w:ascii="Arial" w:cs="Arial" w:eastAsia="Arial" w:hAnsi="Arial"/>
          <w:color w:val="000000"/>
          <w:sz w:val="20"/>
          <w:szCs w:val="20"/>
        </w:rPr>
        <w:t xml:space="preserve">Initial notification is the responsibility of the first responder who identifies the event. The escalation path is:</w:t>
      </w:r>
    </w:p>
    <w:p>
      <w:pPr>
        <w:pStyle w:val="ListParagraph"/>
        <w:numPr>
          <w:ilvl w:val="0"/>
          <w:numId w:val="2"/>
        </w:numPr>
        <w:spacing w:after="40" w:before="40"/>
      </w:pPr>
      <w:r>
        <w:rPr>
          <w:rFonts w:ascii="Arial" w:cs="Arial" w:eastAsia="Arial" w:hAnsi="Arial"/>
          <w:color w:val="000000"/>
          <w:sz w:val="20"/>
          <w:szCs w:val="20"/>
        </w:rPr>
        <w:t xml:space="preserve">IT Operations Service Desk → IT Operations Lead → CIO → CISO → COO</w:t>
      </w:r>
    </w:p>
    <w:p>
      <w:pPr>
        <w:pStyle w:val="ListParagraph"/>
        <w:numPr>
          <w:ilvl w:val="0"/>
          <w:numId w:val="2"/>
        </w:numPr>
        <w:spacing w:after="40" w:before="40"/>
      </w:pPr>
      <w:r>
        <w:rPr>
          <w:rFonts w:ascii="Arial" w:cs="Arial" w:eastAsia="Arial" w:hAnsi="Arial"/>
          <w:color w:val="000000"/>
          <w:sz w:val="20"/>
          <w:szCs w:val="20"/>
        </w:rPr>
        <w:t xml:space="preserve">Target notification timeline: CIO and CISO notified within 15 minutes of P1 identification; COO within 30 minutes</w:t>
      </w:r>
    </w:p>
    <w:p>
      <w:pPr>
        <w:pStyle w:val="ListParagraph"/>
        <w:numPr>
          <w:ilvl w:val="0"/>
          <w:numId w:val="2"/>
        </w:numPr>
        <w:spacing w:after="40" w:before="40"/>
      </w:pPr>
      <w:r>
        <w:rPr>
          <w:rFonts w:ascii="Arial" w:cs="Arial" w:eastAsia="Arial" w:hAnsi="Arial"/>
          <w:color w:val="000000"/>
          <w:sz w:val="20"/>
          <w:szCs w:val="20"/>
        </w:rPr>
        <w:t xml:space="preserve">Crisis Management Team convened by COO for P1 and P2 events</w:t>
      </w:r>
    </w:p>
    <w:p>
      <w:pPr>
        <w:pStyle w:val="ListParagraph"/>
        <w:numPr>
          <w:ilvl w:val="0"/>
          <w:numId w:val="2"/>
        </w:numPr>
        <w:spacing w:after="40" w:before="40"/>
      </w:pPr>
      <w:r>
        <w:rPr>
          <w:rFonts w:ascii="Arial" w:cs="Arial" w:eastAsia="Arial" w:hAnsi="Arial"/>
          <w:color w:val="000000"/>
          <w:sz w:val="20"/>
          <w:szCs w:val="20"/>
        </w:rPr>
        <w:t xml:space="preserve">Out-of-band communication used if primary email or messaging systems are affected (designated mobile contacts maintained in offline emergency contact register)</w:t>
      </w:r>
    </w:p>
    <w:p>
      <w:pPr>
        <w:pStyle w:val="Heading2"/>
        <w:spacing w:after="120" w:before="240"/>
      </w:pPr>
      <w:r>
        <w:rPr>
          <w:rFonts w:ascii="Arial" w:cs="Arial" w:eastAsia="Arial" w:hAnsi="Arial"/>
          <w:b/>
          <w:bCs/>
          <w:color w:val="2E5FA3"/>
          <w:sz w:val="28"/>
          <w:szCs w:val="28"/>
        </w:rPr>
        <w:t xml:space="preserve">6.3 Severity Classification and Response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360"/>
        <w:gridCol w:w="4320"/>
      </w:tblGrid>
      <w:tr>
        <w:tc>
          <w:tcPr>
            <w:tcW w:type="dxa" w:w="1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Severity</w:t>
            </w:r>
          </w:p>
        </w:tc>
        <w:tc>
          <w:tcPr>
            <w:tcW w:type="dxa" w:w="33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Definition</w:t>
            </w:r>
          </w:p>
        </w:tc>
        <w:tc>
          <w:tcPr>
            <w:tcW w:type="dxa" w:w="432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Immediate Actions</w:t>
            </w:r>
          </w:p>
        </w:tc>
      </w:tr>
      <w:tr>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P1 — Critical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1 system unavailable; financial transaction processing halted; data breach in progress</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CIO &amp; CISO notified within 15 min. 2. Crisis Management Team convened. 3. Hot standby failover initiated. 4. SIEM/SOC placed on elevated alert. 5. Regulatory counsel (Nathaniel Burke) engaged if data breach suspected.</w:t>
            </w:r>
          </w:p>
        </w:tc>
      </w:tr>
      <w:tr>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P2 — High</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1 degraded or Tier 2 unavailable; customer-facing service impaired</w:t>
            </w:r>
          </w:p>
        </w:tc>
        <w:tc>
          <w:tcPr>
            <w:tcW w:type="dxa" w:w="4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CIO notified within 30 min. 2. IT Operations initiates warm-site recovery. 3. CISO validates IS controls in recovery env. 4. COO informed; business units notified per communication plan.</w:t>
            </w:r>
          </w:p>
        </w:tc>
      </w:tr>
      <w:tr>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P3 — Medium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3 system unavailable; internal productivity impacted; no customer impact</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IT Operations lead engaged. 2. Cold recovery initiated within 24 h. 3. CIO informed at next scheduled update cycle.</w:t>
            </w:r>
          </w:p>
        </w:tc>
      </w:tr>
      <w:tr>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P4 — Low</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Isolated component failure; minimal operational impact; workaround available</w:t>
            </w:r>
          </w:p>
        </w:tc>
        <w:tc>
          <w:tcPr>
            <w:tcW w:type="dxa" w:w="4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Service Desk ticket raised. 2. Standard change management process followed. 3. Incident log updated.</w:t>
            </w:r>
          </w:p>
        </w:tc>
      </w:tr>
    </w:tbl>
    <w:p>
      <w:pPr>
        <w:spacing w:after="80" w:before="120"/>
      </w:pPr>
    </w:p>
    <w:p>
      <w:pPr>
        <w:pStyle w:val="Heading2"/>
        <w:spacing w:after="120" w:before="240"/>
      </w:pPr>
      <w:r>
        <w:rPr>
          <w:rFonts w:ascii="Arial" w:cs="Arial" w:eastAsia="Arial" w:hAnsi="Arial"/>
          <w:b/>
          <w:bCs/>
          <w:color w:val="2E5FA3"/>
          <w:sz w:val="28"/>
          <w:szCs w:val="28"/>
        </w:rPr>
        <w:t xml:space="preserve">6.4 Plan Deactivation</w:t>
      </w:r>
    </w:p>
    <w:p>
      <w:pPr>
        <w:spacing w:after="80" w:before="80"/>
      </w:pPr>
      <w:r>
        <w:rPr>
          <w:rFonts w:ascii="Arial" w:cs="Arial" w:eastAsia="Arial" w:hAnsi="Arial"/>
          <w:color w:val="000000"/>
          <w:sz w:val="20"/>
          <w:szCs w:val="20"/>
        </w:rPr>
        <w:t xml:space="preserve">The ICTCP is formally deactivated when:</w:t>
      </w:r>
    </w:p>
    <w:p>
      <w:pPr>
        <w:pStyle w:val="ListParagraph"/>
        <w:numPr>
          <w:ilvl w:val="0"/>
          <w:numId w:val="2"/>
        </w:numPr>
        <w:spacing w:after="40" w:before="40"/>
      </w:pPr>
      <w:r>
        <w:rPr>
          <w:rFonts w:ascii="Arial" w:cs="Arial" w:eastAsia="Arial" w:hAnsi="Arial"/>
          <w:color w:val="000000"/>
          <w:sz w:val="20"/>
          <w:szCs w:val="20"/>
        </w:rPr>
        <w:t xml:space="preserve">All affected Tier 1 and Tier 2 systems have been confirmed restored to primary or stable alternate infrastructure</w:t>
      </w:r>
    </w:p>
    <w:p>
      <w:pPr>
        <w:pStyle w:val="ListParagraph"/>
        <w:numPr>
          <w:ilvl w:val="0"/>
          <w:numId w:val="2"/>
        </w:numPr>
        <w:spacing w:after="40" w:before="40"/>
      </w:pPr>
      <w:r>
        <w:rPr>
          <w:rFonts w:ascii="Arial" w:cs="Arial" w:eastAsia="Arial" w:hAnsi="Arial"/>
          <w:color w:val="000000"/>
          <w:sz w:val="20"/>
          <w:szCs w:val="20"/>
        </w:rPr>
        <w:t xml:space="preserve">The CISO has validated that IS controls are fully operational in the restored environment</w:t>
      </w:r>
    </w:p>
    <w:p>
      <w:pPr>
        <w:pStyle w:val="ListParagraph"/>
        <w:numPr>
          <w:ilvl w:val="0"/>
          <w:numId w:val="2"/>
        </w:numPr>
        <w:spacing w:after="40" w:before="40"/>
      </w:pPr>
      <w:r>
        <w:rPr>
          <w:rFonts w:ascii="Arial" w:cs="Arial" w:eastAsia="Arial" w:hAnsi="Arial"/>
          <w:color w:val="000000"/>
          <w:sz w:val="20"/>
          <w:szCs w:val="20"/>
        </w:rPr>
        <w:t xml:space="preserve">The CIO has confirmed that RTO obligations are met and no residual system risk remains</w:t>
      </w:r>
    </w:p>
    <w:p>
      <w:pPr>
        <w:pStyle w:val="ListParagraph"/>
        <w:numPr>
          <w:ilvl w:val="0"/>
          <w:numId w:val="2"/>
        </w:numPr>
        <w:spacing w:after="40" w:before="40"/>
      </w:pPr>
      <w:r>
        <w:rPr>
          <w:rFonts w:ascii="Arial" w:cs="Arial" w:eastAsia="Arial" w:hAnsi="Arial"/>
          <w:color w:val="000000"/>
          <w:sz w:val="20"/>
          <w:szCs w:val="20"/>
        </w:rPr>
        <w:t xml:space="preserve">The COO has issued formal stand-down notification to all activated teams</w:t>
      </w:r>
    </w:p>
    <w:p>
      <w:pPr>
        <w:spacing w:after="80" w:before="80"/>
      </w:pPr>
      <w:r>
        <w:rPr>
          <w:rFonts w:ascii="Arial" w:cs="Arial" w:eastAsia="Arial" w:hAnsi="Arial"/>
          <w:color w:val="000000"/>
          <w:sz w:val="20"/>
          <w:szCs w:val="20"/>
        </w:rPr>
        <w:t xml:space="preserve">A post-incident review is conducted within 10 business days of deactivation. Findings are reported to the Business Continuity Steering Committee.</w:t>
      </w:r>
    </w:p>
    <w:p>
      <w:r>
        <w:br w:type="page"/>
      </w:r>
    </w:p>
    <w:p>
      <w:pPr>
        <w:pStyle w:val="Heading1"/>
        <w:spacing w:after="160" w:before="320"/>
      </w:pPr>
      <w:r>
        <w:rPr>
          <w:rFonts w:ascii="Arial" w:cs="Arial" w:eastAsia="Arial" w:hAnsi="Arial"/>
          <w:b/>
          <w:bCs/>
          <w:color w:val="1F3864"/>
          <w:sz w:val="36"/>
          <w:szCs w:val="36"/>
        </w:rPr>
        <w:t xml:space="preserve">7. Testing, Training, and Continuous Improvement</w:t>
      </w:r>
    </w:p>
    <w:p>
      <w:pPr>
        <w:pBdr>
          <w:bottom w:val="single" w:color="2E5FA3" w:sz="6" w:space="1"/>
        </w:pBdr>
        <w:spacing w:after="80" w:before="80"/>
      </w:pPr>
    </w:p>
    <w:p>
      <w:pPr>
        <w:pStyle w:val="Heading2"/>
        <w:spacing w:after="120" w:before="240"/>
      </w:pPr>
      <w:r>
        <w:rPr>
          <w:rFonts w:ascii="Arial" w:cs="Arial" w:eastAsia="Arial" w:hAnsi="Arial"/>
          <w:b/>
          <w:bCs/>
          <w:color w:val="2E5FA3"/>
          <w:sz w:val="28"/>
          <w:szCs w:val="28"/>
        </w:rPr>
        <w:t xml:space="preserve">7.1 Testing Programme</w:t>
      </w:r>
    </w:p>
    <w:p>
      <w:pPr>
        <w:spacing w:after="80" w:before="80"/>
      </w:pPr>
      <w:r>
        <w:rPr>
          <w:rFonts w:ascii="Arial" w:cs="Arial" w:eastAsia="Arial" w:hAnsi="Arial"/>
          <w:color w:val="000000"/>
          <w:sz w:val="20"/>
          <w:szCs w:val="20"/>
        </w:rPr>
        <w:t xml:space="preserve">ISO/IEC 27001:2022 control 5.30 requires that ICT readiness be tested. GlobalFinance Partners implements a layered testing programme to validate all aspects of ICT continuity capability.</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1680"/>
        <w:gridCol w:w="1680"/>
        <w:gridCol w:w="2160"/>
      </w:tblGrid>
      <w:tr>
        <w:tc>
          <w:tcPr>
            <w:tcW w:type="dxa" w:w="1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Test Type</w:t>
            </w:r>
          </w:p>
        </w:tc>
        <w:tc>
          <w:tcPr>
            <w:tcW w:type="dxa" w:w="21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Scope</w:t>
            </w:r>
          </w:p>
        </w:tc>
        <w:tc>
          <w:tcPr>
            <w:tcW w:type="dxa" w:w="1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Frequency</w:t>
            </w:r>
          </w:p>
        </w:tc>
        <w:tc>
          <w:tcPr>
            <w:tcW w:type="dxa" w:w="1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Lead</w:t>
            </w:r>
          </w:p>
        </w:tc>
        <w:tc>
          <w:tcPr>
            <w:tcW w:type="dxa" w:w="21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Success Criteria</w:t>
            </w:r>
          </w:p>
        </w:tc>
      </w:tr>
      <w:tr>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Backup Restoration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1 &amp; 2 system restores from backup media/cloud</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Quarterly</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CIO / IT Ops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Restoration completes within RTO; data consistent with RPO; integrity hash matches</w:t>
            </w:r>
          </w:p>
        </w:tc>
      </w:tr>
      <w:tr>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DR Failover — Partial</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1 application failover to hot standby; network re-routing</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Semi-annual</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CIO / CTO</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Automated failover &lt; 4 h; security controls validated; no data loss beyond RPO</w:t>
            </w:r>
          </w:p>
        </w:tc>
      </w:tr>
      <w:tr>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DR Failover — Full Scale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 failover of all Tier 1 &amp; 2 systems; crisis team active</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Annual</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COO / CIO / CISO</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RTO &amp; RPO met; IS controls intact; regulatory notifications tested; after-action report issued</w:t>
            </w:r>
          </w:p>
        </w:tc>
      </w:tr>
      <w:tr>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Tabletop Exercise</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Scenario-based walkthrough (cyber incident, outage, physical threat)</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Semi-annual</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COO / BC Coordinator</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points resolved; gaps documented; corrective actions assigned</w:t>
            </w:r>
          </w:p>
        </w:tc>
      </w:tr>
      <w:tr>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Telecoms / VPN Capacity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Remote access capacity under simulated surge conditions</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Quarterly</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CIO / IT Ops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of designated remote-work headcount authenticated simultaneously</w:t>
            </w:r>
          </w:p>
        </w:tc>
      </w:tr>
      <w:tr>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Security Control Validation</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Authentication, encryption, SIEM, access logs in recovery env</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Annual</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CISO</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IS controls operational; zero unauthorised access paths identified</w:t>
            </w:r>
          </w:p>
        </w:tc>
      </w:tr>
    </w:tbl>
    <w:p>
      <w:pPr>
        <w:spacing w:after="80" w:before="120"/>
      </w:pPr>
    </w:p>
    <w:p>
      <w:pPr>
        <w:pStyle w:val="Heading2"/>
        <w:spacing w:after="120" w:before="240"/>
      </w:pPr>
      <w:r>
        <w:rPr>
          <w:rFonts w:ascii="Arial" w:cs="Arial" w:eastAsia="Arial" w:hAnsi="Arial"/>
          <w:b/>
          <w:bCs/>
          <w:color w:val="2E5FA3"/>
          <w:sz w:val="28"/>
          <w:szCs w:val="28"/>
        </w:rPr>
        <w:t xml:space="preserve">7.2 Test Documentation</w:t>
      </w:r>
    </w:p>
    <w:p>
      <w:pPr>
        <w:spacing w:after="80" w:before="80"/>
      </w:pPr>
      <w:r>
        <w:rPr>
          <w:rFonts w:ascii="Arial" w:cs="Arial" w:eastAsia="Arial" w:hAnsi="Arial"/>
          <w:color w:val="000000"/>
          <w:sz w:val="20"/>
          <w:szCs w:val="20"/>
        </w:rPr>
        <w:t xml:space="preserve">Each test produces a Test Report containing:</w:t>
      </w:r>
    </w:p>
    <w:p>
      <w:pPr>
        <w:pStyle w:val="ListParagraph"/>
        <w:numPr>
          <w:ilvl w:val="0"/>
          <w:numId w:val="2"/>
        </w:numPr>
        <w:spacing w:after="40" w:before="40"/>
      </w:pPr>
      <w:r>
        <w:rPr>
          <w:rFonts w:ascii="Arial" w:cs="Arial" w:eastAsia="Arial" w:hAnsi="Arial"/>
          <w:color w:val="000000"/>
          <w:sz w:val="20"/>
          <w:szCs w:val="20"/>
        </w:rPr>
        <w:t xml:space="preserve">Test objectives, scope, date, and participants</w:t>
      </w:r>
    </w:p>
    <w:p>
      <w:pPr>
        <w:pStyle w:val="ListParagraph"/>
        <w:numPr>
          <w:ilvl w:val="0"/>
          <w:numId w:val="2"/>
        </w:numPr>
        <w:spacing w:after="40" w:before="40"/>
      </w:pPr>
      <w:r>
        <w:rPr>
          <w:rFonts w:ascii="Arial" w:cs="Arial" w:eastAsia="Arial" w:hAnsi="Arial"/>
          <w:color w:val="000000"/>
          <w:sz w:val="20"/>
          <w:szCs w:val="20"/>
        </w:rPr>
        <w:t xml:space="preserve">Scenario description and activation sequence</w:t>
      </w:r>
    </w:p>
    <w:p>
      <w:pPr>
        <w:pStyle w:val="ListParagraph"/>
        <w:numPr>
          <w:ilvl w:val="0"/>
          <w:numId w:val="2"/>
        </w:numPr>
        <w:spacing w:after="40" w:before="40"/>
      </w:pPr>
      <w:r>
        <w:rPr>
          <w:rFonts w:ascii="Arial" w:cs="Arial" w:eastAsia="Arial" w:hAnsi="Arial"/>
          <w:color w:val="000000"/>
          <w:sz w:val="20"/>
          <w:szCs w:val="20"/>
        </w:rPr>
        <w:t xml:space="preserve">System-by-system RTO and RPO outcomes versus objectives</w:t>
      </w:r>
    </w:p>
    <w:p>
      <w:pPr>
        <w:pStyle w:val="ListParagraph"/>
        <w:numPr>
          <w:ilvl w:val="0"/>
          <w:numId w:val="2"/>
        </w:numPr>
        <w:spacing w:after="40" w:before="40"/>
      </w:pPr>
      <w:r>
        <w:rPr>
          <w:rFonts w:ascii="Arial" w:cs="Arial" w:eastAsia="Arial" w:hAnsi="Arial"/>
          <w:color w:val="000000"/>
          <w:sz w:val="20"/>
          <w:szCs w:val="20"/>
        </w:rPr>
        <w:t xml:space="preserve">IS control validation results (CISO sign-off required)</w:t>
      </w:r>
    </w:p>
    <w:p>
      <w:pPr>
        <w:pStyle w:val="ListParagraph"/>
        <w:numPr>
          <w:ilvl w:val="0"/>
          <w:numId w:val="2"/>
        </w:numPr>
        <w:spacing w:after="40" w:before="40"/>
      </w:pPr>
      <w:r>
        <w:rPr>
          <w:rFonts w:ascii="Arial" w:cs="Arial" w:eastAsia="Arial" w:hAnsi="Arial"/>
          <w:color w:val="000000"/>
          <w:sz w:val="20"/>
          <w:szCs w:val="20"/>
        </w:rPr>
        <w:t xml:space="preserve">Observations, deficiencies, and gap analysis</w:t>
      </w:r>
    </w:p>
    <w:p>
      <w:pPr>
        <w:pStyle w:val="ListParagraph"/>
        <w:numPr>
          <w:ilvl w:val="0"/>
          <w:numId w:val="2"/>
        </w:numPr>
        <w:spacing w:after="40" w:before="40"/>
      </w:pPr>
      <w:r>
        <w:rPr>
          <w:rFonts w:ascii="Arial" w:cs="Arial" w:eastAsia="Arial" w:hAnsi="Arial"/>
          <w:color w:val="000000"/>
          <w:sz w:val="20"/>
          <w:szCs w:val="20"/>
        </w:rPr>
        <w:t xml:space="preserve">Corrective actions with assigned owners and target completion dates</w:t>
      </w:r>
    </w:p>
    <w:p>
      <w:pPr>
        <w:spacing w:after="80" w:before="80"/>
      </w:pPr>
      <w:r>
        <w:rPr>
          <w:rFonts w:ascii="Arial" w:cs="Arial" w:eastAsia="Arial" w:hAnsi="Arial"/>
          <w:color w:val="000000"/>
          <w:sz w:val="20"/>
          <w:szCs w:val="20"/>
        </w:rPr>
        <w:t xml:space="preserve">Test reports are submitted to the CIO and CISO within 5 business days of test completion and presented to the Business Continuity Steering Committee at the next quarterly meeting.</w:t>
      </w:r>
    </w:p>
    <w:p>
      <w:pPr>
        <w:pStyle w:val="Heading2"/>
        <w:spacing w:after="120" w:before="240"/>
      </w:pPr>
      <w:r>
        <w:rPr>
          <w:rFonts w:ascii="Arial" w:cs="Arial" w:eastAsia="Arial" w:hAnsi="Arial"/>
          <w:b/>
          <w:bCs/>
          <w:color w:val="2E5FA3"/>
          <w:sz w:val="28"/>
          <w:szCs w:val="28"/>
        </w:rPr>
        <w:t xml:space="preserve">7.3 Training and Awareness</w:t>
      </w:r>
    </w:p>
    <w:p>
      <w:pPr>
        <w:pStyle w:val="ListParagraph"/>
        <w:numPr>
          <w:ilvl w:val="0"/>
          <w:numId w:val="2"/>
        </w:numPr>
        <w:spacing w:after="40" w:before="40"/>
      </w:pPr>
      <w:r>
        <w:rPr>
          <w:rFonts w:ascii="Arial" w:cs="Arial" w:eastAsia="Arial" w:hAnsi="Arial"/>
          <w:color w:val="000000"/>
          <w:sz w:val="20"/>
          <w:szCs w:val="20"/>
        </w:rPr>
        <w:t xml:space="preserve">All IT Operations and ICT recovery team members complete annual ICT continuity training covering plan procedures, failover sequences, and IS requirements in recovery environments</w:t>
      </w:r>
    </w:p>
    <w:p>
      <w:pPr>
        <w:pStyle w:val="ListParagraph"/>
        <w:numPr>
          <w:ilvl w:val="0"/>
          <w:numId w:val="2"/>
        </w:numPr>
        <w:spacing w:after="40" w:before="40"/>
      </w:pPr>
      <w:r>
        <w:rPr>
          <w:rFonts w:ascii="Arial" w:cs="Arial" w:eastAsia="Arial" w:hAnsi="Arial"/>
          <w:color w:val="000000"/>
          <w:sz w:val="20"/>
          <w:szCs w:val="20"/>
        </w:rPr>
        <w:t xml:space="preserve">CIO and CISO participate in Crisis Management Team tabletop exercises semi-annually</w:t>
      </w:r>
    </w:p>
    <w:p>
      <w:pPr>
        <w:pStyle w:val="ListParagraph"/>
        <w:numPr>
          <w:ilvl w:val="0"/>
          <w:numId w:val="2"/>
        </w:numPr>
        <w:spacing w:after="40" w:before="40"/>
      </w:pPr>
      <w:r>
        <w:rPr>
          <w:rFonts w:ascii="Arial" w:cs="Arial" w:eastAsia="Arial" w:hAnsi="Arial"/>
          <w:color w:val="000000"/>
          <w:sz w:val="20"/>
          <w:szCs w:val="20"/>
        </w:rPr>
        <w:t xml:space="preserve">New IT personnel with recovery responsibilities complete role-specific ICTCP orientation within 30 days of appointment</w:t>
      </w:r>
    </w:p>
    <w:p>
      <w:pPr>
        <w:pStyle w:val="ListParagraph"/>
        <w:numPr>
          <w:ilvl w:val="0"/>
          <w:numId w:val="2"/>
        </w:numPr>
        <w:spacing w:after="40" w:before="40"/>
      </w:pPr>
      <w:r>
        <w:rPr>
          <w:rFonts w:ascii="Arial" w:cs="Arial" w:eastAsia="Arial" w:hAnsi="Arial"/>
          <w:color w:val="000000"/>
          <w:sz w:val="20"/>
          <w:szCs w:val="20"/>
        </w:rPr>
        <w:t xml:space="preserve">Training completion is tracked by the BC Coordinator and reported quarterly</w:t>
      </w:r>
    </w:p>
    <w:p>
      <w:pPr>
        <w:pStyle w:val="Heading2"/>
        <w:spacing w:after="120" w:before="240"/>
      </w:pPr>
      <w:r>
        <w:rPr>
          <w:rFonts w:ascii="Arial" w:cs="Arial" w:eastAsia="Arial" w:hAnsi="Arial"/>
          <w:b/>
          <w:bCs/>
          <w:color w:val="2E5FA3"/>
          <w:sz w:val="28"/>
          <w:szCs w:val="28"/>
        </w:rPr>
        <w:t xml:space="preserve">7.4 Plan Maintenance</w:t>
      </w:r>
    </w:p>
    <w:p>
      <w:pPr>
        <w:pStyle w:val="ListParagraph"/>
        <w:numPr>
          <w:ilvl w:val="0"/>
          <w:numId w:val="2"/>
        </w:numPr>
        <w:spacing w:after="40" w:before="40"/>
      </w:pPr>
      <w:r>
        <w:rPr>
          <w:rFonts w:ascii="Arial" w:cs="Arial" w:eastAsia="Arial" w:hAnsi="Arial"/>
          <w:color w:val="000000"/>
          <w:sz w:val="20"/>
          <w:szCs w:val="20"/>
        </w:rPr>
        <w:t xml:space="preserve">This plan is reviewed annually by the CIO and CISO, with updates approved by the COO</w:t>
      </w:r>
    </w:p>
    <w:p>
      <w:pPr>
        <w:pStyle w:val="ListParagraph"/>
        <w:numPr>
          <w:ilvl w:val="0"/>
          <w:numId w:val="2"/>
        </w:numPr>
        <w:spacing w:after="40" w:before="40"/>
      </w:pPr>
      <w:r>
        <w:rPr>
          <w:rFonts w:ascii="Arial" w:cs="Arial" w:eastAsia="Arial" w:hAnsi="Arial"/>
          <w:color w:val="000000"/>
          <w:sz w:val="20"/>
          <w:szCs w:val="20"/>
        </w:rPr>
        <w:t xml:space="preserve">Unscheduled reviews are triggered by: material changes to ICT architecture, BIA updates, post-incident findings, or changes to applicable regulations</w:t>
      </w:r>
    </w:p>
    <w:p>
      <w:pPr>
        <w:pStyle w:val="ListParagraph"/>
        <w:numPr>
          <w:ilvl w:val="0"/>
          <w:numId w:val="2"/>
        </w:numPr>
        <w:spacing w:after="40" w:before="40"/>
      </w:pPr>
      <w:r>
        <w:rPr>
          <w:rFonts w:ascii="Arial" w:cs="Arial" w:eastAsia="Arial" w:hAnsi="Arial"/>
          <w:color w:val="000000"/>
          <w:sz w:val="20"/>
          <w:szCs w:val="20"/>
        </w:rPr>
        <w:t xml:space="preserve">Plans are updated within 30 days of a test that identifies material deficiencies</w:t>
      </w:r>
    </w:p>
    <w:p>
      <w:pPr>
        <w:pStyle w:val="ListParagraph"/>
        <w:numPr>
          <w:ilvl w:val="0"/>
          <w:numId w:val="2"/>
        </w:numPr>
        <w:spacing w:after="40" w:before="40"/>
      </w:pPr>
      <w:r>
        <w:rPr>
          <w:rFonts w:ascii="Arial" w:cs="Arial" w:eastAsia="Arial" w:hAnsi="Arial"/>
          <w:color w:val="000000"/>
          <w:sz w:val="20"/>
          <w:szCs w:val="20"/>
        </w:rPr>
        <w:t xml:space="preserve">Version control is maintained in the central policy repository; superseded versions are archived for a minimum of 5 years</w:t>
      </w:r>
    </w:p>
    <w:p>
      <w:r>
        <w:br w:type="page"/>
      </w:r>
    </w:p>
    <w:p>
      <w:pPr>
        <w:pStyle w:val="Heading1"/>
        <w:spacing w:after="160" w:before="320"/>
      </w:pPr>
      <w:r>
        <w:rPr>
          <w:rFonts w:ascii="Arial" w:cs="Arial" w:eastAsia="Arial" w:hAnsi="Arial"/>
          <w:b/>
          <w:bCs/>
          <w:color w:val="1F3864"/>
          <w:sz w:val="36"/>
          <w:szCs w:val="36"/>
        </w:rPr>
        <w:t xml:space="preserve">8. Supply Chain and Third-Party ICT Continuity</w:t>
      </w:r>
    </w:p>
    <w:p>
      <w:pPr>
        <w:pBdr>
          <w:bottom w:val="single" w:color="2E5FA3" w:sz="6" w:space="1"/>
        </w:pBdr>
        <w:spacing w:after="80" w:before="80"/>
      </w:pPr>
    </w:p>
    <w:p>
      <w:pPr>
        <w:spacing w:after="80" w:before="80"/>
      </w:pPr>
      <w:r>
        <w:rPr>
          <w:rFonts w:ascii="Arial" w:cs="Arial" w:eastAsia="Arial" w:hAnsi="Arial"/>
          <w:color w:val="000000"/>
          <w:sz w:val="20"/>
          <w:szCs w:val="20"/>
        </w:rPr>
        <w:t xml:space="preserve">GlobalFinance Partners relies on third-party providers for critical ICT services including cloud hosting, managed security operations, and telecommunications. Supply chain risk to ICT continuity is managed as follows:</w:t>
      </w:r>
    </w:p>
    <w:p>
      <w:pPr>
        <w:pStyle w:val="Heading2"/>
        <w:spacing w:after="120" w:before="240"/>
      </w:pPr>
      <w:r>
        <w:rPr>
          <w:rFonts w:ascii="Arial" w:cs="Arial" w:eastAsia="Arial" w:hAnsi="Arial"/>
          <w:b/>
          <w:bCs/>
          <w:color w:val="2E5FA3"/>
          <w:sz w:val="28"/>
          <w:szCs w:val="28"/>
        </w:rPr>
        <w:t xml:space="preserve">8.1 Supplier Assessment</w:t>
      </w:r>
    </w:p>
    <w:p>
      <w:pPr>
        <w:pStyle w:val="ListParagraph"/>
        <w:numPr>
          <w:ilvl w:val="0"/>
          <w:numId w:val="2"/>
        </w:numPr>
        <w:spacing w:after="40" w:before="40"/>
      </w:pPr>
      <w:r>
        <w:rPr>
          <w:rFonts w:ascii="Arial" w:cs="Arial" w:eastAsia="Arial" w:hAnsi="Arial"/>
          <w:color w:val="000000"/>
          <w:sz w:val="20"/>
          <w:szCs w:val="20"/>
        </w:rPr>
        <w:t xml:space="preserve">All Tier 1 and Tier 2 ICT suppliers must provide evidence of ISO 27001 certification and/or SOC 2 Type II audit reports annually to the CIO and CISO</w:t>
      </w:r>
    </w:p>
    <w:p>
      <w:pPr>
        <w:pStyle w:val="ListParagraph"/>
        <w:numPr>
          <w:ilvl w:val="0"/>
          <w:numId w:val="2"/>
        </w:numPr>
        <w:spacing w:after="40" w:before="40"/>
      </w:pPr>
      <w:r>
        <w:rPr>
          <w:rFonts w:ascii="Arial" w:cs="Arial" w:eastAsia="Arial" w:hAnsi="Arial"/>
          <w:color w:val="000000"/>
          <w:sz w:val="20"/>
          <w:szCs w:val="20"/>
        </w:rPr>
        <w:t xml:space="preserve">Critical ICT suppliers are assessed against continuity capability criteria during initial on-boarding and at contract renewal</w:t>
      </w:r>
    </w:p>
    <w:p>
      <w:pPr>
        <w:pStyle w:val="ListParagraph"/>
        <w:numPr>
          <w:ilvl w:val="0"/>
          <w:numId w:val="2"/>
        </w:numPr>
        <w:spacing w:after="40" w:before="40"/>
      </w:pPr>
      <w:r>
        <w:rPr>
          <w:rFonts w:ascii="Arial" w:cs="Arial" w:eastAsia="Arial" w:hAnsi="Arial"/>
          <w:color w:val="000000"/>
          <w:sz w:val="20"/>
          <w:szCs w:val="20"/>
        </w:rPr>
        <w:t xml:space="preserve">The CRO maintains a third-party risk register that includes continuity risk ratings for all critical ICT providers</w:t>
      </w:r>
    </w:p>
    <w:p>
      <w:pPr>
        <w:pStyle w:val="Heading2"/>
        <w:spacing w:after="120" w:before="240"/>
      </w:pPr>
      <w:r>
        <w:rPr>
          <w:rFonts w:ascii="Arial" w:cs="Arial" w:eastAsia="Arial" w:hAnsi="Arial"/>
          <w:b/>
          <w:bCs/>
          <w:color w:val="2E5FA3"/>
          <w:sz w:val="28"/>
          <w:szCs w:val="28"/>
        </w:rPr>
        <w:t xml:space="preserve">8.2 Contractual Requirements</w:t>
      </w:r>
    </w:p>
    <w:p>
      <w:pPr>
        <w:pStyle w:val="ListParagraph"/>
        <w:numPr>
          <w:ilvl w:val="0"/>
          <w:numId w:val="2"/>
        </w:numPr>
        <w:spacing w:after="40" w:before="40"/>
      </w:pPr>
      <w:r>
        <w:rPr>
          <w:rFonts w:ascii="Arial" w:cs="Arial" w:eastAsia="Arial" w:hAnsi="Arial"/>
          <w:color w:val="000000"/>
          <w:sz w:val="20"/>
          <w:szCs w:val="20"/>
        </w:rPr>
        <w:t xml:space="preserve">Contracts with Tier 1 and Tier 2 ICT suppliers must include: defined RTO/RPO commitments; security incident notification obligations (≤ 2 hours for critical events); right-to-audit DR capabilities; data sovereignty and jurisdiction commitments</w:t>
      </w:r>
    </w:p>
    <w:p>
      <w:pPr>
        <w:pStyle w:val="ListParagraph"/>
        <w:numPr>
          <w:ilvl w:val="0"/>
          <w:numId w:val="2"/>
        </w:numPr>
        <w:spacing w:after="40" w:before="40"/>
      </w:pPr>
      <w:r>
        <w:rPr>
          <w:rFonts w:ascii="Arial" w:cs="Arial" w:eastAsia="Arial" w:hAnsi="Arial"/>
          <w:color w:val="000000"/>
          <w:sz w:val="20"/>
          <w:szCs w:val="20"/>
        </w:rPr>
        <w:t xml:space="preserve">Cloud service exit provisions must ensure data portability and migration assistance within timelines that meet GlobalFinance Partners' recovery objectives</w:t>
      </w:r>
    </w:p>
    <w:p>
      <w:pPr>
        <w:pStyle w:val="Heading2"/>
        <w:spacing w:after="120" w:before="240"/>
      </w:pPr>
      <w:r>
        <w:rPr>
          <w:rFonts w:ascii="Arial" w:cs="Arial" w:eastAsia="Arial" w:hAnsi="Arial"/>
          <w:b/>
          <w:bCs/>
          <w:color w:val="2E5FA3"/>
          <w:sz w:val="28"/>
          <w:szCs w:val="28"/>
        </w:rPr>
        <w:t xml:space="preserve">8.3 Concentration Risk</w:t>
      </w:r>
    </w:p>
    <w:p>
      <w:pPr>
        <w:pStyle w:val="ListParagraph"/>
        <w:numPr>
          <w:ilvl w:val="0"/>
          <w:numId w:val="2"/>
        </w:numPr>
        <w:spacing w:after="40" w:before="40"/>
      </w:pPr>
      <w:r>
        <w:rPr>
          <w:rFonts w:ascii="Arial" w:cs="Arial" w:eastAsia="Arial" w:hAnsi="Arial"/>
          <w:color w:val="000000"/>
          <w:sz w:val="20"/>
          <w:szCs w:val="20"/>
        </w:rPr>
        <w:t xml:space="preserve">The CIO reviews single-point-of-failure risks in the ICT supply chain annually as part of BIA activities</w:t>
      </w:r>
    </w:p>
    <w:p>
      <w:pPr>
        <w:pStyle w:val="ListParagraph"/>
        <w:numPr>
          <w:ilvl w:val="0"/>
          <w:numId w:val="2"/>
        </w:numPr>
        <w:spacing w:after="40" w:before="40"/>
      </w:pPr>
      <w:r>
        <w:rPr>
          <w:rFonts w:ascii="Arial" w:cs="Arial" w:eastAsia="Arial" w:hAnsi="Arial"/>
          <w:color w:val="000000"/>
          <w:sz w:val="20"/>
          <w:szCs w:val="20"/>
        </w:rPr>
        <w:t xml:space="preserve">Where critical ICT services are concentrated in a single provider, diversification options are evaluated and presented to the Steering Committee</w:t>
      </w:r>
    </w:p>
    <w:p>
      <w:r>
        <w:br w:type="page"/>
      </w:r>
    </w:p>
    <w:p>
      <w:pPr>
        <w:pStyle w:val="Heading1"/>
        <w:spacing w:after="160" w:before="320"/>
      </w:pPr>
      <w:r>
        <w:rPr>
          <w:rFonts w:ascii="Arial" w:cs="Arial" w:eastAsia="Arial" w:hAnsi="Arial"/>
          <w:b/>
          <w:bCs/>
          <w:color w:val="1F3864"/>
          <w:sz w:val="36"/>
          <w:szCs w:val="36"/>
        </w:rPr>
        <w:t xml:space="preserve">9. Programme Governance and Metrics</w:t>
      </w:r>
    </w:p>
    <w:p>
      <w:pPr>
        <w:pBdr>
          <w:bottom w:val="single" w:color="2E5FA3" w:sz="6" w:space="1"/>
        </w:pBdr>
        <w:spacing w:after="80" w:before="80"/>
      </w:pPr>
    </w:p>
    <w:p>
      <w:pPr>
        <w:pStyle w:val="Heading2"/>
        <w:spacing w:after="120" w:before="240"/>
      </w:pPr>
      <w:r>
        <w:rPr>
          <w:rFonts w:ascii="Arial" w:cs="Arial" w:eastAsia="Arial" w:hAnsi="Arial"/>
          <w:b/>
          <w:bCs/>
          <w:color w:val="2E5FA3"/>
          <w:sz w:val="28"/>
          <w:szCs w:val="28"/>
        </w:rPr>
        <w:t xml:space="preserve">9.1 Governance</w:t>
      </w:r>
    </w:p>
    <w:p>
      <w:pPr>
        <w:spacing w:after="80" w:before="80"/>
      </w:pPr>
      <w:r>
        <w:rPr>
          <w:rFonts w:ascii="Arial" w:cs="Arial" w:eastAsia="Arial" w:hAnsi="Arial"/>
          <w:color w:val="000000"/>
          <w:sz w:val="20"/>
          <w:szCs w:val="20"/>
        </w:rPr>
        <w:t xml:space="preserve">The Business Continuity Steering Committee provides quarterly oversight of ICTCP performance. The CIO reports to the Steering Committee on:</w:t>
      </w:r>
    </w:p>
    <w:p>
      <w:pPr>
        <w:pStyle w:val="ListParagraph"/>
        <w:numPr>
          <w:ilvl w:val="0"/>
          <w:numId w:val="2"/>
        </w:numPr>
        <w:spacing w:after="40" w:before="40"/>
      </w:pPr>
      <w:r>
        <w:rPr>
          <w:rFonts w:ascii="Arial" w:cs="Arial" w:eastAsia="Arial" w:hAnsi="Arial"/>
          <w:color w:val="000000"/>
          <w:sz w:val="20"/>
          <w:szCs w:val="20"/>
        </w:rPr>
        <w:t xml:space="preserve">Test completion status and outcomes</w:t>
      </w:r>
    </w:p>
    <w:p>
      <w:pPr>
        <w:pStyle w:val="ListParagraph"/>
        <w:numPr>
          <w:ilvl w:val="0"/>
          <w:numId w:val="2"/>
        </w:numPr>
        <w:spacing w:after="40" w:before="40"/>
      </w:pPr>
      <w:r>
        <w:rPr>
          <w:rFonts w:ascii="Arial" w:cs="Arial" w:eastAsia="Arial" w:hAnsi="Arial"/>
          <w:color w:val="000000"/>
          <w:sz w:val="20"/>
          <w:szCs w:val="20"/>
        </w:rPr>
        <w:t xml:space="preserve">Corrective action progress and closure rates</w:t>
      </w:r>
    </w:p>
    <w:p>
      <w:pPr>
        <w:pStyle w:val="ListParagraph"/>
        <w:numPr>
          <w:ilvl w:val="0"/>
          <w:numId w:val="2"/>
        </w:numPr>
        <w:spacing w:after="40" w:before="40"/>
      </w:pPr>
      <w:r>
        <w:rPr>
          <w:rFonts w:ascii="Arial" w:cs="Arial" w:eastAsia="Arial" w:hAnsi="Arial"/>
          <w:color w:val="000000"/>
          <w:sz w:val="20"/>
          <w:szCs w:val="20"/>
        </w:rPr>
        <w:t xml:space="preserve">Changes to ICT system tier classifications or RTO/RPO objectives</w:t>
      </w:r>
    </w:p>
    <w:p>
      <w:pPr>
        <w:pStyle w:val="ListParagraph"/>
        <w:numPr>
          <w:ilvl w:val="0"/>
          <w:numId w:val="2"/>
        </w:numPr>
        <w:spacing w:after="40" w:before="40"/>
      </w:pPr>
      <w:r>
        <w:rPr>
          <w:rFonts w:ascii="Arial" w:cs="Arial" w:eastAsia="Arial" w:hAnsi="Arial"/>
          <w:color w:val="000000"/>
          <w:sz w:val="20"/>
          <w:szCs w:val="20"/>
        </w:rPr>
        <w:t xml:space="preserve">Significant ICT supply chain changes affecting continuity capability</w:t>
      </w:r>
    </w:p>
    <w:p>
      <w:pPr>
        <w:pStyle w:val="ListParagraph"/>
        <w:numPr>
          <w:ilvl w:val="0"/>
          <w:numId w:val="2"/>
        </w:numPr>
        <w:spacing w:after="40" w:before="40"/>
      </w:pPr>
      <w:r>
        <w:rPr>
          <w:rFonts w:ascii="Arial" w:cs="Arial" w:eastAsia="Arial" w:hAnsi="Arial"/>
          <w:color w:val="000000"/>
          <w:sz w:val="20"/>
          <w:szCs w:val="20"/>
        </w:rPr>
        <w:t xml:space="preserve">IS control validation results from the CISO</w:t>
      </w:r>
    </w:p>
    <w:p>
      <w:pPr>
        <w:pStyle w:val="Heading2"/>
        <w:spacing w:after="120" w:before="240"/>
      </w:pPr>
      <w:r>
        <w:rPr>
          <w:rFonts w:ascii="Arial" w:cs="Arial" w:eastAsia="Arial" w:hAnsi="Arial"/>
          <w:b/>
          <w:bCs/>
          <w:color w:val="2E5FA3"/>
          <w:sz w:val="28"/>
          <w:szCs w:val="28"/>
        </w:rPr>
        <w:t xml:space="preserve">9.2 Key Performance Indicators</w:t>
      </w:r>
    </w:p>
    <w:p>
      <w:pPr>
        <w:spacing w:after="80" w:before="80"/>
      </w:pPr>
      <w:r>
        <w:rPr>
          <w:rFonts w:ascii="Arial" w:cs="Arial" w:eastAsia="Arial" w:hAnsi="Arial"/>
          <w:color w:val="000000"/>
          <w:sz w:val="20"/>
          <w:szCs w:val="20"/>
        </w:rPr>
        <w:t xml:space="preserve">The following KPIs are tracked and reported quarterly:</w:t>
      </w:r>
    </w:p>
    <w:p>
      <w:pPr>
        <w:pStyle w:val="ListParagraph"/>
        <w:numPr>
          <w:ilvl w:val="0"/>
          <w:numId w:val="2"/>
        </w:numPr>
        <w:spacing w:after="40" w:before="40"/>
      </w:pPr>
      <w:r>
        <w:rPr>
          <w:rFonts w:ascii="Arial" w:cs="Arial" w:eastAsia="Arial" w:hAnsi="Arial"/>
          <w:color w:val="000000"/>
          <w:sz w:val="20"/>
          <w:szCs w:val="20"/>
        </w:rPr>
        <w:t xml:space="preserve">Backup restoration success rate (target: 100% of quarterly tests successful)</w:t>
      </w:r>
    </w:p>
    <w:p>
      <w:pPr>
        <w:pStyle w:val="ListParagraph"/>
        <w:numPr>
          <w:ilvl w:val="0"/>
          <w:numId w:val="2"/>
        </w:numPr>
        <w:spacing w:after="40" w:before="40"/>
      </w:pPr>
      <w:r>
        <w:rPr>
          <w:rFonts w:ascii="Arial" w:cs="Arial" w:eastAsia="Arial" w:hAnsi="Arial"/>
          <w:color w:val="000000"/>
          <w:sz w:val="20"/>
          <w:szCs w:val="20"/>
        </w:rPr>
        <w:t xml:space="preserve">RTO achievement rate in exercises (target: 100% of Tier 1 tests meet RTO)</w:t>
      </w:r>
    </w:p>
    <w:p>
      <w:pPr>
        <w:pStyle w:val="ListParagraph"/>
        <w:numPr>
          <w:ilvl w:val="0"/>
          <w:numId w:val="2"/>
        </w:numPr>
        <w:spacing w:after="40" w:before="40"/>
      </w:pPr>
      <w:r>
        <w:rPr>
          <w:rFonts w:ascii="Arial" w:cs="Arial" w:eastAsia="Arial" w:hAnsi="Arial"/>
          <w:color w:val="000000"/>
          <w:sz w:val="20"/>
          <w:szCs w:val="20"/>
        </w:rPr>
        <w:t xml:space="preserve">RPO achievement rate in exercises (target: 100% of Tier 1 tests meet RPO)</w:t>
      </w:r>
    </w:p>
    <w:p>
      <w:pPr>
        <w:pStyle w:val="ListParagraph"/>
        <w:numPr>
          <w:ilvl w:val="0"/>
          <w:numId w:val="2"/>
        </w:numPr>
        <w:spacing w:after="40" w:before="40"/>
      </w:pPr>
      <w:r>
        <w:rPr>
          <w:rFonts w:ascii="Arial" w:cs="Arial" w:eastAsia="Arial" w:hAnsi="Arial"/>
          <w:color w:val="000000"/>
          <w:sz w:val="20"/>
          <w:szCs w:val="20"/>
        </w:rPr>
        <w:t xml:space="preserve">Test completion rate (target: 100% of scheduled tests completed on time)</w:t>
      </w:r>
    </w:p>
    <w:p>
      <w:pPr>
        <w:pStyle w:val="ListParagraph"/>
        <w:numPr>
          <w:ilvl w:val="0"/>
          <w:numId w:val="2"/>
        </w:numPr>
        <w:spacing w:after="40" w:before="40"/>
      </w:pPr>
      <w:r>
        <w:rPr>
          <w:rFonts w:ascii="Arial" w:cs="Arial" w:eastAsia="Arial" w:hAnsi="Arial"/>
          <w:color w:val="000000"/>
          <w:sz w:val="20"/>
          <w:szCs w:val="20"/>
        </w:rPr>
        <w:t xml:space="preserve">Corrective action closure rate (target: 90% closed within agreed timelines)</w:t>
      </w:r>
    </w:p>
    <w:p>
      <w:pPr>
        <w:pStyle w:val="ListParagraph"/>
        <w:numPr>
          <w:ilvl w:val="0"/>
          <w:numId w:val="2"/>
        </w:numPr>
        <w:spacing w:after="40" w:before="40"/>
      </w:pPr>
      <w:r>
        <w:rPr>
          <w:rFonts w:ascii="Arial" w:cs="Arial" w:eastAsia="Arial" w:hAnsi="Arial"/>
          <w:color w:val="000000"/>
          <w:sz w:val="20"/>
          <w:szCs w:val="20"/>
        </w:rPr>
        <w:t xml:space="preserve">Training completion rate (target: 100% of ICT recovery personnel trained annually)</w:t>
      </w:r>
    </w:p>
    <w:p>
      <w:pPr>
        <w:pStyle w:val="ListParagraph"/>
        <w:numPr>
          <w:ilvl w:val="0"/>
          <w:numId w:val="2"/>
        </w:numPr>
        <w:spacing w:after="40" w:before="40"/>
      </w:pPr>
      <w:r>
        <w:rPr>
          <w:rFonts w:ascii="Arial" w:cs="Arial" w:eastAsia="Arial" w:hAnsi="Arial"/>
          <w:color w:val="000000"/>
          <w:sz w:val="20"/>
          <w:szCs w:val="20"/>
        </w:rPr>
        <w:t xml:space="preserve">Supplier compliance rate (target: 100% of Tier 1 suppliers with current certifications on file)</w:t>
      </w:r>
    </w:p>
    <w:p>
      <w:pPr>
        <w:pStyle w:val="Heading2"/>
        <w:spacing w:after="120" w:before="240"/>
      </w:pPr>
      <w:r>
        <w:rPr>
          <w:rFonts w:ascii="Arial" w:cs="Arial" w:eastAsia="Arial" w:hAnsi="Arial"/>
          <w:b/>
          <w:bCs/>
          <w:color w:val="2E5FA3"/>
          <w:sz w:val="28"/>
          <w:szCs w:val="28"/>
        </w:rPr>
        <w:t xml:space="preserve">9.3 Continuous Improvement</w:t>
      </w:r>
    </w:p>
    <w:p>
      <w:pPr>
        <w:pStyle w:val="ListParagraph"/>
        <w:numPr>
          <w:ilvl w:val="0"/>
          <w:numId w:val="2"/>
        </w:numPr>
        <w:spacing w:after="40" w:before="40"/>
      </w:pPr>
      <w:r>
        <w:rPr>
          <w:rFonts w:ascii="Arial" w:cs="Arial" w:eastAsia="Arial" w:hAnsi="Arial"/>
          <w:color w:val="000000"/>
          <w:sz w:val="20"/>
          <w:szCs w:val="20"/>
        </w:rPr>
        <w:t xml:space="preserve">Post-incident reviews following real activations incorporate lessons learned into plan updates within 30 days</w:t>
      </w:r>
    </w:p>
    <w:p>
      <w:pPr>
        <w:pStyle w:val="ListParagraph"/>
        <w:numPr>
          <w:ilvl w:val="0"/>
          <w:numId w:val="2"/>
        </w:numPr>
        <w:spacing w:after="40" w:before="40"/>
      </w:pPr>
      <w:r>
        <w:rPr>
          <w:rFonts w:ascii="Arial" w:cs="Arial" w:eastAsia="Arial" w:hAnsi="Arial"/>
          <w:color w:val="000000"/>
          <w:sz w:val="20"/>
          <w:szCs w:val="20"/>
        </w:rPr>
        <w:t xml:space="preserve">Emerging threats identified by the CISO's threat intelligence function (ISO 27001:2022 control 5.7) are evaluated for impact on ICT continuity strategies</w:t>
      </w:r>
    </w:p>
    <w:p>
      <w:pPr>
        <w:pStyle w:val="ListParagraph"/>
        <w:numPr>
          <w:ilvl w:val="0"/>
          <w:numId w:val="2"/>
        </w:numPr>
        <w:spacing w:after="40" w:before="40"/>
      </w:pPr>
      <w:r>
        <w:rPr>
          <w:rFonts w:ascii="Arial" w:cs="Arial" w:eastAsia="Arial" w:hAnsi="Arial"/>
          <w:color w:val="000000"/>
          <w:sz w:val="20"/>
          <w:szCs w:val="20"/>
        </w:rPr>
        <w:t xml:space="preserve">Industry benchmarking against peer financial services organisations and standards updates (ISO 22301, NIST SP 800-34) is conducted annually</w:t>
      </w:r>
    </w:p>
    <w:p>
      <w:r>
        <w:br w:type="page"/>
      </w:r>
    </w:p>
    <w:p>
      <w:pPr>
        <w:pStyle w:val="Heading1"/>
        <w:spacing w:after="160" w:before="320"/>
      </w:pPr>
      <w:r>
        <w:rPr>
          <w:rFonts w:ascii="Arial" w:cs="Arial" w:eastAsia="Arial" w:hAnsi="Arial"/>
          <w:b/>
          <w:bCs/>
          <w:color w:val="1F3864"/>
          <w:sz w:val="36"/>
          <w:szCs w:val="36"/>
        </w:rPr>
        <w:t xml:space="preserve">10. Related Documents and Definitions</w:t>
      </w:r>
    </w:p>
    <w:p>
      <w:pPr>
        <w:pBdr>
          <w:bottom w:val="single" w:color="2E5FA3" w:sz="6" w:space="1"/>
        </w:pBdr>
        <w:spacing w:after="80" w:before="80"/>
      </w:pPr>
    </w:p>
    <w:p>
      <w:pPr>
        <w:pStyle w:val="Heading2"/>
        <w:spacing w:after="120" w:before="240"/>
      </w:pPr>
      <w:r>
        <w:rPr>
          <w:rFonts w:ascii="Arial" w:cs="Arial" w:eastAsia="Arial" w:hAnsi="Arial"/>
          <w:b/>
          <w:bCs/>
          <w:color w:val="2E5FA3"/>
          <w:sz w:val="28"/>
          <w:szCs w:val="28"/>
        </w:rPr>
        <w:t xml:space="preserve">10.1 Related Documents</w:t>
      </w:r>
    </w:p>
    <w:p>
      <w:pPr>
        <w:pStyle w:val="ListParagraph"/>
        <w:numPr>
          <w:ilvl w:val="0"/>
          <w:numId w:val="2"/>
        </w:numPr>
        <w:spacing w:after="40" w:before="40"/>
      </w:pPr>
      <w:r>
        <w:rPr>
          <w:rFonts w:ascii="Arial" w:cs="Arial" w:eastAsia="Arial" w:hAnsi="Arial"/>
          <w:color w:val="000000"/>
          <w:sz w:val="20"/>
          <w:szCs w:val="20"/>
        </w:rPr>
        <w:t xml:space="preserve">GFP-POL-BCP-001 — Business Continuity Policy</w:t>
      </w:r>
    </w:p>
    <w:p>
      <w:pPr>
        <w:pStyle w:val="ListParagraph"/>
        <w:numPr>
          <w:ilvl w:val="0"/>
          <w:numId w:val="2"/>
        </w:numPr>
        <w:spacing w:after="40" w:before="40"/>
      </w:pPr>
      <w:r>
        <w:rPr>
          <w:rFonts w:ascii="Arial" w:cs="Arial" w:eastAsia="Arial" w:hAnsi="Arial"/>
          <w:color w:val="000000"/>
          <w:sz w:val="20"/>
          <w:szCs w:val="20"/>
        </w:rPr>
        <w:t xml:space="preserve">GFP-POL-ISP-001 — Information Security Policy</w:t>
      </w:r>
    </w:p>
    <w:p>
      <w:pPr>
        <w:pStyle w:val="ListParagraph"/>
        <w:numPr>
          <w:ilvl w:val="0"/>
          <w:numId w:val="2"/>
        </w:numPr>
        <w:spacing w:after="40" w:before="40"/>
      </w:pPr>
      <w:r>
        <w:rPr>
          <w:rFonts w:ascii="Arial" w:cs="Arial" w:eastAsia="Arial" w:hAnsi="Arial"/>
          <w:color w:val="000000"/>
          <w:sz w:val="20"/>
          <w:szCs w:val="20"/>
        </w:rPr>
        <w:t xml:space="preserve">Disaster Recovery Plan (DRP) — System-specific technical runbooks</w:t>
      </w:r>
    </w:p>
    <w:p>
      <w:pPr>
        <w:pStyle w:val="ListParagraph"/>
        <w:numPr>
          <w:ilvl w:val="0"/>
          <w:numId w:val="2"/>
        </w:numPr>
        <w:spacing w:after="40" w:before="40"/>
      </w:pPr>
      <w:r>
        <w:rPr>
          <w:rFonts w:ascii="Arial" w:cs="Arial" w:eastAsia="Arial" w:hAnsi="Arial"/>
          <w:color w:val="000000"/>
          <w:sz w:val="20"/>
          <w:szCs w:val="20"/>
        </w:rPr>
        <w:t xml:space="preserve">Crisis Communication Plan</w:t>
      </w:r>
    </w:p>
    <w:p>
      <w:pPr>
        <w:pStyle w:val="ListParagraph"/>
        <w:numPr>
          <w:ilvl w:val="0"/>
          <w:numId w:val="2"/>
        </w:numPr>
        <w:spacing w:after="40" w:before="40"/>
      </w:pPr>
      <w:r>
        <w:rPr>
          <w:rFonts w:ascii="Arial" w:cs="Arial" w:eastAsia="Arial" w:hAnsi="Arial"/>
          <w:color w:val="000000"/>
          <w:sz w:val="20"/>
          <w:szCs w:val="20"/>
        </w:rPr>
        <w:t xml:space="preserve">Information System Contingency Plans (ISCPs) — per critical system</w:t>
      </w:r>
    </w:p>
    <w:p>
      <w:pPr>
        <w:pStyle w:val="ListParagraph"/>
        <w:numPr>
          <w:ilvl w:val="0"/>
          <w:numId w:val="2"/>
        </w:numPr>
        <w:spacing w:after="40" w:before="40"/>
      </w:pPr>
      <w:r>
        <w:rPr>
          <w:rFonts w:ascii="Arial" w:cs="Arial" w:eastAsia="Arial" w:hAnsi="Arial"/>
          <w:color w:val="000000"/>
          <w:sz w:val="20"/>
          <w:szCs w:val="20"/>
        </w:rPr>
        <w:t xml:space="preserve">Supplier Relationships Policy</w:t>
      </w:r>
    </w:p>
    <w:p>
      <w:pPr>
        <w:pStyle w:val="ListParagraph"/>
        <w:numPr>
          <w:ilvl w:val="0"/>
          <w:numId w:val="2"/>
        </w:numPr>
        <w:spacing w:after="40" w:before="40"/>
      </w:pPr>
      <w:r>
        <w:rPr>
          <w:rFonts w:ascii="Arial" w:cs="Arial" w:eastAsia="Arial" w:hAnsi="Arial"/>
          <w:color w:val="000000"/>
          <w:sz w:val="20"/>
          <w:szCs w:val="20"/>
        </w:rPr>
        <w:t xml:space="preserve">Access Control Policy</w:t>
      </w:r>
    </w:p>
    <w:p>
      <w:pPr>
        <w:pStyle w:val="ListParagraph"/>
        <w:numPr>
          <w:ilvl w:val="0"/>
          <w:numId w:val="2"/>
        </w:numPr>
        <w:spacing w:after="40" w:before="40"/>
      </w:pPr>
      <w:r>
        <w:rPr>
          <w:rFonts w:ascii="Arial" w:cs="Arial" w:eastAsia="Arial" w:hAnsi="Arial"/>
          <w:color w:val="000000"/>
          <w:sz w:val="20"/>
          <w:szCs w:val="20"/>
        </w:rPr>
        <w:t xml:space="preserve">Cryptography Policy</w:t>
      </w:r>
    </w:p>
    <w:p>
      <w:pPr>
        <w:pStyle w:val="Heading2"/>
        <w:spacing w:after="120" w:before="240"/>
      </w:pPr>
      <w:r>
        <w:rPr>
          <w:rFonts w:ascii="Arial" w:cs="Arial" w:eastAsia="Arial" w:hAnsi="Arial"/>
          <w:b/>
          <w:bCs/>
          <w:color w:val="2E5FA3"/>
          <w:sz w:val="28"/>
          <w:szCs w:val="28"/>
        </w:rPr>
        <w:t xml:space="preserve">10.2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Term</w:t>
            </w:r>
          </w:p>
        </w:tc>
        <w:tc>
          <w:tcPr>
            <w:tcW w:type="dxa" w:w="64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Definition</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Business Continuity</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Capability of the organisation to continue delivery of products or services at acceptable predefined levels following a disruptive incident.</w:t>
            </w:r>
          </w:p>
        </w:tc>
      </w:tr>
      <w:tr>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Disaster Recovery (DR)</w:t>
            </w:r>
          </w:p>
        </w:tc>
        <w:tc>
          <w:tcPr>
            <w:tcW w:type="dxa" w:w="6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Processes and procedures to recover or restore ICT infrastructure following a disruptive event.</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Hot Site</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fully operational, continuously maintained alternate processing facility where ICT systems can assume production workloads with minimal manual intervention (RTO &lt; 4 hours).</w:t>
            </w:r>
          </w:p>
        </w:tc>
      </w:tr>
      <w:tr>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Immutable Backup</w:t>
            </w:r>
          </w:p>
        </w:tc>
        <w:tc>
          <w:tcPr>
            <w:tcW w:type="dxa" w:w="6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copy that cannot be altered or deleted for a defined retention period, protecting against ransomware and accidental deletion.</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Maximum Tolerable Downtime (MTD)</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total time a process or system can be unavailable before the organisation suffers unacceptable consequences.</w:t>
            </w:r>
          </w:p>
        </w:tc>
      </w:tr>
      <w:tr>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Recovery Point Objective (RPO)</w:t>
            </w:r>
          </w:p>
        </w:tc>
        <w:tc>
          <w:tcPr>
            <w:tcW w:type="dxa" w:w="6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maximum acceptable amount of data loss, measured in time, following a disruptive event.</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Recovery Time Objective (RTO)</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target time within which a system or process must be restored following a disruptive event.</w:t>
            </w:r>
          </w:p>
        </w:tc>
      </w:tr>
      <w:tr>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Warm Site</w:t>
            </w:r>
          </w:p>
        </w:tc>
        <w:tc>
          <w:tcPr>
            <w:tcW w:type="dxa" w:w="6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partially equipped alternate processing facility pre-provisioned with network connectivity and hardware, requiring restoration of data and configuration before systems become operational (RTO &lt; 24 hours).</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SIEM</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Information and Event Management platform — aggregates and correlates security event data for real-time monitoring and incident detection.</w:t>
            </w:r>
          </w:p>
        </w:tc>
      </w:tr>
      <w:tr>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ICT Continuity</w:t>
            </w:r>
          </w:p>
        </w:tc>
        <w:tc>
          <w:tcPr>
            <w:tcW w:type="dxa" w:w="6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ongoing ability to provide ICT services that support business processes in the face of disruptions, at the required availability and performance levels.</w:t>
            </w:r>
          </w:p>
        </w:tc>
      </w:tr>
    </w:tbl>
    <w:p>
      <w:r>
        <w:br w:type="page"/>
      </w:r>
    </w:p>
    <w:p>
      <w:pPr>
        <w:pStyle w:val="Heading1"/>
        <w:spacing w:after="160" w:before="320"/>
      </w:pPr>
      <w:r>
        <w:rPr>
          <w:rFonts w:ascii="Arial" w:cs="Arial" w:eastAsia="Arial" w:hAnsi="Arial"/>
          <w:b/>
          <w:bCs/>
          <w:color w:val="1F3864"/>
          <w:sz w:val="36"/>
          <w:szCs w:val="36"/>
        </w:rPr>
        <w:t xml:space="preserve">Approval and Authorization</w:t>
      </w:r>
    </w:p>
    <w:p>
      <w:pPr>
        <w:pBdr>
          <w:bottom w:val="single" w:color="2E5FA3" w:sz="6" w:space="1"/>
        </w:pBdr>
        <w:spacing w:after="80" w:before="80"/>
      </w:pPr>
    </w:p>
    <w:p>
      <w:pPr>
        <w:spacing w:after="80" w:before="80"/>
      </w:pPr>
      <w:r>
        <w:rPr>
          <w:rFonts w:ascii="Arial" w:cs="Arial" w:eastAsia="Arial" w:hAnsi="Arial"/>
          <w:color w:val="000000"/>
          <w:sz w:val="20"/>
          <w:szCs w:val="20"/>
        </w:rPr>
        <w:t xml:space="preserve">This ICT Continuity Plan has been reviewed and approved by the following authorized signatories. By signing, each authorizing officer confirms that this plan adequately addresses their area of accountability and complies with the GlobalFinance Partners Business Continuity Policy and ISO/IEC 27001:2022 control 5.30.</w:t>
      </w:r>
    </w:p>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Role</w:t>
            </w:r>
          </w:p>
        </w:tc>
        <w:tc>
          <w:tcPr>
            <w:tcW w:type="dxa" w:w="4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Name / Signature / Date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Chief Operating Officer (Plan Sponsor)</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James Whitfield</w:t>
            </w:r>
          </w:p>
          <w:p>
            <w:pPr>
              <w:spacing w:after="0" w:before="80"/>
            </w:pPr>
            <w:r>
              <w:rPr>
                <w:rFonts w:ascii="Arial" w:cs="Arial" w:eastAsia="Arial" w:hAnsi="Arial"/>
                <w:color w:val="666666"/>
                <w:sz w:val="20"/>
                <w:szCs w:val="20"/>
              </w:rPr>
              <w:t xml:space="preserve">Signature: ___________________________</w:t>
            </w:r>
          </w:p>
          <w:p>
            <w:pPr>
              <w:spacing w:after="0" w:before="40"/>
            </w:pPr>
            <w:r>
              <w:rPr>
                <w:rFonts w:ascii="Arial" w:cs="Arial" w:eastAsia="Arial" w:hAnsi="Arial"/>
                <w:color w:val="666666"/>
                <w:sz w:val="20"/>
                <w:szCs w:val="20"/>
              </w:rPr>
              <w:t xml:space="preserve">Date: ________________________________</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Chief Information Officer (Plan Owner)</w:t>
            </w:r>
          </w:p>
        </w:tc>
        <w:tc>
          <w:tcPr>
            <w:tcW w:type="dxa" w:w="4680"/>
            <w:tcBorders>
              <w:top w:val="single" w:color="AAAAAA" w:sz="1"/>
              <w:left w:val="single" w:color="AAAAAA" w:sz="1"/>
              <w:bottom w:val="single" w:color="AAAAAA" w:sz="1"/>
              <w:right w:val="single" w:color="AAAAAA" w:sz="1"/>
            </w:tcBorders>
            <w:shd w:fill="F2F2F2" w:val="clear"/>
            <w:tcMar>
              <w:top w:type="dxa" w:w="100"/>
              <w:left w:type="dxa" w:w="140"/>
              <w:bottom w:type="dxa" w:w="100"/>
              <w:right w:type="dxa" w:w="140"/>
            </w:tcMar>
          </w:tcPr>
          <w:p>
            <w:r>
              <w:rPr>
                <w:rFonts w:ascii="Arial" w:cs="Arial" w:eastAsia="Arial" w:hAnsi="Arial"/>
                <w:b/>
                <w:bCs/>
                <w:color w:val="000000"/>
                <w:sz w:val="20"/>
                <w:szCs w:val="20"/>
              </w:rPr>
              <w:t xml:space="preserve">Marcus Chen</w:t>
            </w:r>
          </w:p>
          <w:p>
            <w:pPr>
              <w:spacing w:after="0" w:before="80"/>
            </w:pPr>
            <w:r>
              <w:rPr>
                <w:rFonts w:ascii="Arial" w:cs="Arial" w:eastAsia="Arial" w:hAnsi="Arial"/>
                <w:color w:val="666666"/>
                <w:sz w:val="20"/>
                <w:szCs w:val="20"/>
              </w:rPr>
              <w:t xml:space="preserve">Signature: ___________________________</w:t>
            </w:r>
          </w:p>
          <w:p>
            <w:pPr>
              <w:spacing w:after="0" w:before="40"/>
            </w:pPr>
            <w:r>
              <w:rPr>
                <w:rFonts w:ascii="Arial" w:cs="Arial" w:eastAsia="Arial" w:hAnsi="Arial"/>
                <w:color w:val="666666"/>
                <w:sz w:val="20"/>
                <w:szCs w:val="20"/>
              </w:rPr>
              <w:t xml:space="preserve">Date: ________________________________</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Chief Information Security Officer (IS Co-Owner)</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Priya Nair</w:t>
            </w:r>
          </w:p>
          <w:p>
            <w:pPr>
              <w:spacing w:after="0" w:before="80"/>
            </w:pPr>
            <w:r>
              <w:rPr>
                <w:rFonts w:ascii="Arial" w:cs="Arial" w:eastAsia="Arial" w:hAnsi="Arial"/>
                <w:color w:val="666666"/>
                <w:sz w:val="20"/>
                <w:szCs w:val="20"/>
              </w:rPr>
              <w:t xml:space="preserve">Signature: ___________________________</w:t>
            </w:r>
          </w:p>
          <w:p>
            <w:pPr>
              <w:spacing w:after="0" w:before="40"/>
            </w:pPr>
            <w:r>
              <w:rPr>
                <w:rFonts w:ascii="Arial" w:cs="Arial" w:eastAsia="Arial" w:hAnsi="Arial"/>
                <w:color w:val="666666"/>
                <w:sz w:val="20"/>
                <w:szCs w:val="20"/>
              </w:rPr>
              <w:t xml:space="preserve">Date: ________________________________</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Chief Technology Officer (Technical Review)</w:t>
            </w:r>
          </w:p>
        </w:tc>
        <w:tc>
          <w:tcPr>
            <w:tcW w:type="dxa" w:w="4680"/>
            <w:tcBorders>
              <w:top w:val="single" w:color="AAAAAA" w:sz="1"/>
              <w:left w:val="single" w:color="AAAAAA" w:sz="1"/>
              <w:bottom w:val="single" w:color="AAAAAA" w:sz="1"/>
              <w:right w:val="single" w:color="AAAAAA" w:sz="1"/>
            </w:tcBorders>
            <w:shd w:fill="F2F2F2" w:val="clear"/>
            <w:tcMar>
              <w:top w:type="dxa" w:w="100"/>
              <w:left w:type="dxa" w:w="140"/>
              <w:bottom w:type="dxa" w:w="100"/>
              <w:right w:type="dxa" w:w="140"/>
            </w:tcMar>
          </w:tcPr>
          <w:p>
            <w:r>
              <w:rPr>
                <w:rFonts w:ascii="Arial" w:cs="Arial" w:eastAsia="Arial" w:hAnsi="Arial"/>
                <w:b/>
                <w:bCs/>
                <w:color w:val="000000"/>
                <w:sz w:val="20"/>
                <w:szCs w:val="20"/>
              </w:rPr>
              <w:t xml:space="preserve">Taryn Vasquez</w:t>
            </w:r>
          </w:p>
          <w:p>
            <w:pPr>
              <w:spacing w:after="0" w:before="80"/>
            </w:pPr>
            <w:r>
              <w:rPr>
                <w:rFonts w:ascii="Arial" w:cs="Arial" w:eastAsia="Arial" w:hAnsi="Arial"/>
                <w:color w:val="666666"/>
                <w:sz w:val="20"/>
                <w:szCs w:val="20"/>
              </w:rPr>
              <w:t xml:space="preserve">Signature: ___________________________</w:t>
            </w:r>
          </w:p>
          <w:p>
            <w:pPr>
              <w:spacing w:after="0" w:before="40"/>
            </w:pPr>
            <w:r>
              <w:rPr>
                <w:rFonts w:ascii="Arial" w:cs="Arial" w:eastAsia="Arial" w:hAnsi="Arial"/>
                <w:color w:val="666666"/>
                <w:sz w:val="20"/>
                <w:szCs w:val="20"/>
              </w:rPr>
              <w:t xml:space="preserve">Date: ________________________________</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Chief Risk Officer (Risk Acceptance)</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David Osei</w:t>
            </w:r>
          </w:p>
          <w:p>
            <w:pPr>
              <w:spacing w:after="0" w:before="80"/>
            </w:pPr>
            <w:r>
              <w:rPr>
                <w:rFonts w:ascii="Arial" w:cs="Arial" w:eastAsia="Arial" w:hAnsi="Arial"/>
                <w:color w:val="666666"/>
                <w:sz w:val="20"/>
                <w:szCs w:val="20"/>
              </w:rPr>
              <w:t xml:space="preserve">Signature: ___________________________</w:t>
            </w:r>
          </w:p>
          <w:p>
            <w:pPr>
              <w:spacing w:after="0" w:before="40"/>
            </w:pPr>
            <w:r>
              <w:rPr>
                <w:rFonts w:ascii="Arial" w:cs="Arial" w:eastAsia="Arial" w:hAnsi="Arial"/>
                <w:color w:val="666666"/>
                <w:sz w:val="20"/>
                <w:szCs w:val="20"/>
              </w:rPr>
              <w:t xml:space="preserve">Date: ________________________________</w:t>
            </w:r>
          </w:p>
        </w:tc>
      </w:tr>
    </w:tbl>
    <w:p>
      <w:pPr>
        <w:spacing w:after="80" w:before="320"/>
      </w:pPr>
    </w:p>
    <w:p>
      <w:pPr>
        <w:pBdr>
          <w:top w:val="single" w:color="2E5FA3" w:sz="6" w:space="4"/>
        </w:pBdr>
        <w:spacing w:after="80" w:before="80"/>
        <w:jc w:val="center"/>
      </w:pPr>
      <w:r>
        <w:rPr>
          <w:rFonts w:ascii="Arial" w:cs="Arial" w:eastAsia="Arial" w:hAnsi="Arial"/>
          <w:i/>
          <w:iCs/>
          <w:color w:val="666666"/>
          <w:sz w:val="18"/>
          <w:szCs w:val="18"/>
        </w:rPr>
        <w:t xml:space="preserve">— END OF DOCUMENT — GFP-PLAN-ICTCP-001 v1.0 — CONFIDENTIAL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tabs>
        <w:tab w:val="right" w:pos="9026"/>
      </w:tabs>
      <w:spacing w:after="0" w:before="80"/>
    </w:pPr>
    <w:r>
      <w:rPr>
        <w:rFonts w:ascii="Arial" w:cs="Arial" w:eastAsia="Arial" w:hAnsi="Arial"/>
        <w:i/>
        <w:iCs/>
        <w:color w:val="666666"/>
        <w:sz w:val="16"/>
        <w:szCs w:val="16"/>
      </w:rPr>
      <w:t xml:space="preserve">CONFIDENTIAL — Internal Use Only</w:t>
    </w:r>
    <w:r>
      <w:rPr>
        <w:rFonts w:ascii="Arial" w:cs="Arial" w:eastAsia="Arial" w:hAnsi="Arial"/>
        <w:color w:val="666666"/>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tabs>
        <w:tab w:val="right" w:pos="9026"/>
      </w:tabs>
      <w:spacing w:after="80" w:before="0"/>
    </w:pPr>
    <w:r>
      <w:rPr>
        <w:rFonts w:ascii="Arial" w:cs="Arial" w:eastAsia="Arial" w:hAnsi="Arial"/>
        <w:b/>
        <w:bCs/>
        <w:color w:val="1F3864"/>
        <w:sz w:val="18"/>
        <w:szCs w:val="18"/>
      </w:rPr>
      <w:t xml:space="preserve">GlobalFinance Partners</w:t>
    </w:r>
    <w:r>
      <w:rPr>
        <w:rFonts w:ascii="Arial" w:cs="Arial" w:eastAsia="Arial" w:hAnsi="Arial"/>
        <w:color w:val="666666"/>
        <w:sz w:val="18"/>
        <w:szCs w:val="18"/>
      </w:rPr>
      <w:t xml:space="preserve">	ICT Continuity Plan  |  GFP-PLAN-ICTCP-001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2026-06-20T02:11:34.917Z</dcterms:created>
  <dcterms:modified xsi:type="dcterms:W3CDTF">2026-06-20T02:11:34.917Z</dcterms:modified>
</cp:coreProperties>
</file>

<file path=docProps/custom.xml><?xml version="1.0" encoding="utf-8"?>
<Properties xmlns="http://schemas.openxmlformats.org/officeDocument/2006/custom-properties" xmlns:vt="http://schemas.openxmlformats.org/officeDocument/2006/docPropsVTypes"/>
</file>