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80"/>
              <w:left w:type="dxa" w:w="140"/>
              <w:bottom w:type="dxa" w:w="80"/>
              <w:right w:type="dxa" w:w="140"/>
            </w:tcMar>
            <w:vAlign w:val="top"/>
          </w:tcPr>
          <w:p>
            <w:pPr>
              <w:spacing w:after="80" w:before="80"/>
            </w:pPr>
            <w:r>
              <w:rPr>
                <w:rFonts w:ascii="Arial" w:cs="Arial" w:eastAsia="Arial" w:hAnsi="Arial"/>
                <w:b/>
                <w:bCs/>
                <w:color w:val="FFFFFF"/>
                <w:sz w:val="36"/>
                <w:szCs w:val="36"/>
              </w:rPr>
              <w:t xml:space="preserve">QuickServe Restaurants LLC</w:t>
            </w:r>
          </w:p>
          <w:p>
            <w:pPr>
              <w:spacing w:after="40" w:before="40"/>
            </w:pPr>
            <w:r>
              <w:rPr>
                <w:rFonts w:ascii="Arial" w:cs="Arial" w:eastAsia="Arial" w:hAnsi="Arial"/>
                <w:b/>
                <w:bCs/>
                <w:color w:val="FFFFFF"/>
                <w:sz w:val="52"/>
                <w:szCs w:val="52"/>
              </w:rPr>
              <w:t xml:space="preserve">ICT Continuity Plan</w:t>
            </w:r>
          </w:p>
          <w:p>
            <w:pPr>
              <w:spacing w:after="120" w:before="40"/>
            </w:pPr>
            <w:r>
              <w:rPr>
                <w:rFonts w:ascii="Arial" w:cs="Arial" w:eastAsia="Arial" w:hAnsi="Arial"/>
                <w:color w:val="BDD7EE"/>
                <w:sz w:val="22"/>
                <w:szCs w:val="22"/>
              </w:rPr>
              <w:t xml:space="preserve">ISO 27001:2022 Control 5.30 | Version 1.0 | June 2026</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b/>
                <w:bCs/>
                <w:sz w:val="18"/>
                <w:szCs w:val="18"/>
              </w:rPr>
              <w:t xml:space="preserve">Document Version:</w:t>
            </w:r>
          </w:p>
        </w:tc>
        <w:tc>
          <w:tcPr>
            <w:tcW w:type="dxa" w:w="66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r>
              <w:rPr>
                <w:rFonts w:ascii="Arial" w:cs="Arial" w:eastAsia="Arial" w:hAnsi="Arial"/>
                <w:sz w:val="18"/>
                <w:szCs w:val="18"/>
              </w:rPr>
              <w:t xml:space="preserve">1.0</w:t>
            </w:r>
          </w:p>
        </w:tc>
      </w:tr>
      <w:tr>
        <w:tc>
          <w:tcPr>
            <w:tcW w:type="dxa" w:w="2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b/>
                <w:bCs/>
                <w:sz w:val="18"/>
                <w:szCs w:val="18"/>
              </w:rPr>
              <w:t xml:space="preserve">Effective Date:</w:t>
            </w:r>
          </w:p>
        </w:tc>
        <w:tc>
          <w:tcPr>
            <w:tcW w:type="dxa" w:w="66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r>
              <w:rPr>
                <w:rFonts w:ascii="Arial" w:cs="Arial" w:eastAsia="Arial" w:hAnsi="Arial"/>
                <w:sz w:val="18"/>
                <w:szCs w:val="18"/>
              </w:rPr>
              <w:t xml:space="preserve">June 1, 2026</w:t>
            </w:r>
          </w:p>
        </w:tc>
      </w:tr>
      <w:tr>
        <w:tc>
          <w:tcPr>
            <w:tcW w:type="dxa" w:w="2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b/>
                <w:bCs/>
                <w:sz w:val="18"/>
                <w:szCs w:val="18"/>
              </w:rPr>
              <w:t xml:space="preserve">Last Reviewed:</w:t>
            </w:r>
          </w:p>
        </w:tc>
        <w:tc>
          <w:tcPr>
            <w:tcW w:type="dxa" w:w="66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r>
              <w:rPr>
                <w:rFonts w:ascii="Arial" w:cs="Arial" w:eastAsia="Arial" w:hAnsi="Arial"/>
                <w:sz w:val="18"/>
                <w:szCs w:val="18"/>
              </w:rPr>
              <w:t xml:space="preserve">June 19, 2026</w:t>
            </w:r>
          </w:p>
        </w:tc>
      </w:tr>
      <w:tr>
        <w:tc>
          <w:tcPr>
            <w:tcW w:type="dxa" w:w="2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b/>
                <w:bCs/>
                <w:sz w:val="18"/>
                <w:szCs w:val="18"/>
              </w:rPr>
              <w:t xml:space="preserve">Next Review Date:</w:t>
            </w:r>
          </w:p>
        </w:tc>
        <w:tc>
          <w:tcPr>
            <w:tcW w:type="dxa" w:w="66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r>
              <w:rPr>
                <w:rFonts w:ascii="Arial" w:cs="Arial" w:eastAsia="Arial" w:hAnsi="Arial"/>
                <w:sz w:val="18"/>
                <w:szCs w:val="18"/>
              </w:rPr>
              <w:t xml:space="preserve">June 1, 2027</w:t>
            </w:r>
          </w:p>
        </w:tc>
      </w:tr>
      <w:tr>
        <w:tc>
          <w:tcPr>
            <w:tcW w:type="dxa" w:w="2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b/>
                <w:bCs/>
                <w:sz w:val="18"/>
                <w:szCs w:val="18"/>
              </w:rPr>
              <w:t xml:space="preserve">Classification:</w:t>
            </w:r>
          </w:p>
        </w:tc>
        <w:tc>
          <w:tcPr>
            <w:tcW w:type="dxa" w:w="66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r>
              <w:rPr>
                <w:rFonts w:ascii="Arial" w:cs="Arial" w:eastAsia="Arial" w:hAnsi="Arial"/>
                <w:sz w:val="18"/>
                <w:szCs w:val="18"/>
              </w:rPr>
              <w:t xml:space="preserve">Internal – Confidential</w:t>
            </w:r>
          </w:p>
        </w:tc>
      </w:tr>
      <w:tr>
        <w:tc>
          <w:tcPr>
            <w:tcW w:type="dxa" w:w="2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b/>
                <w:bCs/>
                <w:sz w:val="18"/>
                <w:szCs w:val="18"/>
              </w:rPr>
              <w:t xml:space="preserve">Document Owner:</w:t>
            </w:r>
          </w:p>
        </w:tc>
        <w:tc>
          <w:tcPr>
            <w:tcW w:type="dxa" w:w="66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r>
              <w:rPr>
                <w:rFonts w:ascii="Arial" w:cs="Arial" w:eastAsia="Arial" w:hAnsi="Arial"/>
                <w:sz w:val="18"/>
                <w:szCs w:val="18"/>
              </w:rPr>
              <w:t xml:space="preserve">Rachel Anderson, VP Business Continuity &amp; Facilities</w:t>
            </w:r>
          </w:p>
        </w:tc>
      </w:tr>
      <w:tr>
        <w:tc>
          <w:tcPr>
            <w:tcW w:type="dxa" w:w="2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b/>
                <w:bCs/>
                <w:sz w:val="18"/>
                <w:szCs w:val="18"/>
              </w:rPr>
              <w:t xml:space="preserve">Approved By:</w:t>
            </w:r>
          </w:p>
        </w:tc>
        <w:tc>
          <w:tcPr>
            <w:tcW w:type="dxa" w:w="66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r>
              <w:rPr>
                <w:rFonts w:ascii="Arial" w:cs="Arial" w:eastAsia="Arial" w:hAnsi="Arial"/>
                <w:sz w:val="18"/>
                <w:szCs w:val="18"/>
              </w:rPr>
              <w:t xml:space="preserve">Sarah Chen, CEO</w:t>
            </w:r>
          </w:p>
        </w:tc>
      </w:tr>
      <w:tr>
        <w:tc>
          <w:tcPr>
            <w:tcW w:type="dxa" w:w="2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b/>
                <w:bCs/>
                <w:sz w:val="18"/>
                <w:szCs w:val="18"/>
              </w:rPr>
              <w:t xml:space="preserve">ISO 27001:2022 Control:</w:t>
            </w:r>
          </w:p>
        </w:tc>
        <w:tc>
          <w:tcPr>
            <w:tcW w:type="dxa" w:w="66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r>
              <w:rPr>
                <w:rFonts w:ascii="Arial" w:cs="Arial" w:eastAsia="Arial" w:hAnsi="Arial"/>
                <w:sz w:val="18"/>
                <w:szCs w:val="18"/>
              </w:rPr>
              <w:t xml:space="preserve">5.30 – ICT Readiness for Business Continuity</w:t>
            </w:r>
          </w:p>
        </w:tc>
      </w:tr>
      <w:tr>
        <w:tc>
          <w:tcPr>
            <w:tcW w:type="dxa" w:w="2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b/>
                <w:bCs/>
                <w:sz w:val="18"/>
                <w:szCs w:val="18"/>
              </w:rPr>
              <w:t xml:space="preserve">Related Controls:</w:t>
            </w:r>
          </w:p>
        </w:tc>
        <w:tc>
          <w:tcPr>
            <w:tcW w:type="dxa" w:w="66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r>
              <w:rPr>
                <w:rFonts w:ascii="Arial" w:cs="Arial" w:eastAsia="Arial" w:hAnsi="Arial"/>
                <w:sz w:val="18"/>
                <w:szCs w:val="18"/>
              </w:rPr>
              <w:t xml:space="preserve">5.29 (Information Security During Disruption), 8.13 (Information Backup), 8.14 (Redundancy)</w:t>
            </w:r>
          </w:p>
        </w:tc>
      </w:tr>
      <w:tr>
        <w:tc>
          <w:tcPr>
            <w:tcW w:type="dxa" w:w="2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b/>
                <w:bCs/>
                <w:sz w:val="18"/>
                <w:szCs w:val="18"/>
              </w:rPr>
              <w:t xml:space="preserve">Related Documents:</w:t>
            </w:r>
          </w:p>
        </w:tc>
        <w:tc>
          <w:tcPr>
            <w:tcW w:type="dxa" w:w="66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r>
              <w:rPr>
                <w:rFonts w:ascii="Arial" w:cs="Arial" w:eastAsia="Arial" w:hAnsi="Arial"/>
                <w:sz w:val="18"/>
                <w:szCs w:val="18"/>
              </w:rPr>
              <w:t xml:space="preserve">Business Continuity Policy v1.0, Information Security Policy v1.0, ICT Disaster Recovery Plan</w:t>
            </w:r>
          </w:p>
        </w:tc>
      </w:tr>
    </w:tbl>
    <w:p>
      <w:r>
        <w:br w:type="page"/>
      </w:r>
    </w:p>
    <w:p>
      <w:pPr>
        <w:pStyle w:val="Heading1"/>
        <w:pBdr>
          <w:bottom w:val="single" w:color="2E75B6" w:sz="6" w:space="1"/>
        </w:pBdr>
        <w:spacing w:after="160" w:before="320"/>
      </w:pPr>
      <w:r>
        <w:rPr>
          <w:rFonts w:ascii="Arial" w:cs="Arial" w:eastAsia="Arial" w:hAnsi="Arial"/>
          <w:b/>
          <w:bCs/>
          <w:color w:val="1F3864"/>
          <w:sz w:val="32"/>
          <w:szCs w:val="32"/>
        </w:rPr>
        <w:t xml:space="preserve">Table of Contents</w:t>
      </w:r>
    </w:p>
    <w:p>
      <w:pPr>
        <w:spacing w:after="80" w:before="60"/>
        <w:jc w:val="left"/>
      </w:pPr>
      <w:r>
        <w:rPr>
          <w:rFonts w:ascii="Arial" w:cs="Arial" w:eastAsia="Arial" w:hAnsi="Arial"/>
          <w:b w:val="false"/>
          <w:bCs w:val="false"/>
          <w:color w:val="000000"/>
          <w:sz w:val="20"/>
          <w:szCs w:val="20"/>
        </w:rPr>
        <w:t xml:space="preserve">1. Purpose and Scope</w:t>
      </w:r>
    </w:p>
    <w:p>
      <w:pPr>
        <w:spacing w:after="80" w:before="60"/>
        <w:jc w:val="left"/>
      </w:pPr>
      <w:r>
        <w:rPr>
          <w:rFonts w:ascii="Arial" w:cs="Arial" w:eastAsia="Arial" w:hAnsi="Arial"/>
          <w:b w:val="false"/>
          <w:bCs w:val="false"/>
          <w:color w:val="000000"/>
          <w:sz w:val="20"/>
          <w:szCs w:val="20"/>
        </w:rPr>
        <w:t xml:space="preserve">2. Authority and Governance</w:t>
      </w:r>
    </w:p>
    <w:p>
      <w:pPr>
        <w:spacing w:after="80" w:before="60"/>
        <w:jc w:val="left"/>
      </w:pPr>
      <w:r>
        <w:rPr>
          <w:rFonts w:ascii="Arial" w:cs="Arial" w:eastAsia="Arial" w:hAnsi="Arial"/>
          <w:b w:val="false"/>
          <w:bCs w:val="false"/>
          <w:color w:val="000000"/>
          <w:sz w:val="20"/>
          <w:szCs w:val="20"/>
        </w:rPr>
        <w:t xml:space="preserve">3. ICT Criticality Classification and Recovery Objectives</w:t>
      </w:r>
    </w:p>
    <w:p>
      <w:pPr>
        <w:spacing w:after="80" w:before="60"/>
        <w:jc w:val="left"/>
      </w:pPr>
      <w:r>
        <w:rPr>
          <w:rFonts w:ascii="Arial" w:cs="Arial" w:eastAsia="Arial" w:hAnsi="Arial"/>
          <w:b w:val="false"/>
          <w:bCs w:val="false"/>
          <w:color w:val="000000"/>
          <w:sz w:val="20"/>
          <w:szCs w:val="20"/>
        </w:rPr>
        <w:t xml:space="preserve">4. ICT Continuity Capabilities</w:t>
      </w:r>
    </w:p>
    <w:p>
      <w:pPr>
        <w:spacing w:after="80" w:before="60"/>
        <w:jc w:val="left"/>
      </w:pPr>
      <w:r>
        <w:rPr>
          <w:rFonts w:ascii="Arial" w:cs="Arial" w:eastAsia="Arial" w:hAnsi="Arial"/>
          <w:b w:val="false"/>
          <w:bCs w:val="false"/>
          <w:color w:val="000000"/>
          <w:sz w:val="20"/>
          <w:szCs w:val="20"/>
        </w:rPr>
        <w:t xml:space="preserve">5. Activation Framework</w:t>
      </w:r>
    </w:p>
    <w:p>
      <w:pPr>
        <w:spacing w:after="80" w:before="60"/>
        <w:jc w:val="left"/>
      </w:pPr>
      <w:r>
        <w:rPr>
          <w:rFonts w:ascii="Arial" w:cs="Arial" w:eastAsia="Arial" w:hAnsi="Arial"/>
          <w:b w:val="false"/>
          <w:bCs w:val="false"/>
          <w:color w:val="000000"/>
          <w:sz w:val="20"/>
          <w:szCs w:val="20"/>
        </w:rPr>
        <w:t xml:space="preserve">6. ICT Recovery Procedures</w:t>
      </w:r>
    </w:p>
    <w:p>
      <w:pPr>
        <w:spacing w:after="80" w:before="60"/>
        <w:jc w:val="left"/>
      </w:pPr>
      <w:r>
        <w:rPr>
          <w:rFonts w:ascii="Arial" w:cs="Arial" w:eastAsia="Arial" w:hAnsi="Arial"/>
          <w:b w:val="false"/>
          <w:bCs w:val="false"/>
          <w:color w:val="000000"/>
          <w:sz w:val="20"/>
          <w:szCs w:val="20"/>
        </w:rPr>
        <w:t xml:space="preserve">7. Testing and Exercise Programme</w:t>
      </w:r>
    </w:p>
    <w:p>
      <w:pPr>
        <w:spacing w:after="80" w:before="60"/>
        <w:jc w:val="left"/>
      </w:pPr>
      <w:r>
        <w:rPr>
          <w:rFonts w:ascii="Arial" w:cs="Arial" w:eastAsia="Arial" w:hAnsi="Arial"/>
          <w:b w:val="false"/>
          <w:bCs w:val="false"/>
          <w:color w:val="000000"/>
          <w:sz w:val="20"/>
          <w:szCs w:val="20"/>
        </w:rPr>
        <w:t xml:space="preserve">8. Supply Chain and Third-Party ICT Continuity</w:t>
      </w:r>
    </w:p>
    <w:p>
      <w:pPr>
        <w:spacing w:after="80" w:before="60"/>
        <w:jc w:val="left"/>
      </w:pPr>
      <w:r>
        <w:rPr>
          <w:rFonts w:ascii="Arial" w:cs="Arial" w:eastAsia="Arial" w:hAnsi="Arial"/>
          <w:b w:val="false"/>
          <w:bCs w:val="false"/>
          <w:color w:val="000000"/>
          <w:sz w:val="20"/>
          <w:szCs w:val="20"/>
        </w:rPr>
        <w:t xml:space="preserve">9. Training and Awareness</w:t>
      </w:r>
    </w:p>
    <w:p>
      <w:pPr>
        <w:spacing w:after="80" w:before="60"/>
        <w:jc w:val="left"/>
      </w:pPr>
      <w:r>
        <w:rPr>
          <w:rFonts w:ascii="Arial" w:cs="Arial" w:eastAsia="Arial" w:hAnsi="Arial"/>
          <w:b w:val="false"/>
          <w:bCs w:val="false"/>
          <w:color w:val="000000"/>
          <w:sz w:val="20"/>
          <w:szCs w:val="20"/>
        </w:rPr>
        <w:t xml:space="preserve">10. Plan Maintenance and Review</w:t>
      </w:r>
    </w:p>
    <w:p>
      <w:pPr>
        <w:spacing w:after="80" w:before="60"/>
        <w:jc w:val="left"/>
      </w:pPr>
      <w:r>
        <w:rPr>
          <w:rFonts w:ascii="Arial" w:cs="Arial" w:eastAsia="Arial" w:hAnsi="Arial"/>
          <w:b w:val="false"/>
          <w:bCs w:val="false"/>
          <w:color w:val="000000"/>
          <w:sz w:val="20"/>
          <w:szCs w:val="20"/>
        </w:rPr>
        <w:t xml:space="preserve">11. Exceptions and Non-Compliance</w:t>
      </w:r>
    </w:p>
    <w:p>
      <w:pPr>
        <w:spacing w:after="80" w:before="60"/>
        <w:jc w:val="left"/>
      </w:pPr>
      <w:r>
        <w:rPr>
          <w:rFonts w:ascii="Arial" w:cs="Arial" w:eastAsia="Arial" w:hAnsi="Arial"/>
          <w:b w:val="false"/>
          <w:bCs w:val="false"/>
          <w:color w:val="000000"/>
          <w:sz w:val="20"/>
          <w:szCs w:val="20"/>
        </w:rPr>
        <w:t xml:space="preserve">12. Key Contacts</w:t>
      </w:r>
    </w:p>
    <w:p>
      <w:pPr>
        <w:pStyle w:val="Heading1"/>
        <w:pBdr>
          <w:bottom w:val="single" w:color="2E75B6" w:sz="6" w:space="1"/>
        </w:pBdr>
        <w:spacing w:after="160" w:before="320"/>
      </w:pPr>
      <w:r>
        <w:rPr>
          <w:rFonts w:ascii="Arial" w:cs="Arial" w:eastAsia="Arial" w:hAnsi="Arial"/>
          <w:b/>
          <w:bCs/>
          <w:color w:val="1F3864"/>
          <w:sz w:val="32"/>
          <w:szCs w:val="32"/>
        </w:rPr>
        <w:t xml:space="preserve">1. Purpose and Scope</w:t>
      </w:r>
    </w:p>
    <w:p>
      <w:pPr>
        <w:pStyle w:val="Heading2"/>
        <w:spacing w:after="120" w:before="240"/>
      </w:pPr>
      <w:r>
        <w:rPr>
          <w:rFonts w:ascii="Arial" w:cs="Arial" w:eastAsia="Arial" w:hAnsi="Arial"/>
          <w:b/>
          <w:bCs/>
          <w:color w:val="2E5496"/>
          <w:sz w:val="26"/>
          <w:szCs w:val="26"/>
        </w:rPr>
        <w:t xml:space="preserve">1.1 Purpose</w:t>
      </w:r>
    </w:p>
    <w:p>
      <w:pPr>
        <w:spacing w:after="80" w:before="60"/>
        <w:jc w:val="left"/>
      </w:pPr>
      <w:r>
        <w:rPr>
          <w:rFonts w:ascii="Arial" w:cs="Arial" w:eastAsia="Arial" w:hAnsi="Arial"/>
          <w:b w:val="false"/>
          <w:bCs w:val="false"/>
          <w:color w:val="000000"/>
          <w:sz w:val="20"/>
          <w:szCs w:val="20"/>
        </w:rPr>
        <w:t xml:space="preserve">This ICT Continuity Plan (ICTCP) defines how QuickServe Restaurants LLC plans, implements, maintains, and tests ICT readiness to support business continuity objectives. It directly implements ISO 27001:2022 Control 5.30 (ICT Readiness for Business Continuity) and supports Control 5.29 (Information Security During Disruption).</w:t>
      </w:r>
    </w:p>
    <w:p>
      <w:pPr>
        <w:spacing w:after="0" w:before="80"/>
      </w:pPr>
      <w:r>
        <w:t xml:space="preserve"/>
      </w:r>
    </w:p>
    <w:p>
      <w:pPr>
        <w:spacing w:after="80" w:before="60"/>
        <w:jc w:val="left"/>
      </w:pPr>
      <w:r>
        <w:rPr>
          <w:rFonts w:ascii="Arial" w:cs="Arial" w:eastAsia="Arial" w:hAnsi="Arial"/>
          <w:b w:val="false"/>
          <w:bCs w:val="false"/>
          <w:color w:val="000000"/>
          <w:sz w:val="20"/>
          <w:szCs w:val="20"/>
        </w:rPr>
        <w:t xml:space="preserve">The plan ensures that ICT systems and services that underpin critical business operations – including payment card processing, restaurant operations, and financial data management – can be maintained or rapidly recovered in the event of a disruption, while preserving the confidentiality, integrity, and availability of information assets.</w:t>
      </w:r>
    </w:p>
    <w:p>
      <w:pPr>
        <w:pStyle w:val="Heading2"/>
        <w:spacing w:after="120" w:before="240"/>
      </w:pPr>
      <w:r>
        <w:rPr>
          <w:rFonts w:ascii="Arial" w:cs="Arial" w:eastAsia="Arial" w:hAnsi="Arial"/>
          <w:b/>
          <w:bCs/>
          <w:color w:val="2E5496"/>
          <w:sz w:val="26"/>
          <w:szCs w:val="26"/>
        </w:rPr>
        <w:t xml:space="preserve">1.2 Scope</w:t>
      </w:r>
    </w:p>
    <w:p>
      <w:pPr>
        <w:spacing w:after="80" w:before="60"/>
        <w:jc w:val="left"/>
      </w:pPr>
      <w:r>
        <w:rPr>
          <w:rFonts w:ascii="Arial" w:cs="Arial" w:eastAsia="Arial" w:hAnsi="Arial"/>
          <w:b w:val="false"/>
          <w:bCs w:val="false"/>
          <w:color w:val="000000"/>
          <w:sz w:val="20"/>
          <w:szCs w:val="20"/>
        </w:rPr>
        <w:t xml:space="preserve">This plan covers all ICT systems, infrastructure, and services that support QuickServe’s critical business functions, including:</w:t>
      </w:r>
    </w:p>
    <w:p>
      <w:pPr>
        <w:pStyle w:val="ListParagraph"/>
        <w:numPr>
          <w:ilvl w:val="0"/>
          <w:numId w:val="2"/>
        </w:numPr>
      </w:pPr>
      <w:r>
        <w:rPr>
          <w:rFonts w:ascii="Arial" w:cs="Arial" w:eastAsia="Arial" w:hAnsi="Arial"/>
          <w:sz w:val="20"/>
          <w:szCs w:val="20"/>
        </w:rPr>
        <w:t xml:space="preserve">Vancouver HQ data centre and network infrastructure</w:t>
      </w:r>
    </w:p>
    <w:p>
      <w:pPr>
        <w:pStyle w:val="ListParagraph"/>
        <w:numPr>
          <w:ilvl w:val="0"/>
          <w:numId w:val="2"/>
        </w:numPr>
      </w:pPr>
      <w:r>
        <w:rPr>
          <w:rFonts w:ascii="Arial" w:cs="Arial" w:eastAsia="Arial" w:hAnsi="Arial"/>
          <w:sz w:val="20"/>
          <w:szCs w:val="20"/>
        </w:rPr>
        <w:t xml:space="preserve">Payment card processing platform (2.3 million daily transactions)</w:t>
      </w:r>
    </w:p>
    <w:p>
      <w:pPr>
        <w:pStyle w:val="ListParagraph"/>
        <w:numPr>
          <w:ilvl w:val="0"/>
          <w:numId w:val="2"/>
        </w:numPr>
      </w:pPr>
      <w:r>
        <w:rPr>
          <w:rFonts w:ascii="Arial" w:cs="Arial" w:eastAsia="Arial" w:hAnsi="Arial"/>
          <w:sz w:val="20"/>
          <w:szCs w:val="20"/>
        </w:rPr>
        <w:t xml:space="preserve">Point-of-sale (POS) systems across all 487 restaurant locations (5 brands)</w:t>
      </w:r>
    </w:p>
    <w:p>
      <w:pPr>
        <w:pStyle w:val="ListParagraph"/>
        <w:numPr>
          <w:ilvl w:val="0"/>
          <w:numId w:val="2"/>
        </w:numPr>
      </w:pPr>
      <w:r>
        <w:rPr>
          <w:rFonts w:ascii="Arial" w:cs="Arial" w:eastAsia="Arial" w:hAnsi="Arial"/>
          <w:sz w:val="20"/>
          <w:szCs w:val="20"/>
        </w:rPr>
        <w:t xml:space="preserve">Enterprise applications: ERP, HR, finance, inventory management</w:t>
      </w:r>
    </w:p>
    <w:p>
      <w:pPr>
        <w:pStyle w:val="ListParagraph"/>
        <w:numPr>
          <w:ilvl w:val="0"/>
          <w:numId w:val="2"/>
        </w:numPr>
      </w:pPr>
      <w:r>
        <w:rPr>
          <w:rFonts w:ascii="Arial" w:cs="Arial" w:eastAsia="Arial" w:hAnsi="Arial"/>
          <w:sz w:val="20"/>
          <w:szCs w:val="20"/>
        </w:rPr>
        <w:t xml:space="preserve">Corporate networks, WAN links, and internet connectivity</w:t>
      </w:r>
    </w:p>
    <w:p>
      <w:pPr>
        <w:pStyle w:val="ListParagraph"/>
        <w:numPr>
          <w:ilvl w:val="0"/>
          <w:numId w:val="2"/>
        </w:numPr>
      </w:pPr>
      <w:r>
        <w:rPr>
          <w:rFonts w:ascii="Arial" w:cs="Arial" w:eastAsia="Arial" w:hAnsi="Arial"/>
          <w:sz w:val="20"/>
          <w:szCs w:val="20"/>
        </w:rPr>
        <w:t xml:space="preserve">Cloud services and third-party hosted applications</w:t>
      </w:r>
    </w:p>
    <w:p>
      <w:pPr>
        <w:pStyle w:val="ListParagraph"/>
        <w:numPr>
          <w:ilvl w:val="0"/>
          <w:numId w:val="2"/>
        </w:numPr>
      </w:pPr>
      <w:r>
        <w:rPr>
          <w:rFonts w:ascii="Arial" w:cs="Arial" w:eastAsia="Arial" w:hAnsi="Arial"/>
          <w:sz w:val="20"/>
          <w:szCs w:val="20"/>
        </w:rPr>
        <w:t xml:space="preserve">End-user computing and remote access infrastructure</w:t>
      </w:r>
    </w:p>
    <w:p>
      <w:pPr>
        <w:pStyle w:val="ListParagraph"/>
        <w:numPr>
          <w:ilvl w:val="0"/>
          <w:numId w:val="2"/>
        </w:numPr>
      </w:pPr>
      <w:r>
        <w:rPr>
          <w:rFonts w:ascii="Arial" w:cs="Arial" w:eastAsia="Arial" w:hAnsi="Arial"/>
          <w:sz w:val="20"/>
          <w:szCs w:val="20"/>
        </w:rPr>
        <w:t xml:space="preserve">Security operations systems (SIEM, EDR, IAM, logging)</w:t>
      </w:r>
    </w:p>
    <w:p>
      <w:pPr>
        <w:pStyle w:val="Heading2"/>
        <w:spacing w:after="120" w:before="240"/>
      </w:pPr>
      <w:r>
        <w:rPr>
          <w:rFonts w:ascii="Arial" w:cs="Arial" w:eastAsia="Arial" w:hAnsi="Arial"/>
          <w:b/>
          <w:bCs/>
          <w:color w:val="2E5496"/>
          <w:sz w:val="26"/>
          <w:szCs w:val="26"/>
        </w:rPr>
        <w:t xml:space="preserve">1.3 Objectives</w:t>
      </w:r>
    </w:p>
    <w:p>
      <w:pPr>
        <w:spacing w:after="80" w:before="60"/>
        <w:jc w:val="left"/>
      </w:pPr>
      <w:r>
        <w:rPr>
          <w:rFonts w:ascii="Arial" w:cs="Arial" w:eastAsia="Arial" w:hAnsi="Arial"/>
          <w:b w:val="false"/>
          <w:bCs w:val="false"/>
          <w:color w:val="000000"/>
          <w:sz w:val="20"/>
          <w:szCs w:val="20"/>
        </w:rPr>
        <w:t xml:space="preserve">The ICTCP is designed to:</w:t>
      </w:r>
    </w:p>
    <w:p>
      <w:pPr>
        <w:pStyle w:val="ListParagraph"/>
        <w:numPr>
          <w:ilvl w:val="0"/>
          <w:numId w:val="2"/>
        </w:numPr>
      </w:pPr>
      <w:r>
        <w:rPr>
          <w:rFonts w:ascii="Arial" w:cs="Arial" w:eastAsia="Arial" w:hAnsi="Arial"/>
          <w:sz w:val="20"/>
          <w:szCs w:val="20"/>
        </w:rPr>
        <w:t xml:space="preserve">Ensure ICT recovery capabilities meet defined Recovery Time Objectives (RTOs) and Recovery Point Objectives (RPOs) derived from the Business Impact Assessment (BIA)</w:t>
      </w:r>
    </w:p>
    <w:p>
      <w:pPr>
        <w:pStyle w:val="ListParagraph"/>
        <w:numPr>
          <w:ilvl w:val="0"/>
          <w:numId w:val="2"/>
        </w:numPr>
      </w:pPr>
      <w:r>
        <w:rPr>
          <w:rFonts w:ascii="Arial" w:cs="Arial" w:eastAsia="Arial" w:hAnsi="Arial"/>
          <w:sz w:val="20"/>
          <w:szCs w:val="20"/>
        </w:rPr>
        <w:t xml:space="preserve">Maintain information security controls at an appropriate level during and after a disruption</w:t>
      </w:r>
    </w:p>
    <w:p>
      <w:pPr>
        <w:pStyle w:val="ListParagraph"/>
        <w:numPr>
          <w:ilvl w:val="0"/>
          <w:numId w:val="2"/>
        </w:numPr>
      </w:pPr>
      <w:r>
        <w:rPr>
          <w:rFonts w:ascii="Arial" w:cs="Arial" w:eastAsia="Arial" w:hAnsi="Arial"/>
          <w:sz w:val="20"/>
          <w:szCs w:val="20"/>
        </w:rPr>
        <w:t xml:space="preserve">Provide clear, actionable recovery procedures for ICT teams</w:t>
      </w:r>
    </w:p>
    <w:p>
      <w:pPr>
        <w:pStyle w:val="ListParagraph"/>
        <w:numPr>
          <w:ilvl w:val="0"/>
          <w:numId w:val="2"/>
        </w:numPr>
      </w:pPr>
      <w:r>
        <w:rPr>
          <w:rFonts w:ascii="Arial" w:cs="Arial" w:eastAsia="Arial" w:hAnsi="Arial"/>
          <w:sz w:val="20"/>
          <w:szCs w:val="20"/>
        </w:rPr>
        <w:t xml:space="preserve">Define roles, responsibilities, and escalation paths for ICT continuity events</w:t>
      </w:r>
    </w:p>
    <w:p>
      <w:pPr>
        <w:pStyle w:val="ListParagraph"/>
        <w:numPr>
          <w:ilvl w:val="0"/>
          <w:numId w:val="2"/>
        </w:numPr>
      </w:pPr>
      <w:r>
        <w:rPr>
          <w:rFonts w:ascii="Arial" w:cs="Arial" w:eastAsia="Arial" w:hAnsi="Arial"/>
          <w:sz w:val="20"/>
          <w:szCs w:val="20"/>
        </w:rPr>
        <w:t xml:space="preserve">Establish a testing regime that validates recovery capability before an incident occurs</w:t>
      </w:r>
    </w:p>
    <w:p>
      <w:pPr>
        <w:pStyle w:val="ListParagraph"/>
        <w:numPr>
          <w:ilvl w:val="0"/>
          <w:numId w:val="2"/>
        </w:numPr>
      </w:pPr>
      <w:r>
        <w:rPr>
          <w:rFonts w:ascii="Arial" w:cs="Arial" w:eastAsia="Arial" w:hAnsi="Arial"/>
          <w:sz w:val="20"/>
          <w:szCs w:val="20"/>
        </w:rPr>
        <w:t xml:space="preserve">Ensure compliance with PCI-DSS, PIPEDA, and ISO 27001:2022 during disruption scenarios</w:t>
      </w:r>
    </w:p>
    <w:p>
      <w:r>
        <w:br w:type="page"/>
      </w:r>
    </w:p>
    <w:p>
      <w:pPr>
        <w:pStyle w:val="Heading1"/>
        <w:pBdr>
          <w:bottom w:val="single" w:color="2E75B6" w:sz="6" w:space="1"/>
        </w:pBdr>
        <w:spacing w:after="160" w:before="320"/>
      </w:pPr>
      <w:r>
        <w:rPr>
          <w:rFonts w:ascii="Arial" w:cs="Arial" w:eastAsia="Arial" w:hAnsi="Arial"/>
          <w:b/>
          <w:bCs/>
          <w:color w:val="1F3864"/>
          <w:sz w:val="32"/>
          <w:szCs w:val="32"/>
        </w:rPr>
        <w:t xml:space="preserve">2. Authority and Governance</w:t>
      </w:r>
    </w:p>
    <w:p>
      <w:pPr>
        <w:pStyle w:val="Heading2"/>
        <w:spacing w:after="120" w:before="240"/>
      </w:pPr>
      <w:r>
        <w:rPr>
          <w:rFonts w:ascii="Arial" w:cs="Arial" w:eastAsia="Arial" w:hAnsi="Arial"/>
          <w:b/>
          <w:bCs/>
          <w:color w:val="2E5496"/>
          <w:sz w:val="26"/>
          <w:szCs w:val="26"/>
        </w:rPr>
        <w:t xml:space="preserve">2.1 Policy Authority</w:t>
      </w:r>
    </w:p>
    <w:p>
      <w:pPr>
        <w:spacing w:after="80" w:before="60"/>
        <w:jc w:val="left"/>
      </w:pPr>
      <w:r>
        <w:rPr>
          <w:rFonts w:ascii="Arial" w:cs="Arial" w:eastAsia="Arial" w:hAnsi="Arial"/>
          <w:b w:val="false"/>
          <w:bCs w:val="false"/>
          <w:color w:val="000000"/>
          <w:sz w:val="20"/>
          <w:szCs w:val="20"/>
        </w:rPr>
        <w:t xml:space="preserve">This plan is established under the authority of the CEO and Board of Directors, consistent with the QuickServe Business Continuity Policy and Information Security Policy (both v1.0, effective June 1, 2026).</w:t>
      </w:r>
    </w:p>
    <w:p>
      <w:pPr>
        <w:pStyle w:val="Heading2"/>
        <w:spacing w:after="120" w:before="240"/>
      </w:pPr>
      <w:r>
        <w:rPr>
          <w:rFonts w:ascii="Arial" w:cs="Arial" w:eastAsia="Arial" w:hAnsi="Arial"/>
          <w:b/>
          <w:bCs/>
          <w:color w:val="2E5496"/>
          <w:sz w:val="26"/>
          <w:szCs w:val="26"/>
        </w:rPr>
        <w:t xml:space="preserve">2.2 Plan Ownership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Role</w:t>
            </w:r>
          </w:p>
        </w:tc>
        <w:tc>
          <w:tcPr>
            <w:tcW w:type="dxa" w:w="312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Name</w:t>
            </w:r>
          </w:p>
        </w:tc>
        <w:tc>
          <w:tcPr>
            <w:tcW w:type="dxa" w:w="312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Responsibility</w:t>
            </w:r>
          </w:p>
        </w:tc>
      </w:tr>
      <w:tr>
        <w:tc>
          <w:tcPr>
            <w:tcW w:type="dxa" w:w="31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VP Business Continuity &amp; Facilities (Plan Owner)</w:t>
            </w:r>
          </w:p>
        </w:tc>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Rachel Anderson</w:t>
            </w:r>
          </w:p>
        </w:tc>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Overall ICTCP ownership, maintenance, exercise coordination</w:t>
            </w:r>
          </w:p>
        </w:tc>
      </w:tr>
      <w:tr>
        <w:tc>
          <w:tcPr>
            <w:tcW w:type="dxa" w:w="31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CISO (Security Authority)</w:t>
            </w:r>
          </w:p>
        </w:tc>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James Patterson</w:t>
            </w:r>
          </w:p>
        </w:tc>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Information security requirements during disruption; security control validation</w:t>
            </w:r>
          </w:p>
        </w:tc>
      </w:tr>
      <w:tr>
        <w:tc>
          <w:tcPr>
            <w:tcW w:type="dxa" w:w="31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CIO (ICT Authority)</w:t>
            </w:r>
          </w:p>
        </w:tc>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Dr. Priya Sharma</w:t>
            </w:r>
          </w:p>
        </w:tc>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ICT infrastructure strategy, recovery resource commitment</w:t>
            </w:r>
          </w:p>
        </w:tc>
      </w:tr>
      <w:tr>
        <w:tc>
          <w:tcPr>
            <w:tcW w:type="dxa" w:w="31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CTO (Recovery Execution)</w:t>
            </w:r>
          </w:p>
        </w:tc>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David Liu</w:t>
            </w:r>
          </w:p>
        </w:tc>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ICT recovery team leadership; technical recovery execution</w:t>
            </w:r>
          </w:p>
        </w:tc>
      </w:tr>
      <w:tr>
        <w:tc>
          <w:tcPr>
            <w:tcW w:type="dxa" w:w="31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VP Financial Data Operations</w:t>
            </w:r>
          </w:p>
        </w:tc>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Thomas Wright</w:t>
            </w:r>
          </w:p>
        </w:tc>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Payment processing and financial data recovery coordination</w:t>
            </w:r>
          </w:p>
        </w:tc>
      </w:tr>
      <w:tr>
        <w:tc>
          <w:tcPr>
            <w:tcW w:type="dxa" w:w="31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VP Information Security</w:t>
            </w:r>
          </w:p>
        </w:tc>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Maria Gonzalez</w:t>
            </w:r>
          </w:p>
        </w:tc>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Day-to-day security operations continuity; SOC readiness</w:t>
            </w:r>
          </w:p>
        </w:tc>
      </w:tr>
      <w:tr>
        <w:tc>
          <w:tcPr>
            <w:tcW w:type="dxa" w:w="31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CEO (Activation Authority)</w:t>
            </w:r>
          </w:p>
        </w:tc>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Sarah Chen</w:t>
            </w:r>
          </w:p>
        </w:tc>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ICTCP activation declaration; resource authorization</w:t>
            </w:r>
          </w:p>
        </w:tc>
      </w:tr>
    </w:tbl>
    <w:p>
      <w:pPr>
        <w:spacing w:after="0" w:before="120"/>
      </w:pPr>
      <w:r>
        <w:t xml:space="preserve"/>
      </w:r>
    </w:p>
    <w:p>
      <w:pPr>
        <w:pStyle w:val="Heading2"/>
        <w:spacing w:after="120" w:before="240"/>
      </w:pPr>
      <w:r>
        <w:rPr>
          <w:rFonts w:ascii="Arial" w:cs="Arial" w:eastAsia="Arial" w:hAnsi="Arial"/>
          <w:b/>
          <w:bCs/>
          <w:color w:val="2E5496"/>
          <w:sz w:val="26"/>
          <w:szCs w:val="26"/>
        </w:rPr>
        <w:t xml:space="preserve">2.3 Governance Structure</w:t>
      </w:r>
    </w:p>
    <w:p>
      <w:pPr>
        <w:spacing w:after="80" w:before="60"/>
        <w:jc w:val="left"/>
      </w:pPr>
      <w:r>
        <w:rPr>
          <w:rFonts w:ascii="Arial" w:cs="Arial" w:eastAsia="Arial" w:hAnsi="Arial"/>
          <w:b w:val="false"/>
          <w:bCs w:val="false"/>
          <w:color w:val="000000"/>
          <w:sz w:val="20"/>
          <w:szCs w:val="20"/>
        </w:rPr>
        <w:t xml:space="preserve">The Business Continuity Steering Committee, co-chaired by the VP Business Continuity and CISO, provides strategic oversight of this plan. The Committee reviews ICTCP performance quarterly and approves material changes. Escalation from operational incident response to ICTCP activation is governed by the thresholds defined in Section 5.</w:t>
      </w:r>
    </w:p>
    <w:p>
      <w:r>
        <w:br w:type="page"/>
      </w:r>
    </w:p>
    <w:p>
      <w:pPr>
        <w:pStyle w:val="Heading1"/>
        <w:pBdr>
          <w:bottom w:val="single" w:color="2E75B6" w:sz="6" w:space="1"/>
        </w:pBdr>
        <w:spacing w:after="160" w:before="320"/>
      </w:pPr>
      <w:r>
        <w:rPr>
          <w:rFonts w:ascii="Arial" w:cs="Arial" w:eastAsia="Arial" w:hAnsi="Arial"/>
          <w:b/>
          <w:bCs/>
          <w:color w:val="1F3864"/>
          <w:sz w:val="32"/>
          <w:szCs w:val="32"/>
        </w:rPr>
        <w:t xml:space="preserve">3. ICT Criticality Classification and Recovery Objectives</w:t>
      </w:r>
    </w:p>
    <w:p>
      <w:pPr>
        <w:pStyle w:val="Heading2"/>
        <w:spacing w:after="120" w:before="240"/>
      </w:pPr>
      <w:r>
        <w:rPr>
          <w:rFonts w:ascii="Arial" w:cs="Arial" w:eastAsia="Arial" w:hAnsi="Arial"/>
          <w:b/>
          <w:bCs/>
          <w:color w:val="2E5496"/>
          <w:sz w:val="26"/>
          <w:szCs w:val="26"/>
        </w:rPr>
        <w:t xml:space="preserve">3.1 Classification Tiers</w:t>
      </w:r>
    </w:p>
    <w:p>
      <w:pPr>
        <w:spacing w:after="80" w:before="60"/>
        <w:jc w:val="left"/>
      </w:pPr>
      <w:r>
        <w:rPr>
          <w:rFonts w:ascii="Arial" w:cs="Arial" w:eastAsia="Arial" w:hAnsi="Arial"/>
          <w:b w:val="false"/>
          <w:bCs w:val="false"/>
          <w:color w:val="000000"/>
          <w:sz w:val="20"/>
          <w:szCs w:val="20"/>
        </w:rPr>
        <w:t xml:space="preserve">ICT systems are classified into four tiers based on Business Impact Assessment findings. RTOs and RPOs reflect the maximum tolerable downtime (MTD) for dependent business functions.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1560"/>
        <w:gridCol w:w="1560"/>
        <w:gridCol w:w="2340"/>
      </w:tblGrid>
      <w:tr>
        <w:tc>
          <w:tcPr>
            <w:tcW w:type="dxa" w:w="156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Tier</w:t>
            </w:r>
          </w:p>
        </w:tc>
        <w:tc>
          <w:tcPr>
            <w:tcW w:type="dxa" w:w="234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Definition</w:t>
            </w:r>
          </w:p>
        </w:tc>
        <w:tc>
          <w:tcPr>
            <w:tcW w:type="dxa" w:w="156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RTO</w:t>
            </w:r>
          </w:p>
        </w:tc>
        <w:tc>
          <w:tcPr>
            <w:tcW w:type="dxa" w:w="156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RPO</w:t>
            </w:r>
          </w:p>
        </w:tc>
        <w:tc>
          <w:tcPr>
            <w:tcW w:type="dxa" w:w="234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Examples</w:t>
            </w:r>
          </w:p>
        </w:tc>
      </w:tr>
      <w:tr>
        <w:tc>
          <w:tcPr>
            <w:tcW w:type="dxa" w:w="1560"/>
            <w:tcBorders>
              <w:top w:val="single" w:color="CCCCCC" w:sz="4"/>
              <w:left w:val="single" w:color="CCCCCC" w:sz="4"/>
              <w:bottom w:val="single" w:color="CCCCCC" w:sz="4"/>
              <w:right w:val="single" w:color="CCCCCC" w:sz="4"/>
            </w:tcBorders>
            <w:shd w:fill="FFE6E6" w:val="clear"/>
            <w:tcMar>
              <w:top w:type="dxa" w:w="80"/>
              <w:left w:type="dxa" w:w="140"/>
              <w:bottom w:type="dxa" w:w="80"/>
              <w:right w:type="dxa" w:w="140"/>
            </w:tcMar>
            <w:vAlign w:val="top"/>
          </w:tcPr>
          <w:p>
            <w:r>
              <w:rPr>
                <w:rFonts w:ascii="Arial" w:cs="Arial" w:eastAsia="Arial" w:hAnsi="Arial"/>
                <w:b/>
                <w:bCs/>
                <w:color w:val="000000"/>
                <w:sz w:val="18"/>
                <w:szCs w:val="18"/>
              </w:rPr>
              <w:t xml:space="preserve">Tier 1 – Mission Critical</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Outage causes immediate financial, regulatory, or safety impact</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&lt; 1 hour</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&lt; 15 minutes</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Payment processing platform, POS authentication, network core, SIEM/SOC</w:t>
            </w:r>
          </w:p>
        </w:tc>
      </w:tr>
      <w:tr>
        <w:tc>
          <w:tcPr>
            <w:tcW w:type="dxa" w:w="1560"/>
            <w:tcBorders>
              <w:top w:val="single" w:color="CCCCCC" w:sz="4"/>
              <w:left w:val="single" w:color="CCCCCC" w:sz="4"/>
              <w:bottom w:val="single" w:color="CCCCCC" w:sz="4"/>
              <w:right w:val="single" w:color="CCCCCC" w:sz="4"/>
            </w:tcBorders>
            <w:shd w:fill="FFF3CD" w:val="clear"/>
            <w:tcMar>
              <w:top w:type="dxa" w:w="80"/>
              <w:left w:type="dxa" w:w="140"/>
              <w:bottom w:type="dxa" w:w="80"/>
              <w:right w:type="dxa" w:w="140"/>
            </w:tcMar>
            <w:vAlign w:val="top"/>
          </w:tcPr>
          <w:p>
            <w:r>
              <w:rPr>
                <w:rFonts w:ascii="Arial" w:cs="Arial" w:eastAsia="Arial" w:hAnsi="Arial"/>
                <w:b/>
                <w:bCs/>
                <w:color w:val="000000"/>
                <w:sz w:val="18"/>
                <w:szCs w:val="18"/>
              </w:rPr>
              <w:t xml:space="preserve">Tier 2 – Business Critical</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Outage causes significant operational disruption within 4 hours</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&lt; 4 hours</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&lt; 1 hour</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ERP, inventory management, HR/payroll, WAN connectivity, IAM</w:t>
            </w:r>
          </w:p>
        </w:tc>
      </w:tr>
      <w:tr>
        <w:tc>
          <w:tcPr>
            <w:tcW w:type="dxa" w:w="156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top"/>
          </w:tcPr>
          <w:p>
            <w:r>
              <w:rPr>
                <w:rFonts w:ascii="Arial" w:cs="Arial" w:eastAsia="Arial" w:hAnsi="Arial"/>
                <w:b/>
                <w:bCs/>
                <w:color w:val="000000"/>
                <w:sz w:val="18"/>
                <w:szCs w:val="18"/>
              </w:rPr>
              <w:t xml:space="preserve">Tier 3 – Important</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Outage causes degraded service; workarounds possible for up to 24 hours</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&lt; 24 hours</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&lt; 4 hours</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Reporting systems, internal collaboration tools, document management</w:t>
            </w:r>
          </w:p>
        </w:tc>
      </w:tr>
      <w:tr>
        <w:tc>
          <w:tcPr>
            <w:tcW w:type="dxa" w:w="1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Tier 4 – Standard</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Outage has minimal immediate impact; can tolerate extended downtime</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&lt; 72 hours</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&lt; 24 hours</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Development/test environments, non-critical internal portals</w:t>
            </w:r>
          </w:p>
        </w:tc>
      </w:tr>
    </w:tbl>
    <w:p>
      <w:pPr>
        <w:spacing w:after="0" w:before="120"/>
      </w:pPr>
      <w:r>
        <w:t xml:space="preserve"/>
      </w:r>
    </w:p>
    <w:p>
      <w:pPr>
        <w:pStyle w:val="Heading2"/>
        <w:spacing w:after="120" w:before="240"/>
      </w:pPr>
      <w:r>
        <w:rPr>
          <w:rFonts w:ascii="Arial" w:cs="Arial" w:eastAsia="Arial" w:hAnsi="Arial"/>
          <w:b/>
          <w:bCs/>
          <w:color w:val="2E5496"/>
          <w:sz w:val="26"/>
          <w:szCs w:val="26"/>
        </w:rPr>
        <w:t xml:space="preserve">3.2 Critical System Register</w:t>
      </w:r>
    </w:p>
    <w:p>
      <w:pPr>
        <w:spacing w:after="80" w:before="60"/>
        <w:jc w:val="left"/>
      </w:pPr>
      <w:r>
        <w:rPr>
          <w:rFonts w:ascii="Arial" w:cs="Arial" w:eastAsia="Arial" w:hAnsi="Arial"/>
          <w:b w:val="false"/>
          <w:bCs w:val="false"/>
          <w:color w:val="000000"/>
          <w:sz w:val="20"/>
          <w:szCs w:val="20"/>
        </w:rPr>
        <w:t xml:space="preserve">The following register identifies key ICT systems, their tier, owners, and recovery targets. This register must be reviewed and updated annually or when significant infrastructure changes occur.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170"/>
        <w:gridCol w:w="1560"/>
        <w:gridCol w:w="1170"/>
        <w:gridCol w:w="1170"/>
        <w:gridCol w:w="1950"/>
      </w:tblGrid>
      <w:tr>
        <w:tc>
          <w:tcPr>
            <w:tcW w:type="dxa" w:w="234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System / Service</w:t>
            </w:r>
          </w:p>
        </w:tc>
        <w:tc>
          <w:tcPr>
            <w:tcW w:type="dxa" w:w="117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Tier</w:t>
            </w:r>
          </w:p>
        </w:tc>
        <w:tc>
          <w:tcPr>
            <w:tcW w:type="dxa" w:w="156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System Owner</w:t>
            </w:r>
          </w:p>
        </w:tc>
        <w:tc>
          <w:tcPr>
            <w:tcW w:type="dxa" w:w="117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RTO</w:t>
            </w:r>
          </w:p>
        </w:tc>
        <w:tc>
          <w:tcPr>
            <w:tcW w:type="dxa" w:w="117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RPO</w:t>
            </w:r>
          </w:p>
        </w:tc>
        <w:tc>
          <w:tcPr>
            <w:tcW w:type="dxa" w:w="195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Primary Recovery Method</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Payment Card Processing Platform</w:t>
            </w:r>
          </w:p>
        </w:tc>
        <w:tc>
          <w:tcPr>
            <w:tcW w:type="dxa" w:w="1170"/>
            <w:tcBorders>
              <w:top w:val="single" w:color="CCCCCC" w:sz="4"/>
              <w:left w:val="single" w:color="CCCCCC" w:sz="4"/>
              <w:bottom w:val="single" w:color="CCCCCC" w:sz="4"/>
              <w:right w:val="single" w:color="CCCCCC" w:sz="4"/>
            </w:tcBorders>
            <w:shd w:fill="FFE6E6" w:val="clear"/>
            <w:tcMar>
              <w:top w:type="dxa" w:w="80"/>
              <w:left w:type="dxa" w:w="140"/>
              <w:bottom w:type="dxa" w:w="80"/>
              <w:right w:type="dxa" w:w="140"/>
            </w:tcMar>
            <w:vAlign w:val="top"/>
          </w:tcPr>
          <w:p>
            <w:r>
              <w:rPr>
                <w:rFonts w:ascii="Arial" w:cs="Arial" w:eastAsia="Arial" w:hAnsi="Arial"/>
                <w:b/>
                <w:bCs/>
                <w:color w:val="000000"/>
                <w:sz w:val="18"/>
                <w:szCs w:val="18"/>
              </w:rPr>
              <w:t xml:space="preserve">1</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T. Wright, VP Fin Ops</w:t>
            </w:r>
          </w:p>
        </w:tc>
        <w:tc>
          <w:tcPr>
            <w:tcW w:type="dxa" w:w="117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&lt; 1 hr</w:t>
            </w:r>
          </w:p>
        </w:tc>
        <w:tc>
          <w:tcPr>
            <w:tcW w:type="dxa" w:w="117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&lt; 15 min</w:t>
            </w:r>
          </w:p>
        </w:tc>
        <w:tc>
          <w:tcPr>
            <w:tcW w:type="dxa" w:w="195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Active-active geo-redundant cluster</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POS Network Authentication &amp; Gateway</w:t>
            </w:r>
          </w:p>
        </w:tc>
        <w:tc>
          <w:tcPr>
            <w:tcW w:type="dxa" w:w="1170"/>
            <w:tcBorders>
              <w:top w:val="single" w:color="CCCCCC" w:sz="4"/>
              <w:left w:val="single" w:color="CCCCCC" w:sz="4"/>
              <w:bottom w:val="single" w:color="CCCCCC" w:sz="4"/>
              <w:right w:val="single" w:color="CCCCCC" w:sz="4"/>
            </w:tcBorders>
            <w:shd w:fill="FFE6E6" w:val="clear"/>
            <w:tcMar>
              <w:top w:type="dxa" w:w="80"/>
              <w:left w:type="dxa" w:w="140"/>
              <w:bottom w:type="dxa" w:w="80"/>
              <w:right w:type="dxa" w:w="140"/>
            </w:tcMar>
            <w:vAlign w:val="top"/>
          </w:tcPr>
          <w:p>
            <w:r>
              <w:rPr>
                <w:rFonts w:ascii="Arial" w:cs="Arial" w:eastAsia="Arial" w:hAnsi="Arial"/>
                <w:b/>
                <w:bCs/>
                <w:color w:val="000000"/>
                <w:sz w:val="18"/>
                <w:szCs w:val="18"/>
              </w:rPr>
              <w:t xml:space="preserve">1</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D. Liu, CTO</w:t>
            </w:r>
          </w:p>
        </w:tc>
        <w:tc>
          <w:tcPr>
            <w:tcW w:type="dxa" w:w="117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&lt; 1 hr</w:t>
            </w:r>
          </w:p>
        </w:tc>
        <w:tc>
          <w:tcPr>
            <w:tcW w:type="dxa" w:w="117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&lt; 15 min</w:t>
            </w:r>
          </w:p>
        </w:tc>
        <w:tc>
          <w:tcPr>
            <w:tcW w:type="dxa" w:w="195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Hot standby; offline POS mode failback</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Core Network Infrastructure (HQ &amp; WAN)</w:t>
            </w:r>
          </w:p>
        </w:tc>
        <w:tc>
          <w:tcPr>
            <w:tcW w:type="dxa" w:w="1170"/>
            <w:tcBorders>
              <w:top w:val="single" w:color="CCCCCC" w:sz="4"/>
              <w:left w:val="single" w:color="CCCCCC" w:sz="4"/>
              <w:bottom w:val="single" w:color="CCCCCC" w:sz="4"/>
              <w:right w:val="single" w:color="CCCCCC" w:sz="4"/>
            </w:tcBorders>
            <w:shd w:fill="FFE6E6" w:val="clear"/>
            <w:tcMar>
              <w:top w:type="dxa" w:w="80"/>
              <w:left w:type="dxa" w:w="140"/>
              <w:bottom w:type="dxa" w:w="80"/>
              <w:right w:type="dxa" w:w="140"/>
            </w:tcMar>
            <w:vAlign w:val="top"/>
          </w:tcPr>
          <w:p>
            <w:r>
              <w:rPr>
                <w:rFonts w:ascii="Arial" w:cs="Arial" w:eastAsia="Arial" w:hAnsi="Arial"/>
                <w:b/>
                <w:bCs/>
                <w:color w:val="000000"/>
                <w:sz w:val="18"/>
                <w:szCs w:val="18"/>
              </w:rPr>
              <w:t xml:space="preserve">1</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D. Liu, CTO</w:t>
            </w:r>
          </w:p>
        </w:tc>
        <w:tc>
          <w:tcPr>
            <w:tcW w:type="dxa" w:w="117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&lt; 1 hr</w:t>
            </w:r>
          </w:p>
        </w:tc>
        <w:tc>
          <w:tcPr>
            <w:tcW w:type="dxa" w:w="117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N/A</w:t>
            </w:r>
          </w:p>
        </w:tc>
        <w:tc>
          <w:tcPr>
            <w:tcW w:type="dxa" w:w="195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Dual ISP; SD-WAN failover to LTE backup</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SIEM / Security Operations Platform</w:t>
            </w:r>
          </w:p>
        </w:tc>
        <w:tc>
          <w:tcPr>
            <w:tcW w:type="dxa" w:w="1170"/>
            <w:tcBorders>
              <w:top w:val="single" w:color="CCCCCC" w:sz="4"/>
              <w:left w:val="single" w:color="CCCCCC" w:sz="4"/>
              <w:bottom w:val="single" w:color="CCCCCC" w:sz="4"/>
              <w:right w:val="single" w:color="CCCCCC" w:sz="4"/>
            </w:tcBorders>
            <w:shd w:fill="FFE6E6" w:val="clear"/>
            <w:tcMar>
              <w:top w:type="dxa" w:w="80"/>
              <w:left w:type="dxa" w:w="140"/>
              <w:bottom w:type="dxa" w:w="80"/>
              <w:right w:type="dxa" w:w="140"/>
            </w:tcMar>
            <w:vAlign w:val="top"/>
          </w:tcPr>
          <w:p>
            <w:r>
              <w:rPr>
                <w:rFonts w:ascii="Arial" w:cs="Arial" w:eastAsia="Arial" w:hAnsi="Arial"/>
                <w:b/>
                <w:bCs/>
                <w:color w:val="000000"/>
                <w:sz w:val="18"/>
                <w:szCs w:val="18"/>
              </w:rPr>
              <w:t xml:space="preserve">1</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M. Gonzalez, VP Info Sec</w:t>
            </w:r>
          </w:p>
        </w:tc>
        <w:tc>
          <w:tcPr>
            <w:tcW w:type="dxa" w:w="117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&lt; 1 hr</w:t>
            </w:r>
          </w:p>
        </w:tc>
        <w:tc>
          <w:tcPr>
            <w:tcW w:type="dxa" w:w="117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&lt; 15 min</w:t>
            </w:r>
          </w:p>
        </w:tc>
        <w:tc>
          <w:tcPr>
            <w:tcW w:type="dxa" w:w="195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Cloud-hosted with on-prem log buffer</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Enterprise ERP (Finance, Procurement)</w:t>
            </w:r>
          </w:p>
        </w:tc>
        <w:tc>
          <w:tcPr>
            <w:tcW w:type="dxa" w:w="1170"/>
            <w:tcBorders>
              <w:top w:val="single" w:color="CCCCCC" w:sz="4"/>
              <w:left w:val="single" w:color="CCCCCC" w:sz="4"/>
              <w:bottom w:val="single" w:color="CCCCCC" w:sz="4"/>
              <w:right w:val="single" w:color="CCCCCC" w:sz="4"/>
            </w:tcBorders>
            <w:shd w:fill="FFF3CD" w:val="clear"/>
            <w:tcMar>
              <w:top w:type="dxa" w:w="80"/>
              <w:left w:type="dxa" w:w="140"/>
              <w:bottom w:type="dxa" w:w="80"/>
              <w:right w:type="dxa" w:w="140"/>
            </w:tcMar>
            <w:vAlign w:val="top"/>
          </w:tcPr>
          <w:p>
            <w:r>
              <w:rPr>
                <w:rFonts w:ascii="Arial" w:cs="Arial" w:eastAsia="Arial" w:hAnsi="Arial"/>
                <w:b/>
                <w:bCs/>
                <w:color w:val="000000"/>
                <w:sz w:val="18"/>
                <w:szCs w:val="18"/>
              </w:rPr>
              <w:t xml:space="preserve">2</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M. Rodriguez, CFO</w:t>
            </w:r>
          </w:p>
        </w:tc>
        <w:tc>
          <w:tcPr>
            <w:tcW w:type="dxa" w:w="117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&lt; 4 hrs</w:t>
            </w:r>
          </w:p>
        </w:tc>
        <w:tc>
          <w:tcPr>
            <w:tcW w:type="dxa" w:w="117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&lt; 1 hr</w:t>
            </w:r>
          </w:p>
        </w:tc>
        <w:tc>
          <w:tcPr>
            <w:tcW w:type="dxa" w:w="195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Warm standby; cloud burst to Azure</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Inventory &amp; Supply Chain Management</w:t>
            </w:r>
          </w:p>
        </w:tc>
        <w:tc>
          <w:tcPr>
            <w:tcW w:type="dxa" w:w="1170"/>
            <w:tcBorders>
              <w:top w:val="single" w:color="CCCCCC" w:sz="4"/>
              <w:left w:val="single" w:color="CCCCCC" w:sz="4"/>
              <w:bottom w:val="single" w:color="CCCCCC" w:sz="4"/>
              <w:right w:val="single" w:color="CCCCCC" w:sz="4"/>
            </w:tcBorders>
            <w:shd w:fill="FFF3CD" w:val="clear"/>
            <w:tcMar>
              <w:top w:type="dxa" w:w="80"/>
              <w:left w:type="dxa" w:w="140"/>
              <w:bottom w:type="dxa" w:w="80"/>
              <w:right w:type="dxa" w:w="140"/>
            </w:tcMar>
            <w:vAlign w:val="top"/>
          </w:tcPr>
          <w:p>
            <w:r>
              <w:rPr>
                <w:rFonts w:ascii="Arial" w:cs="Arial" w:eastAsia="Arial" w:hAnsi="Arial"/>
                <w:b/>
                <w:bCs/>
                <w:color w:val="000000"/>
                <w:sz w:val="18"/>
                <w:szCs w:val="18"/>
              </w:rPr>
              <w:t xml:space="preserve">2</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C. Santos, VP Rest Ops</w:t>
            </w:r>
          </w:p>
        </w:tc>
        <w:tc>
          <w:tcPr>
            <w:tcW w:type="dxa" w:w="117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&lt; 4 hrs</w:t>
            </w:r>
          </w:p>
        </w:tc>
        <w:tc>
          <w:tcPr>
            <w:tcW w:type="dxa" w:w="117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&lt; 1 hr</w:t>
            </w:r>
          </w:p>
        </w:tc>
        <w:tc>
          <w:tcPr>
            <w:tcW w:type="dxa" w:w="195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Warm standby replica; manual ordering SOP</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Identity &amp; Access Management (IAM)</w:t>
            </w:r>
          </w:p>
        </w:tc>
        <w:tc>
          <w:tcPr>
            <w:tcW w:type="dxa" w:w="1170"/>
            <w:tcBorders>
              <w:top w:val="single" w:color="CCCCCC" w:sz="4"/>
              <w:left w:val="single" w:color="CCCCCC" w:sz="4"/>
              <w:bottom w:val="single" w:color="CCCCCC" w:sz="4"/>
              <w:right w:val="single" w:color="CCCCCC" w:sz="4"/>
            </w:tcBorders>
            <w:shd w:fill="FFF3CD" w:val="clear"/>
            <w:tcMar>
              <w:top w:type="dxa" w:w="80"/>
              <w:left w:type="dxa" w:w="140"/>
              <w:bottom w:type="dxa" w:w="80"/>
              <w:right w:type="dxa" w:w="140"/>
            </w:tcMar>
            <w:vAlign w:val="top"/>
          </w:tcPr>
          <w:p>
            <w:r>
              <w:rPr>
                <w:rFonts w:ascii="Arial" w:cs="Arial" w:eastAsia="Arial" w:hAnsi="Arial"/>
                <w:b/>
                <w:bCs/>
                <w:color w:val="000000"/>
                <w:sz w:val="18"/>
                <w:szCs w:val="18"/>
              </w:rPr>
              <w:t xml:space="preserve">2</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M. Gonzalez, VP Info Sec</w:t>
            </w:r>
          </w:p>
        </w:tc>
        <w:tc>
          <w:tcPr>
            <w:tcW w:type="dxa" w:w="117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&lt; 4 hrs</w:t>
            </w:r>
          </w:p>
        </w:tc>
        <w:tc>
          <w:tcPr>
            <w:tcW w:type="dxa" w:w="117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&lt; 1 hr</w:t>
            </w:r>
          </w:p>
        </w:tc>
        <w:tc>
          <w:tcPr>
            <w:tcW w:type="dxa" w:w="195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Redundant directory services; break-glass accounts</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HR &amp; Payroll System</w:t>
            </w:r>
          </w:p>
        </w:tc>
        <w:tc>
          <w:tcPr>
            <w:tcW w:type="dxa" w:w="1170"/>
            <w:tcBorders>
              <w:top w:val="single" w:color="CCCCCC" w:sz="4"/>
              <w:left w:val="single" w:color="CCCCCC" w:sz="4"/>
              <w:bottom w:val="single" w:color="CCCCCC" w:sz="4"/>
              <w:right w:val="single" w:color="CCCCCC" w:sz="4"/>
            </w:tcBorders>
            <w:shd w:fill="FFF3CD" w:val="clear"/>
            <w:tcMar>
              <w:top w:type="dxa" w:w="80"/>
              <w:left w:type="dxa" w:w="140"/>
              <w:bottom w:type="dxa" w:w="80"/>
              <w:right w:type="dxa" w:w="140"/>
            </w:tcMar>
            <w:vAlign w:val="top"/>
          </w:tcPr>
          <w:p>
            <w:r>
              <w:rPr>
                <w:rFonts w:ascii="Arial" w:cs="Arial" w:eastAsia="Arial" w:hAnsi="Arial"/>
                <w:b/>
                <w:bCs/>
                <w:color w:val="000000"/>
                <w:sz w:val="18"/>
                <w:szCs w:val="18"/>
              </w:rPr>
              <w:t xml:space="preserve">2</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L. Thompson, CHRO</w:t>
            </w:r>
          </w:p>
        </w:tc>
        <w:tc>
          <w:tcPr>
            <w:tcW w:type="dxa" w:w="117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&lt; 4 hrs</w:t>
            </w:r>
          </w:p>
        </w:tc>
        <w:tc>
          <w:tcPr>
            <w:tcW w:type="dxa" w:w="117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&lt; 1 hr</w:t>
            </w:r>
          </w:p>
        </w:tc>
        <w:tc>
          <w:tcPr>
            <w:tcW w:type="dxa" w:w="195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Cloud SaaS with provider BCP obligation</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Reporting &amp; Analytics Platform</w:t>
            </w:r>
          </w:p>
        </w:tc>
        <w:tc>
          <w:tcPr>
            <w:tcW w:type="dxa" w:w="117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top"/>
          </w:tcPr>
          <w:p>
            <w:r>
              <w:rPr>
                <w:rFonts w:ascii="Arial" w:cs="Arial" w:eastAsia="Arial" w:hAnsi="Arial"/>
                <w:b/>
                <w:bCs/>
                <w:color w:val="000000"/>
                <w:sz w:val="18"/>
                <w:szCs w:val="18"/>
              </w:rPr>
              <w:t xml:space="preserve">3</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M. Rodriguez, CFO</w:t>
            </w:r>
          </w:p>
        </w:tc>
        <w:tc>
          <w:tcPr>
            <w:tcW w:type="dxa" w:w="117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&lt; 24 hrs</w:t>
            </w:r>
          </w:p>
        </w:tc>
        <w:tc>
          <w:tcPr>
            <w:tcW w:type="dxa" w:w="117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&lt; 4 hrs</w:t>
            </w:r>
          </w:p>
        </w:tc>
        <w:tc>
          <w:tcPr>
            <w:tcW w:type="dxa" w:w="195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Cold restore from nightly backup</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Email &amp; Collaboration (M365)</w:t>
            </w:r>
          </w:p>
        </w:tc>
        <w:tc>
          <w:tcPr>
            <w:tcW w:type="dxa" w:w="117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top"/>
          </w:tcPr>
          <w:p>
            <w:r>
              <w:rPr>
                <w:rFonts w:ascii="Arial" w:cs="Arial" w:eastAsia="Arial" w:hAnsi="Arial"/>
                <w:b/>
                <w:bCs/>
                <w:color w:val="000000"/>
                <w:sz w:val="18"/>
                <w:szCs w:val="18"/>
              </w:rPr>
              <w:t xml:space="preserve">3</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D. Liu, CTO</w:t>
            </w:r>
          </w:p>
        </w:tc>
        <w:tc>
          <w:tcPr>
            <w:tcW w:type="dxa" w:w="117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&lt; 24 hrs</w:t>
            </w:r>
          </w:p>
        </w:tc>
        <w:tc>
          <w:tcPr>
            <w:tcW w:type="dxa" w:w="117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&lt; 4 hrs</w:t>
            </w:r>
          </w:p>
        </w:tc>
        <w:tc>
          <w:tcPr>
            <w:tcW w:type="dxa" w:w="195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Microsoft tenant redundancy; provider SLA</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Document Management System</w:t>
            </w:r>
          </w:p>
        </w:tc>
        <w:tc>
          <w:tcPr>
            <w:tcW w:type="dxa" w:w="117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top"/>
          </w:tcPr>
          <w:p>
            <w:r>
              <w:rPr>
                <w:rFonts w:ascii="Arial" w:cs="Arial" w:eastAsia="Arial" w:hAnsi="Arial"/>
                <w:b/>
                <w:bCs/>
                <w:color w:val="000000"/>
                <w:sz w:val="18"/>
                <w:szCs w:val="18"/>
              </w:rPr>
              <w:t xml:space="preserve">3</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D. Liu, CTO</w:t>
            </w:r>
          </w:p>
        </w:tc>
        <w:tc>
          <w:tcPr>
            <w:tcW w:type="dxa" w:w="117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&lt; 24 hrs</w:t>
            </w:r>
          </w:p>
        </w:tc>
        <w:tc>
          <w:tcPr>
            <w:tcW w:type="dxa" w:w="117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&lt; 4 hrs</w:t>
            </w:r>
          </w:p>
        </w:tc>
        <w:tc>
          <w:tcPr>
            <w:tcW w:type="dxa" w:w="195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Cold restore; offline copies of critical docs</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Development &amp; Test Environments</w:t>
            </w:r>
          </w:p>
        </w:tc>
        <w:tc>
          <w:tcPr>
            <w:tcW w:type="dxa" w:w="117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4</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D. Liu, CTO</w:t>
            </w:r>
          </w:p>
        </w:tc>
        <w:tc>
          <w:tcPr>
            <w:tcW w:type="dxa" w:w="117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&lt; 72 hrs</w:t>
            </w:r>
          </w:p>
        </w:tc>
        <w:tc>
          <w:tcPr>
            <w:tcW w:type="dxa" w:w="117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&lt; 24 hrs</w:t>
            </w:r>
          </w:p>
        </w:tc>
        <w:tc>
          <w:tcPr>
            <w:tcW w:type="dxa" w:w="195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Cold restore from backup; rebuild from IaC</w:t>
            </w:r>
          </w:p>
        </w:tc>
      </w:tr>
    </w:tbl>
    <w:p>
      <w:r>
        <w:br w:type="page"/>
      </w:r>
    </w:p>
    <w:p>
      <w:pPr>
        <w:pStyle w:val="Heading1"/>
        <w:pBdr>
          <w:bottom w:val="single" w:color="2E75B6" w:sz="6" w:space="1"/>
        </w:pBdr>
        <w:spacing w:after="160" w:before="320"/>
      </w:pPr>
      <w:r>
        <w:rPr>
          <w:rFonts w:ascii="Arial" w:cs="Arial" w:eastAsia="Arial" w:hAnsi="Arial"/>
          <w:b/>
          <w:bCs/>
          <w:color w:val="1F3864"/>
          <w:sz w:val="32"/>
          <w:szCs w:val="32"/>
        </w:rPr>
        <w:t xml:space="preserve">4. ICT Continuity Capabilities</w:t>
      </w:r>
    </w:p>
    <w:p>
      <w:pPr>
        <w:pStyle w:val="Heading2"/>
        <w:spacing w:after="120" w:before="240"/>
      </w:pPr>
      <w:r>
        <w:rPr>
          <w:rFonts w:ascii="Arial" w:cs="Arial" w:eastAsia="Arial" w:hAnsi="Arial"/>
          <w:b/>
          <w:bCs/>
          <w:color w:val="2E5496"/>
          <w:sz w:val="26"/>
          <w:szCs w:val="26"/>
        </w:rPr>
        <w:t xml:space="preserve">4.1 Redundancy and Resilience Architecture</w:t>
      </w:r>
    </w:p>
    <w:p>
      <w:pPr>
        <w:pStyle w:val="Heading3"/>
        <w:spacing w:after="80" w:before="180"/>
      </w:pPr>
      <w:r>
        <w:rPr>
          <w:rFonts w:ascii="Arial" w:cs="Arial" w:eastAsia="Arial" w:hAnsi="Arial"/>
          <w:b/>
          <w:bCs/>
          <w:color w:val="2E4057"/>
          <w:sz w:val="22"/>
          <w:szCs w:val="22"/>
        </w:rPr>
        <w:t xml:space="preserve">4.1.1 Data Centre and Hosting</w:t>
      </w:r>
    </w:p>
    <w:p>
      <w:pPr>
        <w:pStyle w:val="ListParagraph"/>
        <w:numPr>
          <w:ilvl w:val="0"/>
          <w:numId w:val="2"/>
        </w:numPr>
      </w:pPr>
      <w:r>
        <w:rPr>
          <w:rFonts w:ascii="Arial" w:cs="Arial" w:eastAsia="Arial" w:hAnsi="Arial"/>
          <w:sz w:val="20"/>
          <w:szCs w:val="20"/>
        </w:rPr>
        <w:t xml:space="preserve">Primary data centre: Vancouver HQ, managed by VP Business Continuity &amp; Facilities</w:t>
      </w:r>
    </w:p>
    <w:p>
      <w:pPr>
        <w:pStyle w:val="ListParagraph"/>
        <w:numPr>
          <w:ilvl w:val="0"/>
          <w:numId w:val="2"/>
        </w:numPr>
      </w:pPr>
      <w:r>
        <w:rPr>
          <w:rFonts w:ascii="Arial" w:cs="Arial" w:eastAsia="Arial" w:hAnsi="Arial"/>
          <w:sz w:val="20"/>
          <w:szCs w:val="20"/>
        </w:rPr>
        <w:t xml:space="preserve">Secondary site: Geographically separated warm site (minimum 50 km distance), maintained by the CTO team</w:t>
      </w:r>
    </w:p>
    <w:p>
      <w:pPr>
        <w:pStyle w:val="ListParagraph"/>
        <w:numPr>
          <w:ilvl w:val="0"/>
          <w:numId w:val="2"/>
        </w:numPr>
      </w:pPr>
      <w:r>
        <w:rPr>
          <w:rFonts w:ascii="Arial" w:cs="Arial" w:eastAsia="Arial" w:hAnsi="Arial"/>
          <w:sz w:val="20"/>
          <w:szCs w:val="20"/>
        </w:rPr>
        <w:t xml:space="preserve">Cloud burst capability: Microsoft Azure (Canada East / Canada Central regions) for Tier 1–2 workloads</w:t>
      </w:r>
    </w:p>
    <w:p>
      <w:pPr>
        <w:pStyle w:val="ListParagraph"/>
        <w:numPr>
          <w:ilvl w:val="0"/>
          <w:numId w:val="2"/>
        </w:numPr>
      </w:pPr>
      <w:r>
        <w:rPr>
          <w:rFonts w:ascii="Arial" w:cs="Arial" w:eastAsia="Arial" w:hAnsi="Arial"/>
          <w:sz w:val="20"/>
          <w:szCs w:val="20"/>
        </w:rPr>
        <w:t xml:space="preserve">Target uptime for Tier 1 systems: 99.99% (no more than ~52 minutes unplanned downtime per year)</w:t>
      </w:r>
    </w:p>
    <w:p>
      <w:pPr>
        <w:pStyle w:val="Heading3"/>
        <w:spacing w:after="80" w:before="180"/>
      </w:pPr>
      <w:r>
        <w:rPr>
          <w:rFonts w:ascii="Arial" w:cs="Arial" w:eastAsia="Arial" w:hAnsi="Arial"/>
          <w:b/>
          <w:bCs/>
          <w:color w:val="2E4057"/>
          <w:sz w:val="22"/>
          <w:szCs w:val="22"/>
        </w:rPr>
        <w:t xml:space="preserve">4.1.2 Network Infrastructure</w:t>
      </w:r>
    </w:p>
    <w:p>
      <w:pPr>
        <w:pStyle w:val="ListParagraph"/>
        <w:numPr>
          <w:ilvl w:val="0"/>
          <w:numId w:val="2"/>
        </w:numPr>
      </w:pPr>
      <w:r>
        <w:rPr>
          <w:rFonts w:ascii="Arial" w:cs="Arial" w:eastAsia="Arial" w:hAnsi="Arial"/>
          <w:sz w:val="20"/>
          <w:szCs w:val="20"/>
        </w:rPr>
        <w:t xml:space="preserve">Dual internet service providers (ISPs) with automated BGP failover at HQ</w:t>
      </w:r>
    </w:p>
    <w:p>
      <w:pPr>
        <w:pStyle w:val="ListParagraph"/>
        <w:numPr>
          <w:ilvl w:val="0"/>
          <w:numId w:val="2"/>
        </w:numPr>
      </w:pPr>
      <w:r>
        <w:rPr>
          <w:rFonts w:ascii="Arial" w:cs="Arial" w:eastAsia="Arial" w:hAnsi="Arial"/>
          <w:sz w:val="20"/>
          <w:szCs w:val="20"/>
        </w:rPr>
        <w:t xml:space="preserve">SD-WAN with LTE/5G backup links for all 487 restaurant locations</w:t>
      </w:r>
    </w:p>
    <w:p>
      <w:pPr>
        <w:pStyle w:val="ListParagraph"/>
        <w:numPr>
          <w:ilvl w:val="0"/>
          <w:numId w:val="2"/>
        </w:numPr>
      </w:pPr>
      <w:r>
        <w:rPr>
          <w:rFonts w:ascii="Arial" w:cs="Arial" w:eastAsia="Arial" w:hAnsi="Arial"/>
          <w:sz w:val="20"/>
          <w:szCs w:val="20"/>
        </w:rPr>
        <w:t xml:space="preserve">Restaurant locations maintain local POS offline mode capability for up to 72 hours without central connectivity</w:t>
      </w:r>
    </w:p>
    <w:p>
      <w:pPr>
        <w:pStyle w:val="ListParagraph"/>
        <w:numPr>
          <w:ilvl w:val="0"/>
          <w:numId w:val="2"/>
        </w:numPr>
      </w:pPr>
      <w:r>
        <w:rPr>
          <w:rFonts w:ascii="Arial" w:cs="Arial" w:eastAsia="Arial" w:hAnsi="Arial"/>
          <w:sz w:val="20"/>
          <w:szCs w:val="20"/>
        </w:rPr>
        <w:t xml:space="preserve">Out-of-band management network for remote access to infrastructure during primary network failures</w:t>
      </w:r>
    </w:p>
    <w:p>
      <w:pPr>
        <w:pStyle w:val="Heading3"/>
        <w:spacing w:after="80" w:before="180"/>
      </w:pPr>
      <w:r>
        <w:rPr>
          <w:rFonts w:ascii="Arial" w:cs="Arial" w:eastAsia="Arial" w:hAnsi="Arial"/>
          <w:b/>
          <w:bCs/>
          <w:color w:val="2E4057"/>
          <w:sz w:val="22"/>
          <w:szCs w:val="22"/>
        </w:rPr>
        <w:t xml:space="preserve">4.1.3 Power and Utilities</w:t>
      </w:r>
    </w:p>
    <w:p>
      <w:pPr>
        <w:pStyle w:val="ListParagraph"/>
        <w:numPr>
          <w:ilvl w:val="0"/>
          <w:numId w:val="2"/>
        </w:numPr>
      </w:pPr>
      <w:r>
        <w:rPr>
          <w:rFonts w:ascii="Arial" w:cs="Arial" w:eastAsia="Arial" w:hAnsi="Arial"/>
          <w:sz w:val="20"/>
          <w:szCs w:val="20"/>
        </w:rPr>
        <w:t xml:space="preserve">UPS (Uninterruptible Power Supply) systems protecting all Tier 1 and Tier 2 infrastructure</w:t>
      </w:r>
    </w:p>
    <w:p>
      <w:pPr>
        <w:pStyle w:val="ListParagraph"/>
        <w:numPr>
          <w:ilvl w:val="0"/>
          <w:numId w:val="2"/>
        </w:numPr>
      </w:pPr>
      <w:r>
        <w:rPr>
          <w:rFonts w:ascii="Arial" w:cs="Arial" w:eastAsia="Arial" w:hAnsi="Arial"/>
          <w:sz w:val="20"/>
          <w:szCs w:val="20"/>
        </w:rPr>
        <w:t xml:space="preserve">Diesel generator backup with minimum 72-hour fuel capacity at HQ data centre</w:t>
      </w:r>
    </w:p>
    <w:p>
      <w:pPr>
        <w:pStyle w:val="ListParagraph"/>
        <w:numPr>
          <w:ilvl w:val="0"/>
          <w:numId w:val="2"/>
        </w:numPr>
      </w:pPr>
      <w:r>
        <w:rPr>
          <w:rFonts w:ascii="Arial" w:cs="Arial" w:eastAsia="Arial" w:hAnsi="Arial"/>
          <w:sz w:val="20"/>
          <w:szCs w:val="20"/>
        </w:rPr>
        <w:t xml:space="preserve">Generator transfer testing conducted quarterly</w:t>
      </w:r>
    </w:p>
    <w:p>
      <w:pPr>
        <w:pStyle w:val="Heading2"/>
        <w:spacing w:after="120" w:before="240"/>
      </w:pPr>
      <w:r>
        <w:rPr>
          <w:rFonts w:ascii="Arial" w:cs="Arial" w:eastAsia="Arial" w:hAnsi="Arial"/>
          <w:b/>
          <w:bCs/>
          <w:color w:val="2E5496"/>
          <w:sz w:val="26"/>
          <w:szCs w:val="26"/>
        </w:rPr>
        <w:t xml:space="preserve">4.2 Backup and Recovery</w:t>
      </w:r>
    </w:p>
    <w:p>
      <w:pPr>
        <w:pStyle w:val="Heading3"/>
        <w:spacing w:after="80" w:before="180"/>
      </w:pPr>
      <w:r>
        <w:rPr>
          <w:rFonts w:ascii="Arial" w:cs="Arial" w:eastAsia="Arial" w:hAnsi="Arial"/>
          <w:b/>
          <w:bCs/>
          <w:color w:val="2E4057"/>
          <w:sz w:val="22"/>
          <w:szCs w:val="22"/>
        </w:rPr>
        <w:t xml:space="preserve">4.2.1 Backup Schedule and Retention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c>
          <w:tcPr>
            <w:tcW w:type="dxa" w:w="234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Data Category</w:t>
            </w:r>
          </w:p>
        </w:tc>
        <w:tc>
          <w:tcPr>
            <w:tcW w:type="dxa" w:w="156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Backup Frequency</w:t>
            </w:r>
          </w:p>
        </w:tc>
        <w:tc>
          <w:tcPr>
            <w:tcW w:type="dxa" w:w="156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Backup Type</w:t>
            </w:r>
          </w:p>
        </w:tc>
        <w:tc>
          <w:tcPr>
            <w:tcW w:type="dxa" w:w="156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Retention</w:t>
            </w:r>
          </w:p>
        </w:tc>
        <w:tc>
          <w:tcPr>
            <w:tcW w:type="dxa" w:w="234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Offsite / Cloud Copy</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Payment transaction data</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Continuous replication</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Synchronous mirror</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7 years (PCI-DSS)</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Yes – encrypted to Azure Canada</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POS configuration &amp; keys</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Daily incremental; weekly full</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Encrypted backup</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1 year</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Yes – encrypted offsite vault</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ERP / financial data</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Hourly incremental; nightly full</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Incremental &amp; full</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7 years</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Yes – encrypted to Azure Canada</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Employee &amp; HR data</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Daily</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Full snapshot</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7 years (PIPEDA)</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Yes – cloud SaaS provider</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Security logs (SIEM)</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Real-time streaming</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Append-only log stream</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3 years</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Yes – immutable cloud storage</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System and VM images</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Weekly full snapshots</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Image backup</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90 days</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Yes – secondary site and cloud</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Configuration and IaC artefacts</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On commit (Git)</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Version-controlled repository</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Indefinite</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Yes – mirrored remote repo</w:t>
            </w:r>
          </w:p>
        </w:tc>
      </w:tr>
    </w:tbl>
    <w:p>
      <w:pPr>
        <w:spacing w:after="0" w:before="120"/>
      </w:pPr>
      <w:r>
        <w:t xml:space="preserve"/>
      </w:r>
    </w:p>
    <w:p>
      <w:pPr>
        <w:pStyle w:val="Heading3"/>
        <w:spacing w:after="80" w:before="180"/>
      </w:pPr>
      <w:r>
        <w:rPr>
          <w:rFonts w:ascii="Arial" w:cs="Arial" w:eastAsia="Arial" w:hAnsi="Arial"/>
          <w:b/>
          <w:bCs/>
          <w:color w:val="2E4057"/>
          <w:sz w:val="22"/>
          <w:szCs w:val="22"/>
        </w:rPr>
        <w:t xml:space="preserve">4.2.2 Backup Security Requirements</w:t>
      </w:r>
    </w:p>
    <w:p>
      <w:pPr>
        <w:pStyle w:val="ListParagraph"/>
        <w:numPr>
          <w:ilvl w:val="0"/>
          <w:numId w:val="2"/>
        </w:numPr>
      </w:pPr>
      <w:r>
        <w:rPr>
          <w:rFonts w:ascii="Arial" w:cs="Arial" w:eastAsia="Arial" w:hAnsi="Arial"/>
          <w:sz w:val="20"/>
          <w:szCs w:val="20"/>
        </w:rPr>
        <w:t xml:space="preserve">All backup data is encrypted at rest (AES-256) and in transit (TLS 1.2 minimum)</w:t>
      </w:r>
    </w:p>
    <w:p>
      <w:pPr>
        <w:pStyle w:val="ListParagraph"/>
        <w:numPr>
          <w:ilvl w:val="0"/>
          <w:numId w:val="2"/>
        </w:numPr>
      </w:pPr>
      <w:r>
        <w:rPr>
          <w:rFonts w:ascii="Arial" w:cs="Arial" w:eastAsia="Arial" w:hAnsi="Arial"/>
          <w:sz w:val="20"/>
          <w:szCs w:val="20"/>
        </w:rPr>
        <w:t xml:space="preserve">Encryption keys for backup data are stored separately from backup data, managed by the CTO team under oversight of the CISO</w:t>
      </w:r>
    </w:p>
    <w:p>
      <w:pPr>
        <w:pStyle w:val="ListParagraph"/>
        <w:numPr>
          <w:ilvl w:val="0"/>
          <w:numId w:val="2"/>
        </w:numPr>
      </w:pPr>
      <w:r>
        <w:rPr>
          <w:rFonts w:ascii="Arial" w:cs="Arial" w:eastAsia="Arial" w:hAnsi="Arial"/>
          <w:sz w:val="20"/>
          <w:szCs w:val="20"/>
        </w:rPr>
        <w:t xml:space="preserve">Access to backup systems is restricted to authorised personnel; access reviewed quarterly by VP Information Security</w:t>
      </w:r>
    </w:p>
    <w:p>
      <w:pPr>
        <w:pStyle w:val="ListParagraph"/>
        <w:numPr>
          <w:ilvl w:val="0"/>
          <w:numId w:val="2"/>
        </w:numPr>
      </w:pPr>
      <w:r>
        <w:rPr>
          <w:rFonts w:ascii="Arial" w:cs="Arial" w:eastAsia="Arial" w:hAnsi="Arial"/>
          <w:sz w:val="20"/>
          <w:szCs w:val="20"/>
        </w:rPr>
        <w:t xml:space="preserve">Backup integrity is verified through automated checksum validation on every backup job</w:t>
      </w:r>
    </w:p>
    <w:p>
      <w:pPr>
        <w:pStyle w:val="ListParagraph"/>
        <w:numPr>
          <w:ilvl w:val="0"/>
          <w:numId w:val="2"/>
        </w:numPr>
      </w:pPr>
      <w:r>
        <w:rPr>
          <w:rFonts w:ascii="Arial" w:cs="Arial" w:eastAsia="Arial" w:hAnsi="Arial"/>
          <w:sz w:val="20"/>
          <w:szCs w:val="20"/>
        </w:rPr>
        <w:t xml:space="preserve">Restoration testing is conducted monthly for Tier 1 systems and quarterly for Tier 2 systems (see Section 7)</w:t>
      </w:r>
    </w:p>
    <w:p>
      <w:pPr>
        <w:pStyle w:val="Heading2"/>
        <w:spacing w:after="120" w:before="240"/>
      </w:pPr>
      <w:r>
        <w:rPr>
          <w:rFonts w:ascii="Arial" w:cs="Arial" w:eastAsia="Arial" w:hAnsi="Arial"/>
          <w:b/>
          <w:bCs/>
          <w:color w:val="2E5496"/>
          <w:sz w:val="26"/>
          <w:szCs w:val="26"/>
        </w:rPr>
        <w:t xml:space="preserve">4.3 Alternate Processing Sites</w:t>
      </w:r>
    </w:p>
    <w:p>
      <w:pPr>
        <w:pStyle w:val="ListParagraph"/>
        <w:numPr>
          <w:ilvl w:val="0"/>
          <w:numId w:val="2"/>
        </w:numPr>
      </w:pPr>
      <w:r>
        <w:rPr>
          <w:rFonts w:ascii="Arial" w:cs="Arial" w:eastAsia="Arial" w:hAnsi="Arial"/>
          <w:sz w:val="20"/>
          <w:szCs w:val="20"/>
        </w:rPr>
        <w:t xml:space="preserve">Hot / warm secondary site: Configured and network-connected; Tier 1 systems can fail over within RTO target</w:t>
      </w:r>
    </w:p>
    <w:p>
      <w:pPr>
        <w:pStyle w:val="ListParagraph"/>
        <w:numPr>
          <w:ilvl w:val="0"/>
          <w:numId w:val="2"/>
        </w:numPr>
      </w:pPr>
      <w:r>
        <w:rPr>
          <w:rFonts w:ascii="Arial" w:cs="Arial" w:eastAsia="Arial" w:hAnsi="Arial"/>
          <w:sz w:val="20"/>
          <w:szCs w:val="20"/>
        </w:rPr>
        <w:t xml:space="preserve">Cloud burst environment: Pre-provisioned Azure environment with infrastructure-as-code templates maintained by the CTO team; activatable within 2 hours for Tier 2 systems</w:t>
      </w:r>
    </w:p>
    <w:p>
      <w:pPr>
        <w:pStyle w:val="ListParagraph"/>
        <w:numPr>
          <w:ilvl w:val="0"/>
          <w:numId w:val="2"/>
        </w:numPr>
      </w:pPr>
      <w:r>
        <w:rPr>
          <w:rFonts w:ascii="Arial" w:cs="Arial" w:eastAsia="Arial" w:hAnsi="Arial"/>
          <w:sz w:val="20"/>
          <w:szCs w:val="20"/>
        </w:rPr>
        <w:t xml:space="preserve">Remote working capability: VPN and virtual desktop infrastructure (VDI) for all corporate functions; capacity reviewed annually to ensure it can support 100% remote operations for a minimum of 30 days</w:t>
      </w:r>
    </w:p>
    <w:p>
      <w:pPr>
        <w:pStyle w:val="ListParagraph"/>
        <w:numPr>
          <w:ilvl w:val="0"/>
          <w:numId w:val="2"/>
        </w:numPr>
      </w:pPr>
      <w:r>
        <w:rPr>
          <w:rFonts w:ascii="Arial" w:cs="Arial" w:eastAsia="Arial" w:hAnsi="Arial"/>
          <w:sz w:val="20"/>
          <w:szCs w:val="20"/>
        </w:rPr>
        <w:t xml:space="preserve">Restaurant locations: Offline POS operating mode with local transaction buffering; cash acceptance procedures documented in the Restaurant Operations Continuity SOP</w:t>
      </w:r>
    </w:p>
    <w:p>
      <w:pPr>
        <w:pStyle w:val="Heading2"/>
        <w:spacing w:after="120" w:before="240"/>
      </w:pPr>
      <w:r>
        <w:rPr>
          <w:rFonts w:ascii="Arial" w:cs="Arial" w:eastAsia="Arial" w:hAnsi="Arial"/>
          <w:b/>
          <w:bCs/>
          <w:color w:val="2E5496"/>
          <w:sz w:val="26"/>
          <w:szCs w:val="26"/>
        </w:rPr>
        <w:t xml:space="preserve">4.4 Information Security Controls During Disruption</w:t>
      </w:r>
    </w:p>
    <w:p>
      <w:pPr>
        <w:spacing w:after="80" w:before="60"/>
        <w:jc w:val="left"/>
      </w:pPr>
      <w:r>
        <w:rPr>
          <w:rFonts w:ascii="Arial" w:cs="Arial" w:eastAsia="Arial" w:hAnsi="Arial"/>
          <w:b w:val="false"/>
          <w:bCs w:val="false"/>
          <w:color w:val="000000"/>
          <w:sz w:val="20"/>
          <w:szCs w:val="20"/>
        </w:rPr>
        <w:t xml:space="preserve">Consistent with ISO 27001:2022 Control 5.29 and the Business Continuity Policy, the following security controls must remain in effect or be replaced by documented compensating controls during any ICT disruption: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30"/>
        <w:gridCol w:w="3330"/>
      </w:tblGrid>
      <w:tr>
        <w:tc>
          <w:tcPr>
            <w:tcW w:type="dxa" w:w="27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Security Control</w:t>
            </w:r>
          </w:p>
        </w:tc>
        <w:tc>
          <w:tcPr>
            <w:tcW w:type="dxa" w:w="333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Normal State</w:t>
            </w:r>
          </w:p>
        </w:tc>
        <w:tc>
          <w:tcPr>
            <w:tcW w:type="dxa" w:w="333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Disruption / Compensating Control</w:t>
            </w:r>
          </w:p>
        </w:tc>
      </w:tr>
      <w:tr>
        <w:tc>
          <w:tcPr>
            <w:tcW w:type="dxa" w:w="2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Access control &amp; authentication</w:t>
            </w:r>
          </w:p>
        </w:tc>
        <w:tc>
          <w:tcPr>
            <w:tcW w:type="dxa" w:w="333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IAM / MFA enforced for all systems</w:t>
            </w:r>
          </w:p>
        </w:tc>
        <w:tc>
          <w:tcPr>
            <w:tcW w:type="dxa" w:w="333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Break-glass accounts with dual-approval; MFA must remain enforced on critical systems; all break-glass use logged and reviewed within 24 hrs</w:t>
            </w:r>
          </w:p>
        </w:tc>
      </w:tr>
      <w:tr>
        <w:tc>
          <w:tcPr>
            <w:tcW w:type="dxa" w:w="2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Network segmentation</w:t>
            </w:r>
          </w:p>
        </w:tc>
        <w:tc>
          <w:tcPr>
            <w:tcW w:type="dxa" w:w="333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Firewall and VLAN segmentation enforced</w:t>
            </w:r>
          </w:p>
        </w:tc>
        <w:tc>
          <w:tcPr>
            <w:tcW w:type="dxa" w:w="333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Failover routing must preserve segment boundaries; flat-network fallback prohibited without CISO written approval</w:t>
            </w:r>
          </w:p>
        </w:tc>
      </w:tr>
      <w:tr>
        <w:tc>
          <w:tcPr>
            <w:tcW w:type="dxa" w:w="2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Encryption in transit</w:t>
            </w:r>
          </w:p>
        </w:tc>
        <w:tc>
          <w:tcPr>
            <w:tcW w:type="dxa" w:w="333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TLS 1.2+ on all external and internal sensitive data flows</w:t>
            </w:r>
          </w:p>
        </w:tc>
        <w:tc>
          <w:tcPr>
            <w:tcW w:type="dxa" w:w="333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Encryption must remain active; unencrypted fallback requires CISO approval and is time-limited to 4 hours</w:t>
            </w:r>
          </w:p>
        </w:tc>
      </w:tr>
      <w:tr>
        <w:tc>
          <w:tcPr>
            <w:tcW w:type="dxa" w:w="2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Security monitoring (SIEM/SOC)</w:t>
            </w:r>
          </w:p>
        </w:tc>
        <w:tc>
          <w:tcPr>
            <w:tcW w:type="dxa" w:w="333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24/7 SIEM monitoring; SOC alerting</w:t>
            </w:r>
          </w:p>
        </w:tc>
        <w:tc>
          <w:tcPr>
            <w:tcW w:type="dxa" w:w="333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Cloud-hosted SIEM maintains monitoring; SOC team activates remote monitoring protocol; logging continuity mandatory (Tier 1 RTO)</w:t>
            </w:r>
          </w:p>
        </w:tc>
      </w:tr>
      <w:tr>
        <w:tc>
          <w:tcPr>
            <w:tcW w:type="dxa" w:w="2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Patch and vulnerability management</w:t>
            </w:r>
          </w:p>
        </w:tc>
        <w:tc>
          <w:tcPr>
            <w:tcW w:type="dxa" w:w="333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Monthly patching; critical patches within 72 hrs</w:t>
            </w:r>
          </w:p>
        </w:tc>
        <w:tc>
          <w:tcPr>
            <w:tcW w:type="dxa" w:w="333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Critical patch timelines maintained; non-critical patch cycles may be deferred up to 30 days with CISO approval</w:t>
            </w:r>
          </w:p>
        </w:tc>
      </w:tr>
      <w:tr>
        <w:tc>
          <w:tcPr>
            <w:tcW w:type="dxa" w:w="2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PCI-DSS controls</w:t>
            </w:r>
          </w:p>
        </w:tc>
        <w:tc>
          <w:tcPr>
            <w:tcW w:type="dxa" w:w="333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Full PCI-DSS Requirement compliance</w:t>
            </w:r>
          </w:p>
        </w:tc>
        <w:tc>
          <w:tcPr>
            <w:tcW w:type="dxa" w:w="333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No reduction in PCI-DSS controls is permitted under any disruption scenario; T. Wright (VP Fin Ops) must confirm compliance before processing resumes</w:t>
            </w:r>
          </w:p>
        </w:tc>
      </w:tr>
      <w:tr>
        <w:tc>
          <w:tcPr>
            <w:tcW w:type="dxa" w:w="2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b/>
                <w:bCs/>
                <w:color w:val="000000"/>
                <w:sz w:val="18"/>
                <w:szCs w:val="18"/>
              </w:rPr>
              <w:t xml:space="preserve">Audit logging and evidence</w:t>
            </w:r>
          </w:p>
        </w:tc>
        <w:tc>
          <w:tcPr>
            <w:tcW w:type="dxa" w:w="333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Comprehensive logging to immutable SIEM</w:t>
            </w:r>
          </w:p>
        </w:tc>
        <w:tc>
          <w:tcPr>
            <w:tcW w:type="dxa" w:w="333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Logging must continue to at minimum local buffer; streamed to cloud SIEM as soon as connectivity is restored; no log gaps permitted for Tier 1 systems</w:t>
            </w:r>
          </w:p>
        </w:tc>
      </w:tr>
    </w:tbl>
    <w:p>
      <w:r>
        <w:br w:type="page"/>
      </w:r>
    </w:p>
    <w:p>
      <w:pPr>
        <w:pStyle w:val="Heading1"/>
        <w:pBdr>
          <w:bottom w:val="single" w:color="2E75B6" w:sz="6" w:space="1"/>
        </w:pBdr>
        <w:spacing w:after="160" w:before="320"/>
      </w:pPr>
      <w:r>
        <w:rPr>
          <w:rFonts w:ascii="Arial" w:cs="Arial" w:eastAsia="Arial" w:hAnsi="Arial"/>
          <w:b/>
          <w:bCs/>
          <w:color w:val="1F3864"/>
          <w:sz w:val="32"/>
          <w:szCs w:val="32"/>
        </w:rPr>
        <w:t xml:space="preserve">5. Activation Framework</w:t>
      </w:r>
    </w:p>
    <w:p>
      <w:pPr>
        <w:pStyle w:val="Heading2"/>
        <w:spacing w:after="120" w:before="240"/>
      </w:pPr>
      <w:r>
        <w:rPr>
          <w:rFonts w:ascii="Arial" w:cs="Arial" w:eastAsia="Arial" w:hAnsi="Arial"/>
          <w:b/>
          <w:bCs/>
          <w:color w:val="2E5496"/>
          <w:sz w:val="26"/>
          <w:szCs w:val="26"/>
        </w:rPr>
        <w:t xml:space="preserve">5.1 Disruption Scenarios</w:t>
      </w:r>
    </w:p>
    <w:p>
      <w:pPr>
        <w:spacing w:after="80" w:before="60"/>
        <w:jc w:val="left"/>
      </w:pPr>
      <w:r>
        <w:rPr>
          <w:rFonts w:ascii="Arial" w:cs="Arial" w:eastAsia="Arial" w:hAnsi="Arial"/>
          <w:b w:val="false"/>
          <w:bCs w:val="false"/>
          <w:color w:val="000000"/>
          <w:sz w:val="20"/>
          <w:szCs w:val="20"/>
        </w:rPr>
        <w:t xml:space="preserve">This plan may be activated in response to any of the following ICT disruption scenarios:</w:t>
      </w:r>
    </w:p>
    <w:p>
      <w:pPr>
        <w:pStyle w:val="ListParagraph"/>
        <w:numPr>
          <w:ilvl w:val="0"/>
          <w:numId w:val="2"/>
        </w:numPr>
      </w:pPr>
      <w:r>
        <w:rPr>
          <w:rFonts w:ascii="Arial" w:cs="Arial" w:eastAsia="Arial" w:hAnsi="Arial"/>
          <w:sz w:val="20"/>
          <w:szCs w:val="20"/>
        </w:rPr>
        <w:t xml:space="preserve">Total or partial data centre failure (power, cooling, hardware)</w:t>
      </w:r>
    </w:p>
    <w:p>
      <w:pPr>
        <w:pStyle w:val="ListParagraph"/>
        <w:numPr>
          <w:ilvl w:val="0"/>
          <w:numId w:val="2"/>
        </w:numPr>
      </w:pPr>
      <w:r>
        <w:rPr>
          <w:rFonts w:ascii="Arial" w:cs="Arial" w:eastAsia="Arial" w:hAnsi="Arial"/>
          <w:sz w:val="20"/>
          <w:szCs w:val="20"/>
        </w:rPr>
        <w:t xml:space="preserve">Ransomware or destructive malware incident affecting production systems</w:t>
      </w:r>
    </w:p>
    <w:p>
      <w:pPr>
        <w:pStyle w:val="ListParagraph"/>
        <w:numPr>
          <w:ilvl w:val="0"/>
          <w:numId w:val="2"/>
        </w:numPr>
      </w:pPr>
      <w:r>
        <w:rPr>
          <w:rFonts w:ascii="Arial" w:cs="Arial" w:eastAsia="Arial" w:hAnsi="Arial"/>
          <w:sz w:val="20"/>
          <w:szCs w:val="20"/>
        </w:rPr>
        <w:t xml:space="preserve">Major data breach requiring system isolation</w:t>
      </w:r>
    </w:p>
    <w:p>
      <w:pPr>
        <w:pStyle w:val="ListParagraph"/>
        <w:numPr>
          <w:ilvl w:val="0"/>
          <w:numId w:val="2"/>
        </w:numPr>
      </w:pPr>
      <w:r>
        <w:rPr>
          <w:rFonts w:ascii="Arial" w:cs="Arial" w:eastAsia="Arial" w:hAnsi="Arial"/>
          <w:sz w:val="20"/>
          <w:szCs w:val="20"/>
        </w:rPr>
        <w:t xml:space="preserve">WAN / ISP failure affecting HQ or significant number of restaurant locations</w:t>
      </w:r>
    </w:p>
    <w:p>
      <w:pPr>
        <w:pStyle w:val="ListParagraph"/>
        <w:numPr>
          <w:ilvl w:val="0"/>
          <w:numId w:val="2"/>
        </w:numPr>
      </w:pPr>
      <w:r>
        <w:rPr>
          <w:rFonts w:ascii="Arial" w:cs="Arial" w:eastAsia="Arial" w:hAnsi="Arial"/>
          <w:sz w:val="20"/>
          <w:szCs w:val="20"/>
        </w:rPr>
        <w:t xml:space="preserve">Critical cloud provider outage affecting Tier 1 or Tier 2 services</w:t>
      </w:r>
    </w:p>
    <w:p>
      <w:pPr>
        <w:pStyle w:val="ListParagraph"/>
        <w:numPr>
          <w:ilvl w:val="0"/>
          <w:numId w:val="2"/>
        </w:numPr>
      </w:pPr>
      <w:r>
        <w:rPr>
          <w:rFonts w:ascii="Arial" w:cs="Arial" w:eastAsia="Arial" w:hAnsi="Arial"/>
          <w:sz w:val="20"/>
          <w:szCs w:val="20"/>
        </w:rPr>
        <w:t xml:space="preserve">Catastrophic hardware failure of core network, storage, or compute infrastructure</w:t>
      </w:r>
    </w:p>
    <w:p>
      <w:pPr>
        <w:pStyle w:val="ListParagraph"/>
        <w:numPr>
          <w:ilvl w:val="0"/>
          <w:numId w:val="2"/>
        </w:numPr>
      </w:pPr>
      <w:r>
        <w:rPr>
          <w:rFonts w:ascii="Arial" w:cs="Arial" w:eastAsia="Arial" w:hAnsi="Arial"/>
          <w:sz w:val="20"/>
          <w:szCs w:val="20"/>
        </w:rPr>
        <w:t xml:space="preserve">Loss of key ICT personnel beyond normal operational capacity</w:t>
      </w:r>
    </w:p>
    <w:p>
      <w:pPr>
        <w:pStyle w:val="ListParagraph"/>
        <w:numPr>
          <w:ilvl w:val="0"/>
          <w:numId w:val="2"/>
        </w:numPr>
      </w:pPr>
      <w:r>
        <w:rPr>
          <w:rFonts w:ascii="Arial" w:cs="Arial" w:eastAsia="Arial" w:hAnsi="Arial"/>
          <w:sz w:val="20"/>
          <w:szCs w:val="20"/>
        </w:rPr>
        <w:t xml:space="preserve">Physical disaster at HQ or primary data centre (fire, flood, earthquake)</w:t>
      </w:r>
    </w:p>
    <w:p>
      <w:pPr>
        <w:pStyle w:val="Heading2"/>
        <w:spacing w:after="120" w:before="240"/>
      </w:pPr>
      <w:r>
        <w:rPr>
          <w:rFonts w:ascii="Arial" w:cs="Arial" w:eastAsia="Arial" w:hAnsi="Arial"/>
          <w:b/>
          <w:bCs/>
          <w:color w:val="2E5496"/>
          <w:sz w:val="26"/>
          <w:szCs w:val="26"/>
        </w:rPr>
        <w:t xml:space="preserve">5.2 Activation Thresholds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808"/>
        <w:gridCol w:w="2496"/>
        <w:gridCol w:w="2496"/>
      </w:tblGrid>
      <w:tr>
        <w:tc>
          <w:tcPr>
            <w:tcW w:type="dxa" w:w="156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Level</w:t>
            </w:r>
          </w:p>
        </w:tc>
        <w:tc>
          <w:tcPr>
            <w:tcW w:type="dxa" w:w="2808"/>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Trigger Condition</w:t>
            </w:r>
          </w:p>
        </w:tc>
        <w:tc>
          <w:tcPr>
            <w:tcW w:type="dxa" w:w="2496"/>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Activation Authority</w:t>
            </w:r>
          </w:p>
        </w:tc>
        <w:tc>
          <w:tcPr>
            <w:tcW w:type="dxa" w:w="2496"/>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Response Action</w:t>
            </w:r>
          </w:p>
        </w:tc>
      </w:tr>
      <w:tr>
        <w:tc>
          <w:tcPr>
            <w:tcW w:type="dxa" w:w="156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top"/>
          </w:tcPr>
          <w:p>
            <w:r>
              <w:rPr>
                <w:rFonts w:ascii="Arial" w:cs="Arial" w:eastAsia="Arial" w:hAnsi="Arial"/>
                <w:b/>
                <w:bCs/>
                <w:color w:val="000000"/>
                <w:sz w:val="18"/>
                <w:szCs w:val="18"/>
              </w:rPr>
              <w:t xml:space="preserve">Level 1
Monitored</w:t>
            </w:r>
          </w:p>
        </w:tc>
        <w:tc>
          <w:tcPr>
            <w:tcW w:type="dxa" w:w="2808"/>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Single Tier 1 or Tier 2 system degraded; within normal incident response capacity</w:t>
            </w:r>
          </w:p>
        </w:tc>
        <w:tc>
          <w:tcPr>
            <w:tcW w:type="dxa" w:w="249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CTO / VP Information Security</w:t>
            </w:r>
          </w:p>
        </w:tc>
        <w:tc>
          <w:tcPr>
            <w:tcW w:type="dxa" w:w="249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Incident response; ICT team monitoring; ICTCP on standby</w:t>
            </w:r>
          </w:p>
        </w:tc>
      </w:tr>
      <w:tr>
        <w:tc>
          <w:tcPr>
            <w:tcW w:type="dxa" w:w="1560"/>
            <w:tcBorders>
              <w:top w:val="single" w:color="CCCCCC" w:sz="4"/>
              <w:left w:val="single" w:color="CCCCCC" w:sz="4"/>
              <w:bottom w:val="single" w:color="CCCCCC" w:sz="4"/>
              <w:right w:val="single" w:color="CCCCCC" w:sz="4"/>
            </w:tcBorders>
            <w:shd w:fill="FFF3CD" w:val="clear"/>
            <w:tcMar>
              <w:top w:type="dxa" w:w="80"/>
              <w:left w:type="dxa" w:w="140"/>
              <w:bottom w:type="dxa" w:w="80"/>
              <w:right w:type="dxa" w:w="140"/>
            </w:tcMar>
            <w:vAlign w:val="top"/>
          </w:tcPr>
          <w:p>
            <w:r>
              <w:rPr>
                <w:rFonts w:ascii="Arial" w:cs="Arial" w:eastAsia="Arial" w:hAnsi="Arial"/>
                <w:b/>
                <w:bCs/>
                <w:color w:val="000000"/>
                <w:sz w:val="18"/>
                <w:szCs w:val="18"/>
              </w:rPr>
              <w:t xml:space="preserve">Level 2
Elevated</w:t>
            </w:r>
          </w:p>
        </w:tc>
        <w:tc>
          <w:tcPr>
            <w:tcW w:type="dxa" w:w="2808"/>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Multiple Tier 1/2 systems affected; RTO at risk; security incident with business impact</w:t>
            </w:r>
          </w:p>
        </w:tc>
        <w:tc>
          <w:tcPr>
            <w:tcW w:type="dxa" w:w="249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CIO + CISO joint decision</w:t>
            </w:r>
          </w:p>
        </w:tc>
        <w:tc>
          <w:tcPr>
            <w:tcW w:type="dxa" w:w="249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Partial ICTCP activation; ICT recovery teams mobilised; VP BC notified</w:t>
            </w:r>
          </w:p>
        </w:tc>
      </w:tr>
      <w:tr>
        <w:tc>
          <w:tcPr>
            <w:tcW w:type="dxa" w:w="1560"/>
            <w:tcBorders>
              <w:top w:val="single" w:color="CCCCCC" w:sz="4"/>
              <w:left w:val="single" w:color="CCCCCC" w:sz="4"/>
              <w:bottom w:val="single" w:color="CCCCCC" w:sz="4"/>
              <w:right w:val="single" w:color="CCCCCC" w:sz="4"/>
            </w:tcBorders>
            <w:shd w:fill="FFE6E6" w:val="clear"/>
            <w:tcMar>
              <w:top w:type="dxa" w:w="80"/>
              <w:left w:type="dxa" w:w="140"/>
              <w:bottom w:type="dxa" w:w="80"/>
              <w:right w:type="dxa" w:w="140"/>
            </w:tcMar>
            <w:vAlign w:val="top"/>
          </w:tcPr>
          <w:p>
            <w:r>
              <w:rPr>
                <w:rFonts w:ascii="Arial" w:cs="Arial" w:eastAsia="Arial" w:hAnsi="Arial"/>
                <w:b/>
                <w:bCs/>
                <w:color w:val="000000"/>
                <w:sz w:val="18"/>
                <w:szCs w:val="18"/>
              </w:rPr>
              <w:t xml:space="preserve">Level 3
Full Activation</w:t>
            </w:r>
          </w:p>
        </w:tc>
        <w:tc>
          <w:tcPr>
            <w:tcW w:type="dxa" w:w="2808"/>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Major disruption; Tier 1 systems unavailable beyond RTO; data centre loss; catastrophic security event</w:t>
            </w:r>
          </w:p>
        </w:tc>
        <w:tc>
          <w:tcPr>
            <w:tcW w:type="dxa" w:w="249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CEO declaration (or delegate: CIO + VP BC)</w:t>
            </w:r>
          </w:p>
        </w:tc>
        <w:tc>
          <w:tcPr>
            <w:tcW w:type="dxa" w:w="249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Full ICTCP activation; crisis management team convened; alternate site failover; stakeholder notification</w:t>
            </w:r>
          </w:p>
        </w:tc>
      </w:tr>
    </w:tbl>
    <w:p>
      <w:pPr>
        <w:spacing w:after="0" w:before="120"/>
      </w:pPr>
      <w:r>
        <w:t xml:space="preserve"/>
      </w:r>
    </w:p>
    <w:p>
      <w:pPr>
        <w:pStyle w:val="Heading2"/>
        <w:spacing w:after="120" w:before="240"/>
      </w:pPr>
      <w:r>
        <w:rPr>
          <w:rFonts w:ascii="Arial" w:cs="Arial" w:eastAsia="Arial" w:hAnsi="Arial"/>
          <w:b/>
          <w:bCs/>
          <w:color w:val="2E5496"/>
          <w:sz w:val="26"/>
          <w:szCs w:val="26"/>
        </w:rPr>
        <w:t xml:space="preserve">5.3 Activation Steps – Level 3 Full Activation</w:t>
      </w:r>
    </w:p>
    <w:p>
      <w:pPr>
        <w:spacing w:after="80" w:before="60"/>
        <w:jc w:val="left"/>
      </w:pPr>
      <w:r>
        <w:rPr>
          <w:rFonts w:ascii="Arial" w:cs="Arial" w:eastAsia="Arial" w:hAnsi="Arial"/>
          <w:b w:val="false"/>
          <w:bCs w:val="false"/>
          <w:color w:val="000000"/>
          <w:sz w:val="20"/>
          <w:szCs w:val="20"/>
        </w:rPr>
        <w:t xml:space="preserve">The following sequential steps govern a full ICTCP activation: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3900"/>
        <w:gridCol w:w="2340"/>
        <w:gridCol w:w="2340"/>
      </w:tblGrid>
      <w:tr>
        <w:tc>
          <w:tcPr>
            <w:tcW w:type="dxa" w:w="78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Step</w:t>
            </w:r>
          </w:p>
        </w:tc>
        <w:tc>
          <w:tcPr>
            <w:tcW w:type="dxa" w:w="39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Action</w:t>
            </w:r>
          </w:p>
        </w:tc>
        <w:tc>
          <w:tcPr>
            <w:tcW w:type="dxa" w:w="234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Responsible</w:t>
            </w:r>
          </w:p>
        </w:tc>
        <w:tc>
          <w:tcPr>
            <w:tcW w:type="dxa" w:w="234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Target Time</w:t>
            </w:r>
          </w:p>
        </w:tc>
      </w:tr>
      <w:tr>
        <w:tc>
          <w:tcPr>
            <w:tcW w:type="dxa" w:w="78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top"/>
          </w:tcPr>
          <w:p>
            <w:r>
              <w:rPr>
                <w:rFonts w:ascii="Arial" w:cs="Arial" w:eastAsia="Arial" w:hAnsi="Arial"/>
                <w:b/>
                <w:bCs/>
                <w:color w:val="000000"/>
                <w:sz w:val="18"/>
                <w:szCs w:val="18"/>
              </w:rPr>
              <w:t xml:space="preserve">1</w:t>
            </w:r>
          </w:p>
        </w:tc>
        <w:tc>
          <w:tcPr>
            <w:tcW w:type="dxa" w:w="3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Incident detected and escalated beyond normal resolution</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SOC / CTO</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T+0</w:t>
            </w:r>
          </w:p>
        </w:tc>
      </w:tr>
      <w:tr>
        <w:tc>
          <w:tcPr>
            <w:tcW w:type="dxa" w:w="78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top"/>
          </w:tcPr>
          <w:p>
            <w:r>
              <w:rPr>
                <w:rFonts w:ascii="Arial" w:cs="Arial" w:eastAsia="Arial" w:hAnsi="Arial"/>
                <w:b/>
                <w:bCs/>
                <w:color w:val="000000"/>
                <w:sz w:val="18"/>
                <w:szCs w:val="18"/>
              </w:rPr>
              <w:t xml:space="preserve">2</w:t>
            </w:r>
          </w:p>
        </w:tc>
        <w:tc>
          <w:tcPr>
            <w:tcW w:type="dxa" w:w="3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Initial impact assessment completed; ICT scope defined</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CTO + VP Info Sec</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T+30 min</w:t>
            </w:r>
          </w:p>
        </w:tc>
      </w:tr>
      <w:tr>
        <w:tc>
          <w:tcPr>
            <w:tcW w:type="dxa" w:w="78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top"/>
          </w:tcPr>
          <w:p>
            <w:r>
              <w:rPr>
                <w:rFonts w:ascii="Arial" w:cs="Arial" w:eastAsia="Arial" w:hAnsi="Arial"/>
                <w:b/>
                <w:bCs/>
                <w:color w:val="000000"/>
                <w:sz w:val="18"/>
                <w:szCs w:val="18"/>
              </w:rPr>
              <w:t xml:space="preserve">3</w:t>
            </w:r>
          </w:p>
        </w:tc>
        <w:tc>
          <w:tcPr>
            <w:tcW w:type="dxa" w:w="3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VP BC and CISO notified; Level 2 activated if not already</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CTO</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T+30 min</w:t>
            </w:r>
          </w:p>
        </w:tc>
      </w:tr>
      <w:tr>
        <w:tc>
          <w:tcPr>
            <w:tcW w:type="dxa" w:w="78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top"/>
          </w:tcPr>
          <w:p>
            <w:r>
              <w:rPr>
                <w:rFonts w:ascii="Arial" w:cs="Arial" w:eastAsia="Arial" w:hAnsi="Arial"/>
                <w:b/>
                <w:bCs/>
                <w:color w:val="000000"/>
                <w:sz w:val="18"/>
                <w:szCs w:val="18"/>
              </w:rPr>
              <w:t xml:space="preserve">4</w:t>
            </w:r>
          </w:p>
        </w:tc>
        <w:tc>
          <w:tcPr>
            <w:tcW w:type="dxa" w:w="3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CIO briefed; resource commitment confirmed</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VP BC</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T+45 min</w:t>
            </w:r>
          </w:p>
        </w:tc>
      </w:tr>
      <w:tr>
        <w:tc>
          <w:tcPr>
            <w:tcW w:type="dxa" w:w="78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top"/>
          </w:tcPr>
          <w:p>
            <w:r>
              <w:rPr>
                <w:rFonts w:ascii="Arial" w:cs="Arial" w:eastAsia="Arial" w:hAnsi="Arial"/>
                <w:b/>
                <w:bCs/>
                <w:color w:val="000000"/>
                <w:sz w:val="18"/>
                <w:szCs w:val="18"/>
              </w:rPr>
              <w:t xml:space="preserve">5</w:t>
            </w:r>
          </w:p>
        </w:tc>
        <w:tc>
          <w:tcPr>
            <w:tcW w:type="dxa" w:w="3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CEO notified; Level 3 declaration made if warranted</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CIO + VP BC</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T+1 hr</w:t>
            </w:r>
          </w:p>
        </w:tc>
      </w:tr>
      <w:tr>
        <w:tc>
          <w:tcPr>
            <w:tcW w:type="dxa" w:w="78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top"/>
          </w:tcPr>
          <w:p>
            <w:r>
              <w:rPr>
                <w:rFonts w:ascii="Arial" w:cs="Arial" w:eastAsia="Arial" w:hAnsi="Arial"/>
                <w:b/>
                <w:bCs/>
                <w:color w:val="000000"/>
                <w:sz w:val="18"/>
                <w:szCs w:val="18"/>
              </w:rPr>
              <w:t xml:space="preserve">6</w:t>
            </w:r>
          </w:p>
        </w:tc>
        <w:tc>
          <w:tcPr>
            <w:tcW w:type="dxa" w:w="3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ICT Recovery Teams mobilised to secondary site or remote</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CTO</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T+1 hr</w:t>
            </w:r>
          </w:p>
        </w:tc>
      </w:tr>
      <w:tr>
        <w:tc>
          <w:tcPr>
            <w:tcW w:type="dxa" w:w="78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top"/>
          </w:tcPr>
          <w:p>
            <w:r>
              <w:rPr>
                <w:rFonts w:ascii="Arial" w:cs="Arial" w:eastAsia="Arial" w:hAnsi="Arial"/>
                <w:b/>
                <w:bCs/>
                <w:color w:val="000000"/>
                <w:sz w:val="18"/>
                <w:szCs w:val="18"/>
              </w:rPr>
              <w:t xml:space="preserve">7</w:t>
            </w:r>
          </w:p>
        </w:tc>
        <w:tc>
          <w:tcPr>
            <w:tcW w:type="dxa" w:w="3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Alternate processing environment activated</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CTO</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T+1 hr (Tier 1)</w:t>
            </w:r>
          </w:p>
        </w:tc>
      </w:tr>
      <w:tr>
        <w:tc>
          <w:tcPr>
            <w:tcW w:type="dxa" w:w="78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top"/>
          </w:tcPr>
          <w:p>
            <w:r>
              <w:rPr>
                <w:rFonts w:ascii="Arial" w:cs="Arial" w:eastAsia="Arial" w:hAnsi="Arial"/>
                <w:b/>
                <w:bCs/>
                <w:color w:val="000000"/>
                <w:sz w:val="18"/>
                <w:szCs w:val="18"/>
              </w:rPr>
              <w:t xml:space="preserve">8</w:t>
            </w:r>
          </w:p>
        </w:tc>
        <w:tc>
          <w:tcPr>
            <w:tcW w:type="dxa" w:w="3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Security controls verified at alternate environment</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VP Info Sec / CISO</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T+1.5 hr</w:t>
            </w:r>
          </w:p>
        </w:tc>
      </w:tr>
      <w:tr>
        <w:tc>
          <w:tcPr>
            <w:tcW w:type="dxa" w:w="78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top"/>
          </w:tcPr>
          <w:p>
            <w:r>
              <w:rPr>
                <w:rFonts w:ascii="Arial" w:cs="Arial" w:eastAsia="Arial" w:hAnsi="Arial"/>
                <w:b/>
                <w:bCs/>
                <w:color w:val="000000"/>
                <w:sz w:val="18"/>
                <w:szCs w:val="18"/>
              </w:rPr>
              <w:t xml:space="preserve">9</w:t>
            </w:r>
          </w:p>
        </w:tc>
        <w:tc>
          <w:tcPr>
            <w:tcW w:type="dxa" w:w="3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Tier 1 services restored and verified</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CTO</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T+1 hr RTO</w:t>
            </w:r>
          </w:p>
        </w:tc>
      </w:tr>
      <w:tr>
        <w:tc>
          <w:tcPr>
            <w:tcW w:type="dxa" w:w="78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top"/>
          </w:tcPr>
          <w:p>
            <w:r>
              <w:rPr>
                <w:rFonts w:ascii="Arial" w:cs="Arial" w:eastAsia="Arial" w:hAnsi="Arial"/>
                <w:b/>
                <w:bCs/>
                <w:color w:val="000000"/>
                <w:sz w:val="18"/>
                <w:szCs w:val="18"/>
              </w:rPr>
              <w:t xml:space="preserve">10</w:t>
            </w:r>
          </w:p>
        </w:tc>
        <w:tc>
          <w:tcPr>
            <w:tcW w:type="dxa" w:w="3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Stakeholder communication issued (internal + external)</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CEO + General Counsel</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T+2 hr</w:t>
            </w:r>
          </w:p>
        </w:tc>
      </w:tr>
      <w:tr>
        <w:tc>
          <w:tcPr>
            <w:tcW w:type="dxa" w:w="78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top"/>
          </w:tcPr>
          <w:p>
            <w:r>
              <w:rPr>
                <w:rFonts w:ascii="Arial" w:cs="Arial" w:eastAsia="Arial" w:hAnsi="Arial"/>
                <w:b/>
                <w:bCs/>
                <w:color w:val="000000"/>
                <w:sz w:val="18"/>
                <w:szCs w:val="18"/>
              </w:rPr>
              <w:t xml:space="preserve">11</w:t>
            </w:r>
          </w:p>
        </w:tc>
        <w:tc>
          <w:tcPr>
            <w:tcW w:type="dxa" w:w="3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PCI-DSS compliance confirmed before payment processing resumed</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T. Wright / CISO</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Before processing</w:t>
            </w:r>
          </w:p>
        </w:tc>
      </w:tr>
      <w:tr>
        <w:tc>
          <w:tcPr>
            <w:tcW w:type="dxa" w:w="78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top"/>
          </w:tcPr>
          <w:p>
            <w:r>
              <w:rPr>
                <w:rFonts w:ascii="Arial" w:cs="Arial" w:eastAsia="Arial" w:hAnsi="Arial"/>
                <w:b/>
                <w:bCs/>
                <w:color w:val="000000"/>
                <w:sz w:val="18"/>
                <w:szCs w:val="18"/>
              </w:rPr>
              <w:t xml:space="preserve">12</w:t>
            </w:r>
          </w:p>
        </w:tc>
        <w:tc>
          <w:tcPr>
            <w:tcW w:type="dxa" w:w="3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Tier 2 services restored</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CTO</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T+4 hr RTO</w:t>
            </w:r>
          </w:p>
        </w:tc>
      </w:tr>
      <w:tr>
        <w:tc>
          <w:tcPr>
            <w:tcW w:type="dxa" w:w="78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top"/>
          </w:tcPr>
          <w:p>
            <w:r>
              <w:rPr>
                <w:rFonts w:ascii="Arial" w:cs="Arial" w:eastAsia="Arial" w:hAnsi="Arial"/>
                <w:b/>
                <w:bCs/>
                <w:color w:val="000000"/>
                <w:sz w:val="18"/>
                <w:szCs w:val="18"/>
              </w:rPr>
              <w:t xml:space="preserve">13</w:t>
            </w:r>
          </w:p>
        </w:tc>
        <w:tc>
          <w:tcPr>
            <w:tcW w:type="dxa" w:w="3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All-clear declared; normal operations resumed</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VP BC + CIO</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As achieved</w:t>
            </w:r>
          </w:p>
        </w:tc>
      </w:tr>
      <w:tr>
        <w:tc>
          <w:tcPr>
            <w:tcW w:type="dxa" w:w="78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top"/>
          </w:tcPr>
          <w:p>
            <w:r>
              <w:rPr>
                <w:rFonts w:ascii="Arial" w:cs="Arial" w:eastAsia="Arial" w:hAnsi="Arial"/>
                <w:b/>
                <w:bCs/>
                <w:color w:val="000000"/>
                <w:sz w:val="18"/>
                <w:szCs w:val="18"/>
              </w:rPr>
              <w:t xml:space="preserve">14</w:t>
            </w:r>
          </w:p>
        </w:tc>
        <w:tc>
          <w:tcPr>
            <w:tcW w:type="dxa" w:w="3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Post-incident review initiated</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VP BC</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Within 5 business days</w:t>
            </w:r>
          </w:p>
        </w:tc>
      </w:tr>
    </w:tbl>
    <w:p>
      <w:pPr>
        <w:spacing w:after="0" w:before="120"/>
      </w:pPr>
      <w:r>
        <w:t xml:space="preserve"/>
      </w:r>
    </w:p>
    <w:p>
      <w:pPr>
        <w:pStyle w:val="Heading2"/>
        <w:spacing w:after="120" w:before="240"/>
      </w:pPr>
      <w:r>
        <w:rPr>
          <w:rFonts w:ascii="Arial" w:cs="Arial" w:eastAsia="Arial" w:hAnsi="Arial"/>
          <w:b/>
          <w:bCs/>
          <w:color w:val="2E5496"/>
          <w:sz w:val="26"/>
          <w:szCs w:val="26"/>
        </w:rPr>
        <w:t xml:space="preserve">5.4 Deactivation and Return to Normal Operations</w:t>
      </w:r>
    </w:p>
    <w:p>
      <w:pPr>
        <w:spacing w:after="80" w:before="60"/>
        <w:jc w:val="left"/>
      </w:pPr>
      <w:r>
        <w:rPr>
          <w:rFonts w:ascii="Arial" w:cs="Arial" w:eastAsia="Arial" w:hAnsi="Arial"/>
          <w:b w:val="false"/>
          <w:bCs w:val="false"/>
          <w:color w:val="000000"/>
          <w:sz w:val="20"/>
          <w:szCs w:val="20"/>
        </w:rPr>
        <w:t xml:space="preserve">Return to normal operations requires sign-off from the CTO (confirming system restoration), VP Information Security (confirming security control reinstatement), and VP Financial Data Operations (confirming PCI-DSS compliance for payment systems). The VP Business Continuity formally closes the ICTCP activation and initiates the post-incident review.</w:t>
      </w:r>
    </w:p>
    <w:p>
      <w:r>
        <w:br w:type="page"/>
      </w:r>
    </w:p>
    <w:p>
      <w:pPr>
        <w:pStyle w:val="Heading1"/>
        <w:pBdr>
          <w:bottom w:val="single" w:color="2E75B6" w:sz="6" w:space="1"/>
        </w:pBdr>
        <w:spacing w:after="160" w:before="320"/>
      </w:pPr>
      <w:r>
        <w:rPr>
          <w:rFonts w:ascii="Arial" w:cs="Arial" w:eastAsia="Arial" w:hAnsi="Arial"/>
          <w:b/>
          <w:bCs/>
          <w:color w:val="1F3864"/>
          <w:sz w:val="32"/>
          <w:szCs w:val="32"/>
        </w:rPr>
        <w:t xml:space="preserve">6. ICT Recovery Procedures</w:t>
      </w:r>
    </w:p>
    <w:p>
      <w:pPr>
        <w:pStyle w:val="Heading2"/>
        <w:spacing w:after="120" w:before="240"/>
      </w:pPr>
      <w:r>
        <w:rPr>
          <w:rFonts w:ascii="Arial" w:cs="Arial" w:eastAsia="Arial" w:hAnsi="Arial"/>
          <w:b/>
          <w:bCs/>
          <w:color w:val="2E5496"/>
          <w:sz w:val="26"/>
          <w:szCs w:val="26"/>
        </w:rPr>
        <w:t xml:space="preserve">6.1 Payment Processing Platform</w:t>
      </w:r>
    </w:p>
    <w:p>
      <w:pPr>
        <w:spacing w:after="80" w:before="60"/>
        <w:jc w:val="left"/>
      </w:pPr>
      <w:r>
        <w:rPr>
          <w:rFonts w:ascii="Arial" w:cs="Arial" w:eastAsia="Arial" w:hAnsi="Arial"/>
          <w:b w:val="false"/>
          <w:bCs w:val="false"/>
          <w:color w:val="000000"/>
          <w:sz w:val="20"/>
          <w:szCs w:val="20"/>
        </w:rPr>
        <w:t xml:space="preserve">Owner: Thomas Wright, VP Financial Data Operations | Tier 1 | RTO: &lt; 1 hour | RPO: &lt; 15 minutes</w:t>
      </w:r>
    </w:p>
    <w:p>
      <w:pPr>
        <w:pStyle w:val="ListParagraph"/>
        <w:numPr>
          <w:ilvl w:val="0"/>
          <w:numId w:val="2"/>
        </w:numPr>
      </w:pPr>
      <w:r>
        <w:rPr>
          <w:rFonts w:ascii="Arial" w:cs="Arial" w:eastAsia="Arial" w:hAnsi="Arial"/>
          <w:sz w:val="20"/>
          <w:szCs w:val="20"/>
        </w:rPr>
        <w:t xml:space="preserve">Failover is automated via active-active configuration between primary and secondary data centres</w:t>
      </w:r>
    </w:p>
    <w:p>
      <w:pPr>
        <w:pStyle w:val="ListParagraph"/>
        <w:numPr>
          <w:ilvl w:val="0"/>
          <w:numId w:val="2"/>
        </w:numPr>
      </w:pPr>
      <w:r>
        <w:rPr>
          <w:rFonts w:ascii="Arial" w:cs="Arial" w:eastAsia="Arial" w:hAnsi="Arial"/>
          <w:sz w:val="20"/>
          <w:szCs w:val="20"/>
        </w:rPr>
        <w:t xml:space="preserve">If both primary sites fail, activate cloud-hosted payment processing failover environment (Azure Canada East)</w:t>
      </w:r>
    </w:p>
    <w:p>
      <w:pPr>
        <w:pStyle w:val="ListParagraph"/>
        <w:numPr>
          <w:ilvl w:val="0"/>
          <w:numId w:val="2"/>
        </w:numPr>
      </w:pPr>
      <w:r>
        <w:rPr>
          <w:rFonts w:ascii="Arial" w:cs="Arial" w:eastAsia="Arial" w:hAnsi="Arial"/>
          <w:sz w:val="20"/>
          <w:szCs w:val="20"/>
        </w:rPr>
        <w:t xml:space="preserve">Confirm PCI-DSS HSM (Hardware Security Module) replication has completed before routing live transactions</w:t>
      </w:r>
    </w:p>
    <w:p>
      <w:pPr>
        <w:pStyle w:val="ListParagraph"/>
        <w:numPr>
          <w:ilvl w:val="0"/>
          <w:numId w:val="2"/>
        </w:numPr>
      </w:pPr>
      <w:r>
        <w:rPr>
          <w:rFonts w:ascii="Arial" w:cs="Arial" w:eastAsia="Arial" w:hAnsi="Arial"/>
          <w:sz w:val="20"/>
          <w:szCs w:val="20"/>
        </w:rPr>
        <w:t xml:space="preserve">Notify acquiring bank and payment brands within 1 hour of any disruption exceeding 15 minutes</w:t>
      </w:r>
    </w:p>
    <w:p>
      <w:pPr>
        <w:pStyle w:val="ListParagraph"/>
        <w:numPr>
          <w:ilvl w:val="0"/>
          <w:numId w:val="2"/>
        </w:numPr>
      </w:pPr>
      <w:r>
        <w:rPr>
          <w:rFonts w:ascii="Arial" w:cs="Arial" w:eastAsia="Arial" w:hAnsi="Arial"/>
          <w:sz w:val="20"/>
          <w:szCs w:val="20"/>
        </w:rPr>
        <w:t xml:space="preserve">Restaurant locations revert to offline POS mode with transaction buffer; buffered transactions reconciled within 4 hours of connectivity restoration</w:t>
      </w:r>
    </w:p>
    <w:p>
      <w:pPr>
        <w:pStyle w:val="ListParagraph"/>
        <w:numPr>
          <w:ilvl w:val="0"/>
          <w:numId w:val="2"/>
        </w:numPr>
      </w:pPr>
      <w:r>
        <w:rPr>
          <w:rFonts w:ascii="Arial" w:cs="Arial" w:eastAsia="Arial" w:hAnsi="Arial"/>
          <w:sz w:val="20"/>
          <w:szCs w:val="20"/>
        </w:rPr>
        <w:t xml:space="preserve">Restoration testing: monthly; results documented in the ICT Test Register</w:t>
      </w:r>
    </w:p>
    <w:p>
      <w:pPr>
        <w:pStyle w:val="Heading2"/>
        <w:spacing w:after="120" w:before="240"/>
      </w:pPr>
      <w:r>
        <w:rPr>
          <w:rFonts w:ascii="Arial" w:cs="Arial" w:eastAsia="Arial" w:hAnsi="Arial"/>
          <w:b/>
          <w:bCs/>
          <w:color w:val="2E5496"/>
          <w:sz w:val="26"/>
          <w:szCs w:val="26"/>
        </w:rPr>
        <w:t xml:space="preserve">6.2 Core Network and WAN</w:t>
      </w:r>
    </w:p>
    <w:p>
      <w:pPr>
        <w:spacing w:after="80" w:before="60"/>
        <w:jc w:val="left"/>
      </w:pPr>
      <w:r>
        <w:rPr>
          <w:rFonts w:ascii="Arial" w:cs="Arial" w:eastAsia="Arial" w:hAnsi="Arial"/>
          <w:b w:val="false"/>
          <w:bCs w:val="false"/>
          <w:color w:val="000000"/>
          <w:sz w:val="20"/>
          <w:szCs w:val="20"/>
        </w:rPr>
        <w:t xml:space="preserve">Owner: David Liu, CTO | Tier 1 | RTO: &lt; 1 hour</w:t>
      </w:r>
    </w:p>
    <w:p>
      <w:pPr>
        <w:pStyle w:val="ListParagraph"/>
        <w:numPr>
          <w:ilvl w:val="0"/>
          <w:numId w:val="2"/>
        </w:numPr>
      </w:pPr>
      <w:r>
        <w:rPr>
          <w:rFonts w:ascii="Arial" w:cs="Arial" w:eastAsia="Arial" w:hAnsi="Arial"/>
          <w:sz w:val="20"/>
          <w:szCs w:val="20"/>
        </w:rPr>
        <w:t xml:space="preserve">Dual-ISP failover is automatic; NOC team monitors BGP failover within 5 minutes</w:t>
      </w:r>
    </w:p>
    <w:p>
      <w:pPr>
        <w:pStyle w:val="ListParagraph"/>
        <w:numPr>
          <w:ilvl w:val="0"/>
          <w:numId w:val="2"/>
        </w:numPr>
      </w:pPr>
      <w:r>
        <w:rPr>
          <w:rFonts w:ascii="Arial" w:cs="Arial" w:eastAsia="Arial" w:hAnsi="Arial"/>
          <w:sz w:val="20"/>
          <w:szCs w:val="20"/>
        </w:rPr>
        <w:t xml:space="preserve">SD-WAN LTE backup activates within 10 minutes for restaurant locations</w:t>
      </w:r>
    </w:p>
    <w:p>
      <w:pPr>
        <w:pStyle w:val="ListParagraph"/>
        <w:numPr>
          <w:ilvl w:val="0"/>
          <w:numId w:val="2"/>
        </w:numPr>
      </w:pPr>
      <w:r>
        <w:rPr>
          <w:rFonts w:ascii="Arial" w:cs="Arial" w:eastAsia="Arial" w:hAnsi="Arial"/>
          <w:sz w:val="20"/>
          <w:szCs w:val="20"/>
        </w:rPr>
        <w:t xml:space="preserve">Out-of-band management access (4G/LTE modem on dedicated circuit) provides access to HQ infrastructure during primary WAN loss</w:t>
      </w:r>
    </w:p>
    <w:p>
      <w:pPr>
        <w:pStyle w:val="ListParagraph"/>
        <w:numPr>
          <w:ilvl w:val="0"/>
          <w:numId w:val="2"/>
        </w:numPr>
      </w:pPr>
      <w:r>
        <w:rPr>
          <w:rFonts w:ascii="Arial" w:cs="Arial" w:eastAsia="Arial" w:hAnsi="Arial"/>
          <w:sz w:val="20"/>
          <w:szCs w:val="20"/>
        </w:rPr>
        <w:t xml:space="preserve">Restoration sequence: core switches → firewalls → WAN edge → distribution layer → access layer</w:t>
      </w:r>
    </w:p>
    <w:p>
      <w:pPr>
        <w:pStyle w:val="Heading2"/>
        <w:spacing w:after="120" w:before="240"/>
      </w:pPr>
      <w:r>
        <w:rPr>
          <w:rFonts w:ascii="Arial" w:cs="Arial" w:eastAsia="Arial" w:hAnsi="Arial"/>
          <w:b/>
          <w:bCs/>
          <w:color w:val="2E5496"/>
          <w:sz w:val="26"/>
          <w:szCs w:val="26"/>
        </w:rPr>
        <w:t xml:space="preserve">6.3 Security Operations (SIEM / SOC)</w:t>
      </w:r>
    </w:p>
    <w:p>
      <w:pPr>
        <w:spacing w:after="80" w:before="60"/>
        <w:jc w:val="left"/>
      </w:pPr>
      <w:r>
        <w:rPr>
          <w:rFonts w:ascii="Arial" w:cs="Arial" w:eastAsia="Arial" w:hAnsi="Arial"/>
          <w:b w:val="false"/>
          <w:bCs w:val="false"/>
          <w:color w:val="000000"/>
          <w:sz w:val="20"/>
          <w:szCs w:val="20"/>
        </w:rPr>
        <w:t xml:space="preserve">Owner: Maria Gonzalez, VP Information Security | Tier 1 | RTO: &lt; 1 hour | RPO: &lt; 15 minutes</w:t>
      </w:r>
    </w:p>
    <w:p>
      <w:pPr>
        <w:pStyle w:val="ListParagraph"/>
        <w:numPr>
          <w:ilvl w:val="0"/>
          <w:numId w:val="2"/>
        </w:numPr>
      </w:pPr>
      <w:r>
        <w:rPr>
          <w:rFonts w:ascii="Arial" w:cs="Arial" w:eastAsia="Arial" w:hAnsi="Arial"/>
          <w:sz w:val="20"/>
          <w:szCs w:val="20"/>
        </w:rPr>
        <w:t xml:space="preserve">Cloud-hosted SIEM (SaaS) is operational independently of HQ data centre</w:t>
      </w:r>
    </w:p>
    <w:p>
      <w:pPr>
        <w:pStyle w:val="ListParagraph"/>
        <w:numPr>
          <w:ilvl w:val="0"/>
          <w:numId w:val="2"/>
        </w:numPr>
      </w:pPr>
      <w:r>
        <w:rPr>
          <w:rFonts w:ascii="Arial" w:cs="Arial" w:eastAsia="Arial" w:hAnsi="Arial"/>
          <w:sz w:val="20"/>
          <w:szCs w:val="20"/>
        </w:rPr>
        <w:t xml:space="preserve">On-premises log buffers (72-hour capacity) ensure no log loss if cloud connectivity is interrupted</w:t>
      </w:r>
    </w:p>
    <w:p>
      <w:pPr>
        <w:pStyle w:val="ListParagraph"/>
        <w:numPr>
          <w:ilvl w:val="0"/>
          <w:numId w:val="2"/>
        </w:numPr>
      </w:pPr>
      <w:r>
        <w:rPr>
          <w:rFonts w:ascii="Arial" w:cs="Arial" w:eastAsia="Arial" w:hAnsi="Arial"/>
          <w:sz w:val="20"/>
          <w:szCs w:val="20"/>
        </w:rPr>
        <w:t xml:space="preserve">SOC team activates remote monitoring protocol from secondary site or home base within 30 minutes of HQ loss</w:t>
      </w:r>
    </w:p>
    <w:p>
      <w:pPr>
        <w:pStyle w:val="ListParagraph"/>
        <w:numPr>
          <w:ilvl w:val="0"/>
          <w:numId w:val="2"/>
        </w:numPr>
      </w:pPr>
      <w:r>
        <w:rPr>
          <w:rFonts w:ascii="Arial" w:cs="Arial" w:eastAsia="Arial" w:hAnsi="Arial"/>
          <w:sz w:val="20"/>
          <w:szCs w:val="20"/>
        </w:rPr>
        <w:t xml:space="preserve">All break-glass access events during a disruption are flagged for post-incident review</w:t>
      </w:r>
    </w:p>
    <w:p>
      <w:pPr>
        <w:pStyle w:val="Heading2"/>
        <w:spacing w:after="120" w:before="240"/>
      </w:pPr>
      <w:r>
        <w:rPr>
          <w:rFonts w:ascii="Arial" w:cs="Arial" w:eastAsia="Arial" w:hAnsi="Arial"/>
          <w:b/>
          <w:bCs/>
          <w:color w:val="2E5496"/>
          <w:sz w:val="26"/>
          <w:szCs w:val="26"/>
        </w:rPr>
        <w:t xml:space="preserve">6.4 IAM and Directory Services</w:t>
      </w:r>
    </w:p>
    <w:p>
      <w:pPr>
        <w:spacing w:after="80" w:before="60"/>
        <w:jc w:val="left"/>
      </w:pPr>
      <w:r>
        <w:rPr>
          <w:rFonts w:ascii="Arial" w:cs="Arial" w:eastAsia="Arial" w:hAnsi="Arial"/>
          <w:b w:val="false"/>
          <w:bCs w:val="false"/>
          <w:color w:val="000000"/>
          <w:sz w:val="20"/>
          <w:szCs w:val="20"/>
        </w:rPr>
        <w:t xml:space="preserve">Owner: Maria Gonzalez, VP Information Security | Tier 2 | RTO: &lt; 4 hours</w:t>
      </w:r>
    </w:p>
    <w:p>
      <w:pPr>
        <w:pStyle w:val="ListParagraph"/>
        <w:numPr>
          <w:ilvl w:val="0"/>
          <w:numId w:val="2"/>
        </w:numPr>
      </w:pPr>
      <w:r>
        <w:rPr>
          <w:rFonts w:ascii="Arial" w:cs="Arial" w:eastAsia="Arial" w:hAnsi="Arial"/>
          <w:sz w:val="20"/>
          <w:szCs w:val="20"/>
        </w:rPr>
        <w:t xml:space="preserve">Read-only domain controller replicas at secondary site enable authentication without primary DC availability</w:t>
      </w:r>
    </w:p>
    <w:p>
      <w:pPr>
        <w:pStyle w:val="ListParagraph"/>
        <w:numPr>
          <w:ilvl w:val="0"/>
          <w:numId w:val="2"/>
        </w:numPr>
      </w:pPr>
      <w:r>
        <w:rPr>
          <w:rFonts w:ascii="Arial" w:cs="Arial" w:eastAsia="Arial" w:hAnsi="Arial"/>
          <w:sz w:val="20"/>
          <w:szCs w:val="20"/>
        </w:rPr>
        <w:t xml:space="preserve">Break-glass administrator accounts (per account listing held by CISO and VP Info Sec in secure offline storage) available for emergency access</w:t>
      </w:r>
    </w:p>
    <w:p>
      <w:pPr>
        <w:pStyle w:val="ListParagraph"/>
        <w:numPr>
          <w:ilvl w:val="0"/>
          <w:numId w:val="2"/>
        </w:numPr>
      </w:pPr>
      <w:r>
        <w:rPr>
          <w:rFonts w:ascii="Arial" w:cs="Arial" w:eastAsia="Arial" w:hAnsi="Arial"/>
          <w:sz w:val="20"/>
          <w:szCs w:val="20"/>
        </w:rPr>
        <w:t xml:space="preserve">MFA provider is cloud-hosted; remains available independent of on-premises infrastructure</w:t>
      </w:r>
    </w:p>
    <w:p>
      <w:pPr>
        <w:pStyle w:val="ListParagraph"/>
        <w:numPr>
          <w:ilvl w:val="0"/>
          <w:numId w:val="2"/>
        </w:numPr>
      </w:pPr>
      <w:r>
        <w:rPr>
          <w:rFonts w:ascii="Arial" w:cs="Arial" w:eastAsia="Arial" w:hAnsi="Arial"/>
          <w:sz w:val="20"/>
          <w:szCs w:val="20"/>
        </w:rPr>
        <w:t xml:space="preserve">All break-glass account usage requires dual approval (CISO + CTO or delegates) and is reviewed within 24 hours</w:t>
      </w:r>
    </w:p>
    <w:p>
      <w:pPr>
        <w:pStyle w:val="Heading2"/>
        <w:spacing w:after="120" w:before="240"/>
      </w:pPr>
      <w:r>
        <w:rPr>
          <w:rFonts w:ascii="Arial" w:cs="Arial" w:eastAsia="Arial" w:hAnsi="Arial"/>
          <w:b/>
          <w:bCs/>
          <w:color w:val="2E5496"/>
          <w:sz w:val="26"/>
          <w:szCs w:val="26"/>
        </w:rPr>
        <w:t xml:space="preserve">6.5 ERP and Financial Applications</w:t>
      </w:r>
    </w:p>
    <w:p>
      <w:pPr>
        <w:spacing w:after="80" w:before="60"/>
        <w:jc w:val="left"/>
      </w:pPr>
      <w:r>
        <w:rPr>
          <w:rFonts w:ascii="Arial" w:cs="Arial" w:eastAsia="Arial" w:hAnsi="Arial"/>
          <w:b w:val="false"/>
          <w:bCs w:val="false"/>
          <w:color w:val="000000"/>
          <w:sz w:val="20"/>
          <w:szCs w:val="20"/>
        </w:rPr>
        <w:t xml:space="preserve">Owner: Michael Rodriguez, CFO (supported by D. Liu, CTO) | Tier 2 | RTO: &lt; 4 hours | RPO: &lt; 1 hour</w:t>
      </w:r>
    </w:p>
    <w:p>
      <w:pPr>
        <w:pStyle w:val="ListParagraph"/>
        <w:numPr>
          <w:ilvl w:val="0"/>
          <w:numId w:val="2"/>
        </w:numPr>
      </w:pPr>
      <w:r>
        <w:rPr>
          <w:rFonts w:ascii="Arial" w:cs="Arial" w:eastAsia="Arial" w:hAnsi="Arial"/>
          <w:sz w:val="20"/>
          <w:szCs w:val="20"/>
        </w:rPr>
        <w:t xml:space="preserve">Warm standby environment at secondary site; promoted to primary within 2 hours</w:t>
      </w:r>
    </w:p>
    <w:p>
      <w:pPr>
        <w:pStyle w:val="ListParagraph"/>
        <w:numPr>
          <w:ilvl w:val="0"/>
          <w:numId w:val="2"/>
        </w:numPr>
      </w:pPr>
      <w:r>
        <w:rPr>
          <w:rFonts w:ascii="Arial" w:cs="Arial" w:eastAsia="Arial" w:hAnsi="Arial"/>
          <w:sz w:val="20"/>
          <w:szCs w:val="20"/>
        </w:rPr>
        <w:t xml:space="preserve">Cloud burst to Azure Canada Central available within 4 hours for extended outages</w:t>
      </w:r>
    </w:p>
    <w:p>
      <w:pPr>
        <w:pStyle w:val="ListParagraph"/>
        <w:numPr>
          <w:ilvl w:val="0"/>
          <w:numId w:val="2"/>
        </w:numPr>
      </w:pPr>
      <w:r>
        <w:rPr>
          <w:rFonts w:ascii="Arial" w:cs="Arial" w:eastAsia="Arial" w:hAnsi="Arial"/>
          <w:sz w:val="20"/>
          <w:szCs w:val="20"/>
        </w:rPr>
        <w:t xml:space="preserve">Manual financial processing SOPs available for critical transactions (payroll, supplier payments) during ERP unavailability</w:t>
      </w:r>
    </w:p>
    <w:p>
      <w:pPr>
        <w:pStyle w:val="Heading2"/>
        <w:spacing w:after="120" w:before="240"/>
      </w:pPr>
      <w:r>
        <w:rPr>
          <w:rFonts w:ascii="Arial" w:cs="Arial" w:eastAsia="Arial" w:hAnsi="Arial"/>
          <w:b/>
          <w:bCs/>
          <w:color w:val="2E5496"/>
          <w:sz w:val="26"/>
          <w:szCs w:val="26"/>
        </w:rPr>
        <w:t xml:space="preserve">6.6 Restaurant POS Systems</w:t>
      </w:r>
    </w:p>
    <w:p>
      <w:pPr>
        <w:spacing w:after="80" w:before="60"/>
        <w:jc w:val="left"/>
      </w:pPr>
      <w:r>
        <w:rPr>
          <w:rFonts w:ascii="Arial" w:cs="Arial" w:eastAsia="Arial" w:hAnsi="Arial"/>
          <w:b w:val="false"/>
          <w:bCs w:val="false"/>
          <w:color w:val="000000"/>
          <w:sz w:val="20"/>
          <w:szCs w:val="20"/>
        </w:rPr>
        <w:t xml:space="preserve">Owner: Carlos Santos, VP Restaurant Operations (supported by D. Liu, CTO) | Tier 1 (network dependency) | Offline Mode: 72 hours</w:t>
      </w:r>
    </w:p>
    <w:p>
      <w:pPr>
        <w:pStyle w:val="ListParagraph"/>
        <w:numPr>
          <w:ilvl w:val="0"/>
          <w:numId w:val="2"/>
        </w:numPr>
      </w:pPr>
      <w:r>
        <w:rPr>
          <w:rFonts w:ascii="Arial" w:cs="Arial" w:eastAsia="Arial" w:hAnsi="Arial"/>
          <w:sz w:val="20"/>
          <w:szCs w:val="20"/>
        </w:rPr>
        <w:t xml:space="preserve">POS terminals operate in offline mode if WAN connectivity is lost; transactions buffered locally</w:t>
      </w:r>
    </w:p>
    <w:p>
      <w:pPr>
        <w:pStyle w:val="ListParagraph"/>
        <w:numPr>
          <w:ilvl w:val="0"/>
          <w:numId w:val="2"/>
        </w:numPr>
      </w:pPr>
      <w:r>
        <w:rPr>
          <w:rFonts w:ascii="Arial" w:cs="Arial" w:eastAsia="Arial" w:hAnsi="Arial"/>
          <w:sz w:val="20"/>
          <w:szCs w:val="20"/>
        </w:rPr>
        <w:t xml:space="preserve">Local encryption of buffered payment data; keys synced on reconnection</w:t>
      </w:r>
    </w:p>
    <w:p>
      <w:pPr>
        <w:pStyle w:val="ListParagraph"/>
        <w:numPr>
          <w:ilvl w:val="0"/>
          <w:numId w:val="2"/>
        </w:numPr>
      </w:pPr>
      <w:r>
        <w:rPr>
          <w:rFonts w:ascii="Arial" w:cs="Arial" w:eastAsia="Arial" w:hAnsi="Arial"/>
          <w:sz w:val="20"/>
          <w:szCs w:val="20"/>
        </w:rPr>
        <w:t xml:space="preserve">Cash payment SOPs available at all locations; communicated via emergency operations bulletin</w:t>
      </w:r>
    </w:p>
    <w:p>
      <w:pPr>
        <w:pStyle w:val="ListParagraph"/>
        <w:numPr>
          <w:ilvl w:val="0"/>
          <w:numId w:val="2"/>
        </w:numPr>
      </w:pPr>
      <w:r>
        <w:rPr>
          <w:rFonts w:ascii="Arial" w:cs="Arial" w:eastAsia="Arial" w:hAnsi="Arial"/>
          <w:sz w:val="20"/>
          <w:szCs w:val="20"/>
        </w:rPr>
        <w:t xml:space="preserve">POS software recovery images maintained at regional operations hubs; deployment via USB if central management is unavailable</w:t>
      </w:r>
    </w:p>
    <w:p>
      <w:r>
        <w:br w:type="page"/>
      </w:r>
    </w:p>
    <w:p>
      <w:pPr>
        <w:pStyle w:val="Heading1"/>
        <w:pBdr>
          <w:bottom w:val="single" w:color="2E75B6" w:sz="6" w:space="1"/>
        </w:pBdr>
        <w:spacing w:after="160" w:before="320"/>
      </w:pPr>
      <w:r>
        <w:rPr>
          <w:rFonts w:ascii="Arial" w:cs="Arial" w:eastAsia="Arial" w:hAnsi="Arial"/>
          <w:b/>
          <w:bCs/>
          <w:color w:val="1F3864"/>
          <w:sz w:val="32"/>
          <w:szCs w:val="32"/>
        </w:rPr>
        <w:t xml:space="preserve">7. Testing and Exercise Programme</w:t>
      </w:r>
    </w:p>
    <w:p>
      <w:pPr>
        <w:pStyle w:val="Heading2"/>
        <w:spacing w:after="120" w:before="240"/>
      </w:pPr>
      <w:r>
        <w:rPr>
          <w:rFonts w:ascii="Arial" w:cs="Arial" w:eastAsia="Arial" w:hAnsi="Arial"/>
          <w:b/>
          <w:bCs/>
          <w:color w:val="2E5496"/>
          <w:sz w:val="26"/>
          <w:szCs w:val="26"/>
        </w:rPr>
        <w:t xml:space="preserve">7.1 Testing Requirements</w:t>
      </w:r>
    </w:p>
    <w:p>
      <w:pPr>
        <w:spacing w:after="80" w:before="60"/>
        <w:jc w:val="left"/>
      </w:pPr>
      <w:r>
        <w:rPr>
          <w:rFonts w:ascii="Arial" w:cs="Arial" w:eastAsia="Arial" w:hAnsi="Arial"/>
          <w:b w:val="false"/>
          <w:bCs w:val="false"/>
          <w:color w:val="000000"/>
          <w:sz w:val="20"/>
          <w:szCs w:val="20"/>
        </w:rPr>
        <w:t xml:space="preserve">ISO 27001:2022 Control 5.30 requires that ICT continuity capabilities are planned, implemented, maintained, and tested. The following testing schedule is mandatory: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950"/>
        <w:gridCol w:w="1950"/>
      </w:tblGrid>
      <w:tr>
        <w:tc>
          <w:tcPr>
            <w:tcW w:type="dxa" w:w="234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Test Type</w:t>
            </w:r>
          </w:p>
        </w:tc>
        <w:tc>
          <w:tcPr>
            <w:tcW w:type="dxa" w:w="156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Tier Coverage</w:t>
            </w:r>
          </w:p>
        </w:tc>
        <w:tc>
          <w:tcPr>
            <w:tcW w:type="dxa" w:w="156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Minimum Frequency</w:t>
            </w:r>
          </w:p>
        </w:tc>
        <w:tc>
          <w:tcPr>
            <w:tcW w:type="dxa" w:w="195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Owner</w:t>
            </w:r>
          </w:p>
        </w:tc>
        <w:tc>
          <w:tcPr>
            <w:tcW w:type="dxa" w:w="195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Success Criteria</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Backup restoration test</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Tier 1</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Monthly</w:t>
            </w:r>
          </w:p>
        </w:tc>
        <w:tc>
          <w:tcPr>
            <w:tcW w:type="dxa" w:w="195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CTO</w:t>
            </w:r>
          </w:p>
        </w:tc>
        <w:tc>
          <w:tcPr>
            <w:tcW w:type="dxa" w:w="195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Restore completes within RPO; data integrity verified</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Backup restoration test</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Tier 2</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Quarterly</w:t>
            </w:r>
          </w:p>
        </w:tc>
        <w:tc>
          <w:tcPr>
            <w:tcW w:type="dxa" w:w="195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CTO</w:t>
            </w:r>
          </w:p>
        </w:tc>
        <w:tc>
          <w:tcPr>
            <w:tcW w:type="dxa" w:w="195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Restore completes within RPO; data integrity verified</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Payment processing failover test</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Tier 1</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Semi-annually</w:t>
            </w:r>
          </w:p>
        </w:tc>
        <w:tc>
          <w:tcPr>
            <w:tcW w:type="dxa" w:w="195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VP Fin Ops + CTO</w:t>
            </w:r>
          </w:p>
        </w:tc>
        <w:tc>
          <w:tcPr>
            <w:tcW w:type="dxa" w:w="195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Failover completes within RTO; PCI controls intact; zero transaction loss</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Network failover test (dual-ISP / SD-WAN)</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Tier 1</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Quarterly</w:t>
            </w:r>
          </w:p>
        </w:tc>
        <w:tc>
          <w:tcPr>
            <w:tcW w:type="dxa" w:w="195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CTO</w:t>
            </w:r>
          </w:p>
        </w:tc>
        <w:tc>
          <w:tcPr>
            <w:tcW w:type="dxa" w:w="195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Automatic failover within 10 minutes; restaurant locations remain connected</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Alternate site activation test</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Tier 1 &amp; 2</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Annually</w:t>
            </w:r>
          </w:p>
        </w:tc>
        <w:tc>
          <w:tcPr>
            <w:tcW w:type="dxa" w:w="195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VP BC + CTO</w:t>
            </w:r>
          </w:p>
        </w:tc>
        <w:tc>
          <w:tcPr>
            <w:tcW w:type="dxa" w:w="195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All Tier 1 RTOs met; security controls verified; staff able to operate from alternate site</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Tabletop exercise (ICT crisis scenario)</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All tiers</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Annually</w:t>
            </w:r>
          </w:p>
        </w:tc>
        <w:tc>
          <w:tcPr>
            <w:tcW w:type="dxa" w:w="195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VP BC</w:t>
            </w:r>
          </w:p>
        </w:tc>
        <w:tc>
          <w:tcPr>
            <w:tcW w:type="dxa" w:w="195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All team members demonstrate knowledge of roles; gaps identified and remediated</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Ransomware scenario simulation</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Tier 1 &amp; 2</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Annually</w:t>
            </w:r>
          </w:p>
        </w:tc>
        <w:tc>
          <w:tcPr>
            <w:tcW w:type="dxa" w:w="195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CISO + CTO</w:t>
            </w:r>
          </w:p>
        </w:tc>
        <w:tc>
          <w:tcPr>
            <w:tcW w:type="dxa" w:w="195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Isolation procedures effective; clean backup restoration successful; communications followed</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POS offline mode test (restaurant sample)</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Tier 1</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Semi-annually</w:t>
            </w:r>
          </w:p>
        </w:tc>
        <w:tc>
          <w:tcPr>
            <w:tcW w:type="dxa" w:w="195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VP Rest Ops</w:t>
            </w:r>
          </w:p>
        </w:tc>
        <w:tc>
          <w:tcPr>
            <w:tcW w:type="dxa" w:w="195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Offline mode activates within 5 minutes; transactions buffer and reconcile correctly</w:t>
            </w:r>
          </w:p>
        </w:tc>
      </w:tr>
    </w:tbl>
    <w:p>
      <w:pPr>
        <w:spacing w:after="0" w:before="120"/>
      </w:pPr>
      <w:r>
        <w:t xml:space="preserve"/>
      </w:r>
    </w:p>
    <w:p>
      <w:pPr>
        <w:pStyle w:val="Heading2"/>
        <w:spacing w:after="120" w:before="240"/>
      </w:pPr>
      <w:r>
        <w:rPr>
          <w:rFonts w:ascii="Arial" w:cs="Arial" w:eastAsia="Arial" w:hAnsi="Arial"/>
          <w:b/>
          <w:bCs/>
          <w:color w:val="2E5496"/>
          <w:sz w:val="26"/>
          <w:szCs w:val="26"/>
        </w:rPr>
        <w:t xml:space="preserve">7.2 Test Documentation and Corrective Actions</w:t>
      </w:r>
    </w:p>
    <w:p>
      <w:pPr>
        <w:pStyle w:val="ListParagraph"/>
        <w:numPr>
          <w:ilvl w:val="0"/>
          <w:numId w:val="2"/>
        </w:numPr>
      </w:pPr>
      <w:r>
        <w:rPr>
          <w:rFonts w:ascii="Arial" w:cs="Arial" w:eastAsia="Arial" w:hAnsi="Arial"/>
          <w:sz w:val="20"/>
          <w:szCs w:val="20"/>
        </w:rPr>
        <w:t xml:space="preserve">All tests must be documented in the ICT Continuity Test Register, including scenario, participants, results, and deviations from RTO/RPO targets</w:t>
      </w:r>
    </w:p>
    <w:p>
      <w:pPr>
        <w:pStyle w:val="ListParagraph"/>
        <w:numPr>
          <w:ilvl w:val="0"/>
          <w:numId w:val="2"/>
        </w:numPr>
      </w:pPr>
      <w:r>
        <w:rPr>
          <w:rFonts w:ascii="Arial" w:cs="Arial" w:eastAsia="Arial" w:hAnsi="Arial"/>
          <w:sz w:val="20"/>
          <w:szCs w:val="20"/>
        </w:rPr>
        <w:t xml:space="preserve">Test reports are reviewed by the VP Business Continuity and CIO within 5 business days of completion</w:t>
      </w:r>
    </w:p>
    <w:p>
      <w:pPr>
        <w:pStyle w:val="ListParagraph"/>
        <w:numPr>
          <w:ilvl w:val="0"/>
          <w:numId w:val="2"/>
        </w:numPr>
      </w:pPr>
      <w:r>
        <w:rPr>
          <w:rFonts w:ascii="Arial" w:cs="Arial" w:eastAsia="Arial" w:hAnsi="Arial"/>
          <w:sz w:val="20"/>
          <w:szCs w:val="20"/>
        </w:rPr>
        <w:t xml:space="preserve">Any failure to meet RTO or RPO targets triggers a mandatory corrective action plan (CAP), assigned to the relevant system owner</w:t>
      </w:r>
    </w:p>
    <w:p>
      <w:pPr>
        <w:pStyle w:val="ListParagraph"/>
        <w:numPr>
          <w:ilvl w:val="0"/>
          <w:numId w:val="2"/>
        </w:numPr>
      </w:pPr>
      <w:r>
        <w:rPr>
          <w:rFonts w:ascii="Arial" w:cs="Arial" w:eastAsia="Arial" w:hAnsi="Arial"/>
          <w:sz w:val="20"/>
          <w:szCs w:val="20"/>
        </w:rPr>
        <w:t xml:space="preserve">CAPs must be implemented and re-tested within 90 days for Tier 1 findings and 180 days for Tier 2</w:t>
      </w:r>
    </w:p>
    <w:p>
      <w:pPr>
        <w:pStyle w:val="ListParagraph"/>
        <w:numPr>
          <w:ilvl w:val="0"/>
          <w:numId w:val="2"/>
        </w:numPr>
      </w:pPr>
      <w:r>
        <w:rPr>
          <w:rFonts w:ascii="Arial" w:cs="Arial" w:eastAsia="Arial" w:hAnsi="Arial"/>
          <w:sz w:val="20"/>
          <w:szCs w:val="20"/>
        </w:rPr>
        <w:t xml:space="preserve">Test results and CAP status are reported to the Business Continuity Steering Committee quarterly</w:t>
      </w:r>
    </w:p>
    <w:p>
      <w:pPr>
        <w:pStyle w:val="ListParagraph"/>
        <w:numPr>
          <w:ilvl w:val="0"/>
          <w:numId w:val="2"/>
        </w:numPr>
      </w:pPr>
      <w:r>
        <w:rPr>
          <w:rFonts w:ascii="Arial" w:cs="Arial" w:eastAsia="Arial" w:hAnsi="Arial"/>
          <w:sz w:val="20"/>
          <w:szCs w:val="20"/>
        </w:rPr>
        <w:t xml:space="preserve">Annual alternate site test results are presented to the CEO and Information Security Steering Committee</w:t>
      </w:r>
    </w:p>
    <w:p>
      <w:r>
        <w:br w:type="page"/>
      </w:r>
    </w:p>
    <w:p>
      <w:pPr>
        <w:pStyle w:val="Heading1"/>
        <w:pBdr>
          <w:bottom w:val="single" w:color="2E75B6" w:sz="6" w:space="1"/>
        </w:pBdr>
        <w:spacing w:after="160" w:before="320"/>
      </w:pPr>
      <w:r>
        <w:rPr>
          <w:rFonts w:ascii="Arial" w:cs="Arial" w:eastAsia="Arial" w:hAnsi="Arial"/>
          <w:b/>
          <w:bCs/>
          <w:color w:val="1F3864"/>
          <w:sz w:val="32"/>
          <w:szCs w:val="32"/>
        </w:rPr>
        <w:t xml:space="preserve">8. Supply Chain and Third-Party ICT Continuity</w:t>
      </w:r>
    </w:p>
    <w:p>
      <w:pPr>
        <w:spacing w:after="80" w:before="60"/>
        <w:jc w:val="left"/>
      </w:pPr>
      <w:r>
        <w:rPr>
          <w:rFonts w:ascii="Arial" w:cs="Arial" w:eastAsia="Arial" w:hAnsi="Arial"/>
          <w:b w:val="false"/>
          <w:bCs w:val="false"/>
          <w:color w:val="000000"/>
          <w:sz w:val="20"/>
          <w:szCs w:val="20"/>
        </w:rPr>
        <w:t xml:space="preserve">Consistent with ISO 27001:2022 Controls 5.19–5.22 and the Business Continuity Policy, the following requirements apply to ICT suppliers and cloud service providers:</w:t>
      </w:r>
    </w:p>
    <w:p>
      <w:pPr>
        <w:pStyle w:val="ListParagraph"/>
        <w:numPr>
          <w:ilvl w:val="0"/>
          <w:numId w:val="2"/>
        </w:numPr>
      </w:pPr>
      <w:r>
        <w:rPr>
          <w:rFonts w:ascii="Arial" w:cs="Arial" w:eastAsia="Arial" w:hAnsi="Arial"/>
          <w:sz w:val="20"/>
          <w:szCs w:val="20"/>
        </w:rPr>
        <w:t xml:space="preserve">Critical cloud and SaaS providers must demonstrate SOC 2 Type II or equivalent assurance and maintain their own BCP/DR capabilities consistent with QuickServe’s RTO/RPO requirements</w:t>
      </w:r>
    </w:p>
    <w:p>
      <w:pPr>
        <w:pStyle w:val="ListParagraph"/>
        <w:numPr>
          <w:ilvl w:val="0"/>
          <w:numId w:val="2"/>
        </w:numPr>
      </w:pPr>
      <w:r>
        <w:rPr>
          <w:rFonts w:ascii="Arial" w:cs="Arial" w:eastAsia="Arial" w:hAnsi="Arial"/>
          <w:sz w:val="20"/>
          <w:szCs w:val="20"/>
        </w:rPr>
        <w:t xml:space="preserve">Contractual SLAs for Tier 1 and Tier 2 ICT services must include: uptime guarantees, documented RTO/DR capabilities, right-to-audit provisions, and incident notification timelines (≤ 1 hour for Tier 1 service disruptions)</w:t>
      </w:r>
    </w:p>
    <w:p>
      <w:pPr>
        <w:pStyle w:val="ListParagraph"/>
        <w:numPr>
          <w:ilvl w:val="0"/>
          <w:numId w:val="2"/>
        </w:numPr>
      </w:pPr>
      <w:r>
        <w:rPr>
          <w:rFonts w:ascii="Arial" w:cs="Arial" w:eastAsia="Arial" w:hAnsi="Arial"/>
          <w:sz w:val="20"/>
          <w:szCs w:val="20"/>
        </w:rPr>
        <w:t xml:space="preserve">The CTO team maintains an approved cloud provider register; all new cloud services require CISO and CTO approval before production use</w:t>
      </w:r>
    </w:p>
    <w:p>
      <w:pPr>
        <w:pStyle w:val="ListParagraph"/>
        <w:numPr>
          <w:ilvl w:val="0"/>
          <w:numId w:val="2"/>
        </w:numPr>
      </w:pPr>
      <w:r>
        <w:rPr>
          <w:rFonts w:ascii="Arial" w:cs="Arial" w:eastAsia="Arial" w:hAnsi="Arial"/>
          <w:sz w:val="20"/>
          <w:szCs w:val="20"/>
        </w:rPr>
        <w:t xml:space="preserve">Alternative suppliers are identified for all Tier 1 and Tier 2 ICT dependencies; supplier substitution procedures are documented and reviewed annually</w:t>
      </w:r>
    </w:p>
    <w:p>
      <w:pPr>
        <w:pStyle w:val="ListParagraph"/>
        <w:numPr>
          <w:ilvl w:val="0"/>
          <w:numId w:val="2"/>
        </w:numPr>
      </w:pPr>
      <w:r>
        <w:rPr>
          <w:rFonts w:ascii="Arial" w:cs="Arial" w:eastAsia="Arial" w:hAnsi="Arial"/>
          <w:sz w:val="20"/>
          <w:szCs w:val="20"/>
        </w:rPr>
        <w:t xml:space="preserve">Provider BCP test results are reviewed annually by the VP Business Continuity; providers unable to demonstrate adequate continuity capabilities are escalated to the CIO and CISO for risk decision</w:t>
      </w:r>
    </w:p>
    <w:p>
      <w:pPr>
        <w:pStyle w:val="ListParagraph"/>
        <w:numPr>
          <w:ilvl w:val="0"/>
          <w:numId w:val="2"/>
        </w:numPr>
      </w:pPr>
      <w:r>
        <w:rPr>
          <w:rFonts w:ascii="Arial" w:cs="Arial" w:eastAsia="Arial" w:hAnsi="Arial"/>
          <w:sz w:val="20"/>
          <w:szCs w:val="20"/>
        </w:rPr>
        <w:t xml:space="preserve">Exit strategies (data portability, transition periods) are documented for all Tier 1 and Tier 2 cloud services</w:t>
      </w:r>
    </w:p>
    <w:p>
      <w:r>
        <w:br w:type="page"/>
      </w:r>
    </w:p>
    <w:p>
      <w:pPr>
        <w:pStyle w:val="Heading1"/>
        <w:pBdr>
          <w:bottom w:val="single" w:color="2E75B6" w:sz="6" w:space="1"/>
        </w:pBdr>
        <w:spacing w:after="160" w:before="320"/>
      </w:pPr>
      <w:r>
        <w:rPr>
          <w:rFonts w:ascii="Arial" w:cs="Arial" w:eastAsia="Arial" w:hAnsi="Arial"/>
          <w:b/>
          <w:bCs/>
          <w:color w:val="1F3864"/>
          <w:sz w:val="32"/>
          <w:szCs w:val="32"/>
        </w:rPr>
        <w:t xml:space="preserve">9. Training and Awareness</w:t>
      </w:r>
    </w:p>
    <w:p>
      <w:pPr>
        <w:pStyle w:val="ListParagraph"/>
        <w:numPr>
          <w:ilvl w:val="0"/>
          <w:numId w:val="2"/>
        </w:numPr>
      </w:pPr>
      <w:r>
        <w:rPr>
          <w:rFonts w:ascii="Arial" w:cs="Arial" w:eastAsia="Arial" w:hAnsi="Arial"/>
          <w:sz w:val="20"/>
          <w:szCs w:val="20"/>
        </w:rPr>
        <w:t xml:space="preserve">All ICT staff assigned recovery roles must complete ICTCP role-specific training upon appointment and annually thereafter</w:t>
      </w:r>
    </w:p>
    <w:p>
      <w:pPr>
        <w:pStyle w:val="ListParagraph"/>
        <w:numPr>
          <w:ilvl w:val="0"/>
          <w:numId w:val="2"/>
        </w:numPr>
      </w:pPr>
      <w:r>
        <w:rPr>
          <w:rFonts w:ascii="Arial" w:cs="Arial" w:eastAsia="Arial" w:hAnsi="Arial"/>
          <w:sz w:val="20"/>
          <w:szCs w:val="20"/>
        </w:rPr>
        <w:t xml:space="preserve">All corporate employees receive ICT continuity awareness as part of annual information security awareness training (coordinated by CHRO Linda Thompson)</w:t>
      </w:r>
    </w:p>
    <w:p>
      <w:pPr>
        <w:pStyle w:val="ListParagraph"/>
        <w:numPr>
          <w:ilvl w:val="0"/>
          <w:numId w:val="2"/>
        </w:numPr>
      </w:pPr>
      <w:r>
        <w:rPr>
          <w:rFonts w:ascii="Arial" w:cs="Arial" w:eastAsia="Arial" w:hAnsi="Arial"/>
          <w:sz w:val="20"/>
          <w:szCs w:val="20"/>
        </w:rPr>
        <w:t xml:space="preserve">ICT recovery team members participate in at minimum one exercise per year (tabletop or live test)</w:t>
      </w:r>
    </w:p>
    <w:p>
      <w:pPr>
        <w:pStyle w:val="ListParagraph"/>
        <w:numPr>
          <w:ilvl w:val="0"/>
          <w:numId w:val="2"/>
        </w:numPr>
      </w:pPr>
      <w:r>
        <w:rPr>
          <w:rFonts w:ascii="Arial" w:cs="Arial" w:eastAsia="Arial" w:hAnsi="Arial"/>
          <w:sz w:val="20"/>
          <w:szCs w:val="20"/>
        </w:rPr>
        <w:t xml:space="preserve">Restaurant operations staff complete POS offline mode training semi-annually as part of regional operations training (coordinated by VP Restaurant Operations)</w:t>
      </w:r>
    </w:p>
    <w:p>
      <w:pPr>
        <w:pStyle w:val="ListParagraph"/>
        <w:numPr>
          <w:ilvl w:val="0"/>
          <w:numId w:val="2"/>
        </w:numPr>
      </w:pPr>
      <w:r>
        <w:rPr>
          <w:rFonts w:ascii="Arial" w:cs="Arial" w:eastAsia="Arial" w:hAnsi="Arial"/>
          <w:sz w:val="20"/>
          <w:szCs w:val="20"/>
        </w:rPr>
        <w:t xml:space="preserve">Training completion records are maintained by the CHRO and reviewed annually by the VP Business Continuity</w:t>
      </w:r>
    </w:p>
    <w:p>
      <w:pPr>
        <w:pStyle w:val="ListParagraph"/>
        <w:numPr>
          <w:ilvl w:val="0"/>
          <w:numId w:val="2"/>
        </w:numPr>
      </w:pPr>
      <w:r>
        <w:rPr>
          <w:rFonts w:ascii="Arial" w:cs="Arial" w:eastAsia="Arial" w:hAnsi="Arial"/>
          <w:sz w:val="20"/>
          <w:szCs w:val="20"/>
        </w:rPr>
        <w:t xml:space="preserve">New joiners in ICT roles complete ICTCP orientation within 30 days of start date</w:t>
      </w:r>
    </w:p>
    <w:p>
      <w:r>
        <w:br w:type="page"/>
      </w:r>
    </w:p>
    <w:p>
      <w:pPr>
        <w:pStyle w:val="Heading1"/>
        <w:pBdr>
          <w:bottom w:val="single" w:color="2E75B6" w:sz="6" w:space="1"/>
        </w:pBdr>
        <w:spacing w:after="160" w:before="320"/>
      </w:pPr>
      <w:r>
        <w:rPr>
          <w:rFonts w:ascii="Arial" w:cs="Arial" w:eastAsia="Arial" w:hAnsi="Arial"/>
          <w:b/>
          <w:bCs/>
          <w:color w:val="1F3864"/>
          <w:sz w:val="32"/>
          <w:szCs w:val="32"/>
        </w:rPr>
        <w:t xml:space="preserve">10. Plan Maintenance and Review</w:t>
      </w:r>
    </w:p>
    <w:p>
      <w:pPr>
        <w:pStyle w:val="Heading2"/>
        <w:spacing w:after="120" w:before="240"/>
      </w:pPr>
      <w:r>
        <w:rPr>
          <w:rFonts w:ascii="Arial" w:cs="Arial" w:eastAsia="Arial" w:hAnsi="Arial"/>
          <w:b/>
          <w:bCs/>
          <w:color w:val="2E5496"/>
          <w:sz w:val="26"/>
          <w:szCs w:val="26"/>
        </w:rPr>
        <w:t xml:space="preserve">10.1 Review Schedule</w:t>
      </w:r>
    </w:p>
    <w:p>
      <w:pPr>
        <w:pStyle w:val="ListParagraph"/>
        <w:numPr>
          <w:ilvl w:val="0"/>
          <w:numId w:val="2"/>
        </w:numPr>
      </w:pPr>
      <w:r>
        <w:rPr>
          <w:rFonts w:ascii="Arial" w:cs="Arial" w:eastAsia="Arial" w:hAnsi="Arial"/>
          <w:sz w:val="20"/>
          <w:szCs w:val="20"/>
        </w:rPr>
        <w:t xml:space="preserve">This plan is reviewed annually at minimum by the VP Business Continuity (Rachel Anderson) and CTO (David Liu)</w:t>
      </w:r>
    </w:p>
    <w:p>
      <w:pPr>
        <w:pStyle w:val="ListParagraph"/>
        <w:numPr>
          <w:ilvl w:val="0"/>
          <w:numId w:val="2"/>
        </w:numPr>
      </w:pPr>
      <w:r>
        <w:rPr>
          <w:rFonts w:ascii="Arial" w:cs="Arial" w:eastAsia="Arial" w:hAnsi="Arial"/>
          <w:sz w:val="20"/>
          <w:szCs w:val="20"/>
        </w:rPr>
        <w:t xml:space="preserve">Material changes require co-approval from the CISO and CIO, with final approval from the CEO</w:t>
      </w:r>
    </w:p>
    <w:p>
      <w:pPr>
        <w:pStyle w:val="ListParagraph"/>
        <w:numPr>
          <w:ilvl w:val="0"/>
          <w:numId w:val="2"/>
        </w:numPr>
      </w:pPr>
      <w:r>
        <w:rPr>
          <w:rFonts w:ascii="Arial" w:cs="Arial" w:eastAsia="Arial" w:hAnsi="Arial"/>
          <w:sz w:val="20"/>
          <w:szCs w:val="20"/>
        </w:rPr>
        <w:t xml:space="preserve">Interim reviews are triggered by: significant infrastructure changes, major supplier changes, ICTCP activation events, test results revealing material gaps, or changes to ISO 27001:2022 or PCI-DSS requirements</w:t>
      </w:r>
    </w:p>
    <w:p>
      <w:pPr>
        <w:pStyle w:val="Heading2"/>
        <w:spacing w:after="120" w:before="240"/>
      </w:pPr>
      <w:r>
        <w:rPr>
          <w:rFonts w:ascii="Arial" w:cs="Arial" w:eastAsia="Arial" w:hAnsi="Arial"/>
          <w:b/>
          <w:bCs/>
          <w:color w:val="2E5496"/>
          <w:sz w:val="26"/>
          <w:szCs w:val="26"/>
        </w:rPr>
        <w:t xml:space="preserve">10.2 Document Control</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b/>
                <w:bCs/>
                <w:sz w:val="18"/>
                <w:szCs w:val="18"/>
              </w:rPr>
              <w:t xml:space="preserve">Document Owner:</w:t>
            </w:r>
          </w:p>
        </w:tc>
        <w:tc>
          <w:tcPr>
            <w:tcW w:type="dxa" w:w="66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r>
              <w:rPr>
                <w:rFonts w:ascii="Arial" w:cs="Arial" w:eastAsia="Arial" w:hAnsi="Arial"/>
                <w:sz w:val="18"/>
                <w:szCs w:val="18"/>
              </w:rPr>
              <w:t xml:space="preserve">Rachel Anderson, VP Business Continuity &amp; Facilities</w:t>
            </w:r>
          </w:p>
        </w:tc>
      </w:tr>
      <w:tr>
        <w:tc>
          <w:tcPr>
            <w:tcW w:type="dxa" w:w="2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b/>
                <w:bCs/>
                <w:sz w:val="18"/>
                <w:szCs w:val="18"/>
              </w:rPr>
              <w:t xml:space="preserve">Information Security Classification:</w:t>
            </w:r>
          </w:p>
        </w:tc>
        <w:tc>
          <w:tcPr>
            <w:tcW w:type="dxa" w:w="66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r>
              <w:rPr>
                <w:rFonts w:ascii="Arial" w:cs="Arial" w:eastAsia="Arial" w:hAnsi="Arial"/>
                <w:sz w:val="18"/>
                <w:szCs w:val="18"/>
              </w:rPr>
              <w:t xml:space="preserve">Internal – Confidential</w:t>
            </w:r>
          </w:p>
        </w:tc>
      </w:tr>
      <w:tr>
        <w:tc>
          <w:tcPr>
            <w:tcW w:type="dxa" w:w="2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b/>
                <w:bCs/>
                <w:sz w:val="18"/>
                <w:szCs w:val="18"/>
              </w:rPr>
              <w:t xml:space="preserve">Retention Period:</w:t>
            </w:r>
          </w:p>
        </w:tc>
        <w:tc>
          <w:tcPr>
            <w:tcW w:type="dxa" w:w="66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r>
              <w:rPr>
                <w:rFonts w:ascii="Arial" w:cs="Arial" w:eastAsia="Arial" w:hAnsi="Arial"/>
                <w:sz w:val="18"/>
                <w:szCs w:val="18"/>
              </w:rPr>
              <w:t xml:space="preserve">Current + 7 years</w:t>
            </w:r>
          </w:p>
        </w:tc>
      </w:tr>
      <w:tr>
        <w:tc>
          <w:tcPr>
            <w:tcW w:type="dxa" w:w="2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b/>
                <w:bCs/>
                <w:sz w:val="18"/>
                <w:szCs w:val="18"/>
              </w:rPr>
              <w:t xml:space="preserve">Review Frequency:</w:t>
            </w:r>
          </w:p>
        </w:tc>
        <w:tc>
          <w:tcPr>
            <w:tcW w:type="dxa" w:w="66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r>
              <w:rPr>
                <w:rFonts w:ascii="Arial" w:cs="Arial" w:eastAsia="Arial" w:hAnsi="Arial"/>
                <w:sz w:val="18"/>
                <w:szCs w:val="18"/>
              </w:rPr>
              <w:t xml:space="preserve">Annual (or on trigger)</w:t>
            </w:r>
          </w:p>
        </w:tc>
      </w:tr>
      <w:tr>
        <w:tc>
          <w:tcPr>
            <w:tcW w:type="dxa" w:w="2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b/>
                <w:bCs/>
                <w:sz w:val="18"/>
                <w:szCs w:val="18"/>
              </w:rPr>
              <w:t xml:space="preserve">Next Review Date:</w:t>
            </w:r>
          </w:p>
        </w:tc>
        <w:tc>
          <w:tcPr>
            <w:tcW w:type="dxa" w:w="66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r>
              <w:rPr>
                <w:rFonts w:ascii="Arial" w:cs="Arial" w:eastAsia="Arial" w:hAnsi="Arial"/>
                <w:sz w:val="18"/>
                <w:szCs w:val="18"/>
              </w:rPr>
              <w:t xml:space="preserve">June 1, 2027</w:t>
            </w:r>
          </w:p>
        </w:tc>
      </w:tr>
      <w:tr>
        <w:tc>
          <w:tcPr>
            <w:tcW w:type="dxa" w:w="2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b/>
                <w:bCs/>
                <w:sz w:val="18"/>
                <w:szCs w:val="18"/>
              </w:rPr>
              <w:t xml:space="preserve">ISO 27001:2022 Controls:</w:t>
            </w:r>
          </w:p>
        </w:tc>
        <w:tc>
          <w:tcPr>
            <w:tcW w:type="dxa" w:w="66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r>
              <w:rPr>
                <w:rFonts w:ascii="Arial" w:cs="Arial" w:eastAsia="Arial" w:hAnsi="Arial"/>
                <w:sz w:val="18"/>
                <w:szCs w:val="18"/>
              </w:rPr>
              <w:t xml:space="preserve">5.29, 5.30, 8.13, 8.14</w:t>
            </w:r>
          </w:p>
        </w:tc>
      </w:tr>
      <w:tr>
        <w:tc>
          <w:tcPr>
            <w:tcW w:type="dxa" w:w="2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b/>
                <w:bCs/>
                <w:sz w:val="18"/>
                <w:szCs w:val="18"/>
              </w:rPr>
              <w:t xml:space="preserve">Storage Location:</w:t>
            </w:r>
          </w:p>
        </w:tc>
        <w:tc>
          <w:tcPr>
            <w:tcW w:type="dxa" w:w="66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r>
              <w:rPr>
                <w:rFonts w:ascii="Arial" w:cs="Arial" w:eastAsia="Arial" w:hAnsi="Arial"/>
                <w:sz w:val="18"/>
                <w:szCs w:val="18"/>
              </w:rPr>
              <w:t xml:space="preserve">Document Management System – /BC/ICTCP/ (restricted access) AND offline hardcopy at secondary site</w:t>
            </w:r>
          </w:p>
        </w:tc>
      </w:tr>
    </w:tbl>
    <w:p>
      <w:pPr>
        <w:spacing w:after="0" w:before="120"/>
      </w:pPr>
      <w:r>
        <w:t xml:space="preserve"/>
      </w:r>
    </w:p>
    <w:p>
      <w:pPr>
        <w:pStyle w:val="Heading2"/>
        <w:spacing w:after="120" w:before="240"/>
      </w:pPr>
      <w:r>
        <w:rPr>
          <w:rFonts w:ascii="Arial" w:cs="Arial" w:eastAsia="Arial" w:hAnsi="Arial"/>
          <w:b/>
          <w:bCs/>
          <w:color w:val="2E5496"/>
          <w:sz w:val="26"/>
          <w:szCs w:val="26"/>
        </w:rPr>
        <w:t xml:space="preserve">10.3 Revision History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560"/>
        <w:gridCol w:w="2340"/>
        <w:gridCol w:w="4290"/>
      </w:tblGrid>
      <w:tr>
        <w:tc>
          <w:tcPr>
            <w:tcW w:type="dxa" w:w="117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Version</w:t>
            </w:r>
          </w:p>
        </w:tc>
        <w:tc>
          <w:tcPr>
            <w:tcW w:type="dxa" w:w="156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Date</w:t>
            </w:r>
          </w:p>
        </w:tc>
        <w:tc>
          <w:tcPr>
            <w:tcW w:type="dxa" w:w="234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Author</w:t>
            </w:r>
          </w:p>
        </w:tc>
        <w:tc>
          <w:tcPr>
            <w:tcW w:type="dxa" w:w="429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Description</w:t>
            </w:r>
          </w:p>
        </w:tc>
      </w:tr>
      <w:tr>
        <w:tc>
          <w:tcPr>
            <w:tcW w:type="dxa" w:w="117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1.0</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June 2026</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R. Anderson &amp; D. Liu</w:t>
            </w:r>
          </w:p>
        </w:tc>
        <w:tc>
          <w:tcPr>
            <w:tcW w:type="dxa" w:w="429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Initial ICTCP established in support of ISO 27001:2022 Control 5.30, aligned with Business Continuity Policy v1.0 and Information Security Policy v1.0</w:t>
            </w:r>
          </w:p>
        </w:tc>
      </w:tr>
    </w:tbl>
    <w:p>
      <w:r>
        <w:br w:type="page"/>
      </w:r>
    </w:p>
    <w:p>
      <w:pPr>
        <w:pStyle w:val="Heading1"/>
        <w:pBdr>
          <w:bottom w:val="single" w:color="2E75B6" w:sz="6" w:space="1"/>
        </w:pBdr>
        <w:spacing w:after="160" w:before="320"/>
      </w:pPr>
      <w:r>
        <w:rPr>
          <w:rFonts w:ascii="Arial" w:cs="Arial" w:eastAsia="Arial" w:hAnsi="Arial"/>
          <w:b/>
          <w:bCs/>
          <w:color w:val="1F3864"/>
          <w:sz w:val="32"/>
          <w:szCs w:val="32"/>
        </w:rPr>
        <w:t xml:space="preserve">11. Exceptions and Non-Compliance</w:t>
      </w:r>
    </w:p>
    <w:p>
      <w:pPr>
        <w:spacing w:after="80" w:before="60"/>
        <w:jc w:val="left"/>
      </w:pPr>
      <w:r>
        <w:rPr>
          <w:rFonts w:ascii="Arial" w:cs="Arial" w:eastAsia="Arial" w:hAnsi="Arial"/>
          <w:b w:val="false"/>
          <w:bCs w:val="false"/>
          <w:color w:val="000000"/>
          <w:sz w:val="20"/>
          <w:szCs w:val="20"/>
        </w:rPr>
        <w:t xml:space="preserve">Exceptions to this plan must be documented, risk-assessed, and approved by the VP Business Continuity and CISO for routine exceptions, or the Business Continuity Steering Committee for significant exceptions. All exceptions must include a business justification, compensating controls, and an expiration date.</w:t>
      </w:r>
    </w:p>
    <w:p>
      <w:pPr>
        <w:spacing w:after="0" w:before="80"/>
      </w:pPr>
      <w:r>
        <w:t xml:space="preserve"/>
      </w:r>
    </w:p>
    <w:p>
      <w:pPr>
        <w:spacing w:after="80" w:before="60"/>
        <w:jc w:val="left"/>
      </w:pPr>
      <w:r>
        <w:rPr>
          <w:rFonts w:ascii="Arial" w:cs="Arial" w:eastAsia="Arial" w:hAnsi="Arial"/>
          <w:b w:val="false"/>
          <w:bCs w:val="false"/>
          <w:color w:val="000000"/>
          <w:sz w:val="20"/>
          <w:szCs w:val="20"/>
        </w:rPr>
        <w:t xml:space="preserve">Non-compliance with this plan may result in disciplinary action consistent with the Business Continuity Policy and Information Security Policy, up to and including termination of employment or contract.</w:t>
      </w:r>
    </w:p>
    <w:p>
      <w:r>
        <w:br w:type="page"/>
      </w:r>
    </w:p>
    <w:p>
      <w:pPr>
        <w:pStyle w:val="Heading1"/>
        <w:pBdr>
          <w:bottom w:val="single" w:color="2E75B6" w:sz="6" w:space="1"/>
        </w:pBdr>
        <w:spacing w:after="160" w:before="320"/>
      </w:pPr>
      <w:r>
        <w:rPr>
          <w:rFonts w:ascii="Arial" w:cs="Arial" w:eastAsia="Arial" w:hAnsi="Arial"/>
          <w:b/>
          <w:bCs/>
          <w:color w:val="1F3864"/>
          <w:sz w:val="32"/>
          <w:szCs w:val="32"/>
        </w:rPr>
        <w:t xml:space="preserve">12. Key Contacts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340"/>
        <w:gridCol w:w="2340"/>
        <w:gridCol w:w="1980"/>
      </w:tblGrid>
      <w:tr>
        <w:tc>
          <w:tcPr>
            <w:tcW w:type="dxa" w:w="27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Name / Role</w:t>
            </w:r>
          </w:p>
        </w:tc>
        <w:tc>
          <w:tcPr>
            <w:tcW w:type="dxa" w:w="234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Email</w:t>
            </w:r>
          </w:p>
        </w:tc>
        <w:tc>
          <w:tcPr>
            <w:tcW w:type="dxa" w:w="234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Phone</w:t>
            </w:r>
          </w:p>
        </w:tc>
        <w:tc>
          <w:tcPr>
            <w:tcW w:type="dxa" w:w="198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Office</w:t>
            </w:r>
          </w:p>
        </w:tc>
      </w:tr>
      <w:tr>
        <w:tc>
          <w:tcPr>
            <w:tcW w:type="dxa" w:w="2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Rachel Anderson
VP Business Continuity &amp; Facilities (Plan Owner)</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rachel.anderson@quickserve.com</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+1 (604) 555-0113</w:t>
            </w:r>
          </w:p>
        </w:tc>
        <w:tc>
          <w:tcPr>
            <w:tcW w:type="dxa" w:w="19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HQ – Facilities 2A</w:t>
            </w:r>
          </w:p>
        </w:tc>
      </w:tr>
      <w:tr>
        <w:tc>
          <w:tcPr>
            <w:tcW w:type="dxa" w:w="2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James Patterson
CISO</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james.patterson@quickserve.com</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+1 (604) 555-0104</w:t>
            </w:r>
          </w:p>
        </w:tc>
        <w:tc>
          <w:tcPr>
            <w:tcW w:type="dxa" w:w="19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HQ – SOC</w:t>
            </w:r>
          </w:p>
        </w:tc>
      </w:tr>
      <w:tr>
        <w:tc>
          <w:tcPr>
            <w:tcW w:type="dxa" w:w="2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Dr. Priya Sharma
CIO</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priya.sharma@quickserve.com</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+1 (604) 555-0103</w:t>
            </w:r>
          </w:p>
        </w:tc>
        <w:tc>
          <w:tcPr>
            <w:tcW w:type="dxa" w:w="19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HQ – Tech Wing 5C</w:t>
            </w:r>
          </w:p>
        </w:tc>
      </w:tr>
      <w:tr>
        <w:tc>
          <w:tcPr>
            <w:tcW w:type="dxa" w:w="2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David Liu
CTO</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david.liu@quickserve.com</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+1 (604) 555-0108</w:t>
            </w:r>
          </w:p>
        </w:tc>
        <w:tc>
          <w:tcPr>
            <w:tcW w:type="dxa" w:w="19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HQ – Tech Wing 5A</w:t>
            </w:r>
          </w:p>
        </w:tc>
      </w:tr>
      <w:tr>
        <w:tc>
          <w:tcPr>
            <w:tcW w:type="dxa" w:w="2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Thomas Wright
VP Financial Data Operations</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thomas.wright@quickserve.com</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+1 (604) 555-0110</w:t>
            </w:r>
          </w:p>
        </w:tc>
        <w:tc>
          <w:tcPr>
            <w:tcW w:type="dxa" w:w="19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HQ – Data Centre 3B</w:t>
            </w:r>
          </w:p>
        </w:tc>
      </w:tr>
      <w:tr>
        <w:tc>
          <w:tcPr>
            <w:tcW w:type="dxa" w:w="2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Maria Gonzalez
VP Information Security</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maria.gonzalez@quickserve.com</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+1 (604) 555-0109</w:t>
            </w:r>
          </w:p>
        </w:tc>
        <w:tc>
          <w:tcPr>
            <w:tcW w:type="dxa" w:w="19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HQ – SOC</w:t>
            </w:r>
          </w:p>
        </w:tc>
      </w:tr>
      <w:tr>
        <w:tc>
          <w:tcPr>
            <w:tcW w:type="dxa" w:w="2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Carlos Santos
VP Restaurant Operations</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carlos.santos@quickserve.com</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+1 (604) 555-0112</w:t>
            </w:r>
          </w:p>
        </w:tc>
        <w:tc>
          <w:tcPr>
            <w:tcW w:type="dxa" w:w="19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HQ – Operations 8B</w:t>
            </w:r>
          </w:p>
        </w:tc>
      </w:tr>
      <w:tr>
        <w:tc>
          <w:tcPr>
            <w:tcW w:type="dxa" w:w="2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Sarah Chen
CEO (Activation Authority)</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sarah.chen@quickserve.com</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+1 (604) 555-0101</w:t>
            </w:r>
          </w:p>
        </w:tc>
        <w:tc>
          <w:tcPr>
            <w:tcW w:type="dxa" w:w="19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18"/>
                <w:szCs w:val="18"/>
              </w:rPr>
              <w:t xml:space="preserve">HQ – Executive 12A</w:t>
            </w:r>
          </w:p>
        </w:tc>
      </w:tr>
    </w:tbl>
    <w:p>
      <w:r>
        <w:br w:type="page"/>
      </w:r>
    </w:p>
    <w:p>
      <w:pPr>
        <w:pStyle w:val="Heading1"/>
        <w:pBdr>
          <w:bottom w:val="single" w:color="2E75B6" w:sz="6" w:space="1"/>
        </w:pBdr>
        <w:spacing w:after="160" w:before="320"/>
      </w:pPr>
      <w:r>
        <w:rPr>
          <w:rFonts w:ascii="Arial" w:cs="Arial" w:eastAsia="Arial" w:hAnsi="Arial"/>
          <w:b/>
          <w:bCs/>
          <w:color w:val="1F3864"/>
          <w:sz w:val="32"/>
          <w:szCs w:val="32"/>
        </w:rPr>
        <w:t xml:space="preserve">Approval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b/>
                <w:bCs/>
                <w:sz w:val="18"/>
                <w:szCs w:val="18"/>
              </w:rPr>
              <w:t xml:space="preserve">Prepared By:</w:t>
            </w:r>
          </w:p>
        </w:tc>
        <w:tc>
          <w:tcPr>
            <w:tcW w:type="dxa" w:w="66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r>
              <w:rPr>
                <w:rFonts w:ascii="Arial" w:cs="Arial" w:eastAsia="Arial" w:hAnsi="Arial"/>
                <w:sz w:val="18"/>
                <w:szCs w:val="18"/>
              </w:rPr>
              <w:t xml:space="preserve">Rachel Anderson, VP Business Continuity &amp; Facilities; David Liu, CTO</w:t>
            </w:r>
          </w:p>
        </w:tc>
      </w:tr>
      <w:tr>
        <w:tc>
          <w:tcPr>
            <w:tcW w:type="dxa" w:w="2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b/>
                <w:bCs/>
                <w:sz w:val="18"/>
                <w:szCs w:val="18"/>
              </w:rPr>
              <w:t xml:space="preserve">Reviewed By:</w:t>
            </w:r>
          </w:p>
        </w:tc>
        <w:tc>
          <w:tcPr>
            <w:tcW w:type="dxa" w:w="66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r>
              <w:rPr>
                <w:rFonts w:ascii="Arial" w:cs="Arial" w:eastAsia="Arial" w:hAnsi="Arial"/>
                <w:sz w:val="18"/>
                <w:szCs w:val="18"/>
              </w:rPr>
              <w:t xml:space="preserve">James Patterson, CISO; Dr. Priya Sharma, CIO</w:t>
            </w:r>
          </w:p>
        </w:tc>
      </w:tr>
      <w:tr>
        <w:tc>
          <w:tcPr>
            <w:tcW w:type="dxa" w:w="2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b/>
                <w:bCs/>
                <w:sz w:val="18"/>
                <w:szCs w:val="18"/>
              </w:rPr>
              <w:t xml:space="preserve">Approved By:</w:t>
            </w:r>
          </w:p>
        </w:tc>
        <w:tc>
          <w:tcPr>
            <w:tcW w:type="dxa" w:w="66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r>
              <w:rPr>
                <w:rFonts w:ascii="Arial" w:cs="Arial" w:eastAsia="Arial" w:hAnsi="Arial"/>
                <w:sz w:val="18"/>
                <w:szCs w:val="18"/>
              </w:rPr>
              <w:t xml:space="preserve">Sarah Chen, Chief Executive Officer</w:t>
            </w:r>
          </w:p>
        </w:tc>
      </w:tr>
      <w:tr>
        <w:tc>
          <w:tcPr>
            <w:tcW w:type="dxa" w:w="2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b/>
                <w:bCs/>
                <w:sz w:val="18"/>
                <w:szCs w:val="18"/>
              </w:rPr>
              <w:t xml:space="preserve">Approval Date:</w:t>
            </w:r>
          </w:p>
        </w:tc>
        <w:tc>
          <w:tcPr>
            <w:tcW w:type="dxa" w:w="66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r>
              <w:rPr>
                <w:rFonts w:ascii="Arial" w:cs="Arial" w:eastAsia="Arial" w:hAnsi="Arial"/>
                <w:sz w:val="18"/>
                <w:szCs w:val="18"/>
              </w:rPr>
              <w:t xml:space="preserve">June 2026</w:t>
            </w:r>
          </w:p>
        </w:tc>
      </w:tr>
      <w:tr>
        <w:tc>
          <w:tcPr>
            <w:tcW w:type="dxa" w:w="2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b/>
                <w:bCs/>
                <w:sz w:val="18"/>
                <w:szCs w:val="18"/>
              </w:rPr>
              <w:t xml:space="preserve">Effective Date:</w:t>
            </w:r>
          </w:p>
        </w:tc>
        <w:tc>
          <w:tcPr>
            <w:tcW w:type="dxa" w:w="66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r>
              <w:rPr>
                <w:rFonts w:ascii="Arial" w:cs="Arial" w:eastAsia="Arial" w:hAnsi="Arial"/>
                <w:sz w:val="18"/>
                <w:szCs w:val="18"/>
              </w:rPr>
              <w:t xml:space="preserve">June 1, 2026</w:t>
            </w:r>
          </w:p>
        </w:tc>
      </w:tr>
      <w:tr>
        <w:tc>
          <w:tcPr>
            <w:tcW w:type="dxa" w:w="2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r>
              <w:rPr>
                <w:rFonts w:ascii="Arial" w:cs="Arial" w:eastAsia="Arial" w:hAnsi="Arial"/>
                <w:b/>
                <w:bCs/>
                <w:sz w:val="18"/>
                <w:szCs w:val="18"/>
              </w:rPr>
              <w:t xml:space="preserve">Version:</w:t>
            </w:r>
          </w:p>
        </w:tc>
        <w:tc>
          <w:tcPr>
            <w:tcW w:type="dxa" w:w="66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r>
              <w:rPr>
                <w:rFonts w:ascii="Arial" w:cs="Arial" w:eastAsia="Arial" w:hAnsi="Arial"/>
                <w:sz w:val="18"/>
                <w:szCs w:val="18"/>
              </w:rPr>
              <w:t xml:space="preserve">1.0</w:t>
            </w:r>
          </w:p>
        </w:tc>
      </w:tr>
    </w:tbl>
    <w:p>
      <w:pPr>
        <w:spacing w:after="0" w:before="200"/>
      </w:pPr>
      <w:r>
        <w:t xml:space="preserve"/>
      </w:r>
    </w:p>
    <w:p>
      <w:pPr>
        <w:spacing w:after="80" w:before="60"/>
        <w:jc w:val="left"/>
      </w:pPr>
      <w:r>
        <w:rPr>
          <w:rFonts w:ascii="Arial" w:cs="Arial" w:eastAsia="Arial" w:hAnsi="Arial"/>
          <w:b/>
          <w:bCs/>
          <w:color w:val="000000"/>
          <w:sz w:val="20"/>
          <w:szCs w:val="20"/>
        </w:rPr>
        <w:t xml:space="preserve">______________________________</w:t>
      </w:r>
    </w:p>
    <w:p>
      <w:pPr>
        <w:spacing w:after="80" w:before="60"/>
        <w:jc w:val="left"/>
      </w:pPr>
      <w:r>
        <w:rPr>
          <w:rFonts w:ascii="Arial" w:cs="Arial" w:eastAsia="Arial" w:hAnsi="Arial"/>
          <w:b w:val="false"/>
          <w:bCs w:val="false"/>
          <w:color w:val="000000"/>
          <w:sz w:val="20"/>
          <w:szCs w:val="20"/>
        </w:rPr>
        <w:t xml:space="preserve">Sarah Chen, CEO &amp; President</w:t>
      </w:r>
    </w:p>
    <w:p>
      <w:pPr>
        <w:spacing w:after="80" w:before="60"/>
        <w:jc w:val="left"/>
      </w:pPr>
      <w:r>
        <w:rPr>
          <w:rFonts w:ascii="Arial" w:cs="Arial" w:eastAsia="Arial" w:hAnsi="Arial"/>
          <w:b w:val="false"/>
          <w:bCs w:val="false"/>
          <w:color w:val="000000"/>
          <w:sz w:val="20"/>
          <w:szCs w:val="20"/>
        </w:rPr>
        <w:t xml:space="preserve">QuickServe Restaurants LLC</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360"/>
      </w:tabs>
    </w:pPr>
    <w:r>
      <w:rPr>
        <w:rFonts w:ascii="Arial" w:cs="Arial" w:eastAsia="Arial" w:hAnsi="Arial"/>
        <w:color w:val="595959"/>
        <w:sz w:val="16"/>
        <w:szCs w:val="16"/>
      </w:rPr>
      <w:t xml:space="preserve">Version 1.0  |  June 2026</w:t>
    </w:r>
    <w:r>
      <w:rPr>
        <w:sz w:val="16"/>
        <w:szCs w:val="16"/>
      </w:rPr>
      <w:t xml:space="preserve">	</w:t>
    </w:r>
    <w:r>
      <w:rPr>
        <w:rFonts w:ascii="Arial" w:cs="Arial" w:eastAsia="Arial" w:hAnsi="Arial"/>
        <w:color w:val="595959"/>
        <w:sz w:val="16"/>
        <w:szCs w:val="16"/>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b/>
        <w:bCs/>
        <w:color w:val="1F3864"/>
        <w:sz w:val="18"/>
        <w:szCs w:val="18"/>
      </w:rPr>
      <w:t xml:space="preserve">QuickServe Restaurants LLC</w:t>
    </w:r>
    <w:r>
      <w:rPr>
        <w:rFonts w:ascii="Arial" w:cs="Arial" w:eastAsia="Arial" w:hAnsi="Arial"/>
        <w:color w:val="595959"/>
        <w:sz w:val="18"/>
        <w:szCs w:val="18"/>
      </w:rPr>
      <w:t xml:space="preserve">   |   ICT Continuity Plan  |  Classification: Internal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720" w:hanging="360"/>
      </w:pPr>
      <w:rPr>
        <w:rFonts w:ascii="Arial" w:cs="Arial" w:eastAsia="Arial" w:hAnsi="Arial"/>
        <w:sz w:val="20"/>
        <w:szCs w:val="20"/>
      </w:rPr>
    </w:lvl>
  </w:abstractNum>
  <w:abstractNum w:abstractNumId="3" w15:restartNumberingAfterBreak="0">
    <w:multiLevelType w:val="hybridMultilevel"/>
    <w:lvl w:ilvl="0" w15:tentative="1">
      <w:start w:val="1"/>
      <w:numFmt w:val="bullet"/>
      <w:lvlText w:val="◦"/>
      <w:lvlJc w:val="left"/>
      <w:pPr>
        <w:spacing w:after="40" w:before="40"/>
        <w:ind w:left="1080" w:hanging="360"/>
      </w:pPr>
      <w:rPr>
        <w:rFonts w:ascii="Arial" w:cs="Arial" w:eastAsia="Arial" w:hAnsi="Arial"/>
        <w:sz w:val="18"/>
        <w:szCs w:val="1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49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E40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2026-06-20T02:19:31.571Z</dcterms:created>
  <dcterms:modified xsi:type="dcterms:W3CDTF">2026-06-20T02:19:31.572Z</dcterms:modified>
</cp:coreProperties>
</file>

<file path=docProps/custom.xml><?xml version="1.0" encoding="utf-8"?>
<Properties xmlns="http://schemas.openxmlformats.org/officeDocument/2006/custom-properties" xmlns:vt="http://schemas.openxmlformats.org/officeDocument/2006/docPropsVTypes"/>
</file>