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rFonts w:ascii="Arial" w:cs="Arial" w:eastAsia="Arial" w:hAnsi="Arial"/>
          <w:b/>
          <w:bCs/>
          <w:color w:val="1B3A6B"/>
          <w:sz w:val="52"/>
          <w:szCs w:val="52"/>
        </w:rPr>
        <w:t xml:space="preserve">DATA DESTRUCTION CERTIFICATE</w:t>
      </w:r>
    </w:p>
    <w:p>
      <w:pPr>
        <w:spacing w:after="240" w:before="0"/>
      </w:pPr>
      <w:r>
        <w:rPr>
          <w:rFonts w:ascii="Arial" w:cs="Arial" w:eastAsia="Arial" w:hAnsi="Arial"/>
          <w:color w:val="2E5FA3"/>
          <w:sz w:val="22"/>
          <w:szCs w:val="22"/>
        </w:rPr>
        <w:t xml:space="preserve">Global Enterprises Inc.  ·  Information Security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Certificate No.:</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GEI-DDC-2026-001</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Organization: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Global Enterprises Inc.</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Issuing Authority: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Information Security Office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Issue 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May 5,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ISO/IEC Reference: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ISO/IEC 27001:2022, Control A.8.10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Document 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Next Review 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May 5, 2027</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Retention Period: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Minimum 3 years per ISO/IEC 27001:2022 requirements</w:t>
            </w:r>
          </w:p>
        </w:tc>
      </w:tr>
    </w:tbl>
    <w:p>
      <w:pPr>
        <w:pBdr>
          <w:bottom w:val="single" w:color="2E5FA3" w:sz="8"/>
        </w:pBdr>
        <w:spacing w:after="120" w:before="320"/>
      </w:pPr>
      <w:r>
        <w:rPr>
          <w:rFonts w:ascii="Arial" w:cs="Arial" w:eastAsia="Arial" w:hAnsi="Arial"/>
          <w:b/>
          <w:bCs/>
          <w:color w:val="1B3A6B"/>
          <w:sz w:val="24"/>
          <w:szCs w:val="24"/>
        </w:rPr>
        <w:t xml:space="preserve">1.  Purpose &amp; Scope</w:t>
      </w:r>
    </w:p>
    <w:p>
      <w:pPr>
        <w:spacing w:after="80" w:before="80"/>
      </w:pPr>
      <w:r>
        <w:rPr>
          <w:rFonts w:ascii="Arial" w:cs="Arial" w:eastAsia="Arial" w:hAnsi="Arial"/>
          <w:color w:val="2C2C2C"/>
          <w:sz w:val="20"/>
          <w:szCs w:val="20"/>
        </w:rPr>
        <w:t xml:space="preserve">This certificate provides formal evidence that data-bearing media assets owned or operated by Global Enterprises Inc. have been, or are scheduled to be, subjected to an approved data sanitization process in accordance with ISO/IEC 27001:2022 Control A.8.10 (Deletion of Information) and the organization's Information Asset Disposal Policy.</w:t>
      </w:r>
    </w:p>
    <w:p>
      <w:pPr>
        <w:spacing w:after="80" w:before="80"/>
      </w:pPr>
      <w:r>
        <w:rPr>
          <w:rFonts w:ascii="Arial" w:cs="Arial" w:eastAsia="Arial" w:hAnsi="Arial"/>
          <w:color w:val="2C2C2C"/>
          <w:sz w:val="20"/>
          <w:szCs w:val="20"/>
        </w:rPr>
        <w:t xml:space="preserve">This document covers 55 storage media assets identified in the organizational asset register as requiring a sanitization certificate. It serves as the official audit record for the disposal lifecycle of each asset listed herein.</w:t>
      </w:r>
    </w:p>
    <w:p>
      <w:pPr>
        <w:pBdr>
          <w:bottom w:val="single" w:color="2E5FA3" w:sz="8"/>
        </w:pBdr>
        <w:spacing w:after="120" w:before="320"/>
      </w:pPr>
      <w:r>
        <w:rPr>
          <w:rFonts w:ascii="Arial" w:cs="Arial" w:eastAsia="Arial" w:hAnsi="Arial"/>
          <w:b/>
          <w:bCs/>
          <w:color w:val="1B3A6B"/>
          <w:sz w:val="24"/>
          <w:szCs w:val="24"/>
        </w:rPr>
        <w:t xml:space="preserve">2.  Regulatory &amp; Policy Framework</w:t>
      </w:r>
    </w:p>
    <w:p>
      <w:pPr>
        <w:spacing w:after="80" w:before="80"/>
      </w:pPr>
      <w:r>
        <w:rPr>
          <w:rFonts w:ascii="Arial" w:cs="Arial" w:eastAsia="Arial" w:hAnsi="Arial"/>
          <w:color w:val="2C2C2C"/>
          <w:sz w:val="20"/>
          <w:szCs w:val="20"/>
        </w:rPr>
        <w:t xml:space="preserve">Sanitization activities documented herein are governed by the following standards and controls:</w:t>
      </w:r>
    </w:p>
    <w:p>
      <w:pPr>
        <w:spacing w:after="60" w:before="60"/>
      </w:pPr>
      <w:r>
        <w:rPr>
          <w:rFonts w:ascii="Arial" w:cs="Arial" w:eastAsia="Arial" w:hAnsi="Arial"/>
          <w:sz w:val="20"/>
          <w:szCs w:val="20"/>
        </w:rPr>
        <w:t xml:space="preserve">  •  ISO/IEC 27001:2022 — A.8.10: Deletion of information; A.5.9: Inventory of information and other associated assets; A.8.11: Data masking</w:t>
      </w:r>
    </w:p>
    <w:p>
      <w:pPr>
        <w:spacing w:after="60" w:before="60"/>
      </w:pPr>
      <w:r>
        <w:rPr>
          <w:rFonts w:ascii="Arial" w:cs="Arial" w:eastAsia="Arial" w:hAnsi="Arial"/>
          <w:sz w:val="20"/>
          <w:szCs w:val="20"/>
        </w:rPr>
        <w:t xml:space="preserve">  •  NIST SP 800-88 Rev. 1 — Guidelines for Media Sanitization</w:t>
      </w:r>
    </w:p>
    <w:p>
      <w:pPr>
        <w:spacing w:after="60" w:before="60"/>
      </w:pPr>
      <w:r>
        <w:rPr>
          <w:rFonts w:ascii="Arial" w:cs="Arial" w:eastAsia="Arial" w:hAnsi="Arial"/>
          <w:sz w:val="20"/>
          <w:szCs w:val="20"/>
        </w:rPr>
        <w:t xml:space="preserve">  •  Global Enterprises Inc. — Information Asset Disposal Procedure (GEI-SEC-PROC-004)</w:t>
      </w:r>
    </w:p>
    <w:p>
      <w:pPr>
        <w:spacing w:after="240" w:before="60"/>
      </w:pPr>
      <w:r>
        <w:rPr>
          <w:rFonts w:ascii="Arial" w:cs="Arial" w:eastAsia="Arial" w:hAnsi="Arial"/>
          <w:sz w:val="20"/>
          <w:szCs w:val="20"/>
        </w:rPr>
        <w:t xml:space="preserve">  •  Applicable data protection legislation (PIPEDA, GDPR where relevant)</w:t>
      </w:r>
    </w:p>
    <w:p>
      <w:pPr>
        <w:pBdr>
          <w:bottom w:val="single" w:color="2E5FA3" w:sz="8"/>
        </w:pBdr>
        <w:spacing w:after="120" w:before="320"/>
      </w:pPr>
      <w:r>
        <w:rPr>
          <w:rFonts w:ascii="Arial" w:cs="Arial" w:eastAsia="Arial" w:hAnsi="Arial"/>
          <w:b/>
          <w:bCs/>
          <w:color w:val="1B3A6B"/>
          <w:sz w:val="24"/>
          <w:szCs w:val="24"/>
        </w:rPr>
        <w:t xml:space="preserve">3.  Summary Statistics</w:t>
      </w:r>
    </w:p>
    <w:p>
      <w:pPr>
        <w:spacing w:after="160" w:before="12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tblGrid>
      <w:tr>
        <w:trPr>
          <w:tblHeader/>
        </w:trPr>
        <w:tc>
          <w:tcPr>
            <w:tcW w:type="dxa" w:w="3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r>
      <w:tr>
        <w:tc>
          <w:tcPr>
            <w:tcW w:type="dxa" w:w="32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Total Assets Covered</w:t>
            </w:r>
          </w:p>
        </w:tc>
        <w:tc>
          <w:tcPr>
            <w:tcW w:type="dxa" w:w="18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55</w:t>
            </w:r>
          </w:p>
        </w:tc>
      </w:tr>
      <w:tr>
        <w:tc>
          <w:tcPr>
            <w:tcW w:type="dxa" w:w="32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18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23</w:t>
            </w:r>
          </w:p>
        </w:tc>
      </w:tr>
      <w:tr>
        <w:tc>
          <w:tcPr>
            <w:tcW w:type="dxa" w:w="32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18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w:t>
            </w:r>
          </w:p>
        </w:tc>
      </w:tr>
      <w:tr>
        <w:tc>
          <w:tcPr>
            <w:tcW w:type="dxa" w:w="32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18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12</w:t>
            </w:r>
          </w:p>
        </w:tc>
      </w:tr>
      <w:tr>
        <w:tc>
          <w:tcPr>
            <w:tcW w:type="dxa" w:w="32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Awaiting Disposal</w:t>
            </w:r>
          </w:p>
        </w:tc>
        <w:tc>
          <w:tcPr>
            <w:tcW w:type="dxa" w:w="18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18</w:t>
            </w:r>
          </w:p>
        </w:tc>
      </w:tr>
      <w:tr>
        <w:tc>
          <w:tcPr>
            <w:tcW w:type="dxa" w:w="32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Archived</w:t>
            </w:r>
          </w:p>
        </w:tc>
        <w:tc>
          <w:tcPr>
            <w:tcW w:type="dxa" w:w="18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17</w:t>
            </w:r>
          </w:p>
        </w:tc>
      </w:tr>
      <w:tr>
        <w:tc>
          <w:tcPr>
            <w:tcW w:type="dxa" w:w="32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Active (Scheduled)</w:t>
            </w:r>
          </w:p>
        </w:tc>
        <w:tc>
          <w:tcPr>
            <w:tcW w:type="dxa" w:w="18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w:t>
            </w:r>
          </w:p>
        </w:tc>
      </w:tr>
    </w:tbl>
    <w:p>
      <w:pPr>
        <w:pBdr>
          <w:bottom w:val="single" w:color="2E5FA3" w:sz="8"/>
        </w:pBdr>
        <w:spacing w:after="120" w:before="320"/>
      </w:pPr>
      <w:r>
        <w:rPr>
          <w:rFonts w:ascii="Arial" w:cs="Arial" w:eastAsia="Arial" w:hAnsi="Arial"/>
          <w:b/>
          <w:bCs/>
          <w:color w:val="1B3A6B"/>
          <w:sz w:val="24"/>
          <w:szCs w:val="24"/>
        </w:rPr>
        <w:t xml:space="preserve">4.  Sanitization Methods — Definitions</w:t>
      </w:r>
    </w:p>
    <w:p>
      <w:pPr>
        <w:spacing w:after="80" w:before="80"/>
      </w:pPr>
      <w:r>
        <w:rPr>
          <w:rFonts w:ascii="Arial" w:cs="Arial" w:eastAsia="Arial" w:hAnsi="Arial"/>
          <w:color w:val="2C2C2C"/>
          <w:sz w:val="20"/>
          <w:szCs w:val="20"/>
        </w:rPr>
        <w:t xml:space="preserve">Secure Erase: Overwrite-based erasure conforming to NIST SP 800-88 ‘Clear’ or ‘Purge’ guidelines, rendering data unrecoverable through software means.</w:t>
      </w:r>
    </w:p>
    <w:p>
      <w:pPr>
        <w:spacing w:after="80" w:before="80"/>
      </w:pPr>
      <w:r>
        <w:rPr>
          <w:rFonts w:ascii="Arial" w:cs="Arial" w:eastAsia="Arial" w:hAnsi="Arial"/>
          <w:color w:val="2C2C2C"/>
          <w:sz w:val="20"/>
          <w:szCs w:val="20"/>
        </w:rPr>
        <w:t xml:space="preserve">Encryption Key Deletion: Cryptographic erasure by irreversible deletion of the media's encryption key, rendering all encrypted data inaccessible. Applicable where full-disk encryption is confirmed active.</w:t>
      </w:r>
    </w:p>
    <w:p>
      <w:pPr>
        <w:spacing w:after="80" w:before="80"/>
      </w:pPr>
      <w:r>
        <w:rPr>
          <w:rFonts w:ascii="Arial" w:cs="Arial" w:eastAsia="Arial" w:hAnsi="Arial"/>
          <w:color w:val="2C2C2C"/>
          <w:sz w:val="20"/>
          <w:szCs w:val="20"/>
        </w:rPr>
        <w:t xml:space="preserve">Physical Destruction: Mechanical shredding, degaussing, or disintegration to a particle size meeting NIST SP 800-88 ‘Destroy’ classification. A certificate of destruction from the approved vendor is required as supplementary evidence.</w:t>
      </w:r>
    </w:p>
    <w:p>
      <w:pPr>
        <w:pageBreakBefore/>
      </w:pPr>
      <w:r>
        <w:t xml:space="preserve"/>
      </w:r>
    </w:p>
    <w:p>
      <w:pPr>
        <w:pBdr>
          <w:bottom w:val="single" w:color="2E5FA3" w:sz="8"/>
        </w:pBdr>
        <w:spacing w:after="120" w:before="320"/>
      </w:pPr>
      <w:r>
        <w:rPr>
          <w:rFonts w:ascii="Arial" w:cs="Arial" w:eastAsia="Arial" w:hAnsi="Arial"/>
          <w:b/>
          <w:bCs/>
          <w:color w:val="1B3A6B"/>
          <w:sz w:val="24"/>
          <w:szCs w:val="24"/>
        </w:rPr>
        <w:t xml:space="preserve">5.  Asset Register — Data Sanitization Record</w:t>
      </w:r>
    </w:p>
    <w:p>
      <w:pPr>
        <w:spacing w:after="80" w:before="80"/>
      </w:pPr>
      <w:r>
        <w:rPr>
          <w:rFonts w:ascii="Arial" w:cs="Arial" w:eastAsia="Arial" w:hAnsi="Arial"/>
          <w:color w:val="2C2C2C"/>
          <w:sz w:val="20"/>
          <w:szCs w:val="20"/>
        </w:rPr>
        <w:t xml:space="preserve">The following table lists all 55 storage media assets covered by this certificate. Assets with status “Awaiting Disposal” have a scheduled disposal date; those marked “Archived” have completed the disposition process. “Active” assets are scheduled per the dates shown and must be processed before those dates lapse.</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1700"/>
        <w:gridCol w:w="1060"/>
        <w:gridCol w:w="1340"/>
        <w:gridCol w:w="880"/>
        <w:gridCol w:w="840"/>
        <w:gridCol w:w="1280"/>
        <w:gridCol w:w="960"/>
        <w:gridCol w:w="640"/>
      </w:tblGrid>
      <w:tr>
        <w:trPr>
          <w:tblHeader/>
        </w:trPr>
        <w:tc>
          <w:tcPr>
            <w:tcW w:type="dxa" w:w="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 ID</w:t>
            </w:r>
          </w:p>
        </w:tc>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 Name</w:t>
            </w:r>
          </w:p>
        </w:tc>
        <w:tc>
          <w:tcPr>
            <w:tcW w:type="dxa" w:w="1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Serial Number</w:t>
            </w:r>
          </w:p>
        </w:tc>
        <w:tc>
          <w:tcPr>
            <w:tcW w:type="dxa" w:w="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Manufacturer</w:t>
            </w:r>
          </w:p>
        </w:tc>
        <w:tc>
          <w:tcPr>
            <w:tcW w:type="dxa" w:w="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1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Sanitization Method</w:t>
            </w:r>
          </w:p>
        </w:tc>
        <w:tc>
          <w:tcPr>
            <w:tcW w:type="dxa" w:w="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6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Disp. Date</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ST-000000</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- 507TB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3EC2BB6F-4F7</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2025-11-06</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ST-000001</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- 667TB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5081A400-76C</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2026-03-02</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ST-000002</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- 198TB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F60A5F9E-F9E</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2025-11-26</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ST-000003</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- 555TB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AFFAE738-A18</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2025-12-12</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- 396TB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66216B57-E61</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2026-07-15</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ST-000006</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- 378TB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05F2E2FC-EDC</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2026-06-10</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ST-000007</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- 681TB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1F91535E-378</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2025-10-24</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ST-000008</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- 936TB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74BFF3CD-FC6</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2026-03-24</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ST-000009</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- 552TB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1996E732-2EC</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2026-07-06</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ST-000011</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- 742TB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EC1EE164-2C4</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2026-03-24</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ST-000013</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- 731TB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D73A2D0B-1E9</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2026-05-30</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ST-000014</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- 258TB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28B77F1E-8B6</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2026-04-15</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- 138TB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8556A9C7-70C</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2026-04-02</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ST-000016</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- 416TB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7C5C0288-B2A</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2026-09-17</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ST-000018</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- 165TB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6EF6E45F-0B2</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2025-11-30</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ST-000019</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- 167TB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868EA928-899</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2026-06-23</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ST-000021</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- 232TB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8DFCFCEF-A43</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2026-07-07</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ST-000022</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- 164TB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010A8A91-5D9</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2026-08-19</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ST-000023</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- 882TB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1351F047-6F1</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2025-11-30</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ST-000024</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- 364TB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EF7C6701-4F9</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2026-09-05</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- 133TB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B0DD9227-A69</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2025-12-09</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ST-000026</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- 690TB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F5523F0F-C61</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2026-08-18</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ST-000027</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- 583TB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ADC2ECF7-883</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2026-01-08</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ST-000028</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- 0TB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683AB316-05B</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2026-01-20</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ST-000029</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- 661TB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AC77E0B3-6E5</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2026-04-23</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ST-000032</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- 71TB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F6E4C520-CA1</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2026-03-17</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ST-000035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- 302TB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C3B77188-A2E</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2026-08-12</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ST-000036</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- 677TB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735FE9A1-68F</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2026-05-15</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ST-000037</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- 177TB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6117DB2E-10E</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2026-03-26</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ST-000039</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- 577TB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875EE1F5-D43</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2026-09-13</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ST-000040</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- 984TB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43E6A93E-EB4</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2026-07-31</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ST-000041</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- 873TB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97469C9C-3D4</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2026-07-23</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ST-000042</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- 938TB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3592CC6C-78F</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2025-11-28</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ST-000043</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- 186TB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82C8164E-A8F</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2026-04-25</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- 411TB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2DE6F4F5-679</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2025-10-24</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ST-000047</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- 166TB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D5F72B51-6F4</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2026-03-04</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ST-000048</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 - 110TB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F91CAFB9-73C</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2026-07-20</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ST-000049</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- 103TB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93C93ED3-B93</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2026-08-22</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ST-000050</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- 980TB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F61034B7-316</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2025-11-18</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ST-000051</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- 218TB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E13E6D45-620</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2026-03-03</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ST-000055</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- 171TB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62824085-CB1</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2026-06-03</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ST-000057</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- 750TB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4485126B-9BD</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2026-05-20</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ST-000058</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- 393TB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F7424101-019</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2026-08-26</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ST-000059</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- 874TB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71D7C324-A5A</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2026-02-27</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ST-000060</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- 929TB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6F3F7DE4-880</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2026-01-30</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ST-000061</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 - 382TB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67053DE4-CE5</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2026-07-12</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ST-000064</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- 345TB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CAD267B4-056</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2026-09-13</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ST-000065</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- 779TB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A2EF8F43-7C3</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8B0000"/>
                <w:sz w:val="16"/>
                <w:szCs w:val="16"/>
              </w:rPr>
              <w:t xml:space="preserve">Restricted</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65100"/>
                <w:sz w:val="16"/>
                <w:szCs w:val="16"/>
              </w:rPr>
              <w:t xml:space="preserve">Archived</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2026-01-11</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ST-000067</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- 152TB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A63B6C9F-CD9</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Seagate</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2026-03-29</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ST-000068</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- 406TB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75AAF67E-DEB</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2026-04-08</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ST-000069</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- 655TB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33E63AD2-ACB</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FFF3CD" w:val="clear"/>
            <w:tcMar>
              <w:top w:type="dxa" w:w="60"/>
              <w:left w:type="dxa" w:w="120"/>
              <w:bottom w:type="dxa" w:w="60"/>
              <w:right w:type="dxa" w:w="120"/>
            </w:tcMar>
            <w:vAlign w:val="center"/>
          </w:tcPr>
          <w:p>
            <w:pPr>
              <w:jc w:val="center"/>
            </w:pPr>
            <w:r>
              <w:rPr>
                <w:rFonts w:ascii="Arial" w:cs="Arial" w:eastAsia="Arial" w:hAnsi="Arial"/>
                <w:b/>
                <w:bCs/>
                <w:color w:val="7D4F00"/>
                <w:sz w:val="16"/>
                <w:szCs w:val="16"/>
              </w:rPr>
              <w:t xml:space="preserve">Confidential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2026-03-13</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ST-000070</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External HDD - 562TB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DCED669A-11B</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2026-06-24</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ST-000072</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Tape Drive - 758TB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EBAC3A24-40E</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Dell EMC</w:t>
            </w:r>
          </w:p>
        </w:tc>
        <w:tc>
          <w:tcPr>
            <w:tcW w:type="dxa" w:w="84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5E20"/>
                <w:sz w:val="16"/>
                <w:szCs w:val="16"/>
              </w:rPr>
              <w:t xml:space="preserve">Internal</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Encryption Key Deletion</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2026-05-19</w:t>
            </w:r>
          </w:p>
        </w:tc>
      </w:tr>
      <w:tr>
        <w:tc>
          <w:tcPr>
            <w:tcW w:type="dxa" w:w="6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ST-000073</w:t>
            </w:r>
          </w:p>
        </w:tc>
        <w:tc>
          <w:tcPr>
            <w:tcW w:type="dxa" w:w="170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 Storage - 66TB</w:t>
            </w:r>
          </w:p>
        </w:tc>
        <w:tc>
          <w:tcPr>
            <w:tcW w:type="dxa" w:w="106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NAS</w:t>
            </w:r>
          </w:p>
        </w:tc>
        <w:tc>
          <w:tcPr>
            <w:tcW w:type="dxa" w:w="13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FCECEABA-972</w:t>
            </w:r>
          </w:p>
        </w:tc>
        <w:tc>
          <w:tcPr>
            <w:tcW w:type="dxa" w:w="8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SanDisk</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Secure Erase</w:t>
            </w:r>
          </w:p>
        </w:tc>
        <w:tc>
          <w:tcPr>
            <w:tcW w:type="dxa" w:w="960"/>
            <w:tcBorders>
              <w:top w:val="single" w:color="BDD0F0" w:sz="1"/>
              <w:left w:val="single" w:color="BDD0F0" w:sz="1"/>
              <w:bottom w:val="single" w:color="BDD0F0" w:sz="1"/>
              <w:right w:val="single" w:color="BDD0F0" w:sz="1"/>
            </w:tcBorders>
            <w:shd w:fill="E8F5E9" w:val="clear"/>
            <w:tcMar>
              <w:top w:type="dxa" w:w="60"/>
              <w:left w:type="dxa" w:w="120"/>
              <w:bottom w:type="dxa" w:w="60"/>
              <w:right w:type="dxa" w:w="120"/>
            </w:tcMar>
            <w:vAlign w:val="center"/>
          </w:tcPr>
          <w:p>
            <w:pPr>
              <w:jc w:val="center"/>
            </w:pPr>
            <w:r>
              <w:rPr>
                <w:rFonts w:ascii="Arial" w:cs="Arial" w:eastAsia="Arial" w:hAnsi="Arial"/>
                <w:b/>
                <w:bCs/>
                <w:color w:val="2E7D32"/>
                <w:sz w:val="16"/>
                <w:szCs w:val="16"/>
              </w:rPr>
              <w:t xml:space="preserve">Active</w:t>
            </w:r>
          </w:p>
        </w:tc>
        <w:tc>
          <w:tcPr>
            <w:tcW w:type="dxa" w:w="640"/>
            <w:tcBorders>
              <w:top w:val="single" w:color="BDD0F0" w:sz="1"/>
              <w:left w:val="single" w:color="BDD0F0" w:sz="1"/>
              <w:bottom w:val="single" w:color="BDD0F0" w:sz="1"/>
              <w:right w:val="single" w:color="BDD0F0" w:sz="1"/>
            </w:tcBorders>
            <w:shd w:fill="F4F7FD"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2026-03-12</w:t>
            </w:r>
          </w:p>
        </w:tc>
      </w:tr>
      <w:tr>
        <w:tc>
          <w:tcPr>
            <w:tcW w:type="dxa" w:w="6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ST-000074</w:t>
            </w:r>
          </w:p>
        </w:tc>
        <w:tc>
          <w:tcPr>
            <w:tcW w:type="dxa" w:w="1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SSD - 744TB</w:t>
            </w:r>
          </w:p>
        </w:tc>
        <w:tc>
          <w:tcPr>
            <w:tcW w:type="dxa" w:w="106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USB Drive</w:t>
            </w:r>
          </w:p>
        </w:tc>
        <w:tc>
          <w:tcPr>
            <w:tcW w:type="dxa" w:w="13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72322722-61C</w:t>
            </w:r>
          </w:p>
        </w:tc>
        <w:tc>
          <w:tcPr>
            <w:tcW w:type="dxa" w:w="8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Western Digital</w:t>
            </w:r>
          </w:p>
        </w:tc>
        <w:tc>
          <w:tcPr>
            <w:tcW w:type="dxa" w:w="840"/>
            <w:tcBorders>
              <w:top w:val="single" w:color="BDD0F0" w:sz="1"/>
              <w:left w:val="single" w:color="BDD0F0" w:sz="1"/>
              <w:bottom w:val="single" w:color="BDD0F0" w:sz="1"/>
              <w:right w:val="single" w:color="BDD0F0" w:sz="1"/>
            </w:tcBorders>
            <w:shd w:fill="EAF0FB" w:val="clear"/>
            <w:tcMar>
              <w:top w:type="dxa" w:w="60"/>
              <w:left w:type="dxa" w:w="120"/>
              <w:bottom w:type="dxa" w:w="60"/>
              <w:right w:type="dxa" w:w="120"/>
            </w:tcMar>
            <w:vAlign w:val="center"/>
          </w:tcPr>
          <w:p>
            <w:pPr>
              <w:jc w:val="center"/>
            </w:pPr>
            <w:r>
              <w:rPr>
                <w:rFonts w:ascii="Arial" w:cs="Arial" w:eastAsia="Arial" w:hAnsi="Arial"/>
                <w:b/>
                <w:bCs/>
                <w:color w:val="1B3A6B"/>
                <w:sz w:val="16"/>
                <w:szCs w:val="16"/>
              </w:rPr>
              <w:t xml:space="preserve">Public</w:t>
            </w:r>
          </w:p>
        </w:tc>
        <w:tc>
          <w:tcPr>
            <w:tcW w:type="dxa" w:w="128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Physical Destruction</w:t>
            </w:r>
          </w:p>
        </w:tc>
        <w:tc>
          <w:tcPr>
            <w:tcW w:type="dxa" w:w="960"/>
            <w:tcBorders>
              <w:top w:val="single" w:color="BDD0F0" w:sz="1"/>
              <w:left w:val="single" w:color="BDD0F0" w:sz="1"/>
              <w:bottom w:val="single" w:color="BDD0F0" w:sz="1"/>
              <w:right w:val="single" w:color="BDD0F0" w:sz="1"/>
            </w:tcBorders>
            <w:shd w:fill="FDECEA" w:val="clear"/>
            <w:tcMar>
              <w:top w:type="dxa" w:w="60"/>
              <w:left w:type="dxa" w:w="120"/>
              <w:bottom w:type="dxa" w:w="60"/>
              <w:right w:type="dxa" w:w="120"/>
            </w:tcMar>
            <w:vAlign w:val="center"/>
          </w:tcPr>
          <w:p>
            <w:pPr>
              <w:jc w:val="center"/>
            </w:pPr>
            <w:r>
              <w:rPr>
                <w:rFonts w:ascii="Arial" w:cs="Arial" w:eastAsia="Arial" w:hAnsi="Arial"/>
                <w:b/>
                <w:bCs/>
                <w:color w:val="C62828"/>
                <w:sz w:val="16"/>
                <w:szCs w:val="16"/>
              </w:rPr>
              <w:t xml:space="preserve">Awaiting Disposal</w:t>
            </w:r>
          </w:p>
        </w:tc>
        <w:tc>
          <w:tcPr>
            <w:tcW w:type="dxa" w:w="6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2025-12-28</w:t>
            </w:r>
          </w:p>
        </w:tc>
      </w:tr>
    </w:tbl>
    <w:p>
      <w:pPr>
        <w:pBdr>
          <w:bottom w:val="single" w:color="2E5FA3" w:sz="8"/>
        </w:pBdr>
        <w:spacing w:after="120" w:before="320"/>
      </w:pPr>
      <w:r>
        <w:rPr>
          <w:rFonts w:ascii="Arial" w:cs="Arial" w:eastAsia="Arial" w:hAnsi="Arial"/>
          <w:b/>
          <w:bCs/>
          <w:color w:val="1B3A6B"/>
          <w:sz w:val="24"/>
          <w:szCs w:val="24"/>
        </w:rPr>
        <w:t xml:space="preserve">6.  Declaration &amp; Attestation</w:t>
      </w:r>
    </w:p>
    <w:p>
      <w:pPr>
        <w:spacing w:after="80" w:before="80"/>
      </w:pPr>
      <w:r>
        <w:rPr>
          <w:rFonts w:ascii="Arial" w:cs="Arial" w:eastAsia="Arial" w:hAnsi="Arial"/>
          <w:color w:val="2C2C2C"/>
          <w:sz w:val="20"/>
          <w:szCs w:val="20"/>
        </w:rPr>
        <w:t xml:space="preserve">The undersigned hereby certify that the data sanitization activities described in this certificate have been or will be carried out in accordance with the approved methods and standards listed above, and that all records have been accurately captured in the organizational asset register.</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0D0" w:sz="1"/>
              <w:left w:val="single" w:color="D0D0D0" w:sz="1"/>
              <w:bottom w:val="single" w:color="D0D0D0" w:sz="1"/>
              <w:right w:val="single" w:color="D0D0D0" w:sz="1"/>
            </w:tcBorders>
            <w:tcMar>
              <w:top w:type="dxa" w:w="80"/>
              <w:left w:type="dxa" w:w="160"/>
              <w:bottom w:type="dxa" w:w="80"/>
              <w:right w:type="dxa" w:w="160"/>
            </w:tcMar>
          </w:tcPr>
          <w:p>
            <w:pPr>
              <w:spacing w:before="600"/>
            </w:pPr>
            <w:r>
              <w:rPr>
                <w:sz w:val="20"/>
                <w:szCs w:val="20"/>
              </w:rPr>
              <w:t xml:space="preserve"/>
            </w:r>
          </w:p>
          <w:p>
            <w:pPr>
              <w:pBdr>
                <w:bottom w:val="single" w:color="888888" w:sz="6"/>
              </w:pBdr>
            </w:pPr>
            <w:r>
              <w:rPr>
                <w:sz w:val="20"/>
                <w:szCs w:val="20"/>
              </w:rPr>
              <w:t xml:space="preserve"> </w:t>
            </w:r>
          </w:p>
          <w:p>
            <w:r>
              <w:rPr>
                <w:rFonts w:ascii="Arial" w:cs="Arial" w:eastAsia="Arial" w:hAnsi="Arial"/>
                <w:b/>
                <w:bCs/>
                <w:color w:val="555555"/>
                <w:sz w:val="18"/>
                <w:szCs w:val="18"/>
              </w:rPr>
              <w:t xml:space="preserve">Prepared By — Information Security Officer</w:t>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c>
          <w:tcPr>
            <w:tcW w:type="dxa" w:w="4500"/>
            <w:tcBorders>
              <w:top w:val="single" w:color="D0D0D0" w:sz="1"/>
              <w:left w:val="single" w:color="D0D0D0" w:sz="1"/>
              <w:bottom w:val="single" w:color="D0D0D0" w:sz="1"/>
              <w:right w:val="single" w:color="D0D0D0" w:sz="1"/>
            </w:tcBorders>
            <w:tcMar>
              <w:top w:type="dxa" w:w="80"/>
              <w:left w:type="dxa" w:w="160"/>
              <w:bottom w:type="dxa" w:w="80"/>
              <w:right w:type="dxa" w:w="160"/>
            </w:tcMar>
          </w:tcPr>
          <w:p>
            <w:pPr>
              <w:spacing w:before="600"/>
            </w:pPr>
            <w:r>
              <w:rPr>
                <w:sz w:val="20"/>
                <w:szCs w:val="20"/>
              </w:rPr>
              <w:t xml:space="preserve"/>
            </w:r>
          </w:p>
          <w:p>
            <w:pPr>
              <w:pBdr>
                <w:bottom w:val="single" w:color="888888" w:sz="6"/>
              </w:pBdr>
            </w:pPr>
            <w:r>
              <w:rPr>
                <w:sz w:val="20"/>
                <w:szCs w:val="20"/>
              </w:rPr>
              <w:t xml:space="preserve"> </w:t>
            </w:r>
          </w:p>
          <w:p>
            <w:r>
              <w:rPr>
                <w:rFonts w:ascii="Arial" w:cs="Arial" w:eastAsia="Arial" w:hAnsi="Arial"/>
                <w:b/>
                <w:bCs/>
                <w:color w:val="555555"/>
                <w:sz w:val="18"/>
                <w:szCs w:val="18"/>
              </w:rPr>
              <w:t xml:space="preserve">Reviewed By — IT Asset Manager</w:t>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r>
      <w:tr>
        <w:tc>
          <w:tcPr>
            <w:tcW w:type="dxa" w:w="4500"/>
            <w:tcBorders>
              <w:top w:val="single" w:color="D0D0D0" w:sz="1"/>
              <w:left w:val="single" w:color="D0D0D0" w:sz="1"/>
              <w:bottom w:val="single" w:color="D0D0D0" w:sz="1"/>
              <w:right w:val="single" w:color="D0D0D0" w:sz="1"/>
            </w:tcBorders>
            <w:tcMar>
              <w:top w:type="dxa" w:w="80"/>
              <w:left w:type="dxa" w:w="160"/>
              <w:bottom w:type="dxa" w:w="80"/>
              <w:right w:type="dxa" w:w="160"/>
            </w:tcMar>
          </w:tcPr>
          <w:p>
            <w:pPr>
              <w:spacing w:before="600"/>
            </w:pPr>
            <w:r>
              <w:rPr>
                <w:sz w:val="20"/>
                <w:szCs w:val="20"/>
              </w:rPr>
              <w:t xml:space="preserve"/>
            </w:r>
          </w:p>
          <w:p>
            <w:pPr>
              <w:pBdr>
                <w:bottom w:val="single" w:color="888888" w:sz="6"/>
              </w:pBdr>
            </w:pPr>
            <w:r>
              <w:rPr>
                <w:sz w:val="20"/>
                <w:szCs w:val="20"/>
              </w:rPr>
              <w:t xml:space="preserve"> </w:t>
            </w:r>
          </w:p>
          <w:p>
            <w:r>
              <w:rPr>
                <w:rFonts w:ascii="Arial" w:cs="Arial" w:eastAsia="Arial" w:hAnsi="Arial"/>
                <w:b/>
                <w:bCs/>
                <w:color w:val="555555"/>
                <w:sz w:val="18"/>
                <w:szCs w:val="18"/>
              </w:rPr>
              <w:t xml:space="preserve">Approved By — Chief Information Security Officer</w:t>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c>
          <w:tcPr>
            <w:tcW w:type="dxa" w:w="4500"/>
            <w:tcBorders>
              <w:top w:val="single" w:color="D0D0D0" w:sz="1"/>
              <w:left w:val="single" w:color="D0D0D0" w:sz="1"/>
              <w:bottom w:val="single" w:color="D0D0D0" w:sz="1"/>
              <w:right w:val="single" w:color="D0D0D0" w:sz="1"/>
            </w:tcBorders>
            <w:tcMar>
              <w:top w:type="dxa" w:w="80"/>
              <w:left w:type="dxa" w:w="160"/>
              <w:bottom w:type="dxa" w:w="80"/>
              <w:right w:type="dxa" w:w="160"/>
            </w:tcMar>
          </w:tcPr>
          <w:p>
            <w:pPr>
              <w:spacing w:before="600"/>
            </w:pPr>
            <w:r>
              <w:rPr>
                <w:sz w:val="20"/>
                <w:szCs w:val="20"/>
              </w:rPr>
              <w:t xml:space="preserve"/>
            </w:r>
          </w:p>
          <w:p>
            <w:pPr>
              <w:pBdr>
                <w:bottom w:val="single" w:color="888888" w:sz="6"/>
              </w:pBdr>
            </w:pPr>
            <w:r>
              <w:rPr>
                <w:sz w:val="20"/>
                <w:szCs w:val="20"/>
              </w:rPr>
              <w:t xml:space="preserve"> </w:t>
            </w:r>
          </w:p>
          <w:p>
            <w:r>
              <w:rPr>
                <w:rFonts w:ascii="Arial" w:cs="Arial" w:eastAsia="Arial" w:hAnsi="Arial"/>
                <w:b/>
                <w:bCs/>
                <w:color w:val="555555"/>
                <w:sz w:val="18"/>
                <w:szCs w:val="18"/>
              </w:rPr>
              <w:t xml:space="preserve">Witnessed By — Internal Audit Representative</w:t>
            </w:r>
          </w:p>
          <w:p>
            <w:r>
              <w:rPr>
                <w:rFonts w:ascii="Arial" w:cs="Arial" w:eastAsia="Arial" w:hAnsi="Arial"/>
                <w:color w:val="555555"/>
                <w:sz w:val="18"/>
                <w:szCs w:val="18"/>
              </w:rPr>
              <w:t xml:space="preserve">Name: _________________________</w:t>
            </w:r>
          </w:p>
          <w:p>
            <w:r>
              <w:rPr>
                <w:rFonts w:ascii="Arial" w:cs="Arial" w:eastAsia="Arial" w:hAnsi="Arial"/>
                <w:color w:val="555555"/>
                <w:sz w:val="18"/>
                <w:szCs w:val="18"/>
              </w:rPr>
              <w:t xml:space="preserve">Date:  _________________________</w:t>
            </w:r>
          </w:p>
        </w:tc>
      </w:tr>
    </w:tbl>
    <w:p>
      <w:pPr>
        <w:pBdr>
          <w:bottom w:val="single" w:color="2E5FA3" w:sz="8"/>
        </w:pBdr>
        <w:spacing w:after="120" w:before="320"/>
      </w:pPr>
      <w:r>
        <w:rPr>
          <w:rFonts w:ascii="Arial" w:cs="Arial" w:eastAsia="Arial" w:hAnsi="Arial"/>
          <w:b/>
          <w:bCs/>
          <w:color w:val="1B3A6B"/>
          <w:sz w:val="24"/>
          <w:szCs w:val="24"/>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700"/>
        <w:gridCol w:w="2700"/>
      </w:tblGrid>
      <w:tr>
        <w:trPr>
          <w:tblHeader/>
        </w:trPr>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25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Summary of Changes</w:t>
            </w:r>
          </w:p>
        </w:tc>
      </w:tr>
      <w:tr>
        <w:tc>
          <w:tcPr>
            <w:tcW w:type="dxa" w:w="144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16"/>
                <w:szCs w:val="16"/>
              </w:rPr>
              <w:t xml:space="preserve">1.0</w:t>
            </w:r>
          </w:p>
        </w:tc>
        <w:tc>
          <w:tcPr>
            <w:tcW w:type="dxa" w:w="252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May 5, 2026</w:t>
            </w:r>
          </w:p>
        </w:tc>
        <w:tc>
          <w:tcPr>
            <w:tcW w:type="dxa" w:w="2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Information Security Office</w:t>
            </w:r>
          </w:p>
        </w:tc>
        <w:tc>
          <w:tcPr>
            <w:tcW w:type="dxa" w:w="2700"/>
            <w:tcBorders>
              <w:top w:val="single" w:color="BDD0F0" w:sz="1"/>
              <w:left w:val="single" w:color="BDD0F0" w:sz="1"/>
              <w:bottom w:val="single" w:color="BDD0F0" w:sz="1"/>
              <w:right w:val="single" w:color="BDD0F0"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16"/>
                <w:szCs w:val="16"/>
              </w:rPr>
              <w:t xml:space="preserve">Initial issue</w:t>
            </w:r>
          </w:p>
        </w:tc>
      </w:tr>
    </w:tbl>
    <w:p>
      <w:pPr>
        <w:spacing w:after="80" w:before="300"/>
      </w:pPr>
      <w:r>
        <w:rPr>
          <w:rFonts w:ascii="Arial" w:cs="Arial" w:eastAsia="Arial" w:hAnsi="Arial"/>
          <w:i/>
          <w:iCs/>
          <w:color w:val="888888"/>
          <w:sz w:val="16"/>
          <w:szCs w:val="16"/>
        </w:rPr>
        <w:t xml:space="preserve">This document is the property of Global Enterprises Inc. and is classified CONFIDENTIAL. Unauthorized reproduction or distribution is strictly prohibited. Retain for a minimum of three (3) years from the issue date.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8"/>
      </w:pBdr>
      <w:tabs>
        <w:tab w:val="right" w:pos="9026"/>
      </w:tabs>
      <w:spacing w:before="80"/>
    </w:pPr>
    <w:r>
      <w:rPr>
        <w:rFonts w:ascii="Arial" w:cs="Arial" w:eastAsia="Arial" w:hAnsi="Arial"/>
        <w:color w:val="888888"/>
        <w:sz w:val="16"/>
        <w:szCs w:val="16"/>
      </w:rPr>
      <w:t xml:space="preserve">CONFIDENTIAL — For authorized personnel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of this certificate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8"/>
      </w:pBdr>
      <w:spacing w:after="100"/>
    </w:pPr>
    <w:r>
      <w:rPr>
        <w:rFonts w:ascii="Arial" w:cs="Arial" w:eastAsia="Arial" w:hAnsi="Arial"/>
        <w:b/>
        <w:bCs/>
        <w:color w:val="1B3A6B"/>
        <w:sz w:val="18"/>
        <w:szCs w:val="18"/>
      </w:rPr>
      <w:t xml:space="preserve">Global Enterprises Inc.  |  Data Destruction Certificate  |  </w:t>
    </w:r>
    <w:r>
      <w:rPr>
        <w:rFonts w:ascii="Arial" w:cs="Arial" w:eastAsia="Arial" w:hAnsi="Arial"/>
        <w:color w:val="2E5FA3"/>
        <w:sz w:val="18"/>
        <w:szCs w:val="18"/>
      </w:rPr>
      <w:t xml:space="preserve">GEI-DDC-2026-001</w:t>
    </w:r>
    <w:r>
      <w:rPr>
        <w:rFonts w:ascii="Arial" w:cs="Arial" w:eastAsia="Arial" w:hAnsi="Arial"/>
        <w:color w:val="888888"/>
        <w:sz w:val="18"/>
        <w:szCs w:val="18"/>
      </w:rPr>
      <w:t xml:space="preserve">  |  ISO/IEC 27001:2022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2026-05-05T16:29:25.056Z</dcterms:created>
  <dcterms:modified xsi:type="dcterms:W3CDTF">2026-05-05T16:29:25.056Z</dcterms:modified>
</cp:coreProperties>
</file>

<file path=docProps/custom.xml><?xml version="1.0" encoding="utf-8"?>
<Properties xmlns="http://schemas.openxmlformats.org/officeDocument/2006/custom-properties" xmlns:vt="http://schemas.openxmlformats.org/officeDocument/2006/docPropsVTypes"/>
</file>