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8"/>
          <w:sz w:val="32"/>
          <w:szCs w:val="32"/>
        </w:rPr>
        <w:t xml:space="preserve">TechInnovate Inc</w:t>
      </w:r>
    </w:p>
    <w:p>
      <w:pPr>
        <w:spacing w:after="400"/>
        <w:jc w:val="center"/>
      </w:pPr>
      <w:r>
        <w:rPr>
          <w:sz w:val="20"/>
          <w:szCs w:val="20"/>
        </w:rPr>
        <w:t xml:space="preserve">Seattle, Washington, USA</w:t>
      </w:r>
    </w:p>
    <w:p>
      <w:pPr>
        <w:pStyle w:val="Heading1"/>
        <w:spacing w:after="400" w:before="240"/>
      </w:pPr>
      <w:r>
        <w:t xml:space="preserve">DATA DESTRUCTION CERTIFICATE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none" w:sz="0"/>
              <w:left w:val="none" w:sz="0"/>
              <w:bottom w:val="none" w:sz="0"/>
              <w:right w:val="none" w:sz="0"/>
            </w:tcBorders>
          </w:tcPr>
          <w:p>
            <w:r>
              <w:rPr>
                <w:b/>
                <w:bCs/>
              </w:rPr>
              <w:t xml:space="preserve">Certificate Number:</w:t>
            </w:r>
          </w:p>
        </w:tc>
        <w:tc>
          <w:tcPr>
            <w:tcW w:type="dxa" w:w="6240"/>
            <w:tcBorders>
              <w:top w:val="none" w:sz="0"/>
              <w:left w:val="none" w:sz="0"/>
              <w:bottom w:val="none" w:sz="0"/>
              <w:right w:val="none" w:sz="0"/>
            </w:tcBorders>
          </w:tcPr>
          <w:p>
            <w:r>
              <w:t xml:space="preserve">DDC-2025-000271</w:t>
            </w:r>
          </w:p>
        </w:tc>
      </w:tr>
      <w:tr>
        <w:tc>
          <w:tcPr>
            <w:tcW w:type="dxa" w:w="3120"/>
            <w:tcBorders>
              <w:top w:val="none" w:sz="0"/>
              <w:left w:val="none" w:sz="0"/>
              <w:bottom w:val="none" w:sz="0"/>
              <w:right w:val="none" w:sz="0"/>
            </w:tcBorders>
          </w:tcPr>
          <w:p>
            <w:r>
              <w:rPr>
                <w:b/>
                <w:bCs/>
              </w:rPr>
              <w:t xml:space="preserve">Issue Date:</w:t>
            </w:r>
          </w:p>
        </w:tc>
        <w:tc>
          <w:tcPr>
            <w:tcW w:type="dxa" w:w="6240"/>
            <w:tcBorders>
              <w:top w:val="none" w:sz="0"/>
              <w:left w:val="none" w:sz="0"/>
              <w:bottom w:val="none" w:sz="0"/>
              <w:right w:val="none" w:sz="0"/>
            </w:tcBorders>
          </w:tcPr>
          <w:p>
            <w:r>
              <w:t xml:space="preserve">May 5, 2026</w:t>
            </w:r>
          </w:p>
        </w:tc>
      </w:tr>
      <w:tr>
        <w:tc>
          <w:tcPr>
            <w:tcW w:type="dxa" w:w="3120"/>
            <w:tcBorders>
              <w:top w:val="none" w:sz="0"/>
              <w:left w:val="none" w:sz="0"/>
              <w:bottom w:val="none" w:sz="0"/>
              <w:right w:val="none" w:sz="0"/>
            </w:tcBorders>
          </w:tcPr>
          <w:p>
            <w:r>
              <w:rPr>
                <w:b/>
                <w:bCs/>
              </w:rPr>
              <w:t xml:space="preserve">ISO 27001 Control:</w:t>
            </w:r>
          </w:p>
        </w:tc>
        <w:tc>
          <w:tcPr>
            <w:tcW w:type="dxa" w:w="6240"/>
            <w:tcBorders>
              <w:top w:val="none" w:sz="0"/>
              <w:left w:val="none" w:sz="0"/>
              <w:bottom w:val="none" w:sz="0"/>
              <w:right w:val="none" w:sz="0"/>
            </w:tcBorders>
          </w:tcPr>
          <w:p>
            <w:r>
              <w:t xml:space="preserve">7.14 Secure disposal or re-use of equipment | 8.10 Information deletion</w:t>
            </w:r>
          </w:p>
        </w:tc>
      </w:tr>
    </w:tbl>
    <w:p>
      <w:pPr>
        <w:spacing w:after="300"/>
      </w:pPr>
    </w:p>
    <w:p>
      <w:pPr>
        <w:pStyle w:val="Heading2"/>
        <w:spacing w:after="200" w:before="300"/>
      </w:pPr>
      <w:r>
        <w:t xml:space="preserve">Asset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0000" w:sz="1"/>
              <w:left w:val="single" w:color="000000" w:sz="1"/>
              <w:bottom w:val="single" w:color="000000" w:sz="1"/>
              <w:right w:val="single" w:color="000000" w:sz="1"/>
            </w:tcBorders>
            <w:shd w:fill="E7E6E6" w:val="clear"/>
            <w:tcMar>
              <w:top w:type="dxa" w:w="100"/>
              <w:left w:type="dxa" w:w="120"/>
              <w:bottom w:type="dxa" w:w="100"/>
              <w:right w:type="dxa" w:w="120"/>
            </w:tcMar>
          </w:tcPr>
          <w:p>
            <w:r>
              <w:rPr>
                <w:b/>
                <w:bCs/>
              </w:rPr>
              <w:t xml:space="preserve">Asset ID</w:t>
            </w:r>
          </w:p>
        </w:tc>
        <w:tc>
          <w:tcPr>
            <w:tcW w:type="dxa" w:w="62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TEC-AST-000271</w:t>
            </w:r>
          </w:p>
        </w:tc>
      </w:tr>
      <w:tr>
        <w:tc>
          <w:tcPr>
            <w:tcW w:type="dxa" w:w="3120"/>
            <w:tcBorders>
              <w:top w:val="single" w:color="000000" w:sz="1"/>
              <w:left w:val="single" w:color="000000" w:sz="1"/>
              <w:bottom w:val="single" w:color="000000" w:sz="1"/>
              <w:right w:val="single" w:color="000000" w:sz="1"/>
            </w:tcBorders>
            <w:shd w:fill="E7E6E6" w:val="clear"/>
            <w:tcMar>
              <w:top w:type="dxa" w:w="100"/>
              <w:left w:type="dxa" w:w="120"/>
              <w:bottom w:type="dxa" w:w="100"/>
              <w:right w:type="dxa" w:w="120"/>
            </w:tcMar>
          </w:tcPr>
          <w:p>
            <w:r>
              <w:rPr>
                <w:b/>
                <w:bCs/>
              </w:rPr>
              <w:t xml:space="preserve">Asset Name</w:t>
            </w:r>
          </w:p>
        </w:tc>
        <w:tc>
          <w:tcPr>
            <w:tcW w:type="dxa" w:w="62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TESW0271</w:t>
            </w:r>
          </w:p>
        </w:tc>
      </w:tr>
      <w:tr>
        <w:tc>
          <w:tcPr>
            <w:tcW w:type="dxa" w:w="3120"/>
            <w:tcBorders>
              <w:top w:val="single" w:color="000000" w:sz="1"/>
              <w:left w:val="single" w:color="000000" w:sz="1"/>
              <w:bottom w:val="single" w:color="000000" w:sz="1"/>
              <w:right w:val="single" w:color="000000" w:sz="1"/>
            </w:tcBorders>
            <w:shd w:fill="E7E6E6" w:val="clear"/>
            <w:tcMar>
              <w:top w:type="dxa" w:w="100"/>
              <w:left w:type="dxa" w:w="120"/>
              <w:bottom w:type="dxa" w:w="100"/>
              <w:right w:type="dxa" w:w="120"/>
            </w:tcMar>
          </w:tcPr>
          <w:p>
            <w:r>
              <w:rPr>
                <w:b/>
                <w:bCs/>
              </w:rPr>
              <w:t xml:space="preserve">Asset Type</w:t>
            </w:r>
          </w:p>
        </w:tc>
        <w:tc>
          <w:tcPr>
            <w:tcW w:type="dxa" w:w="62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Network Switch</w:t>
            </w:r>
          </w:p>
        </w:tc>
      </w:tr>
      <w:tr>
        <w:tc>
          <w:tcPr>
            <w:tcW w:type="dxa" w:w="3120"/>
            <w:tcBorders>
              <w:top w:val="single" w:color="000000" w:sz="1"/>
              <w:left w:val="single" w:color="000000" w:sz="1"/>
              <w:bottom w:val="single" w:color="000000" w:sz="1"/>
              <w:right w:val="single" w:color="000000" w:sz="1"/>
            </w:tcBorders>
            <w:shd w:fill="E7E6E6" w:val="clear"/>
            <w:tcMar>
              <w:top w:type="dxa" w:w="100"/>
              <w:left w:type="dxa" w:w="120"/>
              <w:bottom w:type="dxa" w:w="100"/>
              <w:right w:type="dxa" w:w="120"/>
            </w:tcMar>
          </w:tcPr>
          <w:p>
            <w:r>
              <w:rPr>
                <w:b/>
                <w:bCs/>
              </w:rPr>
              <w:t xml:space="preserve">Manufacturer/Model</w:t>
            </w:r>
          </w:p>
        </w:tc>
        <w:tc>
          <w:tcPr>
            <w:tcW w:type="dxa" w:w="62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Cisco Catalyst 9300-48P</w:t>
            </w:r>
          </w:p>
        </w:tc>
      </w:tr>
      <w:tr>
        <w:tc>
          <w:tcPr>
            <w:tcW w:type="dxa" w:w="3120"/>
            <w:tcBorders>
              <w:top w:val="single" w:color="000000" w:sz="1"/>
              <w:left w:val="single" w:color="000000" w:sz="1"/>
              <w:bottom w:val="single" w:color="000000" w:sz="1"/>
              <w:right w:val="single" w:color="000000" w:sz="1"/>
            </w:tcBorders>
            <w:shd w:fill="E7E6E6" w:val="clear"/>
            <w:tcMar>
              <w:top w:type="dxa" w:w="100"/>
              <w:left w:type="dxa" w:w="120"/>
              <w:bottom w:type="dxa" w:w="100"/>
              <w:right w:type="dxa" w:w="120"/>
            </w:tcMar>
          </w:tcPr>
          <w:p>
            <w:r>
              <w:rPr>
                <w:b/>
                <w:bCs/>
              </w:rPr>
              <w:t xml:space="preserve">Serial Number</w:t>
            </w:r>
          </w:p>
        </w:tc>
        <w:tc>
          <w:tcPr>
            <w:tcW w:type="dxa" w:w="62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SN9278604024</w:t>
            </w:r>
          </w:p>
        </w:tc>
      </w:tr>
      <w:tr>
        <w:tc>
          <w:tcPr>
            <w:tcW w:type="dxa" w:w="3120"/>
            <w:tcBorders>
              <w:top w:val="single" w:color="000000" w:sz="1"/>
              <w:left w:val="single" w:color="000000" w:sz="1"/>
              <w:bottom w:val="single" w:color="000000" w:sz="1"/>
              <w:right w:val="single" w:color="000000" w:sz="1"/>
            </w:tcBorders>
            <w:shd w:fill="E7E6E6" w:val="clear"/>
            <w:tcMar>
              <w:top w:type="dxa" w:w="100"/>
              <w:left w:type="dxa" w:w="120"/>
              <w:bottom w:type="dxa" w:w="100"/>
              <w:right w:type="dxa" w:w="120"/>
            </w:tcMar>
          </w:tcPr>
          <w:p>
            <w:r>
              <w:rPr>
                <w:b/>
                <w:bCs/>
              </w:rPr>
              <w:t xml:space="preserve">Previous Location</w:t>
            </w:r>
          </w:p>
        </w:tc>
        <w:tc>
          <w:tcPr>
            <w:tcW w:type="dxa" w:w="62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Cologix TOR1 Data Center - 151 Front St W, Toronto, ON</w:t>
            </w:r>
          </w:p>
        </w:tc>
      </w:tr>
      <w:tr>
        <w:tc>
          <w:tcPr>
            <w:tcW w:type="dxa" w:w="3120"/>
            <w:tcBorders>
              <w:top w:val="single" w:color="000000" w:sz="1"/>
              <w:left w:val="single" w:color="000000" w:sz="1"/>
              <w:bottom w:val="single" w:color="000000" w:sz="1"/>
              <w:right w:val="single" w:color="000000" w:sz="1"/>
            </w:tcBorders>
            <w:shd w:fill="E7E6E6" w:val="clear"/>
            <w:tcMar>
              <w:top w:type="dxa" w:w="100"/>
              <w:left w:type="dxa" w:w="120"/>
              <w:bottom w:type="dxa" w:w="100"/>
              <w:right w:type="dxa" w:w="120"/>
            </w:tcMar>
          </w:tcPr>
          <w:p>
            <w:r>
              <w:rPr>
                <w:b/>
                <w:bCs/>
              </w:rPr>
              <w:t xml:space="preserve">Last Assigned User</w:t>
            </w:r>
          </w:p>
        </w:tc>
        <w:tc>
          <w:tcPr>
            <w:tcW w:type="dxa" w:w="62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Jody Johnson (IT Department)</w:t>
            </w:r>
          </w:p>
        </w:tc>
      </w:tr>
      <w:tr>
        <w:tc>
          <w:tcPr>
            <w:tcW w:type="dxa" w:w="3120"/>
            <w:tcBorders>
              <w:top w:val="single" w:color="000000" w:sz="1"/>
              <w:left w:val="single" w:color="000000" w:sz="1"/>
              <w:bottom w:val="single" w:color="000000" w:sz="1"/>
              <w:right w:val="single" w:color="000000" w:sz="1"/>
            </w:tcBorders>
            <w:shd w:fill="E7E6E6" w:val="clear"/>
            <w:tcMar>
              <w:top w:type="dxa" w:w="100"/>
              <w:left w:type="dxa" w:w="120"/>
              <w:bottom w:type="dxa" w:w="100"/>
              <w:right w:type="dxa" w:w="120"/>
            </w:tcMar>
          </w:tcPr>
          <w:p>
            <w:r>
              <w:rPr>
                <w:b/>
                <w:bCs/>
              </w:rPr>
              <w:t xml:space="preserve">Decommission Date</w:t>
            </w:r>
          </w:p>
        </w:tc>
        <w:tc>
          <w:tcPr>
            <w:tcW w:type="dxa" w:w="62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November 4, 2025</w:t>
            </w:r>
          </w:p>
        </w:tc>
      </w:tr>
    </w:tbl>
    <w:p>
      <w:pPr>
        <w:spacing w:after="300"/>
      </w:pPr>
    </w:p>
    <w:p>
      <w:pPr>
        <w:pStyle w:val="Heading2"/>
        <w:spacing w:after="200" w:before="300"/>
      </w:pPr>
      <w:r>
        <w:t xml:space="preserve">Data Destruction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0000" w:sz="1"/>
              <w:left w:val="single" w:color="000000" w:sz="1"/>
              <w:bottom w:val="single" w:color="000000" w:sz="1"/>
              <w:right w:val="single" w:color="000000" w:sz="1"/>
            </w:tcBorders>
            <w:shd w:fill="E7E6E6" w:val="clear"/>
            <w:tcMar>
              <w:top w:type="dxa" w:w="100"/>
              <w:left w:type="dxa" w:w="120"/>
              <w:bottom w:type="dxa" w:w="100"/>
              <w:right w:type="dxa" w:w="120"/>
            </w:tcMar>
          </w:tcPr>
          <w:p>
            <w:r>
              <w:rPr>
                <w:b/>
                <w:bCs/>
              </w:rPr>
              <w:t xml:space="preserve">Destruction Method</w:t>
            </w:r>
          </w:p>
        </w:tc>
        <w:tc>
          <w:tcPr>
            <w:tcW w:type="dxa" w:w="62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Secure Configuration Wipe - NIST SP 800-88 Rev. 1 Clear Method</w:t>
            </w:r>
          </w:p>
        </w:tc>
      </w:tr>
      <w:tr>
        <w:tc>
          <w:tcPr>
            <w:tcW w:type="dxa" w:w="3120"/>
            <w:tcBorders>
              <w:top w:val="single" w:color="000000" w:sz="1"/>
              <w:left w:val="single" w:color="000000" w:sz="1"/>
              <w:bottom w:val="single" w:color="000000" w:sz="1"/>
              <w:right w:val="single" w:color="000000" w:sz="1"/>
            </w:tcBorders>
            <w:shd w:fill="E7E6E6" w:val="clear"/>
            <w:tcMar>
              <w:top w:type="dxa" w:w="100"/>
              <w:left w:type="dxa" w:w="120"/>
              <w:bottom w:type="dxa" w:w="100"/>
              <w:right w:type="dxa" w:w="120"/>
            </w:tcMar>
          </w:tcPr>
          <w:p>
            <w:r>
              <w:rPr>
                <w:b/>
                <w:bCs/>
              </w:rPr>
              <w:t xml:space="preserve">Data Types Removed</w:t>
            </w:r>
          </w:p>
        </w:tc>
        <w:tc>
          <w:tcPr>
            <w:tcW w:type="dxa" w:w="62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Network configurations, VLAN settings, access control lists, routing tables, logs, and all stored credentials</w:t>
            </w:r>
          </w:p>
        </w:tc>
      </w:tr>
      <w:tr>
        <w:tc>
          <w:tcPr>
            <w:tcW w:type="dxa" w:w="3120"/>
            <w:tcBorders>
              <w:top w:val="single" w:color="000000" w:sz="1"/>
              <w:left w:val="single" w:color="000000" w:sz="1"/>
              <w:bottom w:val="single" w:color="000000" w:sz="1"/>
              <w:right w:val="single" w:color="000000" w:sz="1"/>
            </w:tcBorders>
            <w:shd w:fill="E7E6E6" w:val="clear"/>
            <w:tcMar>
              <w:top w:type="dxa" w:w="100"/>
              <w:left w:type="dxa" w:w="120"/>
              <w:bottom w:type="dxa" w:w="100"/>
              <w:right w:type="dxa" w:w="120"/>
            </w:tcMar>
          </w:tcPr>
          <w:p>
            <w:r>
              <w:rPr>
                <w:b/>
                <w:bCs/>
              </w:rPr>
              <w:t xml:space="preserve">Destruction Date</w:t>
            </w:r>
          </w:p>
        </w:tc>
        <w:tc>
          <w:tcPr>
            <w:tcW w:type="dxa" w:w="62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November 8, 2025</w:t>
            </w:r>
          </w:p>
        </w:tc>
      </w:tr>
      <w:tr>
        <w:tc>
          <w:tcPr>
            <w:tcW w:type="dxa" w:w="3120"/>
            <w:tcBorders>
              <w:top w:val="single" w:color="000000" w:sz="1"/>
              <w:left w:val="single" w:color="000000" w:sz="1"/>
              <w:bottom w:val="single" w:color="000000" w:sz="1"/>
              <w:right w:val="single" w:color="000000" w:sz="1"/>
            </w:tcBorders>
            <w:shd w:fill="E7E6E6" w:val="clear"/>
            <w:tcMar>
              <w:top w:type="dxa" w:w="100"/>
              <w:left w:type="dxa" w:w="120"/>
              <w:bottom w:type="dxa" w:w="100"/>
              <w:right w:type="dxa" w:w="120"/>
            </w:tcMar>
          </w:tcPr>
          <w:p>
            <w:r>
              <w:rPr>
                <w:b/>
                <w:bCs/>
              </w:rPr>
              <w:t xml:space="preserve">Destruction Location</w:t>
            </w:r>
          </w:p>
        </w:tc>
        <w:tc>
          <w:tcPr>
            <w:tcW w:type="dxa" w:w="62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TechInnovate IT Operations Center, Seattle, WA</w:t>
            </w:r>
          </w:p>
        </w:tc>
      </w:tr>
      <w:tr>
        <w:tc>
          <w:tcPr>
            <w:tcW w:type="dxa" w:w="3120"/>
            <w:tcBorders>
              <w:top w:val="single" w:color="000000" w:sz="1"/>
              <w:left w:val="single" w:color="000000" w:sz="1"/>
              <w:bottom w:val="single" w:color="000000" w:sz="1"/>
              <w:right w:val="single" w:color="000000" w:sz="1"/>
            </w:tcBorders>
            <w:shd w:fill="E7E6E6" w:val="clear"/>
            <w:tcMar>
              <w:top w:type="dxa" w:w="100"/>
              <w:left w:type="dxa" w:w="120"/>
              <w:bottom w:type="dxa" w:w="100"/>
              <w:right w:type="dxa" w:w="120"/>
            </w:tcMar>
          </w:tcPr>
          <w:p>
            <w:r>
              <w:rPr>
                <w:b/>
                <w:bCs/>
              </w:rPr>
              <w:t xml:space="preserve">Tools/Software Used</w:t>
            </w:r>
          </w:p>
        </w:tc>
        <w:tc>
          <w:tcPr>
            <w:tcW w:type="dxa" w:w="62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Cisco IOS factory-reset command sequence (write erase / reload)</w:t>
            </w:r>
          </w:p>
        </w:tc>
      </w:tr>
    </w:tbl>
    <w:p>
      <w:pPr>
        <w:spacing w:after="300"/>
      </w:pPr>
    </w:p>
    <w:p>
      <w:pPr>
        <w:pStyle w:val="Heading2"/>
        <w:spacing w:after="200" w:before="300"/>
      </w:pPr>
      <w:r>
        <w:t xml:space="preserve">Personnel and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0000" w:sz="1"/>
              <w:left w:val="single" w:color="000000" w:sz="1"/>
              <w:bottom w:val="single" w:color="000000" w:sz="1"/>
              <w:right w:val="single" w:color="000000" w:sz="1"/>
            </w:tcBorders>
            <w:shd w:fill="E7E6E6" w:val="clear"/>
            <w:tcMar>
              <w:top w:type="dxa" w:w="100"/>
              <w:left w:type="dxa" w:w="120"/>
              <w:bottom w:type="dxa" w:w="100"/>
              <w:right w:type="dxa" w:w="120"/>
            </w:tcMar>
          </w:tcPr>
          <w:p>
            <w:r>
              <w:rPr>
                <w:b/>
                <w:bCs/>
              </w:rPr>
              <w:t xml:space="preserve">Performed By</w:t>
            </w:r>
          </w:p>
        </w:tc>
        <w:tc>
          <w:tcPr>
            <w:tcW w:type="dxa" w:w="62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Marcus Chen, Network Administrator (EMP-0142)</w:t>
            </w:r>
          </w:p>
        </w:tc>
      </w:tr>
      <w:tr>
        <w:tc>
          <w:tcPr>
            <w:tcW w:type="dxa" w:w="3120"/>
            <w:tcBorders>
              <w:top w:val="single" w:color="000000" w:sz="1"/>
              <w:left w:val="single" w:color="000000" w:sz="1"/>
              <w:bottom w:val="single" w:color="000000" w:sz="1"/>
              <w:right w:val="single" w:color="000000" w:sz="1"/>
            </w:tcBorders>
            <w:shd w:fill="E7E6E6" w:val="clear"/>
            <w:tcMar>
              <w:top w:type="dxa" w:w="100"/>
              <w:left w:type="dxa" w:w="120"/>
              <w:bottom w:type="dxa" w:w="100"/>
              <w:right w:type="dxa" w:w="120"/>
            </w:tcMar>
          </w:tcPr>
          <w:p>
            <w:r>
              <w:rPr>
                <w:b/>
                <w:bCs/>
              </w:rPr>
              <w:t xml:space="preserve">Witnessed By</w:t>
            </w:r>
          </w:p>
        </w:tc>
        <w:tc>
          <w:tcPr>
            <w:tcW w:type="dxa" w:w="62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Sarah Kim, Senior IT Security Analyst (EMP-0156)</w:t>
            </w:r>
          </w:p>
        </w:tc>
      </w:tr>
      <w:tr>
        <w:tc>
          <w:tcPr>
            <w:tcW w:type="dxa" w:w="3120"/>
            <w:tcBorders>
              <w:top w:val="single" w:color="000000" w:sz="1"/>
              <w:left w:val="single" w:color="000000" w:sz="1"/>
              <w:bottom w:val="single" w:color="000000" w:sz="1"/>
              <w:right w:val="single" w:color="000000" w:sz="1"/>
            </w:tcBorders>
            <w:shd w:fill="E7E6E6" w:val="clear"/>
            <w:tcMar>
              <w:top w:type="dxa" w:w="100"/>
              <w:left w:type="dxa" w:w="120"/>
              <w:bottom w:type="dxa" w:w="100"/>
              <w:right w:type="dxa" w:w="120"/>
            </w:tcMar>
          </w:tcPr>
          <w:p>
            <w:r>
              <w:rPr>
                <w:b/>
                <w:bCs/>
              </w:rPr>
              <w:t xml:space="preserve">Verified By</w:t>
            </w:r>
          </w:p>
        </w:tc>
        <w:tc>
          <w:tcPr>
            <w:tcW w:type="dxa" w:w="6240"/>
            <w:tcBorders>
              <w:top w:val="single" w:color="000000" w:sz="1"/>
              <w:left w:val="single" w:color="000000" w:sz="1"/>
              <w:bottom w:val="single" w:color="000000" w:sz="1"/>
              <w:right w:val="single" w:color="000000" w:sz="1"/>
            </w:tcBorders>
            <w:tcMar>
              <w:top w:type="dxa" w:w="100"/>
              <w:left w:type="dxa" w:w="120"/>
              <w:bottom w:type="dxa" w:w="100"/>
              <w:right w:type="dxa" w:w="120"/>
            </w:tcMar>
          </w:tcPr>
          <w:p>
            <w:r>
              <w:t xml:space="preserve">Jennifer Washington, CISO (EMP-0087)</w:t>
            </w:r>
          </w:p>
        </w:tc>
      </w:tr>
    </w:tbl>
    <w:p>
      <w:pPr>
        <w:spacing w:after="400"/>
      </w:pPr>
    </w:p>
    <w:p>
      <w:pPr>
        <w:pStyle w:val="Heading2"/>
        <w:spacing w:after="200" w:before="300"/>
      </w:pPr>
      <w:r>
        <w:t xml:space="preserve">Certification Statement</w:t>
      </w:r>
    </w:p>
    <w:p>
      <w:pPr>
        <w:spacing w:after="200"/>
        <w:jc w:val="both"/>
      </w:pPr>
      <w:r>
        <w:t xml:space="preserve">I hereby certify that all data stored on the above-referenced asset has been securely destroyed in accordance with TechInnovate Inc's Information Security Policy, ISO/IEC 27001:2022 requirements, and NIST SP 800-88 Rev. 1 Guidelines for Media Sanitization. The data destruction process was completed using approved methods, and the asset configuration has been reset to factory defaults. All sensitive information, including but not limited to network configurations, access credentials, and operational data, has been irreversibly removed from the device.</w:t>
      </w:r>
    </w:p>
    <w:p>
      <w:pPr>
        <w:spacing w:after="400"/>
        <w:jc w:val="both"/>
      </w:pPr>
      <w:r>
        <w:t xml:space="preserve">The asset is now clear of all TechInnovate proprietary information and may be safely redeployed, sold, or disposed of in accordance with company asset disposal procedures.</w:t>
      </w:r>
    </w:p>
    <w:p>
      <w:pPr>
        <w:pStyle w:val="Heading2"/>
        <w:spacing w:after="200" w:before="400"/>
      </w:pPr>
      <w:r>
        <w:t xml:space="preserve">Authorizations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sz="0"/>
              <w:left w:val="none" w:sz="0"/>
              <w:bottom w:val="none" w:sz="0"/>
              <w:right w:val="none" w:sz="0"/>
            </w:tcBorders>
            <w:tcMar>
              <w:top w:type="dxa" w:w="100"/>
              <w:left w:type="dxa" w:w="120"/>
              <w:bottom w:type="dxa" w:w="100"/>
              <w:right w:type="dxa" w:w="120"/>
            </w:tcMar>
          </w:tcPr>
          <w:p>
            <w:r>
              <w:rPr>
                <w:b/>
                <w:bCs/>
              </w:rPr>
              <w:t xml:space="preserve">Performed By:</w:t>
            </w:r>
          </w:p>
          <w:p>
            <w:pPr>
              <w:spacing w:after="400"/>
            </w:pPr>
          </w:p>
          <w:p>
            <w:r>
              <w:t xml:space="preserve">_____________________________</w:t>
            </w:r>
          </w:p>
          <w:p>
            <w:r>
              <w:t xml:space="preserve">Marcus Chen</w:t>
            </w:r>
          </w:p>
          <w:p>
            <w:r>
              <w:t xml:space="preserve">Network Administrator</w:t>
            </w:r>
          </w:p>
          <w:p>
            <w:r>
              <w:t xml:space="preserve">Date: _______________</w:t>
            </w:r>
          </w:p>
        </w:tc>
        <w:tc>
          <w:tcPr>
            <w:tcW w:type="dxa" w:w="4680"/>
            <w:tcBorders>
              <w:top w:val="none" w:sz="0"/>
              <w:left w:val="none" w:sz="0"/>
              <w:bottom w:val="none" w:sz="0"/>
              <w:right w:val="none" w:sz="0"/>
            </w:tcBorders>
            <w:tcMar>
              <w:top w:type="dxa" w:w="100"/>
              <w:left w:type="dxa" w:w="120"/>
              <w:bottom w:type="dxa" w:w="100"/>
              <w:right w:type="dxa" w:w="120"/>
            </w:tcMar>
          </w:tcPr>
          <w:p>
            <w:r>
              <w:rPr>
                <w:b/>
                <w:bCs/>
              </w:rPr>
              <w:t xml:space="preserve">Witnessed By:</w:t>
            </w:r>
          </w:p>
          <w:p>
            <w:pPr>
              <w:spacing w:after="400"/>
            </w:pPr>
          </w:p>
          <w:p>
            <w:r>
              <w:t xml:space="preserve">_____________________________</w:t>
            </w:r>
          </w:p>
          <w:p>
            <w:r>
              <w:t xml:space="preserve">Sarah Kim</w:t>
            </w:r>
          </w:p>
          <w:p>
            <w:r>
              <w:t xml:space="preserve">Senior IT Security Analyst</w:t>
            </w:r>
          </w:p>
          <w:p>
            <w:r>
              <w:t xml:space="preserve">Date: _______________</w:t>
            </w:r>
          </w:p>
        </w:tc>
      </w:tr>
    </w:tbl>
    <w:p>
      <w:pPr>
        <w:spacing w:after="3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none" w:sz="0"/>
              <w:right w:val="none" w:sz="0"/>
            </w:tcBorders>
            <w:tcMar>
              <w:top w:type="dxa" w:w="100"/>
              <w:left w:type="dxa" w:w="120"/>
              <w:bottom w:type="dxa" w:w="100"/>
              <w:right w:type="dxa" w:w="120"/>
            </w:tcMar>
          </w:tcPr>
          <w:p>
            <w:r>
              <w:rPr>
                <w:b/>
                <w:bCs/>
              </w:rPr>
              <w:t xml:space="preserve">Verified and Approved By:</w:t>
            </w:r>
          </w:p>
          <w:p>
            <w:pPr>
              <w:spacing w:after="400"/>
            </w:pPr>
          </w:p>
          <w:p>
            <w:r>
              <w:t xml:space="preserve">_____________________________</w:t>
            </w:r>
          </w:p>
          <w:p>
            <w:r>
              <w:t xml:space="preserve">Jennifer Washington, CISSP, CISM</w:t>
            </w:r>
          </w:p>
          <w:p>
            <w:r>
              <w:t xml:space="preserve">Chief Information Security Officer</w:t>
            </w:r>
          </w:p>
          <w:p>
            <w:r>
              <w:t xml:space="preserve">Date: _______________</w:t>
            </w:r>
          </w:p>
        </w:tc>
      </w:tr>
    </w:tbl>
    <w:p>
      <w:pPr>
        <w:spacing w:after="400"/>
      </w:pPr>
    </w:p>
    <w:p>
      <w:pPr>
        <w:spacing w:before="400"/>
        <w:jc w:val="center"/>
      </w:pPr>
      <w:r>
        <w:rPr>
          <w:i/>
          <w:iCs/>
          <w:sz w:val="18"/>
          <w:szCs w:val="18"/>
        </w:rPr>
        <w:t xml:space="preserve">This certificate is issued for ISO 27001:2022 compliance purposes and maintained as part of TechInnovate Inc's Information Security Management System (ISMS) documented information.</w:t>
      </w:r>
    </w:p>
    <w:p>
      <w:pPr>
        <w:jc w:val="center"/>
      </w:pPr>
      <w:r>
        <w:rPr>
          <w:i/>
          <w:iCs/>
          <w:sz w:val="18"/>
          <w:szCs w:val="18"/>
        </w:rPr>
        <w:t xml:space="preserve">Document Classification: Internal - Confidential | Retention Period: 7 Years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jc w:val="center"/>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1F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2026-05-06T04:18:36.026Z</dcterms:created>
  <dcterms:modified xsi:type="dcterms:W3CDTF">2026-05-06T04:18:36.042Z</dcterms:modified>
</cp:coreProperties>
</file>

<file path=docProps/custom.xml><?xml version="1.0" encoding="utf-8"?>
<Properties xmlns="http://schemas.openxmlformats.org/officeDocument/2006/custom-properties" xmlns:vt="http://schemas.openxmlformats.org/officeDocument/2006/docPropsVTypes"/>
</file>