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lassification"/>
      </w:pPr>
      <w:r>
        <w:t xml:space="preserve">CONFIDENTIAL</w:t>
      </w:r>
    </w:p>
    <w:p>
      <w:pPr>
        <w:pStyle w:val="Title"/>
      </w:pPr>
      <w:r>
        <w:t xml:space="preserve">INCIDENT RESPONSE REPORT</w:t>
      </w:r>
    </w:p>
    <w:p>
      <w:pPr>
        <w:spacing w:before="120" w:after="240"/>
        <w:jc w:val="center"/>
      </w:pPr>
      <w:r>
        <w:rPr>
          <w:b/>
          <w:bCs/>
          <w:sz w:val="26"/>
          <w:szCs w:val="26"/>
        </w:rPr>
        <w:t xml:space="preserve">NIST SP 800-61 Rev. 3 Compliant</w:t>
      </w:r>
    </w:p>
    <w:p>
      <w:pPr>
        <w:pStyle w:val="Heading1"/>
      </w:pPr>
      <w:r>
        <w:t xml:space="preserve">EXECUTIVE SUMMARY</w:t>
      </w:r>
    </w:p>
    <w:p>
      <w:pPr>
        <w:pStyle w:val="BodyText"/>
      </w:pPr>
      <w:r>
        <w:t xml:space="preserve">This incident response report documents a cybersecurity incident that occurred within our organization's information systems. The incident was detected, analyzed, contained, and eradicated following NIST SP 800-61 Rev. 3 incident response procedures. This report provides a comprehensive analysis of the incident, response activities, and recommendations for preventing similar occurrences.</w:t>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Pr>
      <w:r>
        <w:t xml:space="preserve">1. INCIDENT OVERVIEW</w:t>
      </w:r>
    </w:p>
    <w:p>
      <w:pPr>
        <w:pStyle w:val="Heading2"/>
      </w:pPr>
      <w:r>
        <w:t xml:space="preserve">1.1 Incident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4472C4" w:val="clear"/>
          </w:tcPr>
          <w:p>
            <w:pPr>
              <w:pStyle w:val="TableHeader"/>
            </w:pPr>
            <w:r>
              <w:t xml:space="preserve">Field</w:t>
            </w:r>
          </w:p>
        </w:tc>
        <w:tc>
          <w:tcPr>
            <w:tcW w:type="dxa" w:w="6560"/>
            <w:tcBorders>
              <w:top w:val="single" w:color="CCCCCC" w:sz="1"/>
              <w:left w:val="single" w:color="CCCCCC" w:sz="1"/>
              <w:bottom w:val="single" w:color="CCCCCC" w:sz="1"/>
              <w:right w:val="single" w:color="CCCCCC" w:sz="1"/>
            </w:tcBorders>
            <w:shd w:fill="4472C4" w:val="clear"/>
          </w:tcPr>
          <w:p>
            <w:pPr>
              <w:pStyle w:val="TableHeader"/>
            </w:pPr>
            <w:r>
              <w:t xml:space="preserve">Details</w:t>
            </w:r>
          </w:p>
        </w:tc>
      </w:tr>
      <w:tr>
        <w:tc>
          <w:tcPr>
            <w:tcW w:type="dxa" w:w="2800"/>
            <w:tcBorders>
              <w:top w:val="single" w:color="CCCCCC" w:sz="1"/>
              <w:left w:val="single" w:color="CCCCCC" w:sz="1"/>
              <w:bottom w:val="single" w:color="CCCCCC" w:sz="1"/>
              <w:right w:val="single" w:color="CCCCCC" w:sz="1"/>
            </w:tcBorders>
          </w:tcPr>
          <w:p>
            <w:r>
              <w:rPr>
                <w:b/>
                <w:bCs/>
              </w:rPr>
              <w:t xml:space="preserve">Incident ID</w:t>
            </w:r>
          </w:p>
        </w:tc>
        <w:tc>
          <w:tcPr>
            <w:tcW w:type="dxa" w:w="6560"/>
            <w:tcBorders>
              <w:top w:val="single" w:color="CCCCCC" w:sz="1"/>
              <w:left w:val="single" w:color="CCCCCC" w:sz="1"/>
              <w:bottom w:val="single" w:color="CCCCCC" w:sz="1"/>
              <w:right w:val="single" w:color="CCCCCC" w:sz="1"/>
            </w:tcBorders>
          </w:tcPr>
          <w:p>
            <w:r>
              <w:t xml:space="preserve">INC-2025-001234</w:t>
            </w:r>
          </w:p>
        </w:tc>
      </w:tr>
      <w:tr>
        <w:tc>
          <w:tcPr>
            <w:tcW w:type="dxa" w:w="2800"/>
            <w:tcBorders>
              <w:top w:val="single" w:color="CCCCCC" w:sz="1"/>
              <w:left w:val="single" w:color="CCCCCC" w:sz="1"/>
              <w:bottom w:val="single" w:color="CCCCCC" w:sz="1"/>
              <w:right w:val="single" w:color="CCCCCC" w:sz="1"/>
            </w:tcBorders>
          </w:tcPr>
          <w:p>
            <w:r>
              <w:rPr>
                <w:b/>
                <w:bCs/>
              </w:rPr>
              <w:t xml:space="preserve">Date Detected</w:t>
            </w:r>
          </w:p>
        </w:tc>
        <w:tc>
          <w:tcPr>
            <w:tcW w:type="dxa" w:w="6560"/>
            <w:tcBorders>
              <w:top w:val="single" w:color="CCCCCC" w:sz="1"/>
              <w:left w:val="single" w:color="CCCCCC" w:sz="1"/>
              <w:bottom w:val="single" w:color="CCCCCC" w:sz="1"/>
              <w:right w:val="single" w:color="CCCCCC" w:sz="1"/>
            </w:tcBorders>
          </w:tcPr>
          <w:p>
            <w:r>
              <w:t xml:space="preserve">November 8, 2025 - 14:23 UTC</w:t>
            </w:r>
          </w:p>
        </w:tc>
      </w:tr>
      <w:tr>
        <w:tc>
          <w:tcPr>
            <w:tcW w:type="dxa" w:w="2800"/>
            <w:tcBorders>
              <w:top w:val="single" w:color="CCCCCC" w:sz="1"/>
              <w:left w:val="single" w:color="CCCCCC" w:sz="1"/>
              <w:bottom w:val="single" w:color="CCCCCC" w:sz="1"/>
              <w:right w:val="single" w:color="CCCCCC" w:sz="1"/>
            </w:tcBorders>
          </w:tcPr>
          <w:p>
            <w:r>
              <w:rPr>
                <w:b/>
                <w:bCs/>
              </w:rPr>
              <w:t xml:space="preserve">Incident Category</w:t>
            </w:r>
          </w:p>
        </w:tc>
        <w:tc>
          <w:tcPr>
            <w:tcW w:type="dxa" w:w="6560"/>
            <w:tcBorders>
              <w:top w:val="single" w:color="CCCCCC" w:sz="1"/>
              <w:left w:val="single" w:color="CCCCCC" w:sz="1"/>
              <w:bottom w:val="single" w:color="CCCCCC" w:sz="1"/>
              <w:right w:val="single" w:color="CCCCCC" w:sz="1"/>
            </w:tcBorders>
          </w:tcPr>
          <w:p>
            <w:r>
              <w:t xml:space="preserve">Malicious Code / Ransomware Attack</w:t>
            </w:r>
          </w:p>
        </w:tc>
      </w:tr>
      <w:tr>
        <w:tc>
          <w:tcPr>
            <w:tcW w:type="dxa" w:w="2800"/>
            <w:tcBorders>
              <w:top w:val="single" w:color="CCCCCC" w:sz="1"/>
              <w:left w:val="single" w:color="CCCCCC" w:sz="1"/>
              <w:bottom w:val="single" w:color="CCCCCC" w:sz="1"/>
              <w:right w:val="single" w:color="CCCCCC" w:sz="1"/>
            </w:tcBorders>
          </w:tcPr>
          <w:p>
            <w:r>
              <w:rPr>
                <w:b/>
                <w:bCs/>
              </w:rPr>
              <w:t xml:space="preserve">Severity Level</w:t>
            </w:r>
          </w:p>
        </w:tc>
        <w:tc>
          <w:tcPr>
            <w:tcW w:type="dxa" w:w="6560"/>
            <w:tcBorders>
              <w:top w:val="single" w:color="CCCCCC" w:sz="1"/>
              <w:left w:val="single" w:color="CCCCCC" w:sz="1"/>
              <w:bottom w:val="single" w:color="CCCCCC" w:sz="1"/>
              <w:right w:val="single" w:color="CCCCCC" w:sz="1"/>
            </w:tcBorders>
          </w:tcPr>
          <w:p>
            <w:r>
              <w:t xml:space="preserve">HIGH (Level 3 of 4)</w:t>
            </w:r>
          </w:p>
        </w:tc>
      </w:tr>
      <w:tr>
        <w:tc>
          <w:tcPr>
            <w:tcW w:type="dxa" w:w="2800"/>
            <w:tcBorders>
              <w:top w:val="single" w:color="CCCCCC" w:sz="1"/>
              <w:left w:val="single" w:color="CCCCCC" w:sz="1"/>
              <w:bottom w:val="single" w:color="CCCCCC" w:sz="1"/>
              <w:right w:val="single" w:color="CCCCCC" w:sz="1"/>
            </w:tcBorders>
          </w:tcPr>
          <w:p>
            <w:r>
              <w:rPr>
                <w:b/>
                <w:bCs/>
              </w:rPr>
              <w:t xml:space="preserve">Status</w:t>
            </w:r>
          </w:p>
        </w:tc>
        <w:tc>
          <w:tcPr>
            <w:tcW w:type="dxa" w:w="6560"/>
            <w:tcBorders>
              <w:top w:val="single" w:color="CCCCCC" w:sz="1"/>
              <w:left w:val="single" w:color="CCCCCC" w:sz="1"/>
              <w:bottom w:val="single" w:color="CCCCCC" w:sz="1"/>
              <w:right w:val="single" w:color="CCCCCC" w:sz="1"/>
            </w:tcBorders>
          </w:tcPr>
          <w:p>
            <w:r>
              <w:t xml:space="preserve">RESOLVED - Post-Incident Activities Complete</w:t>
            </w:r>
          </w:p>
        </w:tc>
      </w:tr>
      <w:tr>
        <w:tc>
          <w:tcPr>
            <w:tcW w:type="dxa" w:w="2800"/>
            <w:tcBorders>
              <w:top w:val="single" w:color="CCCCCC" w:sz="1"/>
              <w:left w:val="single" w:color="CCCCCC" w:sz="1"/>
              <w:bottom w:val="single" w:color="CCCCCC" w:sz="1"/>
              <w:right w:val="single" w:color="CCCCCC" w:sz="1"/>
            </w:tcBorders>
          </w:tcPr>
          <w:p>
            <w:r>
              <w:rPr>
                <w:b/>
                <w:bCs/>
              </w:rPr>
              <w:t xml:space="preserve">Affected Systems</w:t>
            </w:r>
          </w:p>
        </w:tc>
        <w:tc>
          <w:tcPr>
            <w:tcW w:type="dxa" w:w="6560"/>
            <w:tcBorders>
              <w:top w:val="single" w:color="CCCCCC" w:sz="1"/>
              <w:left w:val="single" w:color="CCCCCC" w:sz="1"/>
              <w:bottom w:val="single" w:color="CCCCCC" w:sz="1"/>
              <w:right w:val="single" w:color="CCCCCC" w:sz="1"/>
            </w:tcBorders>
          </w:tcPr>
          <w:p>
            <w:r>
              <w:t xml:space="preserve">Finance Department Network Segment (15 workstations, 2 servers)</w:t>
            </w:r>
          </w:p>
        </w:tc>
      </w:tr>
    </w:tbl>
    <w:p>
      <w:pPr>
        <w:pStyle w:val="Heading2"/>
      </w:pPr>
      <w:r>
        <w:t xml:space="preserve">1.2 Impact Assessment</w:t>
      </w:r>
    </w:p>
    <w:p>
      <w:pPr>
        <w:pStyle w:val="BodyText"/>
      </w:pPr>
      <w:r>
        <w:t xml:space="preserve">The ransomware attack resulted in the encryption of approximately 2.5 TB of data across 15 workstations in the Finance Department. No customer data or personally identifiable information (PII) was compromised. Business operations were partially disrupted for 72 hours while systems were restored from backups.</w:t>
      </w:r>
    </w:p>
    <w:p>
      <w:pPr>
        <w:pStyle w:val="Heading1"/>
      </w:pPr>
      <w:r>
        <w:t xml:space="preserve">2. INCIDENT RESPONSE LIFECYCLE (NIST SP 800-61)</w:t>
      </w:r>
    </w:p>
    <w:p>
      <w:pPr>
        <w:pStyle w:val="Heading2"/>
      </w:pPr>
      <w:r>
        <w:t xml:space="preserve">2.1 Preparation</w:t>
      </w:r>
    </w:p>
    <w:p>
      <w:pPr>
        <w:pStyle w:val="BodyText"/>
      </w:pPr>
      <w:r>
        <w:t xml:space="preserve">Prior to this incident, our organization had established the following preparation measures:</w:t>
      </w:r>
    </w:p>
    <w:p>
      <w:pPr>
        <w:pStyle w:val="ListParagraph"/>
        <w:numPr>
          <w:ilvl w:val="0"/>
          <w:numId w:val="2"/>
        </w:numPr>
      </w:pPr>
      <w:r>
        <w:t xml:space="preserve">Incident Response Team (IRT) with defined roles and responsibilities</w:t>
      </w:r>
    </w:p>
    <w:p>
      <w:pPr>
        <w:pStyle w:val="ListParagraph"/>
        <w:numPr>
          <w:ilvl w:val="0"/>
          <w:numId w:val="2"/>
        </w:numPr>
      </w:pPr>
      <w:r>
        <w:t xml:space="preserve">24/7 Security Operations Center (SOC) monitoring</w:t>
      </w:r>
    </w:p>
    <w:p>
      <w:pPr>
        <w:pStyle w:val="ListParagraph"/>
        <w:numPr>
          <w:ilvl w:val="0"/>
          <w:numId w:val="2"/>
        </w:numPr>
      </w:pPr>
      <w:r>
        <w:t xml:space="preserve">Documented incident response procedures based on NIST SP 800-61</w:t>
      </w:r>
    </w:p>
    <w:p>
      <w:pPr>
        <w:pStyle w:val="ListParagraph"/>
        <w:numPr>
          <w:ilvl w:val="0"/>
          <w:numId w:val="2"/>
        </w:numPr>
      </w:pPr>
      <w:r>
        <w:t xml:space="preserve">Regular backup procedures with off-site storage</w:t>
      </w:r>
    </w:p>
    <w:p>
      <w:pPr>
        <w:pStyle w:val="ListParagraph"/>
        <w:numPr>
          <w:ilvl w:val="0"/>
          <w:numId w:val="2"/>
        </w:numPr>
      </w:pPr>
      <w:r>
        <w:t xml:space="preserve">Employee security awareness training program</w:t>
      </w:r>
    </w:p>
    <w:p>
      <w:pPr>
        <w:pStyle w:val="Heading2"/>
      </w:pPr>
      <w:r>
        <w:t xml:space="preserve">2.2 Detection and Analysis</w:t>
      </w:r>
    </w:p>
    <w:p>
      <w:pPr>
        <w:pStyle w:val="Heading3"/>
      </w:pPr>
      <w:r>
        <w:t xml:space="preserve">2.2.1 Initial Detection</w:t>
      </w:r>
    </w:p>
    <w:p>
      <w:pPr>
        <w:pStyle w:val="BodyText"/>
      </w:pPr>
      <w:r>
        <w:t xml:space="preserve">The incident was first detected on November 8, 2025, at 14:23 UTC when the SOC received multiple alerts from endpoint detection and response (EDR) tools indicating suspicious file encryption activities on workstations in the Finance Department network segment.</w:t>
      </w:r>
    </w:p>
    <w:p>
      <w:pPr>
        <w:pStyle w:val="Heading3"/>
      </w:pPr>
      <w:r>
        <w:t xml:space="preserve">2.2.2 Analysis Activities</w:t>
      </w:r>
    </w:p>
    <w:p>
      <w:pPr>
        <w:pStyle w:val="ListParagraph"/>
        <w:numPr>
          <w:ilvl w:val="0"/>
          <w:numId w:val="3"/>
        </w:numPr>
      </w:pPr>
      <w:r>
        <w:t xml:space="preserve">Initial triage and alert correlation (14:25-14:35 UTC)</w:t>
      </w:r>
    </w:p>
    <w:p>
      <w:pPr>
        <w:pStyle w:val="ListParagraph"/>
        <w:numPr>
          <w:ilvl w:val="0"/>
          <w:numId w:val="3"/>
        </w:numPr>
      </w:pPr>
      <w:r>
        <w:t xml:space="preserve">Network isolation of affected segment (14:36 UTC)</w:t>
      </w:r>
    </w:p>
    <w:p>
      <w:pPr>
        <w:pStyle w:val="ListParagraph"/>
        <w:numPr>
          <w:ilvl w:val="0"/>
          <w:numId w:val="3"/>
        </w:numPr>
      </w:pPr>
      <w:r>
        <w:t xml:space="preserve">Forensic imaging of affected systems (14:45-16:30 UTC)</w:t>
      </w:r>
    </w:p>
    <w:p>
      <w:pPr>
        <w:pStyle w:val="ListParagraph"/>
        <w:numPr>
          <w:ilvl w:val="0"/>
          <w:numId w:val="3"/>
        </w:numPr>
      </w:pPr>
      <w:r>
        <w:t xml:space="preserve">Malware analysis and identification (16:30-18:45 UTC)</w:t>
      </w:r>
    </w:p>
    <w:p>
      <w:pPr>
        <w:pStyle w:val="ListParagraph"/>
        <w:numPr>
          <w:ilvl w:val="0"/>
          <w:numId w:val="3"/>
        </w:numPr>
      </w:pPr>
      <w:r>
        <w:t xml:space="preserve">Impact assessment and data inventory (19:00-21:30 UTC)</w:t>
      </w:r>
    </w:p>
    <w:p>
      <w:pPr>
        <w:pStyle w:val="Heading2"/>
      </w:pPr>
      <w:r>
        <w:t xml:space="preserve">2.3 Containment, Eradication, and Recovery</w:t>
      </w:r>
    </w:p>
    <w:p>
      <w:pPr>
        <w:pStyle w:val="Heading3"/>
      </w:pPr>
      <w:r>
        <w:t xml:space="preserve">2.3.1 Containment Activities</w:t>
      </w:r>
    </w:p>
    <w:p>
      <w:pPr>
        <w:pStyle w:val="BodyText"/>
      </w:pPr>
      <w:r>
        <w:t xml:space="preserve">Immediate containment measures were implemented to prevent further spread of the ransomware:</w:t>
      </w:r>
    </w:p>
    <w:p>
      <w:pPr>
        <w:pStyle w:val="ListParagraph"/>
        <w:numPr>
          <w:ilvl w:val="0"/>
          <w:numId w:val="2"/>
        </w:numPr>
      </w:pPr>
      <w:r>
        <w:t xml:space="preserve">Network segmentation - isolated Finance Department subnet</w:t>
      </w:r>
    </w:p>
    <w:p>
      <w:pPr>
        <w:pStyle w:val="ListParagraph"/>
        <w:numPr>
          <w:ilvl w:val="0"/>
          <w:numId w:val="2"/>
        </w:numPr>
      </w:pPr>
      <w:r>
        <w:t xml:space="preserve">Shutdown of affected workstations and servers</w:t>
      </w:r>
    </w:p>
    <w:p>
      <w:pPr>
        <w:pStyle w:val="ListParagraph"/>
        <w:numPr>
          <w:ilvl w:val="0"/>
          <w:numId w:val="2"/>
        </w:numPr>
      </w:pPr>
      <w:r>
        <w:t xml:space="preserve">Disabled compromised user accounts</w:t>
      </w:r>
    </w:p>
    <w:p>
      <w:pPr>
        <w:pStyle w:val="ListParagraph"/>
        <w:numPr>
          <w:ilvl w:val="0"/>
          <w:numId w:val="2"/>
        </w:numPr>
      </w:pPr>
      <w:r>
        <w:t xml:space="preserve">Activated backup communication channels</w:t>
      </w:r>
    </w:p>
    <w:p>
      <w:pPr>
        <w:pStyle w:val="Heading3"/>
      </w:pPr>
      <w:r>
        <w:t xml:space="preserve">2.3.2 Eradication Activities</w:t>
      </w:r>
    </w:p>
    <w:p>
      <w:pPr>
        <w:pStyle w:val="BodyText"/>
      </w:pPr>
      <w:r>
        <w:t xml:space="preserve">The following eradication measures were performed:</w:t>
      </w:r>
    </w:p>
    <w:p>
      <w:pPr>
        <w:pStyle w:val="ListParagraph"/>
        <w:numPr>
          <w:ilvl w:val="0"/>
          <w:numId w:val="2"/>
        </w:numPr>
      </w:pPr>
      <w:r>
        <w:t xml:space="preserve">Complete reimaging of all affected workstations</w:t>
      </w:r>
    </w:p>
    <w:p>
      <w:pPr>
        <w:pStyle w:val="ListParagraph"/>
        <w:numPr>
          <w:ilvl w:val="0"/>
          <w:numId w:val="2"/>
        </w:numPr>
      </w:pPr>
      <w:r>
        <w:t xml:space="preserve">Malware removal from infected systems</w:t>
      </w:r>
    </w:p>
    <w:p>
      <w:pPr>
        <w:pStyle w:val="ListParagraph"/>
        <w:numPr>
          <w:ilvl w:val="0"/>
          <w:numId w:val="2"/>
        </w:numPr>
      </w:pPr>
      <w:r>
        <w:t xml:space="preserve">Patch deployment to address vulnerabilities</w:t>
      </w:r>
    </w:p>
    <w:p>
      <w:pPr>
        <w:pStyle w:val="ListParagraph"/>
        <w:numPr>
          <w:ilvl w:val="0"/>
          <w:numId w:val="2"/>
        </w:numPr>
      </w:pPr>
      <w:r>
        <w:t xml:space="preserve">Updated antivirus signatures and EDR rules</w:t>
      </w:r>
    </w:p>
    <w:p>
      <w:pPr>
        <w:pStyle w:val="Heading3"/>
      </w:pPr>
      <w:r>
        <w:t xml:space="preserve">2.3.3 Recovery Activities</w:t>
      </w:r>
    </w:p>
    <w:p>
      <w:pPr>
        <w:pStyle w:val="BodyText"/>
      </w:pPr>
      <w:r>
        <w:t xml:space="preserve">Systems were restored using the following recovery procedures:</w:t>
      </w:r>
    </w:p>
    <w:p>
      <w:pPr>
        <w:pStyle w:val="ListParagraph"/>
        <w:numPr>
          <w:ilvl w:val="0"/>
          <w:numId w:val="2"/>
        </w:numPr>
      </w:pPr>
      <w:r>
        <w:t xml:space="preserve">Data restoration from verified clean backups</w:t>
      </w:r>
    </w:p>
    <w:p>
      <w:pPr>
        <w:pStyle w:val="ListParagraph"/>
        <w:numPr>
          <w:ilvl w:val="0"/>
          <w:numId w:val="2"/>
        </w:numPr>
      </w:pPr>
      <w:r>
        <w:t xml:space="preserve">System hardening and security configuration validation</w:t>
      </w:r>
    </w:p>
    <w:p>
      <w:pPr>
        <w:pStyle w:val="ListParagraph"/>
        <w:numPr>
          <w:ilvl w:val="0"/>
          <w:numId w:val="2"/>
        </w:numPr>
      </w:pPr>
      <w:r>
        <w:t xml:space="preserve">Gradual restoration of network connectivity</w:t>
      </w:r>
    </w:p>
    <w:p>
      <w:pPr>
        <w:pStyle w:val="ListParagraph"/>
        <w:numPr>
          <w:ilvl w:val="0"/>
          <w:numId w:val="2"/>
        </w:numPr>
      </w:pPr>
      <w:r>
        <w:t xml:space="preserve">User access restoration with enhanced monitoring</w:t>
      </w:r>
    </w:p>
    <w:p>
      <w:pPr>
        <w:pStyle w:val="Heading2"/>
      </w:pPr>
      <w:r>
        <w:t xml:space="preserve">2.4 Post-Incident Activity</w:t>
      </w:r>
    </w:p>
    <w:p>
      <w:pPr>
        <w:pStyle w:val="BodyText"/>
      </w:pPr>
      <w:r>
        <w:t xml:space="preserve">Post-incident activities included lessons learned analysis, documentation updates, and process improvements as detailed in the following sections.</w:t>
      </w:r>
    </w:p>
    <w:p>
      <w:pPr>
        <w:pStyle w:val="Heading1"/>
      </w:pPr>
      <w:r>
        <w:t xml:space="preserve">3. TECHNICAL ANALYSIS</w:t>
      </w:r>
    </w:p>
    <w:p>
      <w:pPr>
        <w:pStyle w:val="Heading2"/>
      </w:pPr>
      <w:r>
        <w:t xml:space="preserve">3.1 Attack Vector and Timeline</w:t>
      </w:r>
    </w:p>
    <w:p>
      <w:pPr>
        <w:pStyle w:val="BodyText"/>
      </w:pPr>
      <w:r>
        <w:t xml:space="preserve">Forensic analysis revealed that the ransomware was delivered through a phishing email containing a malicious Microsoft Office document. The attack progression was as follows: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7360"/>
      </w:tblGrid>
      <w:tr>
        <w:tc>
          <w:tcPr>
            <w:tcW w:type="dxa" w:w="2000"/>
            <w:tcBorders>
              <w:top w:val="single" w:color="CCCCCC" w:sz="1"/>
              <w:left w:val="single" w:color="CCCCCC" w:sz="1"/>
              <w:bottom w:val="single" w:color="CCCCCC" w:sz="1"/>
              <w:right w:val="single" w:color="CCCCCC" w:sz="1"/>
            </w:tcBorders>
            <w:shd w:fill="4472C4" w:val="clear"/>
          </w:tcPr>
          <w:p>
            <w:pPr>
              <w:pStyle w:val="TableHeader"/>
            </w:pPr>
            <w:r>
              <w:t xml:space="preserve">Time (UTC)</w:t>
            </w:r>
          </w:p>
        </w:tc>
        <w:tc>
          <w:tcPr>
            <w:tcW w:type="dxa" w:w="7360"/>
            <w:tcBorders>
              <w:top w:val="single" w:color="CCCCCC" w:sz="1"/>
              <w:left w:val="single" w:color="CCCCCC" w:sz="1"/>
              <w:bottom w:val="single" w:color="CCCCCC" w:sz="1"/>
              <w:right w:val="single" w:color="CCCCCC" w:sz="1"/>
            </w:tcBorders>
            <w:shd w:fill="4472C4" w:val="clear"/>
          </w:tcPr>
          <w:p>
            <w:pPr>
              <w:pStyle w:val="TableHeader"/>
            </w:pPr>
            <w:r>
              <w:t xml:space="preserve">Event</w:t>
            </w:r>
          </w:p>
        </w:tc>
      </w:tr>
      <w:tr>
        <w:tc>
          <w:tcPr>
            <w:tcW w:type="dxa" w:w="2000"/>
            <w:tcBorders>
              <w:top w:val="single" w:color="CCCCCC" w:sz="1"/>
              <w:left w:val="single" w:color="CCCCCC" w:sz="1"/>
              <w:bottom w:val="single" w:color="CCCCCC" w:sz="1"/>
              <w:right w:val="single" w:color="CCCCCC" w:sz="1"/>
            </w:tcBorders>
          </w:tcPr>
          <w:p>
            <w:r>
              <w:t xml:space="preserve">Nov 7, 09:15</w:t>
            </w:r>
          </w:p>
        </w:tc>
        <w:tc>
          <w:tcPr>
            <w:tcW w:type="dxa" w:w="7360"/>
            <w:tcBorders>
              <w:top w:val="single" w:color="CCCCCC" w:sz="1"/>
              <w:left w:val="single" w:color="CCCCCC" w:sz="1"/>
              <w:bottom w:val="single" w:color="CCCCCC" w:sz="1"/>
              <w:right w:val="single" w:color="CCCCCC" w:sz="1"/>
            </w:tcBorders>
          </w:tcPr>
          <w:p>
            <w:r>
              <w:t xml:space="preserve">Phishing email received by Finance Department user</w:t>
            </w:r>
          </w:p>
        </w:tc>
      </w:tr>
      <w:tr>
        <w:tc>
          <w:tcPr>
            <w:tcW w:type="dxa" w:w="2000"/>
            <w:tcBorders>
              <w:top w:val="single" w:color="CCCCCC" w:sz="1"/>
              <w:left w:val="single" w:color="CCCCCC" w:sz="1"/>
              <w:bottom w:val="single" w:color="CCCCCC" w:sz="1"/>
              <w:right w:val="single" w:color="CCCCCC" w:sz="1"/>
            </w:tcBorders>
          </w:tcPr>
          <w:p>
            <w:r>
              <w:t xml:space="preserve">Nov 7, 11:42</w:t>
            </w:r>
          </w:p>
        </w:tc>
        <w:tc>
          <w:tcPr>
            <w:tcW w:type="dxa" w:w="7360"/>
            <w:tcBorders>
              <w:top w:val="single" w:color="CCCCCC" w:sz="1"/>
              <w:left w:val="single" w:color="CCCCCC" w:sz="1"/>
              <w:bottom w:val="single" w:color="CCCCCC" w:sz="1"/>
              <w:right w:val="single" w:color="CCCCCC" w:sz="1"/>
            </w:tcBorders>
          </w:tcPr>
          <w:p>
            <w:r>
              <w:t xml:space="preserve">User opens malicious attachment, macro execution enabled</w:t>
            </w:r>
          </w:p>
        </w:tc>
      </w:tr>
      <w:tr>
        <w:tc>
          <w:tcPr>
            <w:tcW w:type="dxa" w:w="2000"/>
            <w:tcBorders>
              <w:top w:val="single" w:color="CCCCCC" w:sz="1"/>
              <w:left w:val="single" w:color="CCCCCC" w:sz="1"/>
              <w:bottom w:val="single" w:color="CCCCCC" w:sz="1"/>
              <w:right w:val="single" w:color="CCCCCC" w:sz="1"/>
            </w:tcBorders>
          </w:tcPr>
          <w:p>
            <w:r>
              <w:t xml:space="preserve">Nov 7, 11:45</w:t>
            </w:r>
          </w:p>
        </w:tc>
        <w:tc>
          <w:tcPr>
            <w:tcW w:type="dxa" w:w="7360"/>
            <w:tcBorders>
              <w:top w:val="single" w:color="CCCCCC" w:sz="1"/>
              <w:left w:val="single" w:color="CCCCCC" w:sz="1"/>
              <w:bottom w:val="single" w:color="CCCCCC" w:sz="1"/>
              <w:right w:val="single" w:color="CCCCCC" w:sz="1"/>
            </w:tcBorders>
          </w:tcPr>
          <w:p>
            <w:r>
              <w:t xml:space="preserve">Initial payload downloaded and executed</w:t>
            </w:r>
          </w:p>
        </w:tc>
      </w:tr>
      <w:tr>
        <w:tc>
          <w:tcPr>
            <w:tcW w:type="dxa" w:w="2000"/>
            <w:tcBorders>
              <w:top w:val="single" w:color="CCCCCC" w:sz="1"/>
              <w:left w:val="single" w:color="CCCCCC" w:sz="1"/>
              <w:bottom w:val="single" w:color="CCCCCC" w:sz="1"/>
              <w:right w:val="single" w:color="CCCCCC" w:sz="1"/>
            </w:tcBorders>
          </w:tcPr>
          <w:p>
            <w:r>
              <w:t xml:space="preserve">Nov 7-8</w:t>
            </w:r>
          </w:p>
        </w:tc>
        <w:tc>
          <w:tcPr>
            <w:tcW w:type="dxa" w:w="7360"/>
            <w:tcBorders>
              <w:top w:val="single" w:color="CCCCCC" w:sz="1"/>
              <w:left w:val="single" w:color="CCCCCC" w:sz="1"/>
              <w:bottom w:val="single" w:color="CCCCCC" w:sz="1"/>
              <w:right w:val="single" w:color="CCCCCC" w:sz="1"/>
            </w:tcBorders>
          </w:tcPr>
          <w:p>
            <w:r>
              <w:t xml:space="preserve">Lateral movement and credential harvesting</w:t>
            </w:r>
          </w:p>
        </w:tc>
      </w:tr>
      <w:tr>
        <w:tc>
          <w:tcPr>
            <w:tcW w:type="dxa" w:w="2000"/>
            <w:tcBorders>
              <w:top w:val="single" w:color="CCCCCC" w:sz="1"/>
              <w:left w:val="single" w:color="CCCCCC" w:sz="1"/>
              <w:bottom w:val="single" w:color="CCCCCC" w:sz="1"/>
              <w:right w:val="single" w:color="CCCCCC" w:sz="1"/>
            </w:tcBorders>
          </w:tcPr>
          <w:p>
            <w:r>
              <w:t xml:space="preserve">Nov 8, 14:15</w:t>
            </w:r>
          </w:p>
        </w:tc>
        <w:tc>
          <w:tcPr>
            <w:tcW w:type="dxa" w:w="7360"/>
            <w:tcBorders>
              <w:top w:val="single" w:color="CCCCCC" w:sz="1"/>
              <w:left w:val="single" w:color="CCCCCC" w:sz="1"/>
              <w:bottom w:val="single" w:color="CCCCCC" w:sz="1"/>
              <w:right w:val="single" w:color="CCCCCC" w:sz="1"/>
            </w:tcBorders>
          </w:tcPr>
          <w:p>
            <w:r>
              <w:t xml:space="preserve">Ransomware deployment across Finance Department systems</w:t>
            </w:r>
          </w:p>
        </w:tc>
      </w:tr>
      <w:tr>
        <w:tc>
          <w:tcPr>
            <w:tcW w:type="dxa" w:w="2000"/>
            <w:tcBorders>
              <w:top w:val="single" w:color="CCCCCC" w:sz="1"/>
              <w:left w:val="single" w:color="CCCCCC" w:sz="1"/>
              <w:bottom w:val="single" w:color="CCCCCC" w:sz="1"/>
              <w:right w:val="single" w:color="CCCCCC" w:sz="1"/>
            </w:tcBorders>
          </w:tcPr>
          <w:p>
            <w:r>
              <w:t xml:space="preserve">Nov 8, 14:23</w:t>
            </w:r>
          </w:p>
        </w:tc>
        <w:tc>
          <w:tcPr>
            <w:tcW w:type="dxa" w:w="7360"/>
            <w:tcBorders>
              <w:top w:val="single" w:color="CCCCCC" w:sz="1"/>
              <w:left w:val="single" w:color="CCCCCC" w:sz="1"/>
              <w:bottom w:val="single" w:color="CCCCCC" w:sz="1"/>
              <w:right w:val="single" w:color="CCCCCC" w:sz="1"/>
            </w:tcBorders>
          </w:tcPr>
          <w:p>
            <w:r>
              <w:t xml:space="preserve">SOC detection and incident response activation</w:t>
            </w:r>
          </w:p>
        </w:tc>
      </w:tr>
    </w:tbl>
    <w:p>
      <w:pPr>
        <w:pStyle w:val="Heading2"/>
      </w:pPr>
      <w:r>
        <w:t xml:space="preserve">3.2 Malware Analysis</w:t>
      </w:r>
    </w:p>
    <w:p>
      <w:pPr>
        <w:pStyle w:val="BodyText"/>
      </w:pPr>
      <w:r>
        <w:t xml:space="preserve">The ransomware was identified as a variant of the LockBit 3.0 family with the following characteristics:</w:t>
      </w:r>
    </w:p>
    <w:p>
      <w:pPr>
        <w:pStyle w:val="ListParagraph"/>
        <w:numPr>
          <w:ilvl w:val="0"/>
          <w:numId w:val="2"/>
        </w:numPr>
      </w:pPr>
      <w:r>
        <w:t xml:space="preserve">File hash (SHA-256): a1b2c3d4e5f6789012345678901234567890abcdef</w:t>
      </w:r>
    </w:p>
    <w:p>
      <w:pPr>
        <w:pStyle w:val="ListParagraph"/>
        <w:numPr>
          <w:ilvl w:val="0"/>
          <w:numId w:val="2"/>
        </w:numPr>
      </w:pPr>
      <w:r>
        <w:t xml:space="preserve">Encryption algorithm: AES-256 with RSA-2048 key protection</w:t>
      </w:r>
    </w:p>
    <w:p>
      <w:pPr>
        <w:pStyle w:val="ListParagraph"/>
        <w:numPr>
          <w:ilvl w:val="0"/>
          <w:numId w:val="2"/>
        </w:numPr>
      </w:pPr>
      <w:r>
        <w:t xml:space="preserve">File extension: .lockbit3</w:t>
      </w:r>
    </w:p>
    <w:p>
      <w:pPr>
        <w:pStyle w:val="ListParagraph"/>
        <w:numPr>
          <w:ilvl w:val="0"/>
          <w:numId w:val="2"/>
        </w:numPr>
      </w:pPr>
      <w:r>
        <w:t xml:space="preserve">Ransom note: Restore-My-Files.txt</w:t>
      </w:r>
    </w:p>
    <w:p>
      <w:pPr>
        <w:pStyle w:val="Heading1"/>
      </w:pPr>
      <w:r>
        <w:t xml:space="preserve">4. RESPONSE TEAM ACTIVITIES</w:t>
      </w:r>
    </w:p>
    <w:p>
      <w:pPr>
        <w:pStyle w:val="Heading2"/>
      </w:pPr>
      <w:r>
        <w:t xml:space="preserve">4.1 Incident Response Team Members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Role</w:t>
            </w:r>
          </w:p>
        </w:tc>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Name</w:t>
            </w:r>
          </w:p>
        </w:tc>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Department</w:t>
            </w:r>
          </w:p>
        </w:tc>
        <w:tc>
          <w:tcPr>
            <w:tcW w:type="dxa" w:w="2340"/>
            <w:tcBorders>
              <w:top w:val="single" w:color="CCCCCC" w:sz="1"/>
              <w:left w:val="single" w:color="CCCCCC" w:sz="1"/>
              <w:bottom w:val="single" w:color="CCCCCC" w:sz="1"/>
              <w:right w:val="single" w:color="CCCCCC" w:sz="1"/>
            </w:tcBorders>
            <w:shd w:fill="4472C4" w:val="clear"/>
          </w:tcPr>
          <w:p>
            <w:pPr>
              <w:pStyle w:val="TableHeader"/>
            </w:pPr>
            <w:r>
              <w:t xml:space="preserve">Contact</w:t>
            </w:r>
          </w:p>
        </w:tc>
      </w:tr>
      <w:tr>
        <w:tc>
          <w:tcPr>
            <w:tcW w:type="dxa" w:w="2340"/>
            <w:tcBorders>
              <w:top w:val="single" w:color="CCCCCC" w:sz="1"/>
              <w:left w:val="single" w:color="CCCCCC" w:sz="1"/>
              <w:bottom w:val="single" w:color="CCCCCC" w:sz="1"/>
              <w:right w:val="single" w:color="CCCCCC" w:sz="1"/>
            </w:tcBorders>
          </w:tcPr>
          <w:p>
            <w:r>
              <w:t xml:space="preserve">Incident Commander</w:t>
            </w:r>
          </w:p>
        </w:tc>
        <w:tc>
          <w:tcPr>
            <w:tcW w:type="dxa" w:w="2340"/>
            <w:tcBorders>
              <w:top w:val="single" w:color="CCCCCC" w:sz="1"/>
              <w:left w:val="single" w:color="CCCCCC" w:sz="1"/>
              <w:bottom w:val="single" w:color="CCCCCC" w:sz="1"/>
              <w:right w:val="single" w:color="CCCCCC" w:sz="1"/>
            </w:tcBorders>
          </w:tcPr>
          <w:p>
            <w:r>
              <w:t xml:space="preserve">Sarah Johnson</w:t>
            </w:r>
          </w:p>
        </w:tc>
        <w:tc>
          <w:tcPr>
            <w:tcW w:type="dxa" w:w="2340"/>
            <w:tcBorders>
              <w:top w:val="single" w:color="CCCCCC" w:sz="1"/>
              <w:left w:val="single" w:color="CCCCCC" w:sz="1"/>
              <w:bottom w:val="single" w:color="CCCCCC" w:sz="1"/>
              <w:right w:val="single" w:color="CCCCCC" w:sz="1"/>
            </w:tcBorders>
          </w:tcPr>
          <w:p>
            <w:r>
              <w:t xml:space="preserve">CISO Office</w:t>
            </w:r>
          </w:p>
        </w:tc>
        <w:tc>
          <w:tcPr>
            <w:tcW w:type="dxa" w:w="2340"/>
            <w:tcBorders>
              <w:top w:val="single" w:color="CCCCCC" w:sz="1"/>
              <w:left w:val="single" w:color="CCCCCC" w:sz="1"/>
              <w:bottom w:val="single" w:color="CCCCCC" w:sz="1"/>
              <w:right w:val="single" w:color="CCCCCC" w:sz="1"/>
            </w:tcBorders>
          </w:tcPr>
          <w:p>
            <w:r>
              <w:t xml:space="preserve">+1-555-0123</w:t>
            </w:r>
          </w:p>
        </w:tc>
      </w:tr>
      <w:tr>
        <w:tc>
          <w:tcPr>
            <w:tcW w:type="dxa" w:w="2340"/>
            <w:tcBorders>
              <w:top w:val="single" w:color="CCCCCC" w:sz="1"/>
              <w:left w:val="single" w:color="CCCCCC" w:sz="1"/>
              <w:bottom w:val="single" w:color="CCCCCC" w:sz="1"/>
              <w:right w:val="single" w:color="CCCCCC" w:sz="1"/>
            </w:tcBorders>
          </w:tcPr>
          <w:p>
            <w:r>
              <w:t xml:space="preserve">SOC Lead</w:t>
            </w:r>
          </w:p>
        </w:tc>
        <w:tc>
          <w:tcPr>
            <w:tcW w:type="dxa" w:w="2340"/>
            <w:tcBorders>
              <w:top w:val="single" w:color="CCCCCC" w:sz="1"/>
              <w:left w:val="single" w:color="CCCCCC" w:sz="1"/>
              <w:bottom w:val="single" w:color="CCCCCC" w:sz="1"/>
              <w:right w:val="single" w:color="CCCCCC" w:sz="1"/>
            </w:tcBorders>
          </w:tcPr>
          <w:p>
            <w:r>
              <w:t xml:space="preserve">Michael Chen</w:t>
            </w:r>
          </w:p>
        </w:tc>
        <w:tc>
          <w:tcPr>
            <w:tcW w:type="dxa" w:w="2340"/>
            <w:tcBorders>
              <w:top w:val="single" w:color="CCCCCC" w:sz="1"/>
              <w:left w:val="single" w:color="CCCCCC" w:sz="1"/>
              <w:bottom w:val="single" w:color="CCCCCC" w:sz="1"/>
              <w:right w:val="single" w:color="CCCCCC" w:sz="1"/>
            </w:tcBorders>
          </w:tcPr>
          <w:p>
            <w:r>
              <w:t xml:space="preserve">Security Operations</w:t>
            </w:r>
          </w:p>
        </w:tc>
        <w:tc>
          <w:tcPr>
            <w:tcW w:type="dxa" w:w="2340"/>
            <w:tcBorders>
              <w:top w:val="single" w:color="CCCCCC" w:sz="1"/>
              <w:left w:val="single" w:color="CCCCCC" w:sz="1"/>
              <w:bottom w:val="single" w:color="CCCCCC" w:sz="1"/>
              <w:right w:val="single" w:color="CCCCCC" w:sz="1"/>
            </w:tcBorders>
          </w:tcPr>
          <w:p>
            <w:r>
              <w:t xml:space="preserve">+1-555-0124</w:t>
            </w:r>
          </w:p>
        </w:tc>
      </w:tr>
      <w:tr>
        <w:tc>
          <w:tcPr>
            <w:tcW w:type="dxa" w:w="2340"/>
            <w:tcBorders>
              <w:top w:val="single" w:color="CCCCCC" w:sz="1"/>
              <w:left w:val="single" w:color="CCCCCC" w:sz="1"/>
              <w:bottom w:val="single" w:color="CCCCCC" w:sz="1"/>
              <w:right w:val="single" w:color="CCCCCC" w:sz="1"/>
            </w:tcBorders>
          </w:tcPr>
          <w:p>
            <w:r>
              <w:t xml:space="preserve">Forensic Analyst</w:t>
            </w:r>
          </w:p>
        </w:tc>
        <w:tc>
          <w:tcPr>
            <w:tcW w:type="dxa" w:w="2340"/>
            <w:tcBorders>
              <w:top w:val="single" w:color="CCCCCC" w:sz="1"/>
              <w:left w:val="single" w:color="CCCCCC" w:sz="1"/>
              <w:bottom w:val="single" w:color="CCCCCC" w:sz="1"/>
              <w:right w:val="single" w:color="CCCCCC" w:sz="1"/>
            </w:tcBorders>
          </w:tcPr>
          <w:p>
            <w:r>
              <w:t xml:space="preserve">Dr. Emily Rodriguez</w:t>
            </w:r>
          </w:p>
        </w:tc>
        <w:tc>
          <w:tcPr>
            <w:tcW w:type="dxa" w:w="2340"/>
            <w:tcBorders>
              <w:top w:val="single" w:color="CCCCCC" w:sz="1"/>
              <w:left w:val="single" w:color="CCCCCC" w:sz="1"/>
              <w:bottom w:val="single" w:color="CCCCCC" w:sz="1"/>
              <w:right w:val="single" w:color="CCCCCC" w:sz="1"/>
            </w:tcBorders>
          </w:tcPr>
          <w:p>
            <w:r>
              <w:t xml:space="preserve">Digital Forensics</w:t>
            </w:r>
          </w:p>
        </w:tc>
        <w:tc>
          <w:tcPr>
            <w:tcW w:type="dxa" w:w="2340"/>
            <w:tcBorders>
              <w:top w:val="single" w:color="CCCCCC" w:sz="1"/>
              <w:left w:val="single" w:color="CCCCCC" w:sz="1"/>
              <w:bottom w:val="single" w:color="CCCCCC" w:sz="1"/>
              <w:right w:val="single" w:color="CCCCCC" w:sz="1"/>
            </w:tcBorders>
          </w:tcPr>
          <w:p>
            <w:r>
              <w:t xml:space="preserve">+1-555-0125</w:t>
            </w:r>
          </w:p>
        </w:tc>
      </w:tr>
      <w:tr>
        <w:tc>
          <w:tcPr>
            <w:tcW w:type="dxa" w:w="2340"/>
            <w:tcBorders>
              <w:top w:val="single" w:color="CCCCCC" w:sz="1"/>
              <w:left w:val="single" w:color="CCCCCC" w:sz="1"/>
              <w:bottom w:val="single" w:color="CCCCCC" w:sz="1"/>
              <w:right w:val="single" w:color="CCCCCC" w:sz="1"/>
            </w:tcBorders>
          </w:tcPr>
          <w:p>
            <w:r>
              <w:t xml:space="preserve">IT Recovery Lead</w:t>
            </w:r>
          </w:p>
        </w:tc>
        <w:tc>
          <w:tcPr>
            <w:tcW w:type="dxa" w:w="2340"/>
            <w:tcBorders>
              <w:top w:val="single" w:color="CCCCCC" w:sz="1"/>
              <w:left w:val="single" w:color="CCCCCC" w:sz="1"/>
              <w:bottom w:val="single" w:color="CCCCCC" w:sz="1"/>
              <w:right w:val="single" w:color="CCCCCC" w:sz="1"/>
            </w:tcBorders>
          </w:tcPr>
          <w:p>
            <w:r>
              <w:t xml:space="preserve">David Thompson</w:t>
            </w:r>
          </w:p>
        </w:tc>
        <w:tc>
          <w:tcPr>
            <w:tcW w:type="dxa" w:w="2340"/>
            <w:tcBorders>
              <w:top w:val="single" w:color="CCCCCC" w:sz="1"/>
              <w:left w:val="single" w:color="CCCCCC" w:sz="1"/>
              <w:bottom w:val="single" w:color="CCCCCC" w:sz="1"/>
              <w:right w:val="single" w:color="CCCCCC" w:sz="1"/>
            </w:tcBorders>
          </w:tcPr>
          <w:p>
            <w:r>
              <w:t xml:space="preserve">IT Operations</w:t>
            </w:r>
          </w:p>
        </w:tc>
        <w:tc>
          <w:tcPr>
            <w:tcW w:type="dxa" w:w="2340"/>
            <w:tcBorders>
              <w:top w:val="single" w:color="CCCCCC" w:sz="1"/>
              <w:left w:val="single" w:color="CCCCCC" w:sz="1"/>
              <w:bottom w:val="single" w:color="CCCCCC" w:sz="1"/>
              <w:right w:val="single" w:color="CCCCCC" w:sz="1"/>
            </w:tcBorders>
          </w:tcPr>
          <w:p>
            <w:r>
              <w:t xml:space="preserve">+1-555-0126</w:t>
            </w:r>
          </w:p>
        </w:tc>
      </w:tr>
    </w:tbl>
    <w:p>
      <w:pPr>
        <w:pStyle w:val="Heading2"/>
      </w:pPr>
      <w:r>
        <w:t xml:space="preserve">4.2 Communication and Coordination</w:t>
      </w:r>
    </w:p>
    <w:p>
      <w:pPr>
        <w:pStyle w:val="BodyText"/>
      </w:pPr>
      <w:r>
        <w:t xml:space="preserve">The incident response team maintained coordinated communication throughout the incident using the following channels:</w:t>
      </w:r>
    </w:p>
    <w:p>
      <w:pPr>
        <w:pStyle w:val="ListParagraph"/>
        <w:numPr>
          <w:ilvl w:val="0"/>
          <w:numId w:val="2"/>
        </w:numPr>
      </w:pPr>
      <w:r>
        <w:t xml:space="preserve">Primary: Secure incident response conference bridge</w:t>
      </w:r>
    </w:p>
    <w:p>
      <w:pPr>
        <w:pStyle w:val="ListParagraph"/>
        <w:numPr>
          <w:ilvl w:val="0"/>
          <w:numId w:val="2"/>
        </w:numPr>
      </w:pPr>
      <w:r>
        <w:t xml:space="preserve">Secondary: Encrypted messaging platform (Signal)</w:t>
      </w:r>
    </w:p>
    <w:p>
      <w:pPr>
        <w:pStyle w:val="ListParagraph"/>
        <w:numPr>
          <w:ilvl w:val="0"/>
          <w:numId w:val="2"/>
        </w:numPr>
      </w:pPr>
      <w:r>
        <w:t xml:space="preserve">Documentation: Incident tracking system (JIRA)</w:t>
      </w:r>
    </w:p>
    <w:p>
      <w:pPr>
        <w:pStyle w:val="ListParagraph"/>
        <w:numPr>
          <w:ilvl w:val="0"/>
          <w:numId w:val="2"/>
        </w:numPr>
      </w:pPr>
      <w:r>
        <w:t xml:space="preserve">External: Secure email for law enforcement and vendors</w:t>
      </w:r>
    </w:p>
    <w:p>
      <w:pPr>
        <w:pStyle w:val="Heading1"/>
      </w:pPr>
      <w:r>
        <w:t xml:space="preserve">5. LESSONS LEARNED</w:t>
      </w:r>
    </w:p>
    <w:p>
      <w:pPr>
        <w:pStyle w:val="Heading2"/>
      </w:pPr>
      <w:r>
        <w:t xml:space="preserve">5.1 What Worked Well</w:t>
      </w:r>
    </w:p>
    <w:p>
      <w:pPr>
        <w:pStyle w:val="ListParagraph"/>
        <w:numPr>
          <w:ilvl w:val="0"/>
          <w:numId w:val="2"/>
        </w:numPr>
      </w:pPr>
      <w:r>
        <w:t xml:space="preserve">Rapid detection and alerting by SOC monitoring systems</w:t>
      </w:r>
    </w:p>
    <w:p>
      <w:pPr>
        <w:pStyle w:val="ListParagraph"/>
        <w:numPr>
          <w:ilvl w:val="0"/>
          <w:numId w:val="2"/>
        </w:numPr>
      </w:pPr>
      <w:r>
        <w:t xml:space="preserve">Effective network segmentation limited lateral movement</w:t>
      </w:r>
    </w:p>
    <w:p>
      <w:pPr>
        <w:pStyle w:val="ListParagraph"/>
        <w:numPr>
          <w:ilvl w:val="0"/>
          <w:numId w:val="2"/>
        </w:numPr>
      </w:pPr>
      <w:r>
        <w:t xml:space="preserve">Comprehensive backup strategy enabled full data recovery</w:t>
      </w:r>
    </w:p>
    <w:p>
      <w:pPr>
        <w:pStyle w:val="ListParagraph"/>
        <w:numPr>
          <w:ilvl w:val="0"/>
          <w:numId w:val="2"/>
        </w:numPr>
      </w:pPr>
      <w:r>
        <w:t xml:space="preserve">Well-coordinated team response following established procedures</w:t>
      </w:r>
    </w:p>
    <w:p>
      <w:pPr>
        <w:pStyle w:val="ListParagraph"/>
        <w:numPr>
          <w:ilvl w:val="0"/>
          <w:numId w:val="2"/>
        </w:numPr>
      </w:pPr>
      <w:r>
        <w:t xml:space="preserve">Clear communication channels maintained throughout incident</w:t>
      </w:r>
    </w:p>
    <w:p>
      <w:pPr>
        <w:pStyle w:val="Heading2"/>
      </w:pPr>
      <w:r>
        <w:t xml:space="preserve">5.2 Areas for Improvement</w:t>
      </w:r>
    </w:p>
    <w:p>
      <w:pPr>
        <w:pStyle w:val="ListParagraph"/>
        <w:numPr>
          <w:ilvl w:val="0"/>
          <w:numId w:val="2"/>
        </w:numPr>
      </w:pPr>
      <w:r>
        <w:t xml:space="preserve">Email security controls need enhancement to prevent phishing</w:t>
      </w:r>
    </w:p>
    <w:p>
      <w:pPr>
        <w:pStyle w:val="ListParagraph"/>
        <w:numPr>
          <w:ilvl w:val="0"/>
          <w:numId w:val="2"/>
        </w:numPr>
      </w:pPr>
      <w:r>
        <w:t xml:space="preserve">User security awareness training requires more frequent updates</w:t>
      </w:r>
    </w:p>
    <w:p>
      <w:pPr>
        <w:pStyle w:val="ListParagraph"/>
        <w:numPr>
          <w:ilvl w:val="0"/>
          <w:numId w:val="2"/>
        </w:numPr>
      </w:pPr>
      <w:r>
        <w:t xml:space="preserve">Endpoint protection policies should prevent macro execution</w:t>
      </w:r>
    </w:p>
    <w:p>
      <w:pPr>
        <w:pStyle w:val="ListParagraph"/>
        <w:numPr>
          <w:ilvl w:val="0"/>
          <w:numId w:val="2"/>
        </w:numPr>
      </w:pPr>
      <w:r>
        <w:t xml:space="preserve">Incident response playbooks need minor procedural updates</w:t>
      </w:r>
    </w:p>
    <w:p>
      <w:pPr>
        <w:pStyle w:val="ListParagraph"/>
        <w:numPr>
          <w:ilvl w:val="0"/>
          <w:numId w:val="2"/>
        </w:numPr>
      </w:pPr>
      <w:r>
        <w:t xml:space="preserve">Recovery time could be reduced with automated restoration procedures</w:t>
      </w:r>
    </w:p>
    <w:p>
      <w:pPr>
        <w:pStyle w:val="Heading1"/>
      </w:pPr>
      <w:r>
        <w:t xml:space="preserve">6. RECOMMENDATIONS</w:t>
      </w:r>
    </w:p>
    <w:p>
      <w:pPr>
        <w:pStyle w:val="Heading2"/>
      </w:pPr>
      <w:r>
        <w:t xml:space="preserve">6.1 Immediate Actions (0-30 days)</w:t>
      </w:r>
    </w:p>
    <w:p>
      <w:pPr>
        <w:pStyle w:val="ListParagraph"/>
        <w:numPr>
          <w:ilvl w:val="0"/>
          <w:numId w:val="3"/>
        </w:numPr>
      </w:pPr>
      <w:r>
        <w:t xml:space="preserve">Implement advanced email security gateway with sandboxing capabilities</w:t>
      </w:r>
    </w:p>
    <w:p>
      <w:pPr>
        <w:pStyle w:val="ListParagraph"/>
        <w:numPr>
          <w:ilvl w:val="0"/>
          <w:numId w:val="3"/>
        </w:numPr>
      </w:pPr>
      <w:r>
        <w:t xml:space="preserve">Deploy Group Policy to disable macros in Microsoft Office by default</w:t>
      </w:r>
    </w:p>
    <w:p>
      <w:pPr>
        <w:pStyle w:val="ListParagraph"/>
        <w:numPr>
          <w:ilvl w:val="0"/>
          <w:numId w:val="3"/>
        </w:numPr>
      </w:pPr>
      <w:r>
        <w:t xml:space="preserve">Conduct emergency security awareness session for all staff</w:t>
      </w:r>
    </w:p>
    <w:p>
      <w:pPr>
        <w:pStyle w:val="ListParagraph"/>
        <w:numPr>
          <w:ilvl w:val="0"/>
          <w:numId w:val="3"/>
        </w:numPr>
      </w:pPr>
      <w:r>
        <w:t xml:space="preserve">Review and update EDR detection rules based on observed attack vectors</w:t>
      </w:r>
    </w:p>
    <w:p>
      <w:pPr>
        <w:pStyle w:val="Heading2"/>
      </w:pPr>
      <w:r>
        <w:t xml:space="preserve">6.2 Short-term Actions (1-3 months)</w:t>
      </w:r>
    </w:p>
    <w:p>
      <w:pPr>
        <w:pStyle w:val="ListParagraph"/>
        <w:numPr>
          <w:ilvl w:val="0"/>
          <w:numId w:val="3"/>
        </w:numPr>
      </w:pPr>
      <w:r>
        <w:t xml:space="preserve">Implement zero-trust network architecture principles</w:t>
      </w:r>
    </w:p>
    <w:p>
      <w:pPr>
        <w:pStyle w:val="ListParagraph"/>
        <w:numPr>
          <w:ilvl w:val="0"/>
          <w:numId w:val="3"/>
        </w:numPr>
      </w:pPr>
      <w:r>
        <w:t xml:space="preserve">Deploy privileged access management (PAM) solution</w:t>
      </w:r>
    </w:p>
    <w:p>
      <w:pPr>
        <w:pStyle w:val="ListParagraph"/>
        <w:numPr>
          <w:ilvl w:val="0"/>
          <w:numId w:val="3"/>
        </w:numPr>
      </w:pPr>
      <w:r>
        <w:t xml:space="preserve">Enhance backup testing and automated recovery capabilities</w:t>
      </w:r>
    </w:p>
    <w:p>
      <w:pPr>
        <w:pStyle w:val="ListParagraph"/>
        <w:numPr>
          <w:ilvl w:val="0"/>
          <w:numId w:val="3"/>
        </w:numPr>
      </w:pPr>
      <w:r>
        <w:t xml:space="preserve">Conduct tabletop exercise based on this incident scenario</w:t>
      </w:r>
    </w:p>
    <w:p>
      <w:pPr>
        <w:pStyle w:val="Heading2"/>
      </w:pPr>
      <w:r>
        <w:t xml:space="preserve">6.3 Long-term Actions (3-12 months)</w:t>
      </w:r>
    </w:p>
    <w:p>
      <w:pPr>
        <w:pStyle w:val="ListParagraph"/>
        <w:numPr>
          <w:ilvl w:val="0"/>
          <w:numId w:val="3"/>
        </w:numPr>
      </w:pPr>
      <w:r>
        <w:t xml:space="preserve">Implement Security Orchestration, Automation and Response (SOAR) platform</w:t>
      </w:r>
    </w:p>
    <w:p>
      <w:pPr>
        <w:pStyle w:val="ListParagraph"/>
        <w:numPr>
          <w:ilvl w:val="0"/>
          <w:numId w:val="3"/>
        </w:numPr>
      </w:pPr>
      <w:r>
        <w:t xml:space="preserve">Establish threat intelligence sharing partnerships</w:t>
      </w:r>
    </w:p>
    <w:p>
      <w:pPr>
        <w:pStyle w:val="ListParagraph"/>
        <w:numPr>
          <w:ilvl w:val="0"/>
          <w:numId w:val="3"/>
        </w:numPr>
      </w:pPr>
      <w:r>
        <w:t xml:space="preserve">Develop continuous security monitoring and improvement program</w:t>
      </w:r>
    </w:p>
    <w:p>
      <w:pPr>
        <w:pStyle w:val="Heading1"/>
      </w:pPr>
      <w:r>
        <w:t xml:space="preserve">7. EVIDENCE AND ARTIFACTS</w:t>
      </w:r>
    </w:p>
    <w:p>
      <w:pPr>
        <w:pStyle w:val="BodyText"/>
      </w:pPr>
      <w:r>
        <w:t xml:space="preserve">The following evidence was collected and preserved during the incident response:</w:t>
      </w:r>
    </w:p>
    <w:p>
      <w:pPr>
        <w:pStyle w:val="ListParagraph"/>
        <w:numPr>
          <w:ilvl w:val="0"/>
          <w:numId w:val="2"/>
        </w:numPr>
      </w:pPr>
      <w:r>
        <w:t xml:space="preserve">Forensic disk images of all affected workstations (15 systems)</w:t>
      </w:r>
    </w:p>
    <w:p>
      <w:pPr>
        <w:pStyle w:val="ListParagraph"/>
        <w:numPr>
          <w:ilvl w:val="0"/>
          <w:numId w:val="2"/>
        </w:numPr>
      </w:pPr>
      <w:r>
        <w:t xml:space="preserve">Network traffic captures during the incident window</w:t>
      </w:r>
    </w:p>
    <w:p>
      <w:pPr>
        <w:pStyle w:val="ListParagraph"/>
        <w:numPr>
          <w:ilvl w:val="0"/>
          <w:numId w:val="2"/>
        </w:numPr>
      </w:pPr>
      <w:r>
        <w:t xml:space="preserve">System logs from affected servers and security tools</w:t>
      </w:r>
    </w:p>
    <w:p>
      <w:pPr>
        <w:pStyle w:val="ListParagraph"/>
        <w:numPr>
          <w:ilvl w:val="0"/>
          <w:numId w:val="2"/>
        </w:numPr>
      </w:pPr>
      <w:r>
        <w:t xml:space="preserve">Malware samples and analysis reports</w:t>
      </w:r>
    </w:p>
    <w:p>
      <w:pPr>
        <w:pStyle w:val="ListParagraph"/>
        <w:numPr>
          <w:ilvl w:val="0"/>
          <w:numId w:val="2"/>
        </w:numPr>
      </w:pPr>
      <w:r>
        <w:t xml:space="preserve">Email headers and phishing message artifacts</w:t>
      </w:r>
    </w:p>
    <w:p>
      <w:pPr>
        <w:pStyle w:val="ListParagraph"/>
        <w:numPr>
          <w:ilvl w:val="0"/>
          <w:numId w:val="2"/>
        </w:numPr>
      </w:pPr>
      <w:r>
        <w:t xml:space="preserve">Incident response team communications and decision logs</w:t>
      </w:r>
    </w:p>
    <w:p>
      <w:pPr>
        <w:pStyle w:val="BodyText"/>
      </w:pPr>
      <w:r>
        <w:t xml:space="preserve">All evidence has been preserved according to chain of custody procedures and is available for legal proceedings if required.</w:t>
      </w:r>
    </w:p>
    <w:p>
      <w:pPr>
        <w:pStyle w:val="Heading1"/>
      </w:pPr>
      <w:r>
        <w:t xml:space="preserve">8. COMPLIANCE AND REGULATORY REPORTING</w:t>
      </w:r>
    </w:p>
    <w:p>
      <w:pPr>
        <w:pStyle w:val="BodyText"/>
      </w:pPr>
      <w:r>
        <w:t xml:space="preserve">The following notifications and reports were filed in accordance with regulatory requirements:</w:t>
      </w:r>
    </w:p>
    <w:p>
      <w:pPr>
        <w:pStyle w:val="ListParagraph"/>
        <w:numPr>
          <w:ilvl w:val="0"/>
          <w:numId w:val="2"/>
        </w:numPr>
      </w:pPr>
      <w:r>
        <w:t xml:space="preserve">Internal executive notification within 2 hours of detection</w:t>
      </w:r>
    </w:p>
    <w:p>
      <w:pPr>
        <w:pStyle w:val="ListParagraph"/>
        <w:numPr>
          <w:ilvl w:val="0"/>
          <w:numId w:val="2"/>
        </w:numPr>
      </w:pPr>
      <w:r>
        <w:t xml:space="preserve">Board of Directors briefed within 24 hours</w:t>
      </w:r>
    </w:p>
    <w:p>
      <w:pPr>
        <w:pStyle w:val="ListParagraph"/>
        <w:numPr>
          <w:ilvl w:val="0"/>
          <w:numId w:val="2"/>
        </w:numPr>
      </w:pPr>
      <w:r>
        <w:t xml:space="preserve">Cyber insurance carrier notified within 48 hours</w:t>
      </w:r>
    </w:p>
    <w:p>
      <w:pPr>
        <w:pStyle w:val="ListParagraph"/>
        <w:numPr>
          <w:ilvl w:val="0"/>
          <w:numId w:val="2"/>
        </w:numPr>
      </w:pPr>
      <w:r>
        <w:t xml:space="preserve">Law enforcement consultation initiated (FBI IC3)</w:t>
      </w:r>
    </w:p>
    <w:p>
      <w:pPr>
        <w:pStyle w:val="ListParagraph"/>
        <w:numPr>
          <w:ilvl w:val="0"/>
          <w:numId w:val="2"/>
        </w:numPr>
      </w:pPr>
      <w:r>
        <w:t xml:space="preserve">Industry threat intelligence shared with relevant ISACs</w:t>
      </w:r>
    </w:p>
    <w:p>
      <w:pPr>
        <w:pStyle w:val="Heading1"/>
      </w:pPr>
      <w:r>
        <w:t xml:space="preserve">9. CONCLUSION</w:t>
      </w:r>
    </w:p>
    <w:p>
      <w:pPr>
        <w:pStyle w:val="BodyText"/>
      </w:pPr>
      <w:r>
        <w:t xml:space="preserve">This incident demonstrated both the effectiveness of our current security controls and areas requiring improvement. The rapid detection and coordinated response limited the impact significantly. However, the successful initial compromise highlights the need for enhanced email security and user awareness measures.</w:t>
      </w:r>
    </w:p>
    <w:p>
      <w:pPr>
        <w:pStyle w:val="BodyText"/>
      </w:pPr>
      <w:r>
        <w:t xml:space="preserve">All systems have been fully restored and hardened. The recommended security improvements are being implemented according to the defined timeline. Continuous monitoring has been enhanced to detect similar attack patterns in the future.</w:t>
      </w:r>
    </w:p>
    <w:p>
      <w:pPr>
        <w:pStyle w:val="BodyText"/>
      </w:pPr>
      <w:r>
        <w:t xml:space="preserve">This incident response was conducted in full compliance with NIST SP 800-61 Rev. 3 guidelines and our organizational incident response procedures. Regular review and testing of our incident response capabilities will continue to ensure organizational resilience against cyber threats.</w:t>
      </w:r>
    </w:p>
    <w:p>
      <w:pPr>
        <w:pStyle w:val="Heading1"/>
      </w:pPr>
      <w:r>
        <w:t xml:space="preserve">10. APPENDICES</w:t>
      </w:r>
    </w:p>
    <w:p>
      <w:pPr>
        <w:pStyle w:val="Heading2"/>
      </w:pPr>
      <w:r>
        <w:t xml:space="preserve">Appendix A: Indicators of Compromise (IOCs)</w:t>
      </w:r>
    </w:p>
    <w:p>
      <w:pPr>
        <w:pStyle w:val="ListParagraph"/>
        <w:numPr>
          <w:ilvl w:val="0"/>
          <w:numId w:val="2"/>
        </w:numPr>
      </w:pPr>
      <w:r>
        <w:t xml:space="preserve">File Hash (SHA-256): a1b2c3d4e5f6789012345678901234567890abcdef</w:t>
      </w:r>
    </w:p>
    <w:p>
      <w:pPr>
        <w:pStyle w:val="ListParagraph"/>
        <w:numPr>
          <w:ilvl w:val="0"/>
          <w:numId w:val="2"/>
        </w:numPr>
      </w:pPr>
      <w:r>
        <w:t xml:space="preserve">C2 Server: 192.168.100.45 (compromised local system)</w:t>
      </w:r>
    </w:p>
    <w:p>
      <w:pPr>
        <w:pStyle w:val="ListParagraph"/>
        <w:numPr>
          <w:ilvl w:val="0"/>
          <w:numId w:val="2"/>
        </w:numPr>
      </w:pPr>
      <w:r>
        <w:t xml:space="preserve">Email Subject: "Urgent: Invoice Payment Required - Action Needed"</w:t>
      </w:r>
    </w:p>
    <w:p>
      <w:pPr>
        <w:pStyle w:val="ListParagraph"/>
        <w:numPr>
          <w:ilvl w:val="0"/>
          <w:numId w:val="2"/>
        </w:numPr>
      </w:pPr>
      <w:r>
        <w:t xml:space="preserve">Registry Key: HKLM\SOFTWARE\LockBit3\InstallDate</w:t>
      </w:r>
    </w:p>
    <w:p>
      <w:pPr>
        <w:pStyle w:val="Heading2"/>
      </w:pPr>
      <w:r>
        <w:t xml:space="preserve">Appendix B: Timeline Details</w:t>
      </w:r>
    </w:p>
    <w:p>
      <w:pPr>
        <w:pStyle w:val="BodyText"/>
      </w:pPr>
      <w:r>
        <w:t xml:space="preserve">Detailed timeline with additional technical information is available in the forensic analysis report (Document ID: FOR-2025-001234).</w:t>
      </w:r>
    </w:p>
    <w:p>
      <w:pPr>
        <w:pStyle w:val="Heading2"/>
      </w:pPr>
      <w:r>
        <w:t xml:space="preserve">Appendix C: Recovery Procedures</w:t>
      </w:r>
    </w:p>
    <w:p>
      <w:pPr>
        <w:pStyle w:val="BodyText"/>
      </w:pPr>
      <w:r>
        <w:t xml:space="preserve">Step-by-step recovery procedures used during the incident are documented in the Business Continuity Plan (Document ID: BCP-2025-001).</w:t>
      </w:r>
    </w:p>
    <w:p>
      <w:pPr>
        <w:spacing w:before="480"/>
        <w:jc w:val="center"/>
      </w:pPr>
      <w:r>
        <w:rPr>
          <w:b/>
          <w:bCs/>
          <w:sz w:val="24"/>
          <w:szCs w:val="24"/>
        </w:rPr>
        <w:t xml:space="preserve">--- END OF REPORT ---</w:t>
      </w:r>
    </w:p>
    <w:p>
      <w:pPr>
        <w:spacing w:before="240"/>
        <w:jc w:val="left"/>
      </w:pPr>
      <w:r>
        <w:rPr>
          <w:b/>
          <w:bCs/>
          <w:color w:val="FF0000"/>
        </w:rPr>
        <w:t xml:space="preserve">Document Classification: CONFIDENTIAL</w:t>
      </w:r>
    </w:p>
    <w:p>
      <w:r>
        <w:rPr>
          <w:b/>
          <w:bCs/>
        </w:rPr>
        <w:t xml:space="preserve">Document ID: INC-RPT-2025-001234</w:t>
      </w:r>
    </w:p>
    <w:p>
      <w:r>
        <w:rPr>
          <w:b/>
          <w:bCs/>
        </w:rPr>
        <w:t xml:space="preserve">Version: 1.0</w:t>
      </w:r>
    </w:p>
    <w:p>
      <w:r>
        <w:rPr>
          <w:b/>
          <w:bCs/>
        </w:rPr>
        <w:t xml:space="preserve">Date: November 10, 2025</w:t>
      </w:r>
    </w:p>
    <w:p>
      <w:r>
        <w:rPr>
          <w:b/>
          <w:bCs/>
        </w:rPr>
        <w:t xml:space="preserve">Prepared by: Incident Response Team</w:t>
      </w:r>
    </w:p>
    <w:p>
      <w:r>
        <w:rPr>
          <w:b/>
          <w:bCs/>
        </w:rPr>
        <w:t xml:space="preserve">Approved by: Chief Information Security Officer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r>
      <w:t xml:space="preserve"> | NIST SP 800-61 Rev. 3 Compliant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0"/>
        <w:szCs w:val="20"/>
      </w:rPr>
      <w:t xml:space="preserve">INCIDENT RESPONSE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 w:type="paragraph" w:styleId="BodyText">
    <w:name w:val="Body Text"/>
    <w:basedOn w:val="Normal"/>
    <w:pPr>
      <w:spacing w:after="120"/>
      <w:jc w:val="left"/>
    </w:pPr>
    <w:rPr>
      <w:rFonts w:ascii="Arial" w:cs="Arial" w:eastAsia="Arial" w:hAnsi="Arial"/>
      <w:color w:val="000000"/>
      <w:sz w:val="24"/>
      <w:szCs w:val="24"/>
    </w:rPr>
  </w:style>
  <w:style w:type="paragraph" w:styleId="TableHeader">
    <w:name w:val="Table Header"/>
    <w:basedOn w:val="Normal"/>
    <w:pPr>
      <w:jc w:val="center"/>
    </w:pPr>
    <w:rPr>
      <w:rFonts w:ascii="Arial" w:cs="Arial" w:eastAsia="Arial" w:hAnsi="Arial"/>
      <w:b/>
      <w:bCs/>
      <w:color w:val="FFFFFF"/>
      <w:sz w:val="22"/>
      <w:szCs w:val="22"/>
    </w:rPr>
  </w:style>
  <w:style w:type="paragraph" w:styleId="Classification">
    <w:name w:val="Classification"/>
    <w:basedOn w:val="Normal"/>
    <w:pPr>
      <w:spacing w:before="120" w:after="120"/>
      <w:jc w:val="center"/>
    </w:pPr>
    <w:rPr>
      <w:rFonts w:ascii="Arial" w:cs="Arial" w:eastAsia="Arial" w:hAnsi="Arial"/>
      <w:b/>
      <w:bCs/>
      <w:color w:val="FF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2025-11-10T16:45:35.453Z</dcterms:created>
  <dcterms:modified xsi:type="dcterms:W3CDTF">2025-11-10T16:45:35.454Z</dcterms:modified>
</cp:coreProperties>
</file>

<file path=docProps/custom.xml><?xml version="1.0" encoding="utf-8"?>
<Properties xmlns="http://schemas.openxmlformats.org/officeDocument/2006/custom-properties" xmlns:vt="http://schemas.openxmlformats.org/officeDocument/2006/docPropsVTypes"/>
</file>