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lassification"/>
      </w:pPr>
      <w:r>
        <w:t xml:space="preserve">CONFIDENTIAL</w:t>
      </w:r>
    </w:p>
    <w:p>
      <w:pPr>
        <w:pStyle w:val="Title"/>
      </w:pPr>
      <w:r>
        <w:t xml:space="preserve">BUSINESS CONTINUITY PLAN</w:t>
      </w:r>
    </w:p>
    <w:p>
      <w:pPr>
        <w:spacing w:before="120" w:after="120"/>
        <w:jc w:val="center"/>
      </w:pPr>
      <w:r>
        <w:rPr>
          <w:b/>
          <w:bCs/>
          <w:sz w:val="26"/>
          <w:szCs w:val="26"/>
        </w:rPr>
        <w:t xml:space="preserve">NIST SP 800-34 Rev. 1 Compliant</w:t>
      </w:r>
    </w:p>
    <w:p>
      <w:pPr>
        <w:spacing w:before="60" w:after="240"/>
        <w:jc w:val="center"/>
      </w:pPr>
      <w:r>
        <w:rPr>
          <w:b/>
          <w:bCs/>
          <w:sz w:val="22"/>
          <w:szCs w:val="22"/>
        </w:rPr>
        <w:t xml:space="preserve">Information Technology Contingency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4472C4" w:val="clear"/>
          </w:tcPr>
          <w:p>
            <w:pPr>
              <w:pStyle w:val="TableHeader"/>
            </w:pPr>
            <w:r>
              <w:t xml:space="preserve">Document Control</w:t>
            </w:r>
          </w:p>
        </w:tc>
        <w:tc>
          <w:tcPr>
            <w:tcW w:type="dxa" w:w="6560"/>
            <w:tcBorders>
              <w:top w:val="single" w:color="CCCCCC" w:sz="1"/>
              <w:left w:val="single" w:color="CCCCCC" w:sz="1"/>
              <w:bottom w:val="single" w:color="CCCCCC" w:sz="1"/>
              <w:right w:val="single" w:color="CCCCCC" w:sz="1"/>
            </w:tcBorders>
            <w:shd w:fill="4472C4" w:val="clear"/>
          </w:tcPr>
          <w:p>
            <w:pPr>
              <w:pStyle w:val="TableHeader"/>
            </w:pPr>
            <w:r>
              <w:t xml:space="preserve">Information</w:t>
            </w:r>
          </w:p>
        </w:tc>
      </w:tr>
      <w:tr>
        <w:tc>
          <w:tcPr>
            <w:tcW w:type="dxa" w:w="2800"/>
            <w:tcBorders>
              <w:top w:val="single" w:color="CCCCCC" w:sz="1"/>
              <w:left w:val="single" w:color="CCCCCC" w:sz="1"/>
              <w:bottom w:val="single" w:color="CCCCCC" w:sz="1"/>
              <w:right w:val="single" w:color="CCCCCC" w:sz="1"/>
            </w:tcBorders>
          </w:tcPr>
          <w:p>
            <w:r>
              <w:rPr>
                <w:b/>
                <w:bCs/>
              </w:rPr>
              <w:t xml:space="preserve">Document ID</w:t>
            </w:r>
          </w:p>
        </w:tc>
        <w:tc>
          <w:tcPr>
            <w:tcW w:type="dxa" w:w="6560"/>
            <w:tcBorders>
              <w:top w:val="single" w:color="CCCCCC" w:sz="1"/>
              <w:left w:val="single" w:color="CCCCCC" w:sz="1"/>
              <w:bottom w:val="single" w:color="CCCCCC" w:sz="1"/>
              <w:right w:val="single" w:color="CCCCCC" w:sz="1"/>
            </w:tcBorders>
          </w:tcPr>
          <w:p>
            <w:r>
              <w:t xml:space="preserve">BCP-2025-001</w:t>
            </w:r>
          </w:p>
        </w:tc>
      </w:tr>
      <w:tr>
        <w:tc>
          <w:tcPr>
            <w:tcW w:type="dxa" w:w="2800"/>
            <w:tcBorders>
              <w:top w:val="single" w:color="CCCCCC" w:sz="1"/>
              <w:left w:val="single" w:color="CCCCCC" w:sz="1"/>
              <w:bottom w:val="single" w:color="CCCCCC" w:sz="1"/>
              <w:right w:val="single" w:color="CCCCCC" w:sz="1"/>
            </w:tcBorders>
          </w:tcPr>
          <w:p>
            <w:r>
              <w:rPr>
                <w:b/>
                <w:bCs/>
              </w:rPr>
              <w:t xml:space="preserve">Version</w:t>
            </w:r>
          </w:p>
        </w:tc>
        <w:tc>
          <w:tcPr>
            <w:tcW w:type="dxa" w:w="6560"/>
            <w:tcBorders>
              <w:top w:val="single" w:color="CCCCCC" w:sz="1"/>
              <w:left w:val="single" w:color="CCCCCC" w:sz="1"/>
              <w:bottom w:val="single" w:color="CCCCCC" w:sz="1"/>
              <w:right w:val="single" w:color="CCCCCC" w:sz="1"/>
            </w:tcBorders>
          </w:tcPr>
          <w:p>
            <w:r>
              <w:t xml:space="preserve">3.0</w:t>
            </w:r>
          </w:p>
        </w:tc>
      </w:tr>
      <w:tr>
        <w:tc>
          <w:tcPr>
            <w:tcW w:type="dxa" w:w="2800"/>
            <w:tcBorders>
              <w:top w:val="single" w:color="CCCCCC" w:sz="1"/>
              <w:left w:val="single" w:color="CCCCCC" w:sz="1"/>
              <w:bottom w:val="single" w:color="CCCCCC" w:sz="1"/>
              <w:right w:val="single" w:color="CCCCCC" w:sz="1"/>
            </w:tcBorders>
          </w:tcPr>
          <w:p>
            <w:r>
              <w:rPr>
                <w:b/>
                <w:bCs/>
              </w:rPr>
              <w:t xml:space="preserve">Effective Date</w:t>
            </w:r>
          </w:p>
        </w:tc>
        <w:tc>
          <w:tcPr>
            <w:tcW w:type="dxa" w:w="6560"/>
            <w:tcBorders>
              <w:top w:val="single" w:color="CCCCCC" w:sz="1"/>
              <w:left w:val="single" w:color="CCCCCC" w:sz="1"/>
              <w:bottom w:val="single" w:color="CCCCCC" w:sz="1"/>
              <w:right w:val="single" w:color="CCCCCC" w:sz="1"/>
            </w:tcBorders>
          </w:tcPr>
          <w:p>
            <w:r>
              <w:t xml:space="preserve">November 10, 2025</w:t>
            </w:r>
          </w:p>
        </w:tc>
      </w:tr>
      <w:tr>
        <w:tc>
          <w:tcPr>
            <w:tcW w:type="dxa" w:w="2800"/>
            <w:tcBorders>
              <w:top w:val="single" w:color="CCCCCC" w:sz="1"/>
              <w:left w:val="single" w:color="CCCCCC" w:sz="1"/>
              <w:bottom w:val="single" w:color="CCCCCC" w:sz="1"/>
              <w:right w:val="single" w:color="CCCCCC" w:sz="1"/>
            </w:tcBorders>
          </w:tcPr>
          <w:p>
            <w:r>
              <w:rPr>
                <w:b/>
                <w:bCs/>
              </w:rPr>
              <w:t xml:space="preserve">Next Review Date</w:t>
            </w:r>
          </w:p>
        </w:tc>
        <w:tc>
          <w:tcPr>
            <w:tcW w:type="dxa" w:w="6560"/>
            <w:tcBorders>
              <w:top w:val="single" w:color="CCCCCC" w:sz="1"/>
              <w:left w:val="single" w:color="CCCCCC" w:sz="1"/>
              <w:bottom w:val="single" w:color="CCCCCC" w:sz="1"/>
              <w:right w:val="single" w:color="CCCCCC" w:sz="1"/>
            </w:tcBorders>
          </w:tcPr>
          <w:p>
            <w:r>
              <w:t xml:space="preserve">November 10, 2026</w:t>
            </w:r>
          </w:p>
        </w:tc>
      </w:tr>
      <w:tr>
        <w:tc>
          <w:tcPr>
            <w:tcW w:type="dxa" w:w="2800"/>
            <w:tcBorders>
              <w:top w:val="single" w:color="CCCCCC" w:sz="1"/>
              <w:left w:val="single" w:color="CCCCCC" w:sz="1"/>
              <w:bottom w:val="single" w:color="CCCCCC" w:sz="1"/>
              <w:right w:val="single" w:color="CCCCCC" w:sz="1"/>
            </w:tcBorders>
          </w:tcPr>
          <w:p>
            <w:r>
              <w:rPr>
                <w:b/>
                <w:bCs/>
              </w:rPr>
              <w:t xml:space="preserve">Owner</w:t>
            </w:r>
          </w:p>
        </w:tc>
        <w:tc>
          <w:tcPr>
            <w:tcW w:type="dxa" w:w="6560"/>
            <w:tcBorders>
              <w:top w:val="single" w:color="CCCCCC" w:sz="1"/>
              <w:left w:val="single" w:color="CCCCCC" w:sz="1"/>
              <w:bottom w:val="single" w:color="CCCCCC" w:sz="1"/>
              <w:right w:val="single" w:color="CCCCCC" w:sz="1"/>
            </w:tcBorders>
          </w:tcPr>
          <w:p>
            <w:r>
              <w:t xml:space="preserve">Chief Information Security Officer</w:t>
            </w:r>
          </w:p>
        </w:tc>
      </w:tr>
      <w:tr>
        <w:tc>
          <w:tcPr>
            <w:tcW w:type="dxa" w:w="2800"/>
            <w:tcBorders>
              <w:top w:val="single" w:color="CCCCCC" w:sz="1"/>
              <w:left w:val="single" w:color="CCCCCC" w:sz="1"/>
              <w:bottom w:val="single" w:color="CCCCCC" w:sz="1"/>
              <w:right w:val="single" w:color="CCCCCC" w:sz="1"/>
            </w:tcBorders>
          </w:tcPr>
          <w:p>
            <w:r>
              <w:rPr>
                <w:b/>
                <w:bCs/>
              </w:rPr>
              <w:t xml:space="preserve">Classification</w:t>
            </w:r>
          </w:p>
        </w:tc>
        <w:tc>
          <w:tcPr>
            <w:tcW w:type="dxa" w:w="6560"/>
            <w:tcBorders>
              <w:top w:val="single" w:color="CCCCCC" w:sz="1"/>
              <w:left w:val="single" w:color="CCCCCC" w:sz="1"/>
              <w:bottom w:val="single" w:color="CCCCCC" w:sz="1"/>
              <w:right w:val="single" w:color="CCCCCC" w:sz="1"/>
            </w:tcBorders>
          </w:tcPr>
          <w:p>
            <w:r>
              <w:rPr>
                <w:b/>
                <w:bCs/>
                <w:color w:val="FF0000"/>
              </w:rPr>
              <w:t xml:space="preserve">CONFIDENTIAL</w:t>
            </w:r>
          </w:p>
        </w:tc>
      </w:tr>
    </w:tbl>
    <w:p>
      <w:pPr>
        <w:pStyle w:val="Heading1"/>
      </w:pPr>
      <w:r>
        <w:t xml:space="preserve">EXECUTIVE SUMMARY</w:t>
      </w:r>
    </w:p>
    <w:p>
      <w:pPr>
        <w:pStyle w:val="BodyText"/>
      </w:pPr>
      <w:r>
        <w:t xml:space="preserve">This Business Continuity Plan (BCP) establishes policies, procedures, and capabilities for maintaining essential business operations during and after a significant disruption to normal operations. This plan is designed to comply with NIST SP 800-34 Rev. 1 guidelines for contingency planning and supports organizational resilience against various threats including natural disasters, cyber incidents, pandemics, and other business disruptions.</w:t>
      </w:r>
    </w:p>
    <w:p>
      <w:pPr>
        <w:pStyle w:val="BodyText"/>
      </w:pPr>
      <w:r>
        <w:t xml:space="preserve">The plan identifies critical business functions, recovery strategies, and detailed procedures to ensure rapid restoration of operations within established Recovery Time Objectives (RTOs) and Recovery Point Objectives (RPOs). Regular testing, training, and maintenance activities ensure the plan remains current and effective.</w:t>
      </w:r>
    </w:p>
    <w:p>
      <w:pPr>
        <w:pStyle w:val="Heading1"/>
      </w:pPr>
      <w:r>
        <w:t xml:space="preserve">TABLE OF CONTENTS</w:t>
      </w:r>
    </w:p>
    <w:sdt>
      <w:sdtPr>
        <w:alias w:val="Contents"/>
      </w:sdtPr>
      <w:sdtContent>
        <w:p>
          <w:r>
            <w:fldChar w:fldCharType="begin" w:dirty="true"/>
            <w:instrText xml:space="preserve">TOC \h \o "1-4"</w:instrText>
            <w:fldChar w:fldCharType="separate"/>
          </w:r>
        </w:p>
        <w:p>
          <w:r>
            <w:fldChar w:fldCharType="end"/>
          </w:r>
        </w:p>
      </w:sdtContent>
    </w:sdt>
    <w:p>
      <w:pPr>
        <w:pStyle w:val="Heading1"/>
      </w:pPr>
      <w:r>
        <w:t xml:space="preserve">1. INTRODUCTION AND OVERVIEW</w:t>
      </w:r>
    </w:p>
    <w:p>
      <w:pPr>
        <w:pStyle w:val="Heading2"/>
      </w:pPr>
      <w:r>
        <w:t xml:space="preserve">1.1 Purpose and Scope</w:t>
      </w:r>
    </w:p>
    <w:p>
      <w:pPr>
        <w:pStyle w:val="BodyText"/>
      </w:pPr>
      <w:r>
        <w:t xml:space="preserve">This Business Continuity Plan serves the following purposes:</w:t>
      </w:r>
    </w:p>
    <w:p>
      <w:pPr>
        <w:pStyle w:val="ListParagraph"/>
        <w:numPr>
          <w:ilvl w:val="0"/>
          <w:numId w:val="2"/>
        </w:numPr>
      </w:pPr>
      <w:r>
        <w:t xml:space="preserve">Define roles, responsibilities, and procedures for business continuity response</w:t>
      </w:r>
    </w:p>
    <w:p>
      <w:pPr>
        <w:pStyle w:val="ListParagraph"/>
        <w:numPr>
          <w:ilvl w:val="0"/>
          <w:numId w:val="2"/>
        </w:numPr>
      </w:pPr>
      <w:r>
        <w:t xml:space="preserve">Establish recovery strategies for critical business functions and IT systems</w:t>
      </w:r>
    </w:p>
    <w:p>
      <w:pPr>
        <w:pStyle w:val="ListParagraph"/>
        <w:numPr>
          <w:ilvl w:val="0"/>
          <w:numId w:val="2"/>
        </w:numPr>
      </w:pPr>
      <w:r>
        <w:t xml:space="preserve">Provide guidance for maintaining operations during various disruption scenarios</w:t>
      </w:r>
    </w:p>
    <w:p>
      <w:pPr>
        <w:pStyle w:val="ListParagraph"/>
        <w:numPr>
          <w:ilvl w:val="0"/>
          <w:numId w:val="2"/>
        </w:numPr>
      </w:pPr>
      <w:r>
        <w:t xml:space="preserve">Ensure compliance with regulatory requirements and industry standards</w:t>
      </w:r>
    </w:p>
    <w:p>
      <w:pPr>
        <w:pStyle w:val="ListParagraph"/>
        <w:numPr>
          <w:ilvl w:val="0"/>
          <w:numId w:val="2"/>
        </w:numPr>
      </w:pPr>
      <w:r>
        <w:t xml:space="preserve">Support organizational risk management and business resilience objectives</w:t>
      </w:r>
    </w:p>
    <w:p>
      <w:pPr>
        <w:pStyle w:val="BodyText"/>
      </w:pPr>
      <w:r>
        <w:t xml:space="preserve">This plan applies to all organizational departments, critical business processes, information systems, and third-party dependencies that support essential operations.</w:t>
      </w:r>
    </w:p>
    <w:p>
      <w:pPr>
        <w:pStyle w:val="Heading2"/>
      </w:pPr>
      <w:r>
        <w:t xml:space="preserve">1.2 Plan Objectives</w:t>
      </w:r>
    </w:p>
    <w:p>
      <w:pPr>
        <w:pStyle w:val="BodyText"/>
      </w:pPr>
      <w:r>
        <w:t xml:space="preserve">The primary objectives of this Business Continuity Plan are:</w:t>
      </w:r>
    </w:p>
    <w:p>
      <w:pPr>
        <w:pStyle w:val="ListParagraph"/>
        <w:numPr>
          <w:ilvl w:val="0"/>
          <w:numId w:val="3"/>
        </w:numPr>
      </w:pPr>
      <w:r>
        <w:t xml:space="preserve">Minimize operational disruption and financial losses during incidents</w:t>
      </w:r>
    </w:p>
    <w:p>
      <w:pPr>
        <w:pStyle w:val="ListParagraph"/>
        <w:numPr>
          <w:ilvl w:val="0"/>
          <w:numId w:val="3"/>
        </w:numPr>
      </w:pPr>
      <w:r>
        <w:t xml:space="preserve">Protect personnel, customers, and stakeholder interests</w:t>
      </w:r>
    </w:p>
    <w:p>
      <w:pPr>
        <w:pStyle w:val="ListParagraph"/>
        <w:numPr>
          <w:ilvl w:val="0"/>
          <w:numId w:val="3"/>
        </w:numPr>
      </w:pPr>
      <w:r>
        <w:t xml:space="preserve">Maintain regulatory compliance and contractual obligations</w:t>
      </w:r>
    </w:p>
    <w:p>
      <w:pPr>
        <w:pStyle w:val="ListParagraph"/>
        <w:numPr>
          <w:ilvl w:val="0"/>
          <w:numId w:val="3"/>
        </w:numPr>
      </w:pPr>
      <w:r>
        <w:t xml:space="preserve">Preserve organizational reputation and market position</w:t>
      </w:r>
    </w:p>
    <w:p>
      <w:pPr>
        <w:pStyle w:val="ListParagraph"/>
        <w:numPr>
          <w:ilvl w:val="0"/>
          <w:numId w:val="3"/>
        </w:numPr>
      </w:pPr>
      <w:r>
        <w:t xml:space="preserve">Enable rapid recovery to normal operations</w:t>
      </w:r>
    </w:p>
    <w:p>
      <w:pPr>
        <w:pStyle w:val="Heading2"/>
      </w:pPr>
      <w:r>
        <w:t xml:space="preserve">1.3 Plan Activation Authority</w:t>
      </w:r>
    </w:p>
    <w:p>
      <w:pPr>
        <w:pStyle w:val="BodyText"/>
      </w:pPr>
      <w:r>
        <w:t xml:space="preserve">This Business Continuity Plan may be activated by any of the following authorized personnel:</w:t>
      </w:r>
    </w:p>
    <w:p>
      <w:pPr>
        <w:pStyle w:val="ListParagraph"/>
        <w:numPr>
          <w:ilvl w:val="0"/>
          <w:numId w:val="2"/>
        </w:numPr>
      </w:pPr>
      <w:r>
        <w:t xml:space="preserve">Chief Executive Officer (CEO)</w:t>
      </w:r>
    </w:p>
    <w:p>
      <w:pPr>
        <w:pStyle w:val="ListParagraph"/>
        <w:numPr>
          <w:ilvl w:val="0"/>
          <w:numId w:val="2"/>
        </w:numPr>
      </w:pPr>
      <w:r>
        <w:t xml:space="preserve">Chief Operating Officer (COO)</w:t>
      </w:r>
    </w:p>
    <w:p>
      <w:pPr>
        <w:pStyle w:val="ListParagraph"/>
        <w:numPr>
          <w:ilvl w:val="0"/>
          <w:numId w:val="2"/>
        </w:numPr>
      </w:pPr>
      <w:r>
        <w:t xml:space="preserve">Chief Information Security Officer (CISO)</w:t>
      </w:r>
    </w:p>
    <w:p>
      <w:pPr>
        <w:pStyle w:val="ListParagraph"/>
        <w:numPr>
          <w:ilvl w:val="0"/>
          <w:numId w:val="2"/>
        </w:numPr>
      </w:pPr>
      <w:r>
        <w:t xml:space="preserve">Business Continuity Manager</w:t>
      </w:r>
    </w:p>
    <w:p>
      <w:pPr>
        <w:pStyle w:val="ListParagraph"/>
        <w:numPr>
          <w:ilvl w:val="0"/>
          <w:numId w:val="2"/>
        </w:numPr>
      </w:pPr>
      <w:r>
        <w:t xml:space="preserve">Emergency Operations Center (EOC) Director</w:t>
      </w:r>
    </w:p>
    <w:p>
      <w:pPr>
        <w:pStyle w:val="Heading1"/>
      </w:pPr>
      <w:r>
        <w:t xml:space="preserve">2. BUSINESS IMPACT ANALYSIS</w:t>
      </w:r>
    </w:p>
    <w:p>
      <w:pPr>
        <w:pStyle w:val="Heading2"/>
      </w:pPr>
      <w:r>
        <w:t xml:space="preserve">2.1 Critical Business Functions</w:t>
      </w:r>
    </w:p>
    <w:p>
      <w:pPr>
        <w:pStyle w:val="BodyText"/>
      </w:pPr>
      <w:r>
        <w:t xml:space="preserve">The following business functions have been identified as critical to organizational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4472C4" w:val="clear"/>
          </w:tcPr>
          <w:p>
            <w:pPr>
              <w:pStyle w:val="TableHeader"/>
            </w:pPr>
            <w:r>
              <w:t xml:space="preserve">Business Function</w:t>
            </w:r>
          </w:p>
        </w:tc>
        <w:tc>
          <w:tcPr>
            <w:tcW w:type="dxa" w:w="1500"/>
            <w:tcBorders>
              <w:top w:val="single" w:color="CCCCCC" w:sz="1"/>
              <w:left w:val="single" w:color="CCCCCC" w:sz="1"/>
              <w:bottom w:val="single" w:color="CCCCCC" w:sz="1"/>
              <w:right w:val="single" w:color="CCCCCC" w:sz="1"/>
            </w:tcBorders>
            <w:shd w:fill="4472C4" w:val="clear"/>
          </w:tcPr>
          <w:p>
            <w:pPr>
              <w:pStyle w:val="TableHeader"/>
            </w:pPr>
            <w:r>
              <w:t xml:space="preserve">Priority</w:t>
            </w:r>
          </w:p>
        </w:tc>
        <w:tc>
          <w:tcPr>
            <w:tcW w:type="dxa" w:w="1500"/>
            <w:tcBorders>
              <w:top w:val="single" w:color="CCCCCC" w:sz="1"/>
              <w:left w:val="single" w:color="CCCCCC" w:sz="1"/>
              <w:bottom w:val="single" w:color="CCCCCC" w:sz="1"/>
              <w:right w:val="single" w:color="CCCCCC" w:sz="1"/>
            </w:tcBorders>
            <w:shd w:fill="4472C4" w:val="clear"/>
          </w:tcPr>
          <w:p>
            <w:pPr>
              <w:pStyle w:val="TableHeader"/>
            </w:pPr>
            <w:r>
              <w:t xml:space="preserve">RTO</w:t>
            </w:r>
          </w:p>
        </w:tc>
        <w:tc>
          <w:tcPr>
            <w:tcW w:type="dxa" w:w="1500"/>
            <w:tcBorders>
              <w:top w:val="single" w:color="CCCCCC" w:sz="1"/>
              <w:left w:val="single" w:color="CCCCCC" w:sz="1"/>
              <w:bottom w:val="single" w:color="CCCCCC" w:sz="1"/>
              <w:right w:val="single" w:color="CCCCCC" w:sz="1"/>
            </w:tcBorders>
            <w:shd w:fill="4472C4" w:val="clear"/>
          </w:tcPr>
          <w:p>
            <w:pPr>
              <w:pStyle w:val="TableHeader"/>
            </w:pPr>
            <w:r>
              <w:t xml:space="preserve">RPO</w:t>
            </w:r>
          </w:p>
        </w:tc>
        <w:tc>
          <w:tcPr>
            <w:tcW w:type="dxa" w:w="2860"/>
            <w:tcBorders>
              <w:top w:val="single" w:color="CCCCCC" w:sz="1"/>
              <w:left w:val="single" w:color="CCCCCC" w:sz="1"/>
              <w:bottom w:val="single" w:color="CCCCCC" w:sz="1"/>
              <w:right w:val="single" w:color="CCCCCC" w:sz="1"/>
            </w:tcBorders>
            <w:shd w:fill="4472C4" w:val="clear"/>
          </w:tcPr>
          <w:p>
            <w:pPr>
              <w:pStyle w:val="TableHeader"/>
            </w:pPr>
            <w:r>
              <w:t xml:space="preserve">Owner</w:t>
            </w:r>
          </w:p>
        </w:tc>
      </w:tr>
      <w:tr>
        <w:tc>
          <w:tcPr>
            <w:tcW w:type="dxa" w:w="2000"/>
            <w:tcBorders>
              <w:top w:val="single" w:color="CCCCCC" w:sz="1"/>
              <w:left w:val="single" w:color="CCCCCC" w:sz="1"/>
              <w:bottom w:val="single" w:color="CCCCCC" w:sz="1"/>
              <w:right w:val="single" w:color="CCCCCC" w:sz="1"/>
            </w:tcBorders>
          </w:tcPr>
          <w:p>
            <w:r>
              <w:t xml:space="preserve">Financial Operations</w:t>
            </w:r>
          </w:p>
        </w:tc>
        <w:tc>
          <w:tcPr>
            <w:tcW w:type="dxa" w:w="1500"/>
            <w:tcBorders>
              <w:top w:val="single" w:color="CCCCCC" w:sz="1"/>
              <w:left w:val="single" w:color="CCCCCC" w:sz="1"/>
              <w:bottom w:val="single" w:color="CCCCCC" w:sz="1"/>
              <w:right w:val="single" w:color="CCCCCC" w:sz="1"/>
            </w:tcBorders>
          </w:tcPr>
          <w:p>
            <w:r>
              <w:rPr>
                <w:b/>
                <w:bCs/>
                <w:color w:val="FF0000"/>
              </w:rPr>
              <w:t xml:space="preserve">CRITICAL</w:t>
            </w:r>
          </w:p>
        </w:tc>
        <w:tc>
          <w:tcPr>
            <w:tcW w:type="dxa" w:w="1500"/>
            <w:tcBorders>
              <w:top w:val="single" w:color="CCCCCC" w:sz="1"/>
              <w:left w:val="single" w:color="CCCCCC" w:sz="1"/>
              <w:bottom w:val="single" w:color="CCCCCC" w:sz="1"/>
              <w:right w:val="single" w:color="CCCCCC" w:sz="1"/>
            </w:tcBorders>
          </w:tcPr>
          <w:p>
            <w:r>
              <w:t xml:space="preserve">4 hours</w:t>
            </w:r>
          </w:p>
        </w:tc>
        <w:tc>
          <w:tcPr>
            <w:tcW w:type="dxa" w:w="1500"/>
            <w:tcBorders>
              <w:top w:val="single" w:color="CCCCCC" w:sz="1"/>
              <w:left w:val="single" w:color="CCCCCC" w:sz="1"/>
              <w:bottom w:val="single" w:color="CCCCCC" w:sz="1"/>
              <w:right w:val="single" w:color="CCCCCC" w:sz="1"/>
            </w:tcBorders>
          </w:tcPr>
          <w:p>
            <w:r>
              <w:t xml:space="preserve">1 hour</w:t>
            </w:r>
          </w:p>
        </w:tc>
        <w:tc>
          <w:tcPr>
            <w:tcW w:type="dxa" w:w="2860"/>
            <w:tcBorders>
              <w:top w:val="single" w:color="CCCCCC" w:sz="1"/>
              <w:left w:val="single" w:color="CCCCCC" w:sz="1"/>
              <w:bottom w:val="single" w:color="CCCCCC" w:sz="1"/>
              <w:right w:val="single" w:color="CCCCCC" w:sz="1"/>
            </w:tcBorders>
          </w:tcPr>
          <w:p>
            <w:r>
              <w:t xml:space="preserve">CFO / Finance Director</w:t>
            </w:r>
          </w:p>
        </w:tc>
      </w:tr>
      <w:tr>
        <w:tc>
          <w:tcPr>
            <w:tcW w:type="dxa" w:w="2000"/>
            <w:tcBorders>
              <w:top w:val="single" w:color="CCCCCC" w:sz="1"/>
              <w:left w:val="single" w:color="CCCCCC" w:sz="1"/>
              <w:bottom w:val="single" w:color="CCCCCC" w:sz="1"/>
              <w:right w:val="single" w:color="CCCCCC" w:sz="1"/>
            </w:tcBorders>
          </w:tcPr>
          <w:p>
            <w:r>
              <w:t xml:space="preserve">Customer Services</w:t>
            </w:r>
          </w:p>
        </w:tc>
        <w:tc>
          <w:tcPr>
            <w:tcW w:type="dxa" w:w="1500"/>
            <w:tcBorders>
              <w:top w:val="single" w:color="CCCCCC" w:sz="1"/>
              <w:left w:val="single" w:color="CCCCCC" w:sz="1"/>
              <w:bottom w:val="single" w:color="CCCCCC" w:sz="1"/>
              <w:right w:val="single" w:color="CCCCCC" w:sz="1"/>
            </w:tcBorders>
          </w:tcPr>
          <w:p>
            <w:r>
              <w:rPr>
                <w:b/>
                <w:bCs/>
                <w:color w:val="FF6600"/>
              </w:rPr>
              <w:t xml:space="preserve">HIGH</w:t>
            </w:r>
          </w:p>
        </w:tc>
        <w:tc>
          <w:tcPr>
            <w:tcW w:type="dxa" w:w="1500"/>
            <w:tcBorders>
              <w:top w:val="single" w:color="CCCCCC" w:sz="1"/>
              <w:left w:val="single" w:color="CCCCCC" w:sz="1"/>
              <w:bottom w:val="single" w:color="CCCCCC" w:sz="1"/>
              <w:right w:val="single" w:color="CCCCCC" w:sz="1"/>
            </w:tcBorders>
          </w:tcPr>
          <w:p>
            <w:r>
              <w:t xml:space="preserve">8 hours</w:t>
            </w:r>
          </w:p>
        </w:tc>
        <w:tc>
          <w:tcPr>
            <w:tcW w:type="dxa" w:w="1500"/>
            <w:tcBorders>
              <w:top w:val="single" w:color="CCCCCC" w:sz="1"/>
              <w:left w:val="single" w:color="CCCCCC" w:sz="1"/>
              <w:bottom w:val="single" w:color="CCCCCC" w:sz="1"/>
              <w:right w:val="single" w:color="CCCCCC" w:sz="1"/>
            </w:tcBorders>
          </w:tcPr>
          <w:p>
            <w:r>
              <w:t xml:space="preserve">4 hours</w:t>
            </w:r>
          </w:p>
        </w:tc>
        <w:tc>
          <w:tcPr>
            <w:tcW w:type="dxa" w:w="2860"/>
            <w:tcBorders>
              <w:top w:val="single" w:color="CCCCCC" w:sz="1"/>
              <w:left w:val="single" w:color="CCCCCC" w:sz="1"/>
              <w:bottom w:val="single" w:color="CCCCCC" w:sz="1"/>
              <w:right w:val="single" w:color="CCCCCC" w:sz="1"/>
            </w:tcBorders>
          </w:tcPr>
          <w:p>
            <w:r>
              <w:t xml:space="preserve">VP Customer Operations</w:t>
            </w:r>
          </w:p>
        </w:tc>
      </w:tr>
      <w:tr>
        <w:tc>
          <w:tcPr>
            <w:tcW w:type="dxa" w:w="2000"/>
            <w:tcBorders>
              <w:top w:val="single" w:color="CCCCCC" w:sz="1"/>
              <w:left w:val="single" w:color="CCCCCC" w:sz="1"/>
              <w:bottom w:val="single" w:color="CCCCCC" w:sz="1"/>
              <w:right w:val="single" w:color="CCCCCC" w:sz="1"/>
            </w:tcBorders>
          </w:tcPr>
          <w:p>
            <w:r>
              <w:t xml:space="preserve">IT Infrastructure</w:t>
            </w:r>
          </w:p>
        </w:tc>
        <w:tc>
          <w:tcPr>
            <w:tcW w:type="dxa" w:w="1500"/>
            <w:tcBorders>
              <w:top w:val="single" w:color="CCCCCC" w:sz="1"/>
              <w:left w:val="single" w:color="CCCCCC" w:sz="1"/>
              <w:bottom w:val="single" w:color="CCCCCC" w:sz="1"/>
              <w:right w:val="single" w:color="CCCCCC" w:sz="1"/>
            </w:tcBorders>
          </w:tcPr>
          <w:p>
            <w:r>
              <w:rPr>
                <w:b/>
                <w:bCs/>
                <w:color w:val="FF0000"/>
              </w:rPr>
              <w:t xml:space="preserve">CRITICAL</w:t>
            </w:r>
          </w:p>
        </w:tc>
        <w:tc>
          <w:tcPr>
            <w:tcW w:type="dxa" w:w="1500"/>
            <w:tcBorders>
              <w:top w:val="single" w:color="CCCCCC" w:sz="1"/>
              <w:left w:val="single" w:color="CCCCCC" w:sz="1"/>
              <w:bottom w:val="single" w:color="CCCCCC" w:sz="1"/>
              <w:right w:val="single" w:color="CCCCCC" w:sz="1"/>
            </w:tcBorders>
          </w:tcPr>
          <w:p>
            <w:r>
              <w:t xml:space="preserve">2 hours</w:t>
            </w:r>
          </w:p>
        </w:tc>
        <w:tc>
          <w:tcPr>
            <w:tcW w:type="dxa" w:w="1500"/>
            <w:tcBorders>
              <w:top w:val="single" w:color="CCCCCC" w:sz="1"/>
              <w:left w:val="single" w:color="CCCCCC" w:sz="1"/>
              <w:bottom w:val="single" w:color="CCCCCC" w:sz="1"/>
              <w:right w:val="single" w:color="CCCCCC" w:sz="1"/>
            </w:tcBorders>
          </w:tcPr>
          <w:p>
            <w:r>
              <w:t xml:space="preserve">30 min</w:t>
            </w:r>
          </w:p>
        </w:tc>
        <w:tc>
          <w:tcPr>
            <w:tcW w:type="dxa" w:w="2860"/>
            <w:tcBorders>
              <w:top w:val="single" w:color="CCCCCC" w:sz="1"/>
              <w:left w:val="single" w:color="CCCCCC" w:sz="1"/>
              <w:bottom w:val="single" w:color="CCCCCC" w:sz="1"/>
              <w:right w:val="single" w:color="CCCCCC" w:sz="1"/>
            </w:tcBorders>
          </w:tcPr>
          <w:p>
            <w:r>
              <w:t xml:space="preserve">CIO / IT Director</w:t>
            </w:r>
          </w:p>
        </w:tc>
      </w:tr>
      <w:tr>
        <w:tc>
          <w:tcPr>
            <w:tcW w:type="dxa" w:w="2000"/>
            <w:tcBorders>
              <w:top w:val="single" w:color="CCCCCC" w:sz="1"/>
              <w:left w:val="single" w:color="CCCCCC" w:sz="1"/>
              <w:bottom w:val="single" w:color="CCCCCC" w:sz="1"/>
              <w:right w:val="single" w:color="CCCCCC" w:sz="1"/>
            </w:tcBorders>
          </w:tcPr>
          <w:p>
            <w:r>
              <w:t xml:space="preserve">Human Resources</w:t>
            </w:r>
          </w:p>
        </w:tc>
        <w:tc>
          <w:tcPr>
            <w:tcW w:type="dxa" w:w="1500"/>
            <w:tcBorders>
              <w:top w:val="single" w:color="CCCCCC" w:sz="1"/>
              <w:left w:val="single" w:color="CCCCCC" w:sz="1"/>
              <w:bottom w:val="single" w:color="CCCCCC" w:sz="1"/>
              <w:right w:val="single" w:color="CCCCCC" w:sz="1"/>
            </w:tcBorders>
          </w:tcPr>
          <w:p>
            <w:r>
              <w:rPr>
                <w:b/>
                <w:bCs/>
                <w:color w:val="FFCC00"/>
              </w:rPr>
              <w:t xml:space="preserve">MEDIUM</w:t>
            </w:r>
          </w:p>
        </w:tc>
        <w:tc>
          <w:tcPr>
            <w:tcW w:type="dxa" w:w="1500"/>
            <w:tcBorders>
              <w:top w:val="single" w:color="CCCCCC" w:sz="1"/>
              <w:left w:val="single" w:color="CCCCCC" w:sz="1"/>
              <w:bottom w:val="single" w:color="CCCCCC" w:sz="1"/>
              <w:right w:val="single" w:color="CCCCCC" w:sz="1"/>
            </w:tcBorders>
          </w:tcPr>
          <w:p>
            <w:r>
              <w:t xml:space="preserve">24 hours</w:t>
            </w:r>
          </w:p>
        </w:tc>
        <w:tc>
          <w:tcPr>
            <w:tcW w:type="dxa" w:w="1500"/>
            <w:tcBorders>
              <w:top w:val="single" w:color="CCCCCC" w:sz="1"/>
              <w:left w:val="single" w:color="CCCCCC" w:sz="1"/>
              <w:bottom w:val="single" w:color="CCCCCC" w:sz="1"/>
              <w:right w:val="single" w:color="CCCCCC" w:sz="1"/>
            </w:tcBorders>
          </w:tcPr>
          <w:p>
            <w:r>
              <w:t xml:space="preserve">8 hours</w:t>
            </w:r>
          </w:p>
        </w:tc>
        <w:tc>
          <w:tcPr>
            <w:tcW w:type="dxa" w:w="2860"/>
            <w:tcBorders>
              <w:top w:val="single" w:color="CCCCCC" w:sz="1"/>
              <w:left w:val="single" w:color="CCCCCC" w:sz="1"/>
              <w:bottom w:val="single" w:color="CCCCCC" w:sz="1"/>
              <w:right w:val="single" w:color="CCCCCC" w:sz="1"/>
            </w:tcBorders>
          </w:tcPr>
          <w:p>
            <w:r>
              <w:t xml:space="preserve">CHRO / HR Director</w:t>
            </w:r>
          </w:p>
        </w:tc>
      </w:tr>
      <w:tr>
        <w:tc>
          <w:tcPr>
            <w:tcW w:type="dxa" w:w="2000"/>
            <w:tcBorders>
              <w:top w:val="single" w:color="CCCCCC" w:sz="1"/>
              <w:left w:val="single" w:color="CCCCCC" w:sz="1"/>
              <w:bottom w:val="single" w:color="CCCCCC" w:sz="1"/>
              <w:right w:val="single" w:color="CCCCCC" w:sz="1"/>
            </w:tcBorders>
          </w:tcPr>
          <w:p>
            <w:r>
              <w:t xml:space="preserve">Legal &amp; Compliance</w:t>
            </w:r>
          </w:p>
        </w:tc>
        <w:tc>
          <w:tcPr>
            <w:tcW w:type="dxa" w:w="1500"/>
            <w:tcBorders>
              <w:top w:val="single" w:color="CCCCCC" w:sz="1"/>
              <w:left w:val="single" w:color="CCCCCC" w:sz="1"/>
              <w:bottom w:val="single" w:color="CCCCCC" w:sz="1"/>
              <w:right w:val="single" w:color="CCCCCC" w:sz="1"/>
            </w:tcBorders>
          </w:tcPr>
          <w:p>
            <w:r>
              <w:rPr>
                <w:b/>
                <w:bCs/>
                <w:color w:val="FF6600"/>
              </w:rPr>
              <w:t xml:space="preserve">HIGH</w:t>
            </w:r>
          </w:p>
        </w:tc>
        <w:tc>
          <w:tcPr>
            <w:tcW w:type="dxa" w:w="1500"/>
            <w:tcBorders>
              <w:top w:val="single" w:color="CCCCCC" w:sz="1"/>
              <w:left w:val="single" w:color="CCCCCC" w:sz="1"/>
              <w:bottom w:val="single" w:color="CCCCCC" w:sz="1"/>
              <w:right w:val="single" w:color="CCCCCC" w:sz="1"/>
            </w:tcBorders>
          </w:tcPr>
          <w:p>
            <w:r>
              <w:t xml:space="preserve">12 hours</w:t>
            </w:r>
          </w:p>
        </w:tc>
        <w:tc>
          <w:tcPr>
            <w:tcW w:type="dxa" w:w="1500"/>
            <w:tcBorders>
              <w:top w:val="single" w:color="CCCCCC" w:sz="1"/>
              <w:left w:val="single" w:color="CCCCCC" w:sz="1"/>
              <w:bottom w:val="single" w:color="CCCCCC" w:sz="1"/>
              <w:right w:val="single" w:color="CCCCCC" w:sz="1"/>
            </w:tcBorders>
          </w:tcPr>
          <w:p>
            <w:r>
              <w:t xml:space="preserve">4 hours</w:t>
            </w:r>
          </w:p>
        </w:tc>
        <w:tc>
          <w:tcPr>
            <w:tcW w:type="dxa" w:w="2860"/>
            <w:tcBorders>
              <w:top w:val="single" w:color="CCCCCC" w:sz="1"/>
              <w:left w:val="single" w:color="CCCCCC" w:sz="1"/>
              <w:bottom w:val="single" w:color="CCCCCC" w:sz="1"/>
              <w:right w:val="single" w:color="CCCCCC" w:sz="1"/>
            </w:tcBorders>
          </w:tcPr>
          <w:p>
            <w:r>
              <w:t xml:space="preserve">General Counsel</w:t>
            </w:r>
          </w:p>
        </w:tc>
      </w:tr>
    </w:tbl>
    <w:p>
      <w:pPr>
        <w:pStyle w:val="Heading2"/>
      </w:pPr>
      <w:r>
        <w:t xml:space="preserve">2.2 Impact Assessment Framework</w:t>
      </w:r>
    </w:p>
    <w:p>
      <w:pPr>
        <w:pStyle w:val="BodyText"/>
      </w:pPr>
      <w:r>
        <w:t xml:space="preserve">Business impacts are categorized using the following framework:</w:t>
      </w:r>
    </w:p>
    <w:p>
      <w:pPr>
        <w:pStyle w:val="ListParagraph"/>
        <w:numPr>
          <w:ilvl w:val="0"/>
          <w:numId w:val="2"/>
        </w:numPr>
      </w:pPr>
      <w:r>
        <w:rPr>
          <w:b/>
          <w:bCs/>
          <w:color w:val="FF0000"/>
        </w:rPr>
        <w:t xml:space="preserve">CRITICAL</w:t>
      </w:r>
      <w:r>
        <w:t xml:space="preserve">: Severe impact to life safety, mission fulfillment, or legal compliance</w:t>
      </w:r>
    </w:p>
    <w:p>
      <w:pPr>
        <w:pStyle w:val="ListParagraph"/>
        <w:numPr>
          <w:ilvl w:val="0"/>
          <w:numId w:val="2"/>
        </w:numPr>
      </w:pPr>
      <w:r>
        <w:rPr>
          <w:b/>
          <w:bCs/>
          <w:color w:val="FF6600"/>
        </w:rPr>
        <w:t xml:space="preserve">HIGH</w:t>
      </w:r>
      <w:r>
        <w:t xml:space="preserve">: Significant impact to operations, customer service, or financial performance</w:t>
      </w:r>
    </w:p>
    <w:p>
      <w:pPr>
        <w:pStyle w:val="ListParagraph"/>
        <w:numPr>
          <w:ilvl w:val="0"/>
          <w:numId w:val="2"/>
        </w:numPr>
      </w:pPr>
      <w:r>
        <w:rPr>
          <w:b/>
          <w:bCs/>
          <w:color w:val="FFCC00"/>
        </w:rPr>
        <w:t xml:space="preserve">MEDIUM</w:t>
      </w:r>
      <w:r>
        <w:t xml:space="preserve">: Moderate impact manageable through workarounds</w:t>
      </w:r>
    </w:p>
    <w:p>
      <w:pPr>
        <w:pStyle w:val="ListParagraph"/>
        <w:numPr>
          <w:ilvl w:val="0"/>
          <w:numId w:val="2"/>
        </w:numPr>
      </w:pPr>
      <w:r>
        <w:rPr>
          <w:b/>
          <w:bCs/>
          <w:color w:val="00AA00"/>
        </w:rPr>
        <w:t xml:space="preserve">LOW</w:t>
      </w:r>
      <w:r>
        <w:t xml:space="preserve">: Minor impact with minimal operational effect</w:t>
      </w:r>
    </w:p>
    <w:p>
      <w:pPr>
        <w:pStyle w:val="Heading1"/>
      </w:pPr>
      <w:r>
        <w:t xml:space="preserve">3. RECOVERY STRATEGIES</w:t>
      </w:r>
    </w:p>
    <w:p>
      <w:pPr>
        <w:pStyle w:val="Heading2"/>
      </w:pPr>
      <w:r>
        <w:t xml:space="preserve">3.1 IT System Recovery Strategies</w:t>
      </w:r>
    </w:p>
    <w:p>
      <w:pPr>
        <w:pStyle w:val="BodyText"/>
      </w:pPr>
      <w:r>
        <w:t xml:space="preserve">The organization employs multiple recovery strategies to ensure rapid restoration of IT services:</w:t>
      </w:r>
    </w:p>
    <w:p>
      <w:pPr>
        <w:pStyle w:val="Heading3"/>
      </w:pPr>
      <w:r>
        <w:t xml:space="preserve">3.1.1 Data Backup and Recovery</w:t>
      </w:r>
    </w:p>
    <w:p>
      <w:pPr>
        <w:pStyle w:val="ListParagraph"/>
        <w:numPr>
          <w:ilvl w:val="0"/>
          <w:numId w:val="2"/>
        </w:numPr>
      </w:pPr>
      <w:r>
        <w:t xml:space="preserve">Automated daily incremental backups of all critical systems</w:t>
      </w:r>
    </w:p>
    <w:p>
      <w:pPr>
        <w:pStyle w:val="ListParagraph"/>
        <w:numPr>
          <w:ilvl w:val="0"/>
          <w:numId w:val="2"/>
        </w:numPr>
      </w:pPr>
      <w:r>
        <w:t xml:space="preserve">Weekly full system backups with 90-day retention</w:t>
      </w:r>
    </w:p>
    <w:p>
      <w:pPr>
        <w:pStyle w:val="ListParagraph"/>
        <w:numPr>
          <w:ilvl w:val="0"/>
          <w:numId w:val="2"/>
        </w:numPr>
      </w:pPr>
      <w:r>
        <w:t xml:space="preserve">Geographic distribution across primary and secondary data centers</w:t>
      </w:r>
    </w:p>
    <w:p>
      <w:pPr>
        <w:pStyle w:val="ListParagraph"/>
        <w:numPr>
          <w:ilvl w:val="0"/>
          <w:numId w:val="2"/>
        </w:numPr>
      </w:pPr>
      <w:r>
        <w:t xml:space="preserve">Cloud-based backup replication for enhanced redundancy</w:t>
      </w:r>
    </w:p>
    <w:p>
      <w:pPr>
        <w:pStyle w:val="ListParagraph"/>
        <w:numPr>
          <w:ilvl w:val="0"/>
          <w:numId w:val="2"/>
        </w:numPr>
      </w:pPr>
      <w:r>
        <w:t xml:space="preserve">Monthly backup restoration testing and validation</w:t>
      </w:r>
    </w:p>
    <w:p>
      <w:pPr>
        <w:pStyle w:val="Heading3"/>
      </w:pPr>
      <w:r>
        <w:t xml:space="preserve">3.1.2 Alternative Processing Sites</w:t>
      </w:r>
    </w:p>
    <w:p>
      <w:pPr>
        <w:pStyle w:val="BodyText"/>
      </w:pPr>
      <w:r>
        <w:t xml:space="preserve">Primary Site: Corporate Headquarters Data Center (Building A)</w:t>
      </w:r>
    </w:p>
    <w:p>
      <w:pPr>
        <w:pStyle w:val="BodyText"/>
      </w:pPr>
      <w:r>
        <w:t xml:space="preserve">Secondary Site: Disaster Recovery Facility (50 miles distant)</w:t>
      </w:r>
    </w:p>
    <w:p>
      <w:pPr>
        <w:pStyle w:val="BodyText"/>
      </w:pPr>
      <w:r>
        <w:t xml:space="preserve">Tertiary Site: Cloud Infrastructure (AWS/Azure Multi-Region)</w:t>
      </w:r>
    </w:p>
    <w:p>
      <w:pPr>
        <w:pStyle w:val="BodyText"/>
      </w:pPr>
      <w:r>
        <w:t xml:space="preserve">All sites maintain synchronized data and can support full operational capacity within established RTOs.</w:t>
      </w:r>
    </w:p>
    <w:p>
      <w:pPr>
        <w:pStyle w:val="Heading2"/>
      </w:pPr>
      <w:r>
        <w:t xml:space="preserve">3.2 Business Process Recovery</w:t>
      </w:r>
    </w:p>
    <w:p>
      <w:pPr>
        <w:pStyle w:val="Heading3"/>
      </w:pPr>
      <w:r>
        <w:t xml:space="preserve">3.2.1 Alternate Work Locations</w:t>
      </w:r>
    </w:p>
    <w:p>
      <w:pPr>
        <w:pStyle w:val="ListParagraph"/>
        <w:numPr>
          <w:ilvl w:val="0"/>
          <w:numId w:val="2"/>
        </w:numPr>
      </w:pPr>
      <w:r>
        <w:t xml:space="preserve">Remote work capabilities for all office-based personnel</w:t>
      </w:r>
    </w:p>
    <w:p>
      <w:pPr>
        <w:pStyle w:val="ListParagraph"/>
        <w:numPr>
          <w:ilvl w:val="0"/>
          <w:numId w:val="2"/>
        </w:numPr>
      </w:pPr>
      <w:r>
        <w:t xml:space="preserve">Backup office space at secondary facility (500 workstations)</w:t>
      </w:r>
    </w:p>
    <w:p>
      <w:pPr>
        <w:pStyle w:val="ListParagraph"/>
        <w:numPr>
          <w:ilvl w:val="0"/>
          <w:numId w:val="2"/>
        </w:numPr>
      </w:pPr>
      <w:r>
        <w:t xml:space="preserve">Mobile command center for emergency coordination</w:t>
      </w:r>
    </w:p>
    <w:p>
      <w:pPr>
        <w:pStyle w:val="ListParagraph"/>
        <w:numPr>
          <w:ilvl w:val="0"/>
          <w:numId w:val="2"/>
        </w:numPr>
      </w:pPr>
      <w:r>
        <w:t xml:space="preserve">Third-party workspace agreements for extended disruptions</w:t>
      </w:r>
    </w:p>
    <w:p>
      <w:pPr>
        <w:pStyle w:val="Heading3"/>
      </w:pPr>
      <w:r>
        <w:t xml:space="preserve">3.2.2 Vendor and Supplier Alternatives</w:t>
      </w:r>
    </w:p>
    <w:p>
      <w:pPr>
        <w:pStyle w:val="ListParagraph"/>
        <w:numPr>
          <w:ilvl w:val="0"/>
          <w:numId w:val="2"/>
        </w:numPr>
      </w:pPr>
      <w:r>
        <w:t xml:space="preserve">Pre-qualified alternate vendors for critical services</w:t>
      </w:r>
    </w:p>
    <w:p>
      <w:pPr>
        <w:pStyle w:val="ListParagraph"/>
        <w:numPr>
          <w:ilvl w:val="0"/>
          <w:numId w:val="2"/>
        </w:numPr>
      </w:pPr>
      <w:r>
        <w:t xml:space="preserve">Emergency procurement procedures with expedited approval</w:t>
      </w:r>
    </w:p>
    <w:p>
      <w:pPr>
        <w:pStyle w:val="ListParagraph"/>
        <w:numPr>
          <w:ilvl w:val="0"/>
          <w:numId w:val="2"/>
        </w:numPr>
      </w:pPr>
      <w:r>
        <w:t xml:space="preserve">Strategic inventory of critical materials and supplies</w:t>
      </w:r>
    </w:p>
    <w:p>
      <w:pPr>
        <w:pStyle w:val="ListParagraph"/>
        <w:numPr>
          <w:ilvl w:val="0"/>
          <w:numId w:val="2"/>
        </w:numPr>
      </w:pPr>
      <w:r>
        <w:t xml:space="preserve">Mutual aid agreements with industry partners</w:t>
      </w:r>
    </w:p>
    <w:p>
      <w:pPr>
        <w:pStyle w:val="Heading1"/>
      </w:pPr>
      <w:r>
        <w:t xml:space="preserve">4. PLAN IMPLEMENTATION AND COORDINATION</w:t>
      </w:r>
    </w:p>
    <w:p>
      <w:pPr>
        <w:pStyle w:val="Heading2"/>
      </w:pPr>
      <w:r>
        <w:t xml:space="preserve">4.1 Activation and Notification</w:t>
      </w:r>
    </w:p>
    <w:p>
      <w:pPr>
        <w:pStyle w:val="BodyText"/>
      </w:pPr>
      <w:r>
        <w:t xml:space="preserve">Plan activation follows a structured notification cascade:</w:t>
      </w:r>
    </w:p>
    <w:p>
      <w:pPr>
        <w:pStyle w:val="Heading3"/>
      </w:pPr>
      <w:r>
        <w:t xml:space="preserve">4.1.1 Initial Assessment and Decision</w:t>
      </w:r>
    </w:p>
    <w:p>
      <w:pPr>
        <w:pStyle w:val="ListParagraph"/>
        <w:numPr>
          <w:ilvl w:val="0"/>
          <w:numId w:val="4"/>
        </w:numPr>
      </w:pPr>
      <w:r>
        <w:t xml:space="preserve">Incident identification and initial impact assessment</w:t>
      </w:r>
    </w:p>
    <w:p>
      <w:pPr>
        <w:pStyle w:val="ListParagraph"/>
        <w:numPr>
          <w:ilvl w:val="0"/>
          <w:numId w:val="4"/>
        </w:numPr>
      </w:pPr>
      <w:r>
        <w:t xml:space="preserve">Consultation with authorized activation personnel</w:t>
      </w:r>
    </w:p>
    <w:p>
      <w:pPr>
        <w:pStyle w:val="ListParagraph"/>
        <w:numPr>
          <w:ilvl w:val="0"/>
          <w:numId w:val="4"/>
        </w:numPr>
      </w:pPr>
      <w:r>
        <w:t xml:space="preserve">Formal plan activation decision and documentation</w:t>
      </w:r>
    </w:p>
    <w:p>
      <w:pPr>
        <w:pStyle w:val="ListParagraph"/>
        <w:numPr>
          <w:ilvl w:val="0"/>
          <w:numId w:val="4"/>
        </w:numPr>
      </w:pPr>
      <w:r>
        <w:t xml:space="preserve">Emergency Operations Center (EOC) establishment</w:t>
      </w:r>
    </w:p>
    <w:p>
      <w:pPr>
        <w:pStyle w:val="Heading3"/>
      </w:pPr>
      <w:r>
        <w:t xml:space="preserve">4.1.2 Notification Procedures</w:t>
      </w:r>
    </w:p>
    <w:p>
      <w:pPr>
        <w:pStyle w:val="CriticalText"/>
      </w:pPr>
      <w:r>
        <w:t xml:space="preserve">CRITICAL: All notifications must be completed within 30 minutes of plan activation</w:t>
      </w:r>
    </w:p>
    <w:p>
      <w:pPr>
        <w:pStyle w:val="ListParagraph"/>
        <w:numPr>
          <w:ilvl w:val="0"/>
          <w:numId w:val="4"/>
        </w:numPr>
      </w:pPr>
      <w:r>
        <w:t xml:space="preserve">Activate mass notification system (SMS, email, phone)</w:t>
      </w:r>
    </w:p>
    <w:p>
      <w:pPr>
        <w:pStyle w:val="ListParagraph"/>
        <w:numPr>
          <w:ilvl w:val="0"/>
          <w:numId w:val="4"/>
        </w:numPr>
      </w:pPr>
      <w:r>
        <w:t xml:space="preserve">Notify Business Continuity Team leadership</w:t>
      </w:r>
    </w:p>
    <w:p>
      <w:pPr>
        <w:pStyle w:val="ListParagraph"/>
        <w:numPr>
          <w:ilvl w:val="0"/>
          <w:numId w:val="4"/>
        </w:numPr>
      </w:pPr>
      <w:r>
        <w:t xml:space="preserve">Alert critical function owners and department heads</w:t>
      </w:r>
    </w:p>
    <w:p>
      <w:pPr>
        <w:pStyle w:val="ListParagraph"/>
        <w:numPr>
          <w:ilvl w:val="0"/>
          <w:numId w:val="4"/>
        </w:numPr>
      </w:pPr>
      <w:r>
        <w:t xml:space="preserve">Inform external stakeholders (customers, vendors, regulators)</w:t>
      </w:r>
    </w:p>
    <w:p>
      <w:pPr>
        <w:pStyle w:val="ListParagraph"/>
        <w:numPr>
          <w:ilvl w:val="0"/>
          <w:numId w:val="4"/>
        </w:numPr>
      </w:pPr>
      <w:r>
        <w:t xml:space="preserve">Coordinate with emergency services if required</w:t>
      </w:r>
    </w:p>
    <w:p>
      <w:pPr>
        <w:pStyle w:val="Heading2"/>
      </w:pPr>
      <w:r>
        <w:t xml:space="preserve">4.2 Business Continuity Team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Role</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Primary</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Alternate</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Contact</w:t>
            </w:r>
          </w:p>
        </w:tc>
      </w:tr>
      <w:tr>
        <w:tc>
          <w:tcPr>
            <w:tcW w:type="dxa" w:w="2340"/>
            <w:tcBorders>
              <w:top w:val="single" w:color="CCCCCC" w:sz="1"/>
              <w:left w:val="single" w:color="CCCCCC" w:sz="1"/>
              <w:bottom w:val="single" w:color="CCCCCC" w:sz="1"/>
              <w:right w:val="single" w:color="CCCCCC" w:sz="1"/>
            </w:tcBorders>
          </w:tcPr>
          <w:p>
            <w:r>
              <w:t xml:space="preserve">Emergency Commander</w:t>
            </w:r>
          </w:p>
        </w:tc>
        <w:tc>
          <w:tcPr>
            <w:tcW w:type="dxa" w:w="2340"/>
            <w:tcBorders>
              <w:top w:val="single" w:color="CCCCCC" w:sz="1"/>
              <w:left w:val="single" w:color="CCCCCC" w:sz="1"/>
              <w:bottom w:val="single" w:color="CCCCCC" w:sz="1"/>
              <w:right w:val="single" w:color="CCCCCC" w:sz="1"/>
            </w:tcBorders>
          </w:tcPr>
          <w:p>
            <w:r>
              <w:t xml:space="preserve">Sarah Johnson (CISO)</w:t>
            </w:r>
          </w:p>
        </w:tc>
        <w:tc>
          <w:tcPr>
            <w:tcW w:type="dxa" w:w="2340"/>
            <w:tcBorders>
              <w:top w:val="single" w:color="CCCCCC" w:sz="1"/>
              <w:left w:val="single" w:color="CCCCCC" w:sz="1"/>
              <w:bottom w:val="single" w:color="CCCCCC" w:sz="1"/>
              <w:right w:val="single" w:color="CCCCCC" w:sz="1"/>
            </w:tcBorders>
          </w:tcPr>
          <w:p>
            <w:r>
              <w:t xml:space="preserve">Robert Chen (COO)</w:t>
            </w:r>
          </w:p>
        </w:tc>
        <w:tc>
          <w:tcPr>
            <w:tcW w:type="dxa" w:w="2340"/>
            <w:tcBorders>
              <w:top w:val="single" w:color="CCCCCC" w:sz="1"/>
              <w:left w:val="single" w:color="CCCCCC" w:sz="1"/>
              <w:bottom w:val="single" w:color="CCCCCC" w:sz="1"/>
              <w:right w:val="single" w:color="CCCCCC" w:sz="1"/>
            </w:tcBorders>
          </w:tcPr>
          <w:p>
            <w:r>
              <w:t xml:space="preserve">+1-555-BC01</w:t>
            </w:r>
          </w:p>
        </w:tc>
      </w:tr>
      <w:tr>
        <w:tc>
          <w:tcPr>
            <w:tcW w:type="dxa" w:w="2340"/>
            <w:tcBorders>
              <w:top w:val="single" w:color="CCCCCC" w:sz="1"/>
              <w:left w:val="single" w:color="CCCCCC" w:sz="1"/>
              <w:bottom w:val="single" w:color="CCCCCC" w:sz="1"/>
              <w:right w:val="single" w:color="CCCCCC" w:sz="1"/>
            </w:tcBorders>
          </w:tcPr>
          <w:p>
            <w:r>
              <w:t xml:space="preserve">IT Recovery Lead</w:t>
            </w:r>
          </w:p>
        </w:tc>
        <w:tc>
          <w:tcPr>
            <w:tcW w:type="dxa" w:w="2340"/>
            <w:tcBorders>
              <w:top w:val="single" w:color="CCCCCC" w:sz="1"/>
              <w:left w:val="single" w:color="CCCCCC" w:sz="1"/>
              <w:bottom w:val="single" w:color="CCCCCC" w:sz="1"/>
              <w:right w:val="single" w:color="CCCCCC" w:sz="1"/>
            </w:tcBorders>
          </w:tcPr>
          <w:p>
            <w:r>
              <w:t xml:space="preserve">David Thompson</w:t>
            </w:r>
          </w:p>
        </w:tc>
        <w:tc>
          <w:tcPr>
            <w:tcW w:type="dxa" w:w="2340"/>
            <w:tcBorders>
              <w:top w:val="single" w:color="CCCCCC" w:sz="1"/>
              <w:left w:val="single" w:color="CCCCCC" w:sz="1"/>
              <w:bottom w:val="single" w:color="CCCCCC" w:sz="1"/>
              <w:right w:val="single" w:color="CCCCCC" w:sz="1"/>
            </w:tcBorders>
          </w:tcPr>
          <w:p>
            <w:r>
              <w:t xml:space="preserve">Michelle Williams</w:t>
            </w:r>
          </w:p>
        </w:tc>
        <w:tc>
          <w:tcPr>
            <w:tcW w:type="dxa" w:w="2340"/>
            <w:tcBorders>
              <w:top w:val="single" w:color="CCCCCC" w:sz="1"/>
              <w:left w:val="single" w:color="CCCCCC" w:sz="1"/>
              <w:bottom w:val="single" w:color="CCCCCC" w:sz="1"/>
              <w:right w:val="single" w:color="CCCCCC" w:sz="1"/>
            </w:tcBorders>
          </w:tcPr>
          <w:p>
            <w:r>
              <w:t xml:space="preserve">+1-555-BC02</w:t>
            </w:r>
          </w:p>
        </w:tc>
      </w:tr>
      <w:tr>
        <w:tc>
          <w:tcPr>
            <w:tcW w:type="dxa" w:w="2340"/>
            <w:tcBorders>
              <w:top w:val="single" w:color="CCCCCC" w:sz="1"/>
              <w:left w:val="single" w:color="CCCCCC" w:sz="1"/>
              <w:bottom w:val="single" w:color="CCCCCC" w:sz="1"/>
              <w:right w:val="single" w:color="CCCCCC" w:sz="1"/>
            </w:tcBorders>
          </w:tcPr>
          <w:p>
            <w:r>
              <w:t xml:space="preserve">Communications Lead</w:t>
            </w:r>
          </w:p>
        </w:tc>
        <w:tc>
          <w:tcPr>
            <w:tcW w:type="dxa" w:w="2340"/>
            <w:tcBorders>
              <w:top w:val="single" w:color="CCCCCC" w:sz="1"/>
              <w:left w:val="single" w:color="CCCCCC" w:sz="1"/>
              <w:bottom w:val="single" w:color="CCCCCC" w:sz="1"/>
              <w:right w:val="single" w:color="CCCCCC" w:sz="1"/>
            </w:tcBorders>
          </w:tcPr>
          <w:p>
            <w:r>
              <w:t xml:space="preserve">Jennifer Davis</w:t>
            </w:r>
          </w:p>
        </w:tc>
        <w:tc>
          <w:tcPr>
            <w:tcW w:type="dxa" w:w="2340"/>
            <w:tcBorders>
              <w:top w:val="single" w:color="CCCCCC" w:sz="1"/>
              <w:left w:val="single" w:color="CCCCCC" w:sz="1"/>
              <w:bottom w:val="single" w:color="CCCCCC" w:sz="1"/>
              <w:right w:val="single" w:color="CCCCCC" w:sz="1"/>
            </w:tcBorders>
          </w:tcPr>
          <w:p>
            <w:r>
              <w:t xml:space="preserve">Mark Rodriguez</w:t>
            </w:r>
          </w:p>
        </w:tc>
        <w:tc>
          <w:tcPr>
            <w:tcW w:type="dxa" w:w="2340"/>
            <w:tcBorders>
              <w:top w:val="single" w:color="CCCCCC" w:sz="1"/>
              <w:left w:val="single" w:color="CCCCCC" w:sz="1"/>
              <w:bottom w:val="single" w:color="CCCCCC" w:sz="1"/>
              <w:right w:val="single" w:color="CCCCCC" w:sz="1"/>
            </w:tcBorders>
          </w:tcPr>
          <w:p>
            <w:r>
              <w:t xml:space="preserve">+1-555-BC03</w:t>
            </w:r>
          </w:p>
        </w:tc>
      </w:tr>
      <w:tr>
        <w:tc>
          <w:tcPr>
            <w:tcW w:type="dxa" w:w="2340"/>
            <w:tcBorders>
              <w:top w:val="single" w:color="CCCCCC" w:sz="1"/>
              <w:left w:val="single" w:color="CCCCCC" w:sz="1"/>
              <w:bottom w:val="single" w:color="CCCCCC" w:sz="1"/>
              <w:right w:val="single" w:color="CCCCCC" w:sz="1"/>
            </w:tcBorders>
          </w:tcPr>
          <w:p>
            <w:r>
              <w:t xml:space="preserve">Finance Recovery Lead</w:t>
            </w:r>
          </w:p>
        </w:tc>
        <w:tc>
          <w:tcPr>
            <w:tcW w:type="dxa" w:w="2340"/>
            <w:tcBorders>
              <w:top w:val="single" w:color="CCCCCC" w:sz="1"/>
              <w:left w:val="single" w:color="CCCCCC" w:sz="1"/>
              <w:bottom w:val="single" w:color="CCCCCC" w:sz="1"/>
              <w:right w:val="single" w:color="CCCCCC" w:sz="1"/>
            </w:tcBorders>
          </w:tcPr>
          <w:p>
            <w:r>
              <w:t xml:space="preserve">Lisa Martinez (CFO)</w:t>
            </w:r>
          </w:p>
        </w:tc>
        <w:tc>
          <w:tcPr>
            <w:tcW w:type="dxa" w:w="2340"/>
            <w:tcBorders>
              <w:top w:val="single" w:color="CCCCCC" w:sz="1"/>
              <w:left w:val="single" w:color="CCCCCC" w:sz="1"/>
              <w:bottom w:val="single" w:color="CCCCCC" w:sz="1"/>
              <w:right w:val="single" w:color="CCCCCC" w:sz="1"/>
            </w:tcBorders>
          </w:tcPr>
          <w:p>
            <w:r>
              <w:t xml:space="preserve">James Wilson</w:t>
            </w:r>
          </w:p>
        </w:tc>
        <w:tc>
          <w:tcPr>
            <w:tcW w:type="dxa" w:w="2340"/>
            <w:tcBorders>
              <w:top w:val="single" w:color="CCCCCC" w:sz="1"/>
              <w:left w:val="single" w:color="CCCCCC" w:sz="1"/>
              <w:bottom w:val="single" w:color="CCCCCC" w:sz="1"/>
              <w:right w:val="single" w:color="CCCCCC" w:sz="1"/>
            </w:tcBorders>
          </w:tcPr>
          <w:p>
            <w:r>
              <w:t xml:space="preserve">+1-555-BC04</w:t>
            </w:r>
          </w:p>
        </w:tc>
      </w:tr>
      <w:tr>
        <w:tc>
          <w:tcPr>
            <w:tcW w:type="dxa" w:w="2340"/>
            <w:tcBorders>
              <w:top w:val="single" w:color="CCCCCC" w:sz="1"/>
              <w:left w:val="single" w:color="CCCCCC" w:sz="1"/>
              <w:bottom w:val="single" w:color="CCCCCC" w:sz="1"/>
              <w:right w:val="single" w:color="CCCCCC" w:sz="1"/>
            </w:tcBorders>
          </w:tcPr>
          <w:p>
            <w:r>
              <w:t xml:space="preserve">HR/Facilities Lead</w:t>
            </w:r>
          </w:p>
        </w:tc>
        <w:tc>
          <w:tcPr>
            <w:tcW w:type="dxa" w:w="2340"/>
            <w:tcBorders>
              <w:top w:val="single" w:color="CCCCCC" w:sz="1"/>
              <w:left w:val="single" w:color="CCCCCC" w:sz="1"/>
              <w:bottom w:val="single" w:color="CCCCCC" w:sz="1"/>
              <w:right w:val="single" w:color="CCCCCC" w:sz="1"/>
            </w:tcBorders>
          </w:tcPr>
          <w:p>
            <w:r>
              <w:t xml:space="preserve">Amanda Taylor (CHRO)</w:t>
            </w:r>
          </w:p>
        </w:tc>
        <w:tc>
          <w:tcPr>
            <w:tcW w:type="dxa" w:w="2340"/>
            <w:tcBorders>
              <w:top w:val="single" w:color="CCCCCC" w:sz="1"/>
              <w:left w:val="single" w:color="CCCCCC" w:sz="1"/>
              <w:bottom w:val="single" w:color="CCCCCC" w:sz="1"/>
              <w:right w:val="single" w:color="CCCCCC" w:sz="1"/>
            </w:tcBorders>
          </w:tcPr>
          <w:p>
            <w:r>
              <w:t xml:space="preserve">Kevin Brown</w:t>
            </w:r>
          </w:p>
        </w:tc>
        <w:tc>
          <w:tcPr>
            <w:tcW w:type="dxa" w:w="2340"/>
            <w:tcBorders>
              <w:top w:val="single" w:color="CCCCCC" w:sz="1"/>
              <w:left w:val="single" w:color="CCCCCC" w:sz="1"/>
              <w:bottom w:val="single" w:color="CCCCCC" w:sz="1"/>
              <w:right w:val="single" w:color="CCCCCC" w:sz="1"/>
            </w:tcBorders>
          </w:tcPr>
          <w:p>
            <w:r>
              <w:t xml:space="preserve">+1-555-BC05</w:t>
            </w:r>
          </w:p>
        </w:tc>
      </w:tr>
    </w:tbl>
    <w:p>
      <w:pPr>
        <w:pStyle w:val="Heading1"/>
      </w:pPr>
      <w:r>
        <w:t xml:space="preserve">5. DETAILED RECOVERY PROCEDURES</w:t>
      </w:r>
    </w:p>
    <w:p>
      <w:pPr>
        <w:pStyle w:val="Heading2"/>
      </w:pPr>
      <w:r>
        <w:t xml:space="preserve">5.1 IT Systems Recovery</w:t>
      </w:r>
    </w:p>
    <w:p>
      <w:pPr>
        <w:pStyle w:val="Heading3"/>
      </w:pPr>
      <w:r>
        <w:t xml:space="preserve">5.1.1 Primary Data Center Recovery</w:t>
      </w:r>
    </w:p>
    <w:p>
      <w:pPr>
        <w:pStyle w:val="CriticalText"/>
      </w:pPr>
      <w:r>
        <w:t xml:space="preserve">TARGET RTO: 2 Hours | TARGET RPO: 30 Minutes</w:t>
      </w:r>
    </w:p>
    <w:p>
      <w:pPr>
        <w:pStyle w:val="ListParagraph"/>
        <w:numPr>
          <w:ilvl w:val="0"/>
          <w:numId w:val="5"/>
        </w:numPr>
      </w:pPr>
      <w:r>
        <w:t xml:space="preserve">Activate Emergency Operations Center and assemble IT Recovery Team</w:t>
      </w:r>
    </w:p>
    <w:p>
      <w:pPr>
        <w:pStyle w:val="ListParagraph"/>
        <w:numPr>
          <w:ilvl w:val="0"/>
          <w:numId w:val="5"/>
        </w:numPr>
      </w:pPr>
      <w:r>
        <w:t xml:space="preserve">Assess primary data center status and determine recovery feasibility</w:t>
      </w:r>
    </w:p>
    <w:p>
      <w:pPr>
        <w:pStyle w:val="ListParagraph"/>
        <w:numPr>
          <w:ilvl w:val="0"/>
          <w:numId w:val="5"/>
        </w:numPr>
      </w:pPr>
      <w:r>
        <w:t xml:space="preserve">If primary site unavailable, initiate failover to secondary data center</w:t>
      </w:r>
    </w:p>
    <w:p>
      <w:pPr>
        <w:pStyle w:val="ListParagraph"/>
        <w:numPr>
          <w:ilvl w:val="0"/>
          <w:numId w:val="5"/>
        </w:numPr>
      </w:pPr>
      <w:r>
        <w:t xml:space="preserve">Restore critical systems in priority order: Network, Domain Controllers, Database Servers</w:t>
      </w:r>
    </w:p>
    <w:p>
      <w:pPr>
        <w:pStyle w:val="ListParagraph"/>
        <w:numPr>
          <w:ilvl w:val="0"/>
          <w:numId w:val="5"/>
        </w:numPr>
      </w:pPr>
      <w:r>
        <w:t xml:space="preserve">Validate data integrity and system functionality</w:t>
      </w:r>
    </w:p>
    <w:p>
      <w:pPr>
        <w:pStyle w:val="ListParagraph"/>
        <w:numPr>
          <w:ilvl w:val="0"/>
          <w:numId w:val="5"/>
        </w:numPr>
      </w:pPr>
      <w:r>
        <w:t xml:space="preserve">Restore user access and begin application recovery</w:t>
      </w:r>
    </w:p>
    <w:p>
      <w:pPr>
        <w:pStyle w:val="ListParagraph"/>
        <w:numPr>
          <w:ilvl w:val="0"/>
          <w:numId w:val="5"/>
        </w:numPr>
      </w:pPr>
      <w:r>
        <w:t xml:space="preserve">Conduct system testing and performance validation</w:t>
      </w:r>
    </w:p>
    <w:p>
      <w:pPr>
        <w:pStyle w:val="ListParagraph"/>
        <w:numPr>
          <w:ilvl w:val="0"/>
          <w:numId w:val="5"/>
        </w:numPr>
      </w:pPr>
      <w:r>
        <w:t xml:space="preserve">Notify Emergency Commander of restoration status</w:t>
      </w:r>
    </w:p>
    <w:p>
      <w:pPr>
        <w:pStyle w:val="Heading3"/>
      </w:pPr>
      <w:r>
        <w:t xml:space="preserve">5.1.2 Financial Systems Recovery</w:t>
      </w:r>
    </w:p>
    <w:p>
      <w:pPr>
        <w:pStyle w:val="CriticalText"/>
      </w:pPr>
      <w:r>
        <w:t xml:space="preserve">TARGET RTO: 4 Hours | TARGET RPO: 1 Hour</w:t>
      </w:r>
    </w:p>
    <w:p>
      <w:pPr>
        <w:pStyle w:val="ListParagraph"/>
        <w:numPr>
          <w:ilvl w:val="0"/>
          <w:numId w:val="5"/>
        </w:numPr>
      </w:pPr>
      <w:r>
        <w:t xml:space="preserve">Verify IT infrastructure restoration completion</w:t>
      </w:r>
    </w:p>
    <w:p>
      <w:pPr>
        <w:pStyle w:val="ListParagraph"/>
        <w:numPr>
          <w:ilvl w:val="0"/>
          <w:numId w:val="5"/>
        </w:numPr>
      </w:pPr>
      <w:r>
        <w:t xml:space="preserve">Restore ERP system from latest backup</w:t>
      </w:r>
    </w:p>
    <w:p>
      <w:pPr>
        <w:pStyle w:val="ListParagraph"/>
        <w:numPr>
          <w:ilvl w:val="0"/>
          <w:numId w:val="5"/>
        </w:numPr>
      </w:pPr>
      <w:r>
        <w:t xml:space="preserve">Validate financial data integrity and reconcile transactions</w:t>
      </w:r>
    </w:p>
    <w:p>
      <w:pPr>
        <w:pStyle w:val="ListParagraph"/>
        <w:numPr>
          <w:ilvl w:val="0"/>
          <w:numId w:val="5"/>
        </w:numPr>
      </w:pPr>
      <w:r>
        <w:t xml:space="preserve">Test payment processing and banking interfaces</w:t>
      </w:r>
    </w:p>
    <w:p>
      <w:pPr>
        <w:pStyle w:val="ListParagraph"/>
        <w:numPr>
          <w:ilvl w:val="0"/>
          <w:numId w:val="5"/>
        </w:numPr>
      </w:pPr>
      <w:r>
        <w:t xml:space="preserve">Restore user access for Finance Department personnel</w:t>
      </w:r>
    </w:p>
    <w:p>
      <w:pPr>
        <w:pStyle w:val="ListParagraph"/>
        <w:numPr>
          <w:ilvl w:val="0"/>
          <w:numId w:val="5"/>
        </w:numPr>
      </w:pPr>
      <w:r>
        <w:t xml:space="preserve">Implement manual processing procedures if needed</w:t>
      </w:r>
    </w:p>
    <w:p>
      <w:pPr>
        <w:pStyle w:val="ListParagraph"/>
        <w:numPr>
          <w:ilvl w:val="0"/>
          <w:numId w:val="5"/>
        </w:numPr>
      </w:pPr>
      <w:r>
        <w:t xml:space="preserve">Notify CFO and Emergency Commander of system status</w:t>
      </w:r>
    </w:p>
    <w:p>
      <w:pPr>
        <w:pStyle w:val="Heading2"/>
      </w:pPr>
      <w:r>
        <w:t xml:space="preserve">5.2 Business Function Recovery</w:t>
      </w:r>
    </w:p>
    <w:p>
      <w:pPr>
        <w:pStyle w:val="Heading3"/>
      </w:pPr>
      <w:r>
        <w:t xml:space="preserve">5.2.1 Customer Service Operations</w:t>
      </w:r>
    </w:p>
    <w:p>
      <w:pPr>
        <w:pStyle w:val="CriticalText"/>
      </w:pPr>
      <w:r>
        <w:t xml:space="preserve">TARGET RTO: 8 Hours | TARGET RPO: 4 Hours</w:t>
      </w:r>
    </w:p>
    <w:p>
      <w:pPr>
        <w:pStyle w:val="ListParagraph"/>
        <w:numPr>
          <w:ilvl w:val="0"/>
          <w:numId w:val="5"/>
        </w:numPr>
      </w:pPr>
      <w:r>
        <w:t xml:space="preserve">Activate alternate customer service center if primary location unavailable</w:t>
      </w:r>
    </w:p>
    <w:p>
      <w:pPr>
        <w:pStyle w:val="ListParagraph"/>
        <w:numPr>
          <w:ilvl w:val="0"/>
          <w:numId w:val="5"/>
        </w:numPr>
      </w:pPr>
      <w:r>
        <w:t xml:space="preserve">Deploy customer service staff to alternate work locations</w:t>
      </w:r>
    </w:p>
    <w:p>
      <w:pPr>
        <w:pStyle w:val="ListParagraph"/>
        <w:numPr>
          <w:ilvl w:val="0"/>
          <w:numId w:val="5"/>
        </w:numPr>
      </w:pPr>
      <w:r>
        <w:t xml:space="preserve">Restore access to customer relationship management (CRM) systems</w:t>
      </w:r>
    </w:p>
    <w:p>
      <w:pPr>
        <w:pStyle w:val="ListParagraph"/>
        <w:numPr>
          <w:ilvl w:val="0"/>
          <w:numId w:val="5"/>
        </w:numPr>
      </w:pPr>
      <w:r>
        <w:t xml:space="preserve">Update phone system routing to operational locations</w:t>
      </w:r>
    </w:p>
    <w:p>
      <w:pPr>
        <w:pStyle w:val="ListParagraph"/>
        <w:numPr>
          <w:ilvl w:val="0"/>
          <w:numId w:val="5"/>
        </w:numPr>
      </w:pPr>
      <w:r>
        <w:t xml:space="preserve">Activate emergency customer communication plan</w:t>
      </w:r>
    </w:p>
    <w:p>
      <w:pPr>
        <w:pStyle w:val="ListParagraph"/>
        <w:numPr>
          <w:ilvl w:val="0"/>
          <w:numId w:val="5"/>
        </w:numPr>
      </w:pPr>
      <w:r>
        <w:t xml:space="preserve">Implement service level adjustments if necessary</w:t>
      </w:r>
    </w:p>
    <w:p>
      <w:pPr>
        <w:pStyle w:val="ListParagraph"/>
        <w:numPr>
          <w:ilvl w:val="0"/>
          <w:numId w:val="5"/>
        </w:numPr>
      </w:pPr>
      <w:r>
        <w:t xml:space="preserve">Monitor service quality and customer satisfaction metrics</w:t>
      </w:r>
    </w:p>
    <w:p>
      <w:pPr>
        <w:pStyle w:val="Heading1"/>
      </w:pPr>
      <w:r>
        <w:t xml:space="preserve">6. COMMUNICATION PLAN</w:t>
      </w:r>
    </w:p>
    <w:p>
      <w:pPr>
        <w:pStyle w:val="Heading2"/>
      </w:pPr>
      <w:r>
        <w:t xml:space="preserve">6.1 Internal Communications</w:t>
      </w:r>
    </w:p>
    <w:p>
      <w:pPr>
        <w:pStyle w:val="BodyText"/>
      </w:pPr>
      <w:r>
        <w:t xml:space="preserve">Clear and timely communication is essential during business continuity events. The following communication protocols ensure all stakeholders receive appropriate information:</w:t>
      </w:r>
    </w:p>
    <w:p>
      <w:pPr>
        <w:pStyle w:val="Heading3"/>
      </w:pPr>
      <w:r>
        <w:t xml:space="preserve">6.1.1 Employee Notifications</w:t>
      </w:r>
    </w:p>
    <w:p>
      <w:pPr>
        <w:pStyle w:val="ListParagraph"/>
        <w:numPr>
          <w:ilvl w:val="0"/>
          <w:numId w:val="2"/>
        </w:numPr>
      </w:pPr>
      <w:r>
        <w:t xml:space="preserve">Mass notification system (phone, SMS, email)</w:t>
      </w:r>
    </w:p>
    <w:p>
      <w:pPr>
        <w:pStyle w:val="ListParagraph"/>
        <w:numPr>
          <w:ilvl w:val="0"/>
          <w:numId w:val="2"/>
        </w:numPr>
      </w:pPr>
      <w:r>
        <w:t xml:space="preserve">Company intranet emergency banner</w:t>
      </w:r>
    </w:p>
    <w:p>
      <w:pPr>
        <w:pStyle w:val="ListParagraph"/>
        <w:numPr>
          <w:ilvl w:val="0"/>
          <w:numId w:val="2"/>
        </w:numPr>
      </w:pPr>
      <w:r>
        <w:t xml:space="preserve">Emergency hotline with recorded updates</w:t>
      </w:r>
    </w:p>
    <w:p>
      <w:pPr>
        <w:pStyle w:val="ListParagraph"/>
        <w:numPr>
          <w:ilvl w:val="0"/>
          <w:numId w:val="2"/>
        </w:numPr>
      </w:pPr>
      <w:r>
        <w:t xml:space="preserve">Department managers cascade communication</w:t>
      </w:r>
    </w:p>
    <w:p>
      <w:pPr>
        <w:pStyle w:val="ListParagraph"/>
        <w:numPr>
          <w:ilvl w:val="0"/>
          <w:numId w:val="2"/>
        </w:numPr>
      </w:pPr>
      <w:r>
        <w:t xml:space="preserve">Regular status updates every 4 hours minimum</w:t>
      </w:r>
    </w:p>
    <w:p>
      <w:pPr>
        <w:pStyle w:val="Heading3"/>
      </w:pPr>
      <w:r>
        <w:t xml:space="preserve">6.1.2 Executive and Board Communications</w:t>
      </w:r>
    </w:p>
    <w:p>
      <w:pPr>
        <w:pStyle w:val="ListParagraph"/>
        <w:numPr>
          <w:ilvl w:val="0"/>
          <w:numId w:val="2"/>
        </w:numPr>
      </w:pPr>
      <w:r>
        <w:t xml:space="preserve">Initial notification within 1 hour of activation</w:t>
      </w:r>
    </w:p>
    <w:p>
      <w:pPr>
        <w:pStyle w:val="ListParagraph"/>
        <w:numPr>
          <w:ilvl w:val="0"/>
          <w:numId w:val="2"/>
        </w:numPr>
      </w:pPr>
      <w:r>
        <w:t xml:space="preserve">Status briefings every 2 hours during active response</w:t>
      </w:r>
    </w:p>
    <w:p>
      <w:pPr>
        <w:pStyle w:val="ListParagraph"/>
        <w:numPr>
          <w:ilvl w:val="0"/>
          <w:numId w:val="2"/>
        </w:numPr>
      </w:pPr>
      <w:r>
        <w:t xml:space="preserve">Written situation reports for documentation</w:t>
      </w:r>
    </w:p>
    <w:p>
      <w:pPr>
        <w:pStyle w:val="ListParagraph"/>
        <w:numPr>
          <w:ilvl w:val="0"/>
          <w:numId w:val="2"/>
        </w:numPr>
      </w:pPr>
      <w:r>
        <w:t xml:space="preserve">Emergency board meeting convocation if required</w:t>
      </w:r>
    </w:p>
    <w:p>
      <w:pPr>
        <w:pStyle w:val="Heading2"/>
      </w:pPr>
      <w:r>
        <w:t xml:space="preserve">6.2 External Communications</w:t>
      </w:r>
    </w:p>
    <w:p>
      <w:pPr>
        <w:pStyle w:val="Heading3"/>
      </w:pPr>
      <w:r>
        <w:t xml:space="preserve">6.2.1 Customer Communications</w:t>
      </w:r>
    </w:p>
    <w:p>
      <w:pPr>
        <w:pStyle w:val="ListParagraph"/>
        <w:numPr>
          <w:ilvl w:val="0"/>
          <w:numId w:val="2"/>
        </w:numPr>
      </w:pPr>
      <w:r>
        <w:t xml:space="preserve">Website service status banner and updates</w:t>
      </w:r>
    </w:p>
    <w:p>
      <w:pPr>
        <w:pStyle w:val="ListParagraph"/>
        <w:numPr>
          <w:ilvl w:val="0"/>
          <w:numId w:val="2"/>
        </w:numPr>
      </w:pPr>
      <w:r>
        <w:t xml:space="preserve">Social media platform notifications</w:t>
      </w:r>
    </w:p>
    <w:p>
      <w:pPr>
        <w:pStyle w:val="ListParagraph"/>
        <w:numPr>
          <w:ilvl w:val="0"/>
          <w:numId w:val="2"/>
        </w:numPr>
      </w:pPr>
      <w:r>
        <w:t xml:space="preserve">Direct email to affected customer segments</w:t>
      </w:r>
    </w:p>
    <w:p>
      <w:pPr>
        <w:pStyle w:val="ListParagraph"/>
        <w:numPr>
          <w:ilvl w:val="0"/>
          <w:numId w:val="2"/>
        </w:numPr>
      </w:pPr>
      <w:r>
        <w:t xml:space="preserve">Enhanced customer service staffing</w:t>
      </w:r>
    </w:p>
    <w:p>
      <w:pPr>
        <w:pStyle w:val="ListParagraph"/>
        <w:numPr>
          <w:ilvl w:val="0"/>
          <w:numId w:val="2"/>
        </w:numPr>
      </w:pPr>
      <w:r>
        <w:t xml:space="preserve">Proactive outreach to major account customers</w:t>
      </w:r>
    </w:p>
    <w:p>
      <w:pPr>
        <w:pStyle w:val="Heading3"/>
      </w:pPr>
      <w:r>
        <w:t xml:space="preserve">6.2.2 Vendor and Partner Communications</w:t>
      </w:r>
    </w:p>
    <w:p>
      <w:pPr>
        <w:pStyle w:val="ListParagraph"/>
        <w:numPr>
          <w:ilvl w:val="0"/>
          <w:numId w:val="2"/>
        </w:numPr>
      </w:pPr>
      <w:r>
        <w:t xml:space="preserve">Critical supplier notification within 2 hours</w:t>
      </w:r>
    </w:p>
    <w:p>
      <w:pPr>
        <w:pStyle w:val="ListParagraph"/>
        <w:numPr>
          <w:ilvl w:val="0"/>
          <w:numId w:val="2"/>
        </w:numPr>
      </w:pPr>
      <w:r>
        <w:t xml:space="preserve">Service provider coordination for alternate arrangements</w:t>
      </w:r>
    </w:p>
    <w:p>
      <w:pPr>
        <w:pStyle w:val="ListParagraph"/>
        <w:numPr>
          <w:ilvl w:val="0"/>
          <w:numId w:val="2"/>
        </w:numPr>
      </w:pPr>
      <w:r>
        <w:t xml:space="preserve">Mutual aid partner activation if agreements exist</w:t>
      </w:r>
    </w:p>
    <w:p>
      <w:pPr>
        <w:pStyle w:val="ListParagraph"/>
        <w:numPr>
          <w:ilvl w:val="0"/>
          <w:numId w:val="2"/>
        </w:numPr>
      </w:pPr>
      <w:r>
        <w:t xml:space="preserve">Regulatory body notifications as required</w:t>
      </w:r>
    </w:p>
    <w:p>
      <w:pPr>
        <w:pStyle w:val="Heading1"/>
      </w:pPr>
      <w:r>
        <w:t xml:space="preserve">7. PLAN TESTING AND MAINTENANCE</w:t>
      </w:r>
    </w:p>
    <w:p>
      <w:pPr>
        <w:pStyle w:val="Heading2"/>
      </w:pPr>
      <w:r>
        <w:t xml:space="preserve">7.1 Testing Program</w:t>
      </w:r>
    </w:p>
    <w:p>
      <w:pPr>
        <w:pStyle w:val="BodyText"/>
      </w:pPr>
      <w:r>
        <w:t xml:space="preserve">Regular testing ensures plan effectiveness and identifies improvement opportunities:</w:t>
      </w:r>
    </w:p>
    <w:p>
      <w:pPr>
        <w:pStyle w:val="Heading3"/>
      </w:pPr>
      <w:r>
        <w:t xml:space="preserve">7.1.1 Annual Testing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3000"/>
        <w:gridCol w:w="2500"/>
        <w:gridCol w:w="2360"/>
      </w:tblGrid>
      <w:tr>
        <w:tc>
          <w:tcPr>
            <w:tcW w:type="dxa" w:w="1500"/>
            <w:tcBorders>
              <w:top w:val="single" w:color="CCCCCC" w:sz="1"/>
              <w:left w:val="single" w:color="CCCCCC" w:sz="1"/>
              <w:bottom w:val="single" w:color="CCCCCC" w:sz="1"/>
              <w:right w:val="single" w:color="CCCCCC" w:sz="1"/>
            </w:tcBorders>
            <w:shd w:fill="4472C4" w:val="clear"/>
          </w:tcPr>
          <w:p>
            <w:pPr>
              <w:pStyle w:val="TableHeader"/>
            </w:pPr>
            <w:r>
              <w:t xml:space="preserve">Frequency</w:t>
            </w:r>
          </w:p>
        </w:tc>
        <w:tc>
          <w:tcPr>
            <w:tcW w:type="dxa" w:w="3000"/>
            <w:tcBorders>
              <w:top w:val="single" w:color="CCCCCC" w:sz="1"/>
              <w:left w:val="single" w:color="CCCCCC" w:sz="1"/>
              <w:bottom w:val="single" w:color="CCCCCC" w:sz="1"/>
              <w:right w:val="single" w:color="CCCCCC" w:sz="1"/>
            </w:tcBorders>
            <w:shd w:fill="4472C4" w:val="clear"/>
          </w:tcPr>
          <w:p>
            <w:pPr>
              <w:pStyle w:val="TableHeader"/>
            </w:pPr>
            <w:r>
              <w:t xml:space="preserve">Test Type</w:t>
            </w:r>
          </w:p>
        </w:tc>
        <w:tc>
          <w:tcPr>
            <w:tcW w:type="dxa" w:w="2500"/>
            <w:tcBorders>
              <w:top w:val="single" w:color="CCCCCC" w:sz="1"/>
              <w:left w:val="single" w:color="CCCCCC" w:sz="1"/>
              <w:bottom w:val="single" w:color="CCCCCC" w:sz="1"/>
              <w:right w:val="single" w:color="CCCCCC" w:sz="1"/>
            </w:tcBorders>
            <w:shd w:fill="4472C4" w:val="clear"/>
          </w:tcPr>
          <w:p>
            <w:pPr>
              <w:pStyle w:val="TableHeader"/>
            </w:pPr>
            <w:r>
              <w:t xml:space="preserve">Scope</w:t>
            </w:r>
          </w:p>
        </w:tc>
        <w:tc>
          <w:tcPr>
            <w:tcW w:type="dxa" w:w="2360"/>
            <w:tcBorders>
              <w:top w:val="single" w:color="CCCCCC" w:sz="1"/>
              <w:left w:val="single" w:color="CCCCCC" w:sz="1"/>
              <w:bottom w:val="single" w:color="CCCCCC" w:sz="1"/>
              <w:right w:val="single" w:color="CCCCCC" w:sz="1"/>
            </w:tcBorders>
            <w:shd w:fill="4472C4" w:val="clear"/>
          </w:tcPr>
          <w:p>
            <w:pPr>
              <w:pStyle w:val="TableHeader"/>
            </w:pPr>
            <w:r>
              <w:t xml:space="preserve">Owner</w:t>
            </w:r>
          </w:p>
        </w:tc>
      </w:tr>
      <w:tr>
        <w:tc>
          <w:tcPr>
            <w:tcW w:type="dxa" w:w="1500"/>
            <w:tcBorders>
              <w:top w:val="single" w:color="CCCCCC" w:sz="1"/>
              <w:left w:val="single" w:color="CCCCCC" w:sz="1"/>
              <w:bottom w:val="single" w:color="CCCCCC" w:sz="1"/>
              <w:right w:val="single" w:color="CCCCCC" w:sz="1"/>
            </w:tcBorders>
          </w:tcPr>
          <w:p>
            <w:r>
              <w:t xml:space="preserve">Monthly</w:t>
            </w:r>
          </w:p>
        </w:tc>
        <w:tc>
          <w:tcPr>
            <w:tcW w:type="dxa" w:w="3000"/>
            <w:tcBorders>
              <w:top w:val="single" w:color="CCCCCC" w:sz="1"/>
              <w:left w:val="single" w:color="CCCCCC" w:sz="1"/>
              <w:bottom w:val="single" w:color="CCCCCC" w:sz="1"/>
              <w:right w:val="single" w:color="CCCCCC" w:sz="1"/>
            </w:tcBorders>
          </w:tcPr>
          <w:p>
            <w:r>
              <w:t xml:space="preserve">Backup/Restore Testing</w:t>
            </w:r>
          </w:p>
        </w:tc>
        <w:tc>
          <w:tcPr>
            <w:tcW w:type="dxa" w:w="2500"/>
            <w:tcBorders>
              <w:top w:val="single" w:color="CCCCCC" w:sz="1"/>
              <w:left w:val="single" w:color="CCCCCC" w:sz="1"/>
              <w:bottom w:val="single" w:color="CCCCCC" w:sz="1"/>
              <w:right w:val="single" w:color="CCCCCC" w:sz="1"/>
            </w:tcBorders>
          </w:tcPr>
          <w:p>
            <w:r>
              <w:t xml:space="preserve">Critical system backups</w:t>
            </w:r>
          </w:p>
        </w:tc>
        <w:tc>
          <w:tcPr>
            <w:tcW w:type="dxa" w:w="2360"/>
            <w:tcBorders>
              <w:top w:val="single" w:color="CCCCCC" w:sz="1"/>
              <w:left w:val="single" w:color="CCCCCC" w:sz="1"/>
              <w:bottom w:val="single" w:color="CCCCCC" w:sz="1"/>
              <w:right w:val="single" w:color="CCCCCC" w:sz="1"/>
            </w:tcBorders>
          </w:tcPr>
          <w:p>
            <w:r>
              <w:t xml:space="preserve">IT Operations</w:t>
            </w:r>
          </w:p>
        </w:tc>
      </w:tr>
      <w:tr>
        <w:tc>
          <w:tcPr>
            <w:tcW w:type="dxa" w:w="1500"/>
            <w:tcBorders>
              <w:top w:val="single" w:color="CCCCCC" w:sz="1"/>
              <w:left w:val="single" w:color="CCCCCC" w:sz="1"/>
              <w:bottom w:val="single" w:color="CCCCCC" w:sz="1"/>
              <w:right w:val="single" w:color="CCCCCC" w:sz="1"/>
            </w:tcBorders>
          </w:tcPr>
          <w:p>
            <w:r>
              <w:t xml:space="preserve">Quarterly</w:t>
            </w:r>
          </w:p>
        </w:tc>
        <w:tc>
          <w:tcPr>
            <w:tcW w:type="dxa" w:w="3000"/>
            <w:tcBorders>
              <w:top w:val="single" w:color="CCCCCC" w:sz="1"/>
              <w:left w:val="single" w:color="CCCCCC" w:sz="1"/>
              <w:bottom w:val="single" w:color="CCCCCC" w:sz="1"/>
              <w:right w:val="single" w:color="CCCCCC" w:sz="1"/>
            </w:tcBorders>
          </w:tcPr>
          <w:p>
            <w:r>
              <w:t xml:space="preserve">Tabletop Exercises</w:t>
            </w:r>
          </w:p>
        </w:tc>
        <w:tc>
          <w:tcPr>
            <w:tcW w:type="dxa" w:w="2500"/>
            <w:tcBorders>
              <w:top w:val="single" w:color="CCCCCC" w:sz="1"/>
              <w:left w:val="single" w:color="CCCCCC" w:sz="1"/>
              <w:bottom w:val="single" w:color="CCCCCC" w:sz="1"/>
              <w:right w:val="single" w:color="CCCCCC" w:sz="1"/>
            </w:tcBorders>
          </w:tcPr>
          <w:p>
            <w:r>
              <w:t xml:space="preserve">Business function teams</w:t>
            </w:r>
          </w:p>
        </w:tc>
        <w:tc>
          <w:tcPr>
            <w:tcW w:type="dxa" w:w="2360"/>
            <w:tcBorders>
              <w:top w:val="single" w:color="CCCCCC" w:sz="1"/>
              <w:left w:val="single" w:color="CCCCCC" w:sz="1"/>
              <w:bottom w:val="single" w:color="CCCCCC" w:sz="1"/>
              <w:right w:val="single" w:color="CCCCCC" w:sz="1"/>
            </w:tcBorders>
          </w:tcPr>
          <w:p>
            <w:r>
              <w:t xml:space="preserve">BC Manager</w:t>
            </w:r>
          </w:p>
        </w:tc>
      </w:tr>
      <w:tr>
        <w:tc>
          <w:tcPr>
            <w:tcW w:type="dxa" w:w="1500"/>
            <w:tcBorders>
              <w:top w:val="single" w:color="CCCCCC" w:sz="1"/>
              <w:left w:val="single" w:color="CCCCCC" w:sz="1"/>
              <w:bottom w:val="single" w:color="CCCCCC" w:sz="1"/>
              <w:right w:val="single" w:color="CCCCCC" w:sz="1"/>
            </w:tcBorders>
          </w:tcPr>
          <w:p>
            <w:r>
              <w:t xml:space="preserve">Semi-Annual</w:t>
            </w:r>
          </w:p>
        </w:tc>
        <w:tc>
          <w:tcPr>
            <w:tcW w:type="dxa" w:w="3000"/>
            <w:tcBorders>
              <w:top w:val="single" w:color="CCCCCC" w:sz="1"/>
              <w:left w:val="single" w:color="CCCCCC" w:sz="1"/>
              <w:bottom w:val="single" w:color="CCCCCC" w:sz="1"/>
              <w:right w:val="single" w:color="CCCCCC" w:sz="1"/>
            </w:tcBorders>
          </w:tcPr>
          <w:p>
            <w:r>
              <w:t xml:space="preserve">Functional Exercises</w:t>
            </w:r>
          </w:p>
        </w:tc>
        <w:tc>
          <w:tcPr>
            <w:tcW w:type="dxa" w:w="2500"/>
            <w:tcBorders>
              <w:top w:val="single" w:color="CCCCCC" w:sz="1"/>
              <w:left w:val="single" w:color="CCCCCC" w:sz="1"/>
              <w:bottom w:val="single" w:color="CCCCCC" w:sz="1"/>
              <w:right w:val="single" w:color="CCCCCC" w:sz="1"/>
            </w:tcBorders>
          </w:tcPr>
          <w:p>
            <w:r>
              <w:t xml:space="preserve">Partial system activation</w:t>
            </w:r>
          </w:p>
        </w:tc>
        <w:tc>
          <w:tcPr>
            <w:tcW w:type="dxa" w:w="2360"/>
            <w:tcBorders>
              <w:top w:val="single" w:color="CCCCCC" w:sz="1"/>
              <w:left w:val="single" w:color="CCCCCC" w:sz="1"/>
              <w:bottom w:val="single" w:color="CCCCCC" w:sz="1"/>
              <w:right w:val="single" w:color="CCCCCC" w:sz="1"/>
            </w:tcBorders>
          </w:tcPr>
          <w:p>
            <w:r>
              <w:t xml:space="preserve">CISO</w:t>
            </w:r>
          </w:p>
        </w:tc>
      </w:tr>
      <w:tr>
        <w:tc>
          <w:tcPr>
            <w:tcW w:type="dxa" w:w="1500"/>
            <w:tcBorders>
              <w:top w:val="single" w:color="CCCCCC" w:sz="1"/>
              <w:left w:val="single" w:color="CCCCCC" w:sz="1"/>
              <w:bottom w:val="single" w:color="CCCCCC" w:sz="1"/>
              <w:right w:val="single" w:color="CCCCCC" w:sz="1"/>
            </w:tcBorders>
          </w:tcPr>
          <w:p>
            <w:r>
              <w:t xml:space="preserve">Annual</w:t>
            </w:r>
          </w:p>
        </w:tc>
        <w:tc>
          <w:tcPr>
            <w:tcW w:type="dxa" w:w="3000"/>
            <w:tcBorders>
              <w:top w:val="single" w:color="CCCCCC" w:sz="1"/>
              <w:left w:val="single" w:color="CCCCCC" w:sz="1"/>
              <w:bottom w:val="single" w:color="CCCCCC" w:sz="1"/>
              <w:right w:val="single" w:color="CCCCCC" w:sz="1"/>
            </w:tcBorders>
          </w:tcPr>
          <w:p>
            <w:r>
              <w:t xml:space="preserve">Full-Scale Exercise</w:t>
            </w:r>
          </w:p>
        </w:tc>
        <w:tc>
          <w:tcPr>
            <w:tcW w:type="dxa" w:w="2500"/>
            <w:tcBorders>
              <w:top w:val="single" w:color="CCCCCC" w:sz="1"/>
              <w:left w:val="single" w:color="CCCCCC" w:sz="1"/>
              <w:bottom w:val="single" w:color="CCCCCC" w:sz="1"/>
              <w:right w:val="single" w:color="CCCCCC" w:sz="1"/>
            </w:tcBorders>
          </w:tcPr>
          <w:p>
            <w:r>
              <w:t xml:space="preserve">Complete plan activation</w:t>
            </w:r>
          </w:p>
        </w:tc>
        <w:tc>
          <w:tcPr>
            <w:tcW w:type="dxa" w:w="2360"/>
            <w:tcBorders>
              <w:top w:val="single" w:color="CCCCCC" w:sz="1"/>
              <w:left w:val="single" w:color="CCCCCC" w:sz="1"/>
              <w:bottom w:val="single" w:color="CCCCCC" w:sz="1"/>
              <w:right w:val="single" w:color="CCCCCC" w:sz="1"/>
            </w:tcBorders>
          </w:tcPr>
          <w:p>
            <w:r>
              <w:t xml:space="preserve">CEO/COO</w:t>
            </w:r>
          </w:p>
        </w:tc>
      </w:tr>
    </w:tbl>
    <w:p>
      <w:pPr>
        <w:pStyle w:val="Heading2"/>
      </w:pPr>
      <w:r>
        <w:t xml:space="preserve">7.2 Plan Maintenance</w:t>
      </w:r>
    </w:p>
    <w:p>
      <w:pPr>
        <w:pStyle w:val="BodyText"/>
      </w:pPr>
      <w:r>
        <w:t xml:space="preserve">The Business Continuity Plan requires regular maintenance to remain current and effective:</w:t>
      </w:r>
    </w:p>
    <w:p>
      <w:pPr>
        <w:pStyle w:val="Heading3"/>
      </w:pPr>
      <w:r>
        <w:t xml:space="preserve">7.2.1 Update Triggers</w:t>
      </w:r>
    </w:p>
    <w:p>
      <w:pPr>
        <w:pStyle w:val="ListParagraph"/>
        <w:numPr>
          <w:ilvl w:val="0"/>
          <w:numId w:val="2"/>
        </w:numPr>
      </w:pPr>
      <w:r>
        <w:t xml:space="preserve">Organizational structure changes</w:t>
      </w:r>
    </w:p>
    <w:p>
      <w:pPr>
        <w:pStyle w:val="ListParagraph"/>
        <w:numPr>
          <w:ilvl w:val="0"/>
          <w:numId w:val="2"/>
        </w:numPr>
      </w:pPr>
      <w:r>
        <w:t xml:space="preserve">Technology infrastructure modifications</w:t>
      </w:r>
    </w:p>
    <w:p>
      <w:pPr>
        <w:pStyle w:val="ListParagraph"/>
        <w:numPr>
          <w:ilvl w:val="0"/>
          <w:numId w:val="2"/>
        </w:numPr>
      </w:pPr>
      <w:r>
        <w:t xml:space="preserve">Business process changes</w:t>
      </w:r>
    </w:p>
    <w:p>
      <w:pPr>
        <w:pStyle w:val="ListParagraph"/>
        <w:numPr>
          <w:ilvl w:val="0"/>
          <w:numId w:val="2"/>
        </w:numPr>
      </w:pPr>
      <w:r>
        <w:t xml:space="preserve">Lessons learned from exercises or actual events</w:t>
      </w:r>
    </w:p>
    <w:p>
      <w:pPr>
        <w:pStyle w:val="ListParagraph"/>
        <w:numPr>
          <w:ilvl w:val="0"/>
          <w:numId w:val="2"/>
        </w:numPr>
      </w:pPr>
      <w:r>
        <w:t xml:space="preserve">Regulatory or compliance requirement changes</w:t>
      </w:r>
    </w:p>
    <w:p>
      <w:pPr>
        <w:pStyle w:val="ListParagraph"/>
        <w:numPr>
          <w:ilvl w:val="0"/>
          <w:numId w:val="2"/>
        </w:numPr>
      </w:pPr>
      <w:r>
        <w:t xml:space="preserve">Annual comprehensive review</w:t>
      </w:r>
    </w:p>
    <w:p>
      <w:pPr>
        <w:pStyle w:val="Heading3"/>
      </w:pPr>
      <w:r>
        <w:t xml:space="preserve">7.2.2 Version Control and Distribution</w:t>
      </w:r>
    </w:p>
    <w:p>
      <w:pPr>
        <w:pStyle w:val="ListParagraph"/>
        <w:numPr>
          <w:ilvl w:val="0"/>
          <w:numId w:val="2"/>
        </w:numPr>
      </w:pPr>
      <w:r>
        <w:t xml:space="preserve">Centralized document repository with access controls</w:t>
      </w:r>
    </w:p>
    <w:p>
      <w:pPr>
        <w:pStyle w:val="ListParagraph"/>
        <w:numPr>
          <w:ilvl w:val="0"/>
          <w:numId w:val="2"/>
        </w:numPr>
      </w:pPr>
      <w:r>
        <w:t xml:space="preserve">Automated distribution to all plan holders</w:t>
      </w:r>
    </w:p>
    <w:p>
      <w:pPr>
        <w:pStyle w:val="ListParagraph"/>
        <w:numPr>
          <w:ilvl w:val="0"/>
          <w:numId w:val="2"/>
        </w:numPr>
      </w:pPr>
      <w:r>
        <w:t xml:space="preserve">Version tracking and change documentation</w:t>
      </w:r>
    </w:p>
    <w:p>
      <w:pPr>
        <w:pStyle w:val="ListParagraph"/>
        <w:numPr>
          <w:ilvl w:val="0"/>
          <w:numId w:val="2"/>
        </w:numPr>
      </w:pPr>
      <w:r>
        <w:t xml:space="preserve">Secure offline copies for emergency access</w:t>
      </w:r>
    </w:p>
    <w:p>
      <w:pPr>
        <w:pStyle w:val="Heading1"/>
      </w:pPr>
      <w:r>
        <w:t xml:space="preserve">8. TRAINING AND AWARENESS</w:t>
      </w:r>
    </w:p>
    <w:p>
      <w:pPr>
        <w:pStyle w:val="Heading2"/>
      </w:pPr>
      <w:r>
        <w:t xml:space="preserve">8.1 Training Program</w:t>
      </w:r>
    </w:p>
    <w:p>
      <w:pPr>
        <w:pStyle w:val="BodyText"/>
      </w:pPr>
      <w:r>
        <w:t xml:space="preserve">All personnel receive business continuity training appropriate to their roles:</w:t>
      </w:r>
    </w:p>
    <w:p>
      <w:pPr>
        <w:pStyle w:val="Heading3"/>
      </w:pPr>
      <w:r>
        <w:t xml:space="preserve">8.1.1 General Employee Training</w:t>
      </w:r>
    </w:p>
    <w:p>
      <w:pPr>
        <w:pStyle w:val="ListParagraph"/>
        <w:numPr>
          <w:ilvl w:val="0"/>
          <w:numId w:val="2"/>
        </w:numPr>
      </w:pPr>
      <w:r>
        <w:t xml:space="preserve">Annual business continuity awareness sessions</w:t>
      </w:r>
    </w:p>
    <w:p>
      <w:pPr>
        <w:pStyle w:val="ListParagraph"/>
        <w:numPr>
          <w:ilvl w:val="0"/>
          <w:numId w:val="2"/>
        </w:numPr>
      </w:pPr>
      <w:r>
        <w:t xml:space="preserve">New employee orientation includes BC overview</w:t>
      </w:r>
    </w:p>
    <w:p>
      <w:pPr>
        <w:pStyle w:val="ListParagraph"/>
        <w:numPr>
          <w:ilvl w:val="0"/>
          <w:numId w:val="2"/>
        </w:numPr>
      </w:pPr>
      <w:r>
        <w:t xml:space="preserve">Emergency procedure familiarization</w:t>
      </w:r>
    </w:p>
    <w:p>
      <w:pPr>
        <w:pStyle w:val="ListParagraph"/>
        <w:numPr>
          <w:ilvl w:val="0"/>
          <w:numId w:val="2"/>
        </w:numPr>
      </w:pPr>
      <w:r>
        <w:t xml:space="preserve">Remote work capability verification</w:t>
      </w:r>
    </w:p>
    <w:p>
      <w:pPr>
        <w:pStyle w:val="Heading3"/>
      </w:pPr>
      <w:r>
        <w:t xml:space="preserve">8.1.2 Business Continuity Team Training</w:t>
      </w:r>
    </w:p>
    <w:p>
      <w:pPr>
        <w:pStyle w:val="ListParagraph"/>
        <w:numPr>
          <w:ilvl w:val="0"/>
          <w:numId w:val="2"/>
        </w:numPr>
      </w:pPr>
      <w:r>
        <w:t xml:space="preserve">Comprehensive plan familiarization</w:t>
      </w:r>
    </w:p>
    <w:p>
      <w:pPr>
        <w:pStyle w:val="ListParagraph"/>
        <w:numPr>
          <w:ilvl w:val="0"/>
          <w:numId w:val="2"/>
        </w:numPr>
      </w:pPr>
      <w:r>
        <w:t xml:space="preserve">Role-specific procedure training</w:t>
      </w:r>
    </w:p>
    <w:p>
      <w:pPr>
        <w:pStyle w:val="ListParagraph"/>
        <w:numPr>
          <w:ilvl w:val="0"/>
          <w:numId w:val="2"/>
        </w:numPr>
      </w:pPr>
      <w:r>
        <w:t xml:space="preserve">Emergency communications protocols</w:t>
      </w:r>
    </w:p>
    <w:p>
      <w:pPr>
        <w:pStyle w:val="ListParagraph"/>
        <w:numPr>
          <w:ilvl w:val="0"/>
          <w:numId w:val="2"/>
        </w:numPr>
      </w:pPr>
      <w:r>
        <w:t xml:space="preserve">Decision-making authority and escalation procedures</w:t>
      </w:r>
    </w:p>
    <w:p>
      <w:pPr>
        <w:pStyle w:val="ListParagraph"/>
        <w:numPr>
          <w:ilvl w:val="0"/>
          <w:numId w:val="2"/>
        </w:numPr>
      </w:pPr>
      <w:r>
        <w:t xml:space="preserve">Quarterly refresher training sessions</w:t>
      </w:r>
    </w:p>
    <w:p>
      <w:pPr>
        <w:pStyle w:val="Heading1"/>
      </w:pPr>
      <w:r>
        <w:t xml:space="preserve">9. APPENDICES</w:t>
      </w:r>
    </w:p>
    <w:p>
      <w:pPr>
        <w:pStyle w:val="Heading2"/>
      </w:pPr>
      <w:r>
        <w:t xml:space="preserve">Appendix A: Emergency Contact Lists</w:t>
      </w:r>
    </w:p>
    <w:p>
      <w:pPr>
        <w:pStyle w:val="BodyText"/>
      </w:pPr>
      <w:r>
        <w:t xml:space="preserve">Complete contact information for all Business Continuity Team members, department heads, external vendors, and emergency services. (Maintained separately for security purposes)</w:t>
      </w:r>
    </w:p>
    <w:p>
      <w:pPr>
        <w:pStyle w:val="Heading2"/>
      </w:pPr>
      <w:r>
        <w:t xml:space="preserve">Appendix B: Vendor and Service Provider Contacts</w:t>
      </w:r>
    </w:p>
    <w:p>
      <w:pPr>
        <w:pStyle w:val="BodyText"/>
      </w:pPr>
      <w:r>
        <w:t xml:space="preserve">Emergency contact information for critical service providers, alternate vendors, and mutual aid partners.</w:t>
      </w:r>
    </w:p>
    <w:p>
      <w:pPr>
        <w:pStyle w:val="Heading2"/>
      </w:pPr>
      <w:r>
        <w:t xml:space="preserve">Appendix C: System Recovery Checklists</w:t>
      </w:r>
    </w:p>
    <w:p>
      <w:pPr>
        <w:pStyle w:val="BodyText"/>
      </w:pPr>
      <w:r>
        <w:t xml:space="preserve">Detailed technical procedures for recovering specific IT systems and applications.</w:t>
      </w:r>
    </w:p>
    <w:p>
      <w:pPr>
        <w:pStyle w:val="Heading2"/>
      </w:pPr>
      <w:r>
        <w:t xml:space="preserve">Appendix D: Communication Templates</w:t>
      </w:r>
    </w:p>
    <w:p>
      <w:pPr>
        <w:pStyle w:val="BodyText"/>
      </w:pPr>
      <w:r>
        <w:t xml:space="preserve">Pre-approved communication templates for various stakeholder groups and scenario types.</w:t>
      </w:r>
    </w:p>
    <w:p>
      <w:pPr>
        <w:pStyle w:val="Heading2"/>
      </w:pPr>
      <w:r>
        <w:t xml:space="preserve">Appendix E: Regulatory Notification Requirements</w:t>
      </w:r>
    </w:p>
    <w:p>
      <w:pPr>
        <w:pStyle w:val="BodyText"/>
      </w:pPr>
      <w:r>
        <w:t xml:space="preserve">Summary of applicable regulatory requirements for incident notification and business continuity reporting.</w:t>
      </w:r>
    </w:p>
    <w:p>
      <w:r>
        <w:br w:type="page"/>
      </w:r>
    </w:p>
    <w:p>
      <w:pPr>
        <w:pStyle w:val="Heading1"/>
      </w:pPr>
      <w:r>
        <w:t xml:space="preserve">10. PLAN APPROVAL AND AUTHORIZATION</w:t>
      </w:r>
    </w:p>
    <w:p>
      <w:pPr>
        <w:pStyle w:val="BodyText"/>
      </w:pPr>
      <w:r>
        <w:t xml:space="preserve">This Business Continuity Plan has been reviewed and approved by the following authorized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Pr>
          <w:p>
            <w:pPr>
              <w:pStyle w:val="TableHeader"/>
            </w:pPr>
            <w:r>
              <w:t xml:space="preserve">Role</w:t>
            </w:r>
          </w:p>
        </w:tc>
        <w:tc>
          <w:tcPr>
            <w:tcW w:type="dxa" w:w="3120"/>
            <w:tcBorders>
              <w:top w:val="single" w:color="CCCCCC" w:sz="1"/>
              <w:left w:val="single" w:color="CCCCCC" w:sz="1"/>
              <w:bottom w:val="single" w:color="CCCCCC" w:sz="1"/>
              <w:right w:val="single" w:color="CCCCCC" w:sz="1"/>
            </w:tcBorders>
            <w:shd w:fill="4472C4" w:val="clear"/>
          </w:tcPr>
          <w:p>
            <w:pPr>
              <w:pStyle w:val="TableHeader"/>
            </w:pPr>
            <w:r>
              <w:t xml:space="preserve">Name</w:t>
            </w:r>
          </w:p>
        </w:tc>
        <w:tc>
          <w:tcPr>
            <w:tcW w:type="dxa" w:w="3120"/>
            <w:tcBorders>
              <w:top w:val="single" w:color="CCCCCC" w:sz="1"/>
              <w:left w:val="single" w:color="CCCCCC" w:sz="1"/>
              <w:bottom w:val="single" w:color="CCCCCC" w:sz="1"/>
              <w:right w:val="single" w:color="CCCCCC" w:sz="1"/>
            </w:tcBorders>
            <w:shd w:fill="4472C4" w:val="clear"/>
          </w:tcPr>
          <w:p>
            <w:pPr>
              <w:pStyle w:val="TableHeader"/>
            </w:pPr>
            <w:r>
              <w:t xml:space="preserve">Date</w:t>
            </w:r>
          </w:p>
        </w:tc>
      </w:tr>
      <w:tr>
        <w:tc>
          <w:tcPr>
            <w:tcW w:type="dxa" w:w="3120"/>
            <w:tcBorders>
              <w:top w:val="single" w:color="CCCCCC" w:sz="1"/>
              <w:left w:val="single" w:color="CCCCCC" w:sz="1"/>
              <w:bottom w:val="single" w:color="CCCCCC" w:sz="1"/>
              <w:right w:val="single" w:color="CCCCCC" w:sz="1"/>
            </w:tcBorders>
          </w:tcPr>
          <w:p>
            <w:r>
              <w:t xml:space="preserve">Chief Executive Officer</w:t>
            </w:r>
          </w:p>
        </w:tc>
        <w:tc>
          <w:tcPr>
            <w:tcW w:type="dxa" w:w="3120"/>
            <w:tcBorders>
              <w:top w:val="single" w:color="CCCCCC" w:sz="1"/>
              <w:left w:val="single" w:color="CCCCCC" w:sz="1"/>
              <w:bottom w:val="single" w:color="CCCCCC" w:sz="1"/>
              <w:right w:val="single" w:color="CCCCCC" w:sz="1"/>
            </w:tcBorders>
          </w:tcPr>
          <w:p>
            <w:r>
              <w:t xml:space="preserve">_____________________</w:t>
            </w:r>
          </w:p>
        </w:tc>
        <w:tc>
          <w:tcPr>
            <w:tcW w:type="dxa" w:w="3120"/>
            <w:tcBorders>
              <w:top w:val="single" w:color="CCCCCC" w:sz="1"/>
              <w:left w:val="single" w:color="CCCCCC" w:sz="1"/>
              <w:bottom w:val="single" w:color="CCCCCC" w:sz="1"/>
              <w:right w:val="single" w:color="CCCCCC" w:sz="1"/>
            </w:tcBorders>
          </w:tcPr>
          <w:p>
            <w:r>
              <w:t xml:space="preserve">___________</w:t>
            </w:r>
          </w:p>
        </w:tc>
      </w:tr>
      <w:tr>
        <w:tc>
          <w:tcPr>
            <w:tcW w:type="dxa" w:w="3120"/>
            <w:tcBorders>
              <w:top w:val="single" w:color="CCCCCC" w:sz="1"/>
              <w:left w:val="single" w:color="CCCCCC" w:sz="1"/>
              <w:bottom w:val="single" w:color="CCCCCC" w:sz="1"/>
              <w:right w:val="single" w:color="CCCCCC" w:sz="1"/>
            </w:tcBorders>
          </w:tcPr>
          <w:p>
            <w:r>
              <w:t xml:space="preserve">Chief Information Security Officer</w:t>
            </w:r>
          </w:p>
        </w:tc>
        <w:tc>
          <w:tcPr>
            <w:tcW w:type="dxa" w:w="3120"/>
            <w:tcBorders>
              <w:top w:val="single" w:color="CCCCCC" w:sz="1"/>
              <w:left w:val="single" w:color="CCCCCC" w:sz="1"/>
              <w:bottom w:val="single" w:color="CCCCCC" w:sz="1"/>
              <w:right w:val="single" w:color="CCCCCC" w:sz="1"/>
            </w:tcBorders>
          </w:tcPr>
          <w:p>
            <w:r>
              <w:t xml:space="preserve">_____________________</w:t>
            </w:r>
          </w:p>
        </w:tc>
        <w:tc>
          <w:tcPr>
            <w:tcW w:type="dxa" w:w="3120"/>
            <w:tcBorders>
              <w:top w:val="single" w:color="CCCCCC" w:sz="1"/>
              <w:left w:val="single" w:color="CCCCCC" w:sz="1"/>
              <w:bottom w:val="single" w:color="CCCCCC" w:sz="1"/>
              <w:right w:val="single" w:color="CCCCCC" w:sz="1"/>
            </w:tcBorders>
          </w:tcPr>
          <w:p>
            <w:r>
              <w:t xml:space="preserve">___________</w:t>
            </w:r>
          </w:p>
        </w:tc>
      </w:tr>
      <w:tr>
        <w:tc>
          <w:tcPr>
            <w:tcW w:type="dxa" w:w="3120"/>
            <w:tcBorders>
              <w:top w:val="single" w:color="CCCCCC" w:sz="1"/>
              <w:left w:val="single" w:color="CCCCCC" w:sz="1"/>
              <w:bottom w:val="single" w:color="CCCCCC" w:sz="1"/>
              <w:right w:val="single" w:color="CCCCCC" w:sz="1"/>
            </w:tcBorders>
          </w:tcPr>
          <w:p>
            <w:r>
              <w:t xml:space="preserve">Business Continuity Manager</w:t>
            </w:r>
          </w:p>
        </w:tc>
        <w:tc>
          <w:tcPr>
            <w:tcW w:type="dxa" w:w="3120"/>
            <w:tcBorders>
              <w:top w:val="single" w:color="CCCCCC" w:sz="1"/>
              <w:left w:val="single" w:color="CCCCCC" w:sz="1"/>
              <w:bottom w:val="single" w:color="CCCCCC" w:sz="1"/>
              <w:right w:val="single" w:color="CCCCCC" w:sz="1"/>
            </w:tcBorders>
          </w:tcPr>
          <w:p>
            <w:r>
              <w:t xml:space="preserve">_____________________</w:t>
            </w:r>
          </w:p>
        </w:tc>
        <w:tc>
          <w:tcPr>
            <w:tcW w:type="dxa" w:w="3120"/>
            <w:tcBorders>
              <w:top w:val="single" w:color="CCCCCC" w:sz="1"/>
              <w:left w:val="single" w:color="CCCCCC" w:sz="1"/>
              <w:bottom w:val="single" w:color="CCCCCC" w:sz="1"/>
              <w:right w:val="single" w:color="CCCCCC" w:sz="1"/>
            </w:tcBorders>
          </w:tcPr>
          <w:p>
            <w:r>
              <w:t xml:space="preserve">___________</w:t>
            </w:r>
          </w:p>
        </w:tc>
      </w:tr>
    </w:tbl>
    <w:p>
      <w:pPr>
        <w:spacing w:before="480"/>
        <w:jc w:val="center"/>
      </w:pPr>
      <w:r>
        <w:rPr>
          <w:b/>
          <w:bCs/>
          <w:sz w:val="24"/>
          <w:szCs w:val="24"/>
        </w:rPr>
        <w:t xml:space="preserve">--- END OF PLAN ---</w:t>
      </w:r>
    </w:p>
    <w:p>
      <w:pPr>
        <w:spacing w:before="240"/>
        <w:jc w:val="left"/>
      </w:pPr>
      <w:r>
        <w:rPr>
          <w:b/>
          <w:bCs/>
          <w:color w:val="FF0000"/>
        </w:rPr>
        <w:t xml:space="preserve">Document Classification: CONFIDENTIAL</w:t>
      </w:r>
    </w:p>
    <w:p>
      <w:r>
        <w:rPr>
          <w:b/>
          <w:bCs/>
        </w:rPr>
        <w:t xml:space="preserve">Document ID: BCP-2025-001</w:t>
      </w:r>
    </w:p>
    <w:p>
      <w:r>
        <w:rPr>
          <w:b/>
          <w:bCs/>
        </w:rPr>
        <w:t xml:space="preserve">Version: 3.0</w:t>
      </w:r>
    </w:p>
    <w:p>
      <w:r>
        <w:rPr>
          <w:b/>
          <w:bCs/>
        </w:rPr>
        <w:t xml:space="preserve">Effective Date: November 10, 2025</w:t>
      </w:r>
    </w:p>
    <w:p>
      <w:r>
        <w:rPr>
          <w:b/>
          <w:bCs/>
        </w:rPr>
        <w:t xml:space="preserve">Next Review Date: November 10, 2026</w:t>
      </w:r>
    </w:p>
    <w:p>
      <w:r>
        <w:rPr>
          <w:b/>
          <w:bCs/>
        </w:rPr>
        <w:t xml:space="preserve">Prepared by: Business Continuity Team</w:t>
      </w:r>
    </w:p>
    <w:p>
      <w:r>
        <w:rPr>
          <w:b/>
          <w:bCs/>
        </w:rPr>
        <w:t xml:space="preserve">Approved by: Executive Leadership Team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r>
      <w:t xml:space="preserve"> | NIST SP 800-34 Rev. 1 Compliant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0"/>
        <w:szCs w:val="20"/>
      </w:rPr>
      <w:t xml:space="preserve">BUSINESS CONTINUITY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 w:type="paragraph" w:styleId="Heading4">
    <w:name w:val="Heading 4"/>
    <w:basedOn w:val="Normal"/>
    <w:next w:val="Normal"/>
    <w:qFormat/>
    <w:pPr>
      <w:spacing w:before="120" w:after="100"/>
      <w:outlineLvl w:val="3"/>
    </w:pPr>
    <w:rPr>
      <w:rFonts w:ascii="Arial" w:cs="Arial" w:eastAsia="Arial" w:hAnsi="Arial"/>
      <w:b/>
      <w:bCs/>
      <w:color w:val="000000"/>
      <w:sz w:val="24"/>
      <w:szCs w:val="24"/>
    </w:rPr>
  </w:style>
  <w:style w:type="paragraph" w:styleId="BodyText">
    <w:name w:val="Body Text"/>
    <w:basedOn w:val="Normal"/>
    <w:pPr>
      <w:spacing w:after="120"/>
      <w:jc w:val="left"/>
    </w:pPr>
    <w:rPr>
      <w:rFonts w:ascii="Arial" w:cs="Arial" w:eastAsia="Arial" w:hAnsi="Arial"/>
      <w:color w:val="000000"/>
      <w:sz w:val="24"/>
      <w:szCs w:val="24"/>
    </w:rPr>
  </w:style>
  <w:style w:type="paragraph" w:styleId="TableHeader">
    <w:name w:val="Table Header"/>
    <w:basedOn w:val="Normal"/>
    <w:pPr>
      <w:jc w:val="center"/>
    </w:pPr>
    <w:rPr>
      <w:rFonts w:ascii="Arial" w:cs="Arial" w:eastAsia="Arial" w:hAnsi="Arial"/>
      <w:b/>
      <w:bCs/>
      <w:color w:val="FFFFFF"/>
      <w:sz w:val="22"/>
      <w:szCs w:val="22"/>
    </w:rPr>
  </w:style>
  <w:style w:type="paragraph" w:styleId="Classification">
    <w:name w:val="Classification"/>
    <w:basedOn w:val="Normal"/>
    <w:pPr>
      <w:spacing w:before="120" w:after="120"/>
      <w:jc w:val="center"/>
    </w:pPr>
    <w:rPr>
      <w:rFonts w:ascii="Arial" w:cs="Arial" w:eastAsia="Arial" w:hAnsi="Arial"/>
      <w:b/>
      <w:bCs/>
      <w:color w:val="FF0000"/>
      <w:sz w:val="28"/>
      <w:szCs w:val="28"/>
    </w:rPr>
  </w:style>
  <w:style w:type="paragraph" w:styleId="CriticalText">
    <w:name w:val="Critical Text"/>
    <w:basedOn w:val="Normal"/>
    <w:pPr>
      <w:spacing w:after="120"/>
      <w:jc w:val="left"/>
    </w:pPr>
    <w:rPr>
      <w:rFonts w:ascii="Arial" w:cs="Arial" w:eastAsia="Arial" w:hAnsi="Arial"/>
      <w:b/>
      <w:bCs/>
      <w:color w:val="FF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2025-11-10T16:54:33.602Z</dcterms:created>
  <dcterms:modified xsi:type="dcterms:W3CDTF">2025-11-10T16:54:33.603Z</dcterms:modified>
</cp:coreProperties>
</file>

<file path=docProps/custom.xml><?xml version="1.0" encoding="utf-8"?>
<Properties xmlns="http://schemas.openxmlformats.org/officeDocument/2006/custom-properties" xmlns:vt="http://schemas.openxmlformats.org/officeDocument/2006/docPropsVTypes"/>
</file>