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confidential"/>
      </w:pPr>
      <w:r>
        <w:t xml:space="preserve">CONFIDENTIAL</w:t>
      </w:r>
    </w:p>
    <w:p>
      <w:r>
        <w:t xml:space="preserve"/>
      </w:r>
    </w:p>
    <w:p>
      <w:pPr>
        <w:pStyle w:val="Title"/>
      </w:pPr>
      <w:r>
        <w:t xml:space="preserve">ICT CONTINUITY PLAN</w:t>
      </w:r>
    </w:p>
    <w:p>
      <w:r>
        <w:t xml:space="preserve"/>
      </w:r>
    </w:p>
    <w:p>
      <w:pPr>
        <w:spacing w:before="240" w:after="240"/>
        <w:jc w:val="center"/>
      </w:pPr>
      <w:r>
        <w:rPr>
          <w:b/>
          <w:bCs/>
          <w:sz w:val="28"/>
          <w:szCs w:val="28"/>
        </w:rPr>
        <w:t xml:space="preserve">NIST SP 800-34 Rev. 1 Compliant</w:t>
      </w:r>
    </w:p>
    <w:p>
      <w:pPr>
        <w:spacing w:before="240" w:after="240"/>
        <w:jc w:val="center"/>
      </w:pPr>
      <w:r>
        <w:rPr>
          <w:sz w:val="26"/>
          <w:szCs w:val="26"/>
        </w:rPr>
        <w:t xml:space="preserve">Information Technology Contingency Planning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c>
          <w:tcPr>
            <w:tcW w:type="dxa" w:w="2340"/>
            <w:tcBorders>
              <w:top w:val="single" w:color="CCCCCC" w:sz="1"/>
              <w:left w:val="single" w:color="CCCCCC" w:sz="1"/>
              <w:bottom w:val="single" w:color="CCCCCC" w:sz="1"/>
              <w:right w:val="single" w:color="CCCCCC" w:sz="1"/>
            </w:tcBorders>
            <w:shd w:fill="E7E7E7" w:val="clear"/>
          </w:tcPr>
          <w:p>
            <w:r>
              <w:rPr>
                <w:b/>
                <w:bCs/>
              </w:rPr>
              <w:t xml:space="preserve">Document Control</w:t>
            </w:r>
          </w:p>
        </w:tc>
        <w:tc>
          <w:tcPr>
            <w:tcW w:type="dxa" w:w="7020"/>
            <w:tcBorders>
              <w:top w:val="single" w:color="CCCCCC" w:sz="1"/>
              <w:left w:val="single" w:color="CCCCCC" w:sz="1"/>
              <w:bottom w:val="single" w:color="CCCCCC" w:sz="1"/>
              <w:right w:val="single" w:color="CCCCCC" w:sz="1"/>
            </w:tcBorders>
            <w:shd w:fill="E7E7E7" w:val="clear"/>
          </w:tcPr>
          <w:p>
            <w:r>
              <w:rPr>
                <w:b/>
                <w:bCs/>
              </w:rPr>
              <w:t xml:space="preserve">Information</w:t>
            </w:r>
          </w:p>
        </w:tc>
      </w:tr>
      <w:tr>
        <w:tc>
          <w:tcPr>
            <w:tcW w:type="dxa" w:w="2340"/>
            <w:tcBorders>
              <w:top w:val="single" w:color="CCCCCC" w:sz="1"/>
              <w:left w:val="single" w:color="CCCCCC" w:sz="1"/>
              <w:bottom w:val="single" w:color="CCCCCC" w:sz="1"/>
              <w:right w:val="single" w:color="CCCCCC" w:sz="1"/>
            </w:tcBorders>
          </w:tcPr>
          <w:p>
            <w:r>
              <w:rPr>
                <w:b/>
                <w:bCs/>
              </w:rPr>
              <w:t xml:space="preserve">Document ID</w:t>
            </w:r>
          </w:p>
        </w:tc>
        <w:tc>
          <w:tcPr>
            <w:tcW w:type="dxa" w:w="7020"/>
            <w:tcBorders>
              <w:top w:val="single" w:color="CCCCCC" w:sz="1"/>
              <w:left w:val="single" w:color="CCCCCC" w:sz="1"/>
              <w:bottom w:val="single" w:color="CCCCCC" w:sz="1"/>
              <w:right w:val="single" w:color="CCCCCC" w:sz="1"/>
            </w:tcBorders>
          </w:tcPr>
          <w:p>
            <w:r>
              <w:t xml:space="preserve">ICT-2025-001</w:t>
            </w:r>
          </w:p>
        </w:tc>
      </w:tr>
      <w:tr>
        <w:tc>
          <w:tcPr>
            <w:tcW w:type="dxa" w:w="2340"/>
            <w:tcBorders>
              <w:top w:val="single" w:color="CCCCCC" w:sz="1"/>
              <w:left w:val="single" w:color="CCCCCC" w:sz="1"/>
              <w:bottom w:val="single" w:color="CCCCCC" w:sz="1"/>
              <w:right w:val="single" w:color="CCCCCC" w:sz="1"/>
            </w:tcBorders>
          </w:tcPr>
          <w:p>
            <w:r>
              <w:rPr>
                <w:b/>
                <w:bCs/>
              </w:rPr>
              <w:t xml:space="preserve">Version</w:t>
            </w:r>
          </w:p>
        </w:tc>
        <w:tc>
          <w:tcPr>
            <w:tcW w:type="dxa" w:w="7020"/>
            <w:tcBorders>
              <w:top w:val="single" w:color="CCCCCC" w:sz="1"/>
              <w:left w:val="single" w:color="CCCCCC" w:sz="1"/>
              <w:bottom w:val="single" w:color="CCCCCC" w:sz="1"/>
              <w:right w:val="single" w:color="CCCCCC" w:sz="1"/>
            </w:tcBorders>
          </w:tcPr>
          <w:p>
            <w:r>
              <w:t xml:space="preserve">1.0</w:t>
            </w:r>
          </w:p>
        </w:tc>
      </w:tr>
      <w:tr>
        <w:tc>
          <w:tcPr>
            <w:tcW w:type="dxa" w:w="2340"/>
            <w:tcBorders>
              <w:top w:val="single" w:color="CCCCCC" w:sz="1"/>
              <w:left w:val="single" w:color="CCCCCC" w:sz="1"/>
              <w:bottom w:val="single" w:color="CCCCCC" w:sz="1"/>
              <w:right w:val="single" w:color="CCCCCC" w:sz="1"/>
            </w:tcBorders>
          </w:tcPr>
          <w:p>
            <w:r>
              <w:rPr>
                <w:b/>
                <w:bCs/>
              </w:rPr>
              <w:t xml:space="preserve">Effective Date</w:t>
            </w:r>
          </w:p>
        </w:tc>
        <w:tc>
          <w:tcPr>
            <w:tcW w:type="dxa" w:w="7020"/>
            <w:tcBorders>
              <w:top w:val="single" w:color="CCCCCC" w:sz="1"/>
              <w:left w:val="single" w:color="CCCCCC" w:sz="1"/>
              <w:bottom w:val="single" w:color="CCCCCC" w:sz="1"/>
              <w:right w:val="single" w:color="CCCCCC" w:sz="1"/>
            </w:tcBorders>
          </w:tcPr>
          <w:p>
            <w:r>
              <w:t xml:space="preserve">November 10, 2025</w:t>
            </w:r>
          </w:p>
        </w:tc>
      </w:tr>
      <w:tr>
        <w:tc>
          <w:tcPr>
            <w:tcW w:type="dxa" w:w="2340"/>
            <w:tcBorders>
              <w:top w:val="single" w:color="CCCCCC" w:sz="1"/>
              <w:left w:val="single" w:color="CCCCCC" w:sz="1"/>
              <w:bottom w:val="single" w:color="CCCCCC" w:sz="1"/>
              <w:right w:val="single" w:color="CCCCCC" w:sz="1"/>
            </w:tcBorders>
          </w:tcPr>
          <w:p>
            <w:r>
              <w:rPr>
                <w:b/>
                <w:bCs/>
              </w:rPr>
              <w:t xml:space="preserve">Next Review Date</w:t>
            </w:r>
          </w:p>
        </w:tc>
        <w:tc>
          <w:tcPr>
            <w:tcW w:type="dxa" w:w="7020"/>
            <w:tcBorders>
              <w:top w:val="single" w:color="CCCCCC" w:sz="1"/>
              <w:left w:val="single" w:color="CCCCCC" w:sz="1"/>
              <w:bottom w:val="single" w:color="CCCCCC" w:sz="1"/>
              <w:right w:val="single" w:color="CCCCCC" w:sz="1"/>
            </w:tcBorders>
          </w:tcPr>
          <w:p>
            <w:r>
              <w:t xml:space="preserve">November 10, 2026</w:t>
            </w:r>
          </w:p>
        </w:tc>
      </w:tr>
      <w:tr>
        <w:tc>
          <w:tcPr>
            <w:tcW w:type="dxa" w:w="2340"/>
            <w:tcBorders>
              <w:top w:val="single" w:color="CCCCCC" w:sz="1"/>
              <w:left w:val="single" w:color="CCCCCC" w:sz="1"/>
              <w:bottom w:val="single" w:color="CCCCCC" w:sz="1"/>
              <w:right w:val="single" w:color="CCCCCC" w:sz="1"/>
            </w:tcBorders>
          </w:tcPr>
          <w:p>
            <w:r>
              <w:rPr>
                <w:b/>
                <w:bCs/>
              </w:rPr>
              <w:t xml:space="preserve">Owner</w:t>
            </w:r>
          </w:p>
        </w:tc>
        <w:tc>
          <w:tcPr>
            <w:tcW w:type="dxa" w:w="7020"/>
            <w:tcBorders>
              <w:top w:val="single" w:color="CCCCCC" w:sz="1"/>
              <w:left w:val="single" w:color="CCCCCC" w:sz="1"/>
              <w:bottom w:val="single" w:color="CCCCCC" w:sz="1"/>
              <w:right w:val="single" w:color="CCCCCC" w:sz="1"/>
            </w:tcBorders>
          </w:tcPr>
          <w:p>
            <w:r>
              <w:t xml:space="preserve">Chief Information Security Officer</w:t>
            </w:r>
          </w:p>
        </w:tc>
      </w:tr>
      <w:tr>
        <w:tc>
          <w:tcPr>
            <w:tcW w:type="dxa" w:w="2340"/>
            <w:tcBorders>
              <w:top w:val="single" w:color="CCCCCC" w:sz="1"/>
              <w:left w:val="single" w:color="CCCCCC" w:sz="1"/>
              <w:bottom w:val="single" w:color="CCCCCC" w:sz="1"/>
              <w:right w:val="single" w:color="CCCCCC" w:sz="1"/>
            </w:tcBorders>
          </w:tcPr>
          <w:p>
            <w:r>
              <w:rPr>
                <w:b/>
                <w:bCs/>
              </w:rPr>
              <w:t xml:space="preserve">Classification</w:t>
            </w:r>
          </w:p>
        </w:tc>
        <w:tc>
          <w:tcPr>
            <w:tcW w:type="dxa" w:w="7020"/>
            <w:tcBorders>
              <w:top w:val="single" w:color="CCCCCC" w:sz="1"/>
              <w:left w:val="single" w:color="CCCCCC" w:sz="1"/>
              <w:bottom w:val="single" w:color="CCCCCC" w:sz="1"/>
              <w:right w:val="single" w:color="CCCCCC" w:sz="1"/>
            </w:tcBorders>
          </w:tcPr>
          <w:p>
            <w:r>
              <w:rPr>
                <w:b/>
                <w:bCs/>
                <w:color w:val="FF0000"/>
              </w:rPr>
              <w:t xml:space="preserve">CONFIDENTIAL</w:t>
            </w:r>
          </w:p>
        </w:tc>
      </w:tr>
    </w:tbl>
    <w:p>
      <w:r>
        <w:br w:type="page"/>
      </w:r>
    </w:p>
    <w:p>
      <w:pPr>
        <w:pStyle w:val="Heading1"/>
      </w:pPr>
      <w:r>
        <w:t xml:space="preserve">EXECUTIVE SUMMARY</w:t>
      </w:r>
    </w:p>
    <w:p>
      <w:r>
        <w:t xml:space="preserve">This Information and Communication Technology (ICT) Continuity Plan establishes comprehensive procedures and strategies for maintaining and restoring critical IT services during and after a significant disruption to normal operations. This plan is designed in compliance with NIST Special Publication 800-34 Rev. 1 guidelines for information technology contingency planning and directly supports the organization's Business Continuity Plan (BCP-2025-001).</w:t>
      </w:r>
    </w:p>
    <w:p>
      <w:r>
        <w:t xml:space="preserve">The plan was developed following lessons learned from incident INC-2025-001234, a ransomware attack that occurred on November 8, 2025, which highlighted critical areas for improvement in our IT recovery capabilities. The attack affected 15 workstations and 2 servers in the Finance Department network segment, encrypting approximately 2.5 TB of data and causing 72 hours of operational disruption.</w:t>
      </w:r>
    </w:p>
    <w:p>
      <w:r>
        <w:t xml:space="preserve">This ICT Continuity Plan identifies critical IT systems, establishes recovery time objectives (RTOs) and recovery point objectives (RPOs), defines recovery strategies, and provides detailed procedures to ensure rapid restoration of IT services within established timeframes. The plan supports business continuity objectives while maintaining information security throughout the recovery process.</w:t>
      </w:r>
    </w:p>
    <w:p>
      <w:r>
        <w:t xml:space="preserve">Key recovery targets established in this plan include:</w:t>
      </w:r>
    </w:p>
    <w:p>
      <w:pPr>
        <w:pStyle w:val="ListParagraph"/>
        <w:numPr>
          <w:ilvl w:val="0"/>
          <w:numId w:val="2"/>
        </w:numPr>
      </w:pPr>
      <w:r>
        <w:t xml:space="preserve">IT Infrastructure: RTO 2 hours, RPO 30 minutes</w:t>
      </w:r>
    </w:p>
    <w:p>
      <w:pPr>
        <w:pStyle w:val="ListParagraph"/>
        <w:numPr>
          <w:ilvl w:val="0"/>
          <w:numId w:val="2"/>
        </w:numPr>
      </w:pPr>
      <w:r>
        <w:t xml:space="preserve">Financial Systems: RTO 4 hours, RPO 1 hour</w:t>
      </w:r>
    </w:p>
    <w:p>
      <w:pPr>
        <w:pStyle w:val="ListParagraph"/>
        <w:numPr>
          <w:ilvl w:val="0"/>
          <w:numId w:val="2"/>
        </w:numPr>
      </w:pPr>
      <w:r>
        <w:t xml:space="preserve">Customer Service Systems: RTO 8 hours, RPO 4 hours</w:t>
      </w:r>
    </w:p>
    <w:p>
      <w:pPr>
        <w:pStyle w:val="ListParagraph"/>
        <w:numPr>
          <w:ilvl w:val="0"/>
          <w:numId w:val="2"/>
        </w:numPr>
      </w:pPr>
      <w:r>
        <w:t xml:space="preserve">Data backup and recovery through geographically distributed facilities and cloud services</w:t>
      </w:r>
    </w:p>
    <w:p>
      <w:r>
        <w:t xml:space="preserve">Regular testing, training, and maintenance activities ensure the plan remains current and effective in protecting organizational operations and supporting rapid recovery from IT service disruptions.</w:t>
      </w:r>
    </w:p>
    <w:p>
      <w:r>
        <w:br w:type="page"/>
      </w:r>
    </w:p>
    <w:p>
      <w:pPr>
        <w:pStyle w:val="Heading1"/>
      </w:pPr>
      <w:r>
        <w:t xml:space="preserve">TABLE OF CONTENTS</w:t>
      </w:r>
    </w:p>
    <w:p>
      <w:pPr>
        <w:pStyle w:val="ListParagraph"/>
        <w:numPr>
          <w:ilvl w:val="0"/>
          <w:numId w:val="3"/>
        </w:numPr>
      </w:pPr>
      <w:r>
        <w:t xml:space="preserve">INTRODUCTION AND OVERVIEW</w:t>
      </w:r>
    </w:p>
    <w:p>
      <w:pPr>
        <w:pStyle w:val="ListParagraph"/>
        <w:numPr>
          <w:ilvl w:val="0"/>
          <w:numId w:val="3"/>
        </w:numPr>
      </w:pPr>
      <w:r>
        <w:t xml:space="preserve">ROLES AND RESPONSIBILITIES</w:t>
      </w:r>
    </w:p>
    <w:p>
      <w:pPr>
        <w:pStyle w:val="ListParagraph"/>
        <w:numPr>
          <w:ilvl w:val="0"/>
          <w:numId w:val="3"/>
        </w:numPr>
      </w:pPr>
      <w:r>
        <w:t xml:space="preserve">BUSINESS IMPACT ANALYSIS</w:t>
      </w:r>
    </w:p>
    <w:p>
      <w:pPr>
        <w:pStyle w:val="ListParagraph"/>
        <w:numPr>
          <w:ilvl w:val="0"/>
          <w:numId w:val="3"/>
        </w:numPr>
      </w:pPr>
      <w:r>
        <w:t xml:space="preserve">ICT RECOVERY STRATEGIES</w:t>
      </w:r>
    </w:p>
    <w:p>
      <w:pPr>
        <w:pStyle w:val="ListParagraph"/>
        <w:numPr>
          <w:ilvl w:val="0"/>
          <w:numId w:val="3"/>
        </w:numPr>
      </w:pPr>
      <w:r>
        <w:t xml:space="preserve">DETAILED RECOVERY PROCEDURES</w:t>
      </w:r>
    </w:p>
    <w:p>
      <w:pPr>
        <w:pStyle w:val="ListParagraph"/>
        <w:numPr>
          <w:ilvl w:val="0"/>
          <w:numId w:val="3"/>
        </w:numPr>
      </w:pPr>
      <w:r>
        <w:t xml:space="preserve">PLAN TESTING AND MAINTENANCE</w:t>
      </w:r>
    </w:p>
    <w:p>
      <w:pPr>
        <w:pStyle w:val="ListParagraph"/>
        <w:numPr>
          <w:ilvl w:val="0"/>
          <w:numId w:val="3"/>
        </w:numPr>
      </w:pPr>
      <w:r>
        <w:t xml:space="preserve">APPENDICES</w:t>
      </w:r>
    </w:p>
    <w:p>
      <w:r>
        <w:br w:type="page"/>
      </w:r>
    </w:p>
    <w:p>
      <w:pPr>
        <w:pStyle w:val="Heading1"/>
      </w:pPr>
      <w:r>
        <w:t xml:space="preserve">1. INTRODUCTION AND OVERVIEW</w:t>
      </w:r>
    </w:p>
    <w:p>
      <w:pPr>
        <w:pStyle w:val="Heading2"/>
      </w:pPr>
      <w:r>
        <w:t xml:space="preserve">1.1 Purpose and Scope</w:t>
      </w:r>
    </w:p>
    <w:p>
      <w:r>
        <w:t xml:space="preserve">This ICT Continuity Plan serves the following purposes:</w:t>
      </w:r>
    </w:p>
    <w:p>
      <w:pPr>
        <w:pStyle w:val="ListParagraph"/>
        <w:numPr>
          <w:ilvl w:val="0"/>
          <w:numId w:val="2"/>
        </w:numPr>
      </w:pPr>
      <w:r>
        <w:t xml:space="preserve">Define roles, responsibilities, and procedures for IT service continuity and recovery</w:t>
      </w:r>
    </w:p>
    <w:p>
      <w:pPr>
        <w:pStyle w:val="ListParagraph"/>
        <w:numPr>
          <w:ilvl w:val="0"/>
          <w:numId w:val="2"/>
        </w:numPr>
      </w:pPr>
      <w:r>
        <w:t xml:space="preserve">Establish recovery strategies for critical IT systems, applications, and infrastructure</w:t>
      </w:r>
    </w:p>
    <w:p>
      <w:pPr>
        <w:pStyle w:val="ListParagraph"/>
        <w:numPr>
          <w:ilvl w:val="0"/>
          <w:numId w:val="2"/>
        </w:numPr>
      </w:pPr>
      <w:r>
        <w:t xml:space="preserve">Provide guidance for maintaining IT operations during various disruption scenarios</w:t>
      </w:r>
    </w:p>
    <w:p>
      <w:pPr>
        <w:pStyle w:val="ListParagraph"/>
        <w:numPr>
          <w:ilvl w:val="0"/>
          <w:numId w:val="2"/>
        </w:numPr>
      </w:pPr>
      <w:r>
        <w:t xml:space="preserve">Ensure compliance with regulatory requirements and industry standards</w:t>
      </w:r>
    </w:p>
    <w:p>
      <w:pPr>
        <w:pStyle w:val="ListParagraph"/>
        <w:numPr>
          <w:ilvl w:val="0"/>
          <w:numId w:val="2"/>
        </w:numPr>
      </w:pPr>
      <w:r>
        <w:t xml:space="preserve">Support organizational business continuity and risk management objectives</w:t>
      </w:r>
    </w:p>
    <w:p>
      <w:r>
        <w:t xml:space="preserve">This plan applies to all critical IT systems, infrastructure, applications, and data that support essential business operations. It encompasses both on-premises and cloud-based resources, including primary and secondary data center facilities.</w:t>
      </w:r>
    </w:p>
    <w:p>
      <w:pPr>
        <w:pStyle w:val="Heading2"/>
      </w:pPr>
      <w:r>
        <w:t xml:space="preserve">1.2 Plan Objectives</w:t>
      </w:r>
    </w:p>
    <w:p>
      <w:r>
        <w:t xml:space="preserve">The primary objectives of this ICT Continuity Plan are:</w:t>
      </w:r>
    </w:p>
    <w:p>
      <w:pPr>
        <w:pStyle w:val="ListParagraph"/>
        <w:numPr>
          <w:ilvl w:val="0"/>
          <w:numId w:val="3"/>
        </w:numPr>
      </w:pPr>
      <w:r>
        <w:t xml:space="preserve">Minimize IT service disruption and data loss during incidents</w:t>
      </w:r>
    </w:p>
    <w:p>
      <w:pPr>
        <w:pStyle w:val="ListParagraph"/>
        <w:numPr>
          <w:ilvl w:val="0"/>
          <w:numId w:val="3"/>
        </w:numPr>
      </w:pPr>
      <w:r>
        <w:t xml:space="preserve">Protect critical business functions and customer services</w:t>
      </w:r>
    </w:p>
    <w:p>
      <w:pPr>
        <w:pStyle w:val="ListParagraph"/>
        <w:numPr>
          <w:ilvl w:val="0"/>
          <w:numId w:val="3"/>
        </w:numPr>
      </w:pPr>
      <w:r>
        <w:t xml:space="preserve">Maintain regulatory compliance and contractual obligations</w:t>
      </w:r>
    </w:p>
    <w:p>
      <w:pPr>
        <w:pStyle w:val="ListParagraph"/>
        <w:numPr>
          <w:ilvl w:val="0"/>
          <w:numId w:val="3"/>
        </w:numPr>
      </w:pPr>
      <w:r>
        <w:t xml:space="preserve">Preserve organizational reputation and stakeholder confidence</w:t>
      </w:r>
    </w:p>
    <w:p>
      <w:pPr>
        <w:pStyle w:val="ListParagraph"/>
        <w:numPr>
          <w:ilvl w:val="0"/>
          <w:numId w:val="3"/>
        </w:numPr>
      </w:pPr>
      <w:r>
        <w:t xml:space="preserve">Enable rapid recovery to normal IT operations within established RTOs and RPOs</w:t>
      </w:r>
    </w:p>
    <w:p>
      <w:pPr>
        <w:pStyle w:val="Heading2"/>
      </w:pPr>
      <w:r>
        <w:t xml:space="preserve">1.3 Plan Activation Authority</w:t>
      </w:r>
    </w:p>
    <w:p>
      <w:r>
        <w:t xml:space="preserve">This ICT Continuity Plan may be activated by any of the following authorized personnel:</w:t>
      </w:r>
    </w:p>
    <w:p>
      <w:pPr>
        <w:pStyle w:val="ListParagraph"/>
        <w:numPr>
          <w:ilvl w:val="0"/>
          <w:numId w:val="2"/>
        </w:numPr>
      </w:pPr>
      <w:r>
        <w:t xml:space="preserve">Chief Information Security Officer (CISO)</w:t>
      </w:r>
    </w:p>
    <w:p>
      <w:pPr>
        <w:pStyle w:val="ListParagraph"/>
        <w:numPr>
          <w:ilvl w:val="0"/>
          <w:numId w:val="2"/>
        </w:numPr>
      </w:pPr>
      <w:r>
        <w:t xml:space="preserve">Chief Information Officer (CIO)</w:t>
      </w:r>
    </w:p>
    <w:p>
      <w:pPr>
        <w:pStyle w:val="ListParagraph"/>
        <w:numPr>
          <w:ilvl w:val="0"/>
          <w:numId w:val="2"/>
        </w:numPr>
      </w:pPr>
      <w:r>
        <w:t xml:space="preserve">IT Recovery Lead</w:t>
      </w:r>
    </w:p>
    <w:p>
      <w:pPr>
        <w:pStyle w:val="ListParagraph"/>
        <w:numPr>
          <w:ilvl w:val="0"/>
          <w:numId w:val="2"/>
        </w:numPr>
      </w:pPr>
      <w:r>
        <w:t xml:space="preserve">Business Continuity Manager</w:t>
      </w:r>
    </w:p>
    <w:p>
      <w:pPr>
        <w:pStyle w:val="ListParagraph"/>
        <w:numPr>
          <w:ilvl w:val="0"/>
          <w:numId w:val="2"/>
        </w:numPr>
      </w:pPr>
      <w:r>
        <w:t xml:space="preserve">Emergency Operations Center (EOC) Director</w:t>
      </w:r>
    </w:p>
    <w:p>
      <w:pPr>
        <w:pStyle w:val="Heading2"/>
      </w:pPr>
      <w:r>
        <w:t xml:space="preserve">1.4 Relationship to Other Plans</w:t>
      </w:r>
    </w:p>
    <w:p>
      <w:r>
        <w:t xml:space="preserve">This ICT Continuity Plan is integrated with and supports the following organizational plans:</w:t>
      </w:r>
    </w:p>
    <w:p>
      <w:pPr>
        <w:pStyle w:val="ListParagraph"/>
        <w:numPr>
          <w:ilvl w:val="0"/>
          <w:numId w:val="2"/>
        </w:numPr>
      </w:pPr>
      <w:r>
        <w:t xml:space="preserve">Business Continuity Plan (BCP-2025-001)</w:t>
      </w:r>
    </w:p>
    <w:p>
      <w:pPr>
        <w:pStyle w:val="ListParagraph"/>
        <w:numPr>
          <w:ilvl w:val="0"/>
          <w:numId w:val="2"/>
        </w:numPr>
      </w:pPr>
      <w:r>
        <w:t xml:space="preserve">Incident Response Plan (based on NIST SP 800-61 Rev. 3)</w:t>
      </w:r>
    </w:p>
    <w:p>
      <w:pPr>
        <w:pStyle w:val="ListParagraph"/>
        <w:numPr>
          <w:ilvl w:val="0"/>
          <w:numId w:val="2"/>
        </w:numPr>
      </w:pPr>
      <w:r>
        <w:t xml:space="preserve">Information Security Management System (ISO 27001:2022 compliant)</w:t>
      </w:r>
    </w:p>
    <w:p>
      <w:pPr>
        <w:pStyle w:val="ListParagraph"/>
        <w:numPr>
          <w:ilvl w:val="0"/>
          <w:numId w:val="2"/>
        </w:numPr>
      </w:pPr>
      <w:r>
        <w:t xml:space="preserve">Disaster Recovery Procedures</w:t>
      </w:r>
    </w:p>
    <w:p>
      <w:pPr>
        <w:pStyle w:val="ListParagraph"/>
        <w:numPr>
          <w:ilvl w:val="0"/>
          <w:numId w:val="2"/>
        </w:numPr>
      </w:pPr>
      <w:r>
        <w:t xml:space="preserve">Emergency Communications Plan</w:t>
      </w:r>
    </w:p>
    <w:p>
      <w:r>
        <w:br w:type="page"/>
      </w:r>
    </w:p>
    <w:p>
      <w:pPr>
        <w:pStyle w:val="Heading1"/>
      </w:pPr>
      <w:r>
        <w:t xml:space="preserve">2. ROLES AND RESPONSIBILITIES</w:t>
      </w:r>
    </w:p>
    <w:p>
      <w:pPr>
        <w:pStyle w:val="Heading2"/>
      </w:pPr>
      <w:r>
        <w:t xml:space="preserve">2.1 ICT Recovery Team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7E7E7" w:val="clear"/>
          </w:tcPr>
          <w:p>
            <w:pPr>
              <w:jc w:val="center"/>
            </w:pPr>
            <w:r>
              <w:rPr>
                <w:b/>
                <w:bCs/>
              </w:rPr>
              <w:t xml:space="preserve">Role</w:t>
            </w:r>
          </w:p>
        </w:tc>
        <w:tc>
          <w:tcPr>
            <w:tcW w:type="dxa" w:w="2340"/>
            <w:tcBorders>
              <w:top w:val="single" w:color="CCCCCC" w:sz="1"/>
              <w:left w:val="single" w:color="CCCCCC" w:sz="1"/>
              <w:bottom w:val="single" w:color="CCCCCC" w:sz="1"/>
              <w:right w:val="single" w:color="CCCCCC" w:sz="1"/>
            </w:tcBorders>
            <w:shd w:fill="E7E7E7" w:val="clear"/>
          </w:tcPr>
          <w:p>
            <w:pPr>
              <w:jc w:val="center"/>
            </w:pPr>
            <w:r>
              <w:rPr>
                <w:b/>
                <w:bCs/>
              </w:rPr>
              <w:t xml:space="preserve">Primary</w:t>
            </w:r>
          </w:p>
        </w:tc>
        <w:tc>
          <w:tcPr>
            <w:tcW w:type="dxa" w:w="2340"/>
            <w:tcBorders>
              <w:top w:val="single" w:color="CCCCCC" w:sz="1"/>
              <w:left w:val="single" w:color="CCCCCC" w:sz="1"/>
              <w:bottom w:val="single" w:color="CCCCCC" w:sz="1"/>
              <w:right w:val="single" w:color="CCCCCC" w:sz="1"/>
            </w:tcBorders>
            <w:shd w:fill="E7E7E7" w:val="clear"/>
          </w:tcPr>
          <w:p>
            <w:pPr>
              <w:jc w:val="center"/>
            </w:pPr>
            <w:r>
              <w:rPr>
                <w:b/>
                <w:bCs/>
              </w:rPr>
              <w:t xml:space="preserve">Alternate</w:t>
            </w:r>
          </w:p>
        </w:tc>
        <w:tc>
          <w:tcPr>
            <w:tcW w:type="dxa" w:w="2340"/>
            <w:tcBorders>
              <w:top w:val="single" w:color="CCCCCC" w:sz="1"/>
              <w:left w:val="single" w:color="CCCCCC" w:sz="1"/>
              <w:bottom w:val="single" w:color="CCCCCC" w:sz="1"/>
              <w:right w:val="single" w:color="CCCCCC" w:sz="1"/>
            </w:tcBorders>
            <w:shd w:fill="E7E7E7" w:val="clear"/>
          </w:tcPr>
          <w:p>
            <w:pPr>
              <w:jc w:val="center"/>
            </w:pPr>
            <w:r>
              <w:rPr>
                <w:b/>
                <w:bCs/>
              </w:rPr>
              <w:t xml:space="preserve">Contact</w:t>
            </w:r>
          </w:p>
        </w:tc>
      </w:tr>
      <w:tr>
        <w:tc>
          <w:tcPr>
            <w:tcW w:type="dxa" w:w="2340"/>
            <w:tcBorders>
              <w:top w:val="single" w:color="CCCCCC" w:sz="1"/>
              <w:left w:val="single" w:color="CCCCCC" w:sz="1"/>
              <w:bottom w:val="single" w:color="CCCCCC" w:sz="1"/>
              <w:right w:val="single" w:color="CCCCCC" w:sz="1"/>
            </w:tcBorders>
          </w:tcPr>
          <w:p>
            <w:r>
              <w:rPr>
                <w:b/>
                <w:bCs/>
              </w:rPr>
              <w:t xml:space="preserve">ICT Recovery Commander</w:t>
            </w:r>
          </w:p>
        </w:tc>
        <w:tc>
          <w:tcPr>
            <w:tcW w:type="dxa" w:w="2340"/>
            <w:tcBorders>
              <w:top w:val="single" w:color="CCCCCC" w:sz="1"/>
              <w:left w:val="single" w:color="CCCCCC" w:sz="1"/>
              <w:bottom w:val="single" w:color="CCCCCC" w:sz="1"/>
              <w:right w:val="single" w:color="CCCCCC" w:sz="1"/>
            </w:tcBorders>
          </w:tcPr>
          <w:p>
            <w:r>
              <w:t xml:space="preserve">Sarah Johnson (CISO)</w:t>
            </w:r>
          </w:p>
        </w:tc>
        <w:tc>
          <w:tcPr>
            <w:tcW w:type="dxa" w:w="2340"/>
            <w:tcBorders>
              <w:top w:val="single" w:color="CCCCCC" w:sz="1"/>
              <w:left w:val="single" w:color="CCCCCC" w:sz="1"/>
              <w:bottom w:val="single" w:color="CCCCCC" w:sz="1"/>
              <w:right w:val="single" w:color="CCCCCC" w:sz="1"/>
            </w:tcBorders>
          </w:tcPr>
          <w:p>
            <w:r>
              <w:t xml:space="preserve">David Thompson</w:t>
            </w:r>
          </w:p>
        </w:tc>
        <w:tc>
          <w:tcPr>
            <w:tcW w:type="dxa" w:w="2340"/>
            <w:tcBorders>
              <w:top w:val="single" w:color="CCCCCC" w:sz="1"/>
              <w:left w:val="single" w:color="CCCCCC" w:sz="1"/>
              <w:bottom w:val="single" w:color="CCCCCC" w:sz="1"/>
              <w:right w:val="single" w:color="CCCCCC" w:sz="1"/>
            </w:tcBorders>
          </w:tcPr>
          <w:p>
            <w:r>
              <w:t xml:space="preserve">+1-555-ICT01</w:t>
            </w:r>
          </w:p>
        </w:tc>
      </w:tr>
      <w:tr>
        <w:tc>
          <w:tcPr>
            <w:tcW w:type="dxa" w:w="2340"/>
            <w:tcBorders>
              <w:top w:val="single" w:color="CCCCCC" w:sz="1"/>
              <w:left w:val="single" w:color="CCCCCC" w:sz="1"/>
              <w:bottom w:val="single" w:color="CCCCCC" w:sz="1"/>
              <w:right w:val="single" w:color="CCCCCC" w:sz="1"/>
            </w:tcBorders>
          </w:tcPr>
          <w:p>
            <w:r>
              <w:t xml:space="preserve">IT Infrastructure Lead</w:t>
            </w:r>
          </w:p>
        </w:tc>
        <w:tc>
          <w:tcPr>
            <w:tcW w:type="dxa" w:w="2340"/>
            <w:tcBorders>
              <w:top w:val="single" w:color="CCCCCC" w:sz="1"/>
              <w:left w:val="single" w:color="CCCCCC" w:sz="1"/>
              <w:bottom w:val="single" w:color="CCCCCC" w:sz="1"/>
              <w:right w:val="single" w:color="CCCCCC" w:sz="1"/>
            </w:tcBorders>
          </w:tcPr>
          <w:p>
            <w:r>
              <w:t xml:space="preserve">David Thompson</w:t>
            </w:r>
          </w:p>
        </w:tc>
        <w:tc>
          <w:tcPr>
            <w:tcW w:type="dxa" w:w="2340"/>
            <w:tcBorders>
              <w:top w:val="single" w:color="CCCCCC" w:sz="1"/>
              <w:left w:val="single" w:color="CCCCCC" w:sz="1"/>
              <w:bottom w:val="single" w:color="CCCCCC" w:sz="1"/>
              <w:right w:val="single" w:color="CCCCCC" w:sz="1"/>
            </w:tcBorders>
          </w:tcPr>
          <w:p>
            <w:r>
              <w:t xml:space="preserve">Michael Chen</w:t>
            </w:r>
          </w:p>
        </w:tc>
        <w:tc>
          <w:tcPr>
            <w:tcW w:type="dxa" w:w="2340"/>
            <w:tcBorders>
              <w:top w:val="single" w:color="CCCCCC" w:sz="1"/>
              <w:left w:val="single" w:color="CCCCCC" w:sz="1"/>
              <w:bottom w:val="single" w:color="CCCCCC" w:sz="1"/>
              <w:right w:val="single" w:color="CCCCCC" w:sz="1"/>
            </w:tcBorders>
          </w:tcPr>
          <w:p>
            <w:r>
              <w:t xml:space="preserve">+1-555-ICT02</w:t>
            </w:r>
          </w:p>
        </w:tc>
      </w:tr>
      <w:tr>
        <w:tc>
          <w:tcPr>
            <w:tcW w:type="dxa" w:w="2340"/>
            <w:tcBorders>
              <w:top w:val="single" w:color="CCCCCC" w:sz="1"/>
              <w:left w:val="single" w:color="CCCCCC" w:sz="1"/>
              <w:bottom w:val="single" w:color="CCCCCC" w:sz="1"/>
              <w:right w:val="single" w:color="CCCCCC" w:sz="1"/>
            </w:tcBorders>
          </w:tcPr>
          <w:p>
            <w:r>
              <w:t xml:space="preserve">Systems Recovery Lead</w:t>
            </w:r>
          </w:p>
        </w:tc>
        <w:tc>
          <w:tcPr>
            <w:tcW w:type="dxa" w:w="2340"/>
            <w:tcBorders>
              <w:top w:val="single" w:color="CCCCCC" w:sz="1"/>
              <w:left w:val="single" w:color="CCCCCC" w:sz="1"/>
              <w:bottom w:val="single" w:color="CCCCCC" w:sz="1"/>
              <w:right w:val="single" w:color="CCCCCC" w:sz="1"/>
            </w:tcBorders>
          </w:tcPr>
          <w:p>
            <w:r>
              <w:t xml:space="preserve">Michael Chen</w:t>
            </w:r>
          </w:p>
        </w:tc>
        <w:tc>
          <w:tcPr>
            <w:tcW w:type="dxa" w:w="2340"/>
            <w:tcBorders>
              <w:top w:val="single" w:color="CCCCCC" w:sz="1"/>
              <w:left w:val="single" w:color="CCCCCC" w:sz="1"/>
              <w:bottom w:val="single" w:color="CCCCCC" w:sz="1"/>
              <w:right w:val="single" w:color="CCCCCC" w:sz="1"/>
            </w:tcBorders>
          </w:tcPr>
          <w:p>
            <w:r>
              <w:t xml:space="preserve">Jennifer Davis</w:t>
            </w:r>
          </w:p>
        </w:tc>
        <w:tc>
          <w:tcPr>
            <w:tcW w:type="dxa" w:w="2340"/>
            <w:tcBorders>
              <w:top w:val="single" w:color="CCCCCC" w:sz="1"/>
              <w:left w:val="single" w:color="CCCCCC" w:sz="1"/>
              <w:bottom w:val="single" w:color="CCCCCC" w:sz="1"/>
              <w:right w:val="single" w:color="CCCCCC" w:sz="1"/>
            </w:tcBorders>
          </w:tcPr>
          <w:p>
            <w:r>
              <w:t xml:space="preserve">+1-555-ICT03</w:t>
            </w:r>
          </w:p>
        </w:tc>
      </w:tr>
      <w:tr>
        <w:tc>
          <w:tcPr>
            <w:tcW w:type="dxa" w:w="2340"/>
            <w:tcBorders>
              <w:top w:val="single" w:color="CCCCCC" w:sz="1"/>
              <w:left w:val="single" w:color="CCCCCC" w:sz="1"/>
              <w:bottom w:val="single" w:color="CCCCCC" w:sz="1"/>
              <w:right w:val="single" w:color="CCCCCC" w:sz="1"/>
            </w:tcBorders>
          </w:tcPr>
          <w:p>
            <w:r>
              <w:t xml:space="preserve">Communications Lead</w:t>
            </w:r>
          </w:p>
        </w:tc>
        <w:tc>
          <w:tcPr>
            <w:tcW w:type="dxa" w:w="2340"/>
            <w:tcBorders>
              <w:top w:val="single" w:color="CCCCCC" w:sz="1"/>
              <w:left w:val="single" w:color="CCCCCC" w:sz="1"/>
              <w:bottom w:val="single" w:color="CCCCCC" w:sz="1"/>
              <w:right w:val="single" w:color="CCCCCC" w:sz="1"/>
            </w:tcBorders>
          </w:tcPr>
          <w:p>
            <w:r>
              <w:t xml:space="preserve">Jennifer Davis</w:t>
            </w:r>
          </w:p>
        </w:tc>
        <w:tc>
          <w:tcPr>
            <w:tcW w:type="dxa" w:w="2340"/>
            <w:tcBorders>
              <w:top w:val="single" w:color="CCCCCC" w:sz="1"/>
              <w:left w:val="single" w:color="CCCCCC" w:sz="1"/>
              <w:bottom w:val="single" w:color="CCCCCC" w:sz="1"/>
              <w:right w:val="single" w:color="CCCCCC" w:sz="1"/>
            </w:tcBorders>
          </w:tcPr>
          <w:p>
            <w:r>
              <w:t xml:space="preserve">Mark Rodriguez</w:t>
            </w:r>
          </w:p>
        </w:tc>
        <w:tc>
          <w:tcPr>
            <w:tcW w:type="dxa" w:w="2340"/>
            <w:tcBorders>
              <w:top w:val="single" w:color="CCCCCC" w:sz="1"/>
              <w:left w:val="single" w:color="CCCCCC" w:sz="1"/>
              <w:bottom w:val="single" w:color="CCCCCC" w:sz="1"/>
              <w:right w:val="single" w:color="CCCCCC" w:sz="1"/>
            </w:tcBorders>
          </w:tcPr>
          <w:p>
            <w:r>
              <w:t xml:space="preserve">+1-555-ICT04</w:t>
            </w:r>
          </w:p>
        </w:tc>
      </w:tr>
      <w:tr>
        <w:tc>
          <w:tcPr>
            <w:tcW w:type="dxa" w:w="2340"/>
            <w:tcBorders>
              <w:top w:val="single" w:color="CCCCCC" w:sz="1"/>
              <w:left w:val="single" w:color="CCCCCC" w:sz="1"/>
              <w:bottom w:val="single" w:color="CCCCCC" w:sz="1"/>
              <w:right w:val="single" w:color="CCCCCC" w:sz="1"/>
            </w:tcBorders>
          </w:tcPr>
          <w:p>
            <w:r>
              <w:t xml:space="preserve">Data Recovery Lead</w:t>
            </w:r>
          </w:p>
        </w:tc>
        <w:tc>
          <w:tcPr>
            <w:tcW w:type="dxa" w:w="2340"/>
            <w:tcBorders>
              <w:top w:val="single" w:color="CCCCCC" w:sz="1"/>
              <w:left w:val="single" w:color="CCCCCC" w:sz="1"/>
              <w:bottom w:val="single" w:color="CCCCCC" w:sz="1"/>
              <w:right w:val="single" w:color="CCCCCC" w:sz="1"/>
            </w:tcBorders>
          </w:tcPr>
          <w:p>
            <w:r>
              <w:t xml:space="preserve">Dr. Emily Rodriguez</w:t>
            </w:r>
          </w:p>
        </w:tc>
        <w:tc>
          <w:tcPr>
            <w:tcW w:type="dxa" w:w="2340"/>
            <w:tcBorders>
              <w:top w:val="single" w:color="CCCCCC" w:sz="1"/>
              <w:left w:val="single" w:color="CCCCCC" w:sz="1"/>
              <w:bottom w:val="single" w:color="CCCCCC" w:sz="1"/>
              <w:right w:val="single" w:color="CCCCCC" w:sz="1"/>
            </w:tcBorders>
          </w:tcPr>
          <w:p>
            <w:r>
              <w:t xml:space="preserve">James Wilson</w:t>
            </w:r>
          </w:p>
        </w:tc>
        <w:tc>
          <w:tcPr>
            <w:tcW w:type="dxa" w:w="2340"/>
            <w:tcBorders>
              <w:top w:val="single" w:color="CCCCCC" w:sz="1"/>
              <w:left w:val="single" w:color="CCCCCC" w:sz="1"/>
              <w:bottom w:val="single" w:color="CCCCCC" w:sz="1"/>
              <w:right w:val="single" w:color="CCCCCC" w:sz="1"/>
            </w:tcBorders>
          </w:tcPr>
          <w:p>
            <w:r>
              <w:t xml:space="preserve">+1-555-ICT05</w:t>
            </w:r>
          </w:p>
        </w:tc>
      </w:tr>
    </w:tbl>
    <w:p>
      <w:pPr>
        <w:pStyle w:val="Heading2"/>
      </w:pPr>
      <w:r>
        <w:t xml:space="preserve">2.2 Key Responsibilities</w:t>
      </w:r>
    </w:p>
    <w:p>
      <w:pPr>
        <w:pStyle w:val="Heading3"/>
      </w:pPr>
      <w:r>
        <w:t xml:space="preserve">2.2.1 ICT Recovery Commander</w:t>
      </w:r>
    </w:p>
    <w:p>
      <w:pPr>
        <w:pStyle w:val="ListParagraph"/>
        <w:numPr>
          <w:ilvl w:val="0"/>
          <w:numId w:val="2"/>
        </w:numPr>
      </w:pPr>
      <w:r>
        <w:t xml:space="preserve">Authorize ICT continuity plan activation and coordinate overall recovery efforts</w:t>
      </w:r>
    </w:p>
    <w:p>
      <w:pPr>
        <w:pStyle w:val="ListParagraph"/>
        <w:numPr>
          <w:ilvl w:val="0"/>
          <w:numId w:val="2"/>
        </w:numPr>
      </w:pPr>
      <w:r>
        <w:t xml:space="preserve">Make strategic decisions regarding recovery priorities and resource allocation</w:t>
      </w:r>
    </w:p>
    <w:p>
      <w:pPr>
        <w:pStyle w:val="ListParagraph"/>
        <w:numPr>
          <w:ilvl w:val="0"/>
          <w:numId w:val="2"/>
        </w:numPr>
      </w:pPr>
      <w:r>
        <w:t xml:space="preserve">Coordinate with Business Continuity Manager and senior management</w:t>
      </w:r>
    </w:p>
    <w:p>
      <w:pPr>
        <w:pStyle w:val="ListParagraph"/>
        <w:numPr>
          <w:ilvl w:val="0"/>
          <w:numId w:val="2"/>
        </w:numPr>
      </w:pPr>
      <w:r>
        <w:t xml:space="preserve">Authorize transition to alternate processing sites when necessary</w:t>
      </w:r>
    </w:p>
    <w:p>
      <w:pPr>
        <w:pStyle w:val="ListParagraph"/>
        <w:numPr>
          <w:ilvl w:val="0"/>
          <w:numId w:val="2"/>
        </w:numPr>
      </w:pPr>
      <w:r>
        <w:t xml:space="preserve">Communicate recovery status to executives and stakeholders</w:t>
      </w:r>
    </w:p>
    <w:p>
      <w:pPr>
        <w:pStyle w:val="Heading3"/>
      </w:pPr>
      <w:r>
        <w:t xml:space="preserve">2.2.2 IT Infrastructure Lead</w:t>
      </w:r>
    </w:p>
    <w:p>
      <w:pPr>
        <w:pStyle w:val="ListParagraph"/>
        <w:numPr>
          <w:ilvl w:val="0"/>
          <w:numId w:val="2"/>
        </w:numPr>
      </w:pPr>
      <w:r>
        <w:t xml:space="preserve">Assess infrastructure damage and determine recovery requirements</w:t>
      </w:r>
    </w:p>
    <w:p>
      <w:pPr>
        <w:pStyle w:val="ListParagraph"/>
        <w:numPr>
          <w:ilvl w:val="0"/>
          <w:numId w:val="2"/>
        </w:numPr>
      </w:pPr>
      <w:r>
        <w:t xml:space="preserve">Coordinate network, server, and storage system recovery</w:t>
      </w:r>
    </w:p>
    <w:p>
      <w:pPr>
        <w:pStyle w:val="ListParagraph"/>
        <w:numPr>
          <w:ilvl w:val="0"/>
          <w:numId w:val="2"/>
        </w:numPr>
      </w:pPr>
      <w:r>
        <w:t xml:space="preserve">Manage hardware procurement and replacement activities</w:t>
      </w:r>
    </w:p>
    <w:p>
      <w:pPr>
        <w:pStyle w:val="ListParagraph"/>
        <w:numPr>
          <w:ilvl w:val="0"/>
          <w:numId w:val="2"/>
        </w:numPr>
      </w:pPr>
      <w:r>
        <w:t xml:space="preserve">Oversee security configuration and hardening of recovered systems</w:t>
      </w:r>
    </w:p>
    <w:p>
      <w:pPr>
        <w:pStyle w:val="ListParagraph"/>
        <w:numPr>
          <w:ilvl w:val="0"/>
          <w:numId w:val="2"/>
        </w:numPr>
      </w:pPr>
      <w:r>
        <w:t xml:space="preserve">Validate infrastructure recovery before application restoration</w:t>
      </w:r>
    </w:p>
    <w:p>
      <w:pPr>
        <w:pStyle w:val="Heading3"/>
      </w:pPr>
      <w:r>
        <w:t xml:space="preserve">2.2.3 Data Recovery Lead</w:t>
      </w:r>
    </w:p>
    <w:p>
      <w:pPr>
        <w:pStyle w:val="ListParagraph"/>
        <w:numPr>
          <w:ilvl w:val="0"/>
          <w:numId w:val="2"/>
        </w:numPr>
      </w:pPr>
      <w:r>
        <w:t xml:space="preserve">Manage data backup verification and restoration processes</w:t>
      </w:r>
    </w:p>
    <w:p>
      <w:pPr>
        <w:pStyle w:val="ListParagraph"/>
        <w:numPr>
          <w:ilvl w:val="0"/>
          <w:numId w:val="2"/>
        </w:numPr>
      </w:pPr>
      <w:r>
        <w:t xml:space="preserve">Coordinate with data custodians to validate data integrity</w:t>
      </w:r>
    </w:p>
    <w:p>
      <w:pPr>
        <w:pStyle w:val="ListParagraph"/>
        <w:numPr>
          <w:ilvl w:val="0"/>
          <w:numId w:val="2"/>
        </w:numPr>
      </w:pPr>
      <w:r>
        <w:t xml:space="preserve">Implement data recovery priorities based on business criticality</w:t>
      </w:r>
    </w:p>
    <w:p>
      <w:pPr>
        <w:pStyle w:val="ListParagraph"/>
        <w:numPr>
          <w:ilvl w:val="0"/>
          <w:numId w:val="2"/>
        </w:numPr>
      </w:pPr>
      <w:r>
        <w:t xml:space="preserve">Document data recovery activities and any data loss incidents</w:t>
      </w:r>
    </w:p>
    <w:p>
      <w:r>
        <w:br w:type="page"/>
      </w:r>
    </w:p>
    <w:p>
      <w:pPr>
        <w:pStyle w:val="Heading1"/>
      </w:pPr>
      <w:r>
        <w:t xml:space="preserve">3. BUSINESS IMPACT ANALYSIS</w:t>
      </w:r>
    </w:p>
    <w:p>
      <w:pPr>
        <w:pStyle w:val="Heading2"/>
      </w:pPr>
      <w:r>
        <w:t xml:space="preserve">3.1 Critical IT Systems and Infrastructure</w:t>
      </w:r>
    </w:p>
    <w:p>
      <w:r>
        <w:t xml:space="preserve">The following IT systems and infrastructure components have been identified as critical to organizational operations: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1400"/>
        <w:gridCol w:w="1400"/>
        <w:gridCol w:w="1400"/>
        <w:gridCol w:w="2360"/>
      </w:tblGrid>
      <w:tr>
        <w:trPr>
          <w:tblHeader/>
        </w:trPr>
        <w:tc>
          <w:tcPr>
            <w:tcW w:type="dxa" w:w="2800"/>
            <w:tcBorders>
              <w:top w:val="single" w:color="CCCCCC" w:sz="1"/>
              <w:left w:val="single" w:color="CCCCCC" w:sz="1"/>
              <w:bottom w:val="single" w:color="CCCCCC" w:sz="1"/>
              <w:right w:val="single" w:color="CCCCCC" w:sz="1"/>
            </w:tcBorders>
            <w:shd w:fill="E7E7E7" w:val="clear"/>
          </w:tcPr>
          <w:p>
            <w:pPr>
              <w:jc w:val="center"/>
            </w:pPr>
            <w:r>
              <w:rPr>
                <w:b/>
                <w:bCs/>
              </w:rPr>
              <w:t xml:space="preserve">IT System/Component</w:t>
            </w:r>
          </w:p>
        </w:tc>
        <w:tc>
          <w:tcPr>
            <w:tcW w:type="dxa" w:w="1400"/>
            <w:tcBorders>
              <w:top w:val="single" w:color="CCCCCC" w:sz="1"/>
              <w:left w:val="single" w:color="CCCCCC" w:sz="1"/>
              <w:bottom w:val="single" w:color="CCCCCC" w:sz="1"/>
              <w:right w:val="single" w:color="CCCCCC" w:sz="1"/>
            </w:tcBorders>
            <w:shd w:fill="E7E7E7" w:val="clear"/>
          </w:tcPr>
          <w:p>
            <w:pPr>
              <w:jc w:val="center"/>
            </w:pPr>
            <w:r>
              <w:rPr>
                <w:b/>
                <w:bCs/>
              </w:rPr>
              <w:t xml:space="preserve">Priority</w:t>
            </w:r>
          </w:p>
        </w:tc>
        <w:tc>
          <w:tcPr>
            <w:tcW w:type="dxa" w:w="1400"/>
            <w:tcBorders>
              <w:top w:val="single" w:color="CCCCCC" w:sz="1"/>
              <w:left w:val="single" w:color="CCCCCC" w:sz="1"/>
              <w:bottom w:val="single" w:color="CCCCCC" w:sz="1"/>
              <w:right w:val="single" w:color="CCCCCC" w:sz="1"/>
            </w:tcBorders>
            <w:shd w:fill="E7E7E7" w:val="clear"/>
          </w:tcPr>
          <w:p>
            <w:pPr>
              <w:jc w:val="center"/>
            </w:pPr>
            <w:r>
              <w:rPr>
                <w:b/>
                <w:bCs/>
              </w:rPr>
              <w:t xml:space="preserve">RTO</w:t>
            </w:r>
          </w:p>
        </w:tc>
        <w:tc>
          <w:tcPr>
            <w:tcW w:type="dxa" w:w="1400"/>
            <w:tcBorders>
              <w:top w:val="single" w:color="CCCCCC" w:sz="1"/>
              <w:left w:val="single" w:color="CCCCCC" w:sz="1"/>
              <w:bottom w:val="single" w:color="CCCCCC" w:sz="1"/>
              <w:right w:val="single" w:color="CCCCCC" w:sz="1"/>
            </w:tcBorders>
            <w:shd w:fill="E7E7E7" w:val="clear"/>
          </w:tcPr>
          <w:p>
            <w:pPr>
              <w:jc w:val="center"/>
            </w:pPr>
            <w:r>
              <w:rPr>
                <w:b/>
                <w:bCs/>
              </w:rPr>
              <w:t xml:space="preserve">RPO</w:t>
            </w:r>
          </w:p>
        </w:tc>
        <w:tc>
          <w:tcPr>
            <w:tcW w:type="dxa" w:w="2360"/>
            <w:tcBorders>
              <w:top w:val="single" w:color="CCCCCC" w:sz="1"/>
              <w:left w:val="single" w:color="CCCCCC" w:sz="1"/>
              <w:bottom w:val="single" w:color="CCCCCC" w:sz="1"/>
              <w:right w:val="single" w:color="CCCCCC" w:sz="1"/>
            </w:tcBorders>
            <w:shd w:fill="E7E7E7" w:val="clear"/>
          </w:tcPr>
          <w:p>
            <w:pPr>
              <w:jc w:val="center"/>
            </w:pPr>
            <w:r>
              <w:rPr>
                <w:b/>
                <w:bCs/>
              </w:rPr>
              <w:t xml:space="preserve">Business Impact</w:t>
            </w:r>
          </w:p>
        </w:tc>
      </w:tr>
      <w:tr>
        <w:tc>
          <w:tcPr>
            <w:tcW w:type="dxa" w:w="2800"/>
            <w:tcBorders>
              <w:top w:val="single" w:color="CCCCCC" w:sz="1"/>
              <w:left w:val="single" w:color="CCCCCC" w:sz="1"/>
              <w:bottom w:val="single" w:color="CCCCCC" w:sz="1"/>
              <w:right w:val="single" w:color="CCCCCC" w:sz="1"/>
            </w:tcBorders>
          </w:tcPr>
          <w:p>
            <w:r>
              <w:t xml:space="preserve">Core Network Infrastructure</w:t>
            </w:r>
          </w:p>
        </w:tc>
        <w:tc>
          <w:tcPr>
            <w:tcW w:type="dxa" w:w="1400"/>
            <w:tcBorders>
              <w:top w:val="single" w:color="CCCCCC" w:sz="1"/>
              <w:left w:val="single" w:color="CCCCCC" w:sz="1"/>
              <w:bottom w:val="single" w:color="CCCCCC" w:sz="1"/>
              <w:right w:val="single" w:color="CCCCCC" w:sz="1"/>
            </w:tcBorders>
          </w:tcPr>
          <w:p>
            <w:pPr>
              <w:jc w:val="center"/>
            </w:pPr>
            <w:r>
              <w:t xml:space="preserve">Critical</w:t>
            </w:r>
          </w:p>
        </w:tc>
        <w:tc>
          <w:tcPr>
            <w:tcW w:type="dxa" w:w="1400"/>
            <w:tcBorders>
              <w:top w:val="single" w:color="CCCCCC" w:sz="1"/>
              <w:left w:val="single" w:color="CCCCCC" w:sz="1"/>
              <w:bottom w:val="single" w:color="CCCCCC" w:sz="1"/>
              <w:right w:val="single" w:color="CCCCCC" w:sz="1"/>
            </w:tcBorders>
          </w:tcPr>
          <w:p>
            <w:pPr>
              <w:jc w:val="center"/>
            </w:pPr>
            <w:r>
              <w:t xml:space="preserve">1 hour</w:t>
            </w:r>
          </w:p>
        </w:tc>
        <w:tc>
          <w:tcPr>
            <w:tcW w:type="dxa" w:w="1400"/>
            <w:tcBorders>
              <w:top w:val="single" w:color="CCCCCC" w:sz="1"/>
              <w:left w:val="single" w:color="CCCCCC" w:sz="1"/>
              <w:bottom w:val="single" w:color="CCCCCC" w:sz="1"/>
              <w:right w:val="single" w:color="CCCCCC" w:sz="1"/>
            </w:tcBorders>
          </w:tcPr>
          <w:p>
            <w:pPr>
              <w:jc w:val="center"/>
            </w:pPr>
            <w:r>
              <w:t xml:space="preserve">15 min</w:t>
            </w:r>
          </w:p>
        </w:tc>
        <w:tc>
          <w:tcPr>
            <w:tcW w:type="dxa" w:w="2360"/>
            <w:tcBorders>
              <w:top w:val="single" w:color="CCCCCC" w:sz="1"/>
              <w:left w:val="single" w:color="CCCCCC" w:sz="1"/>
              <w:bottom w:val="single" w:color="CCCCCC" w:sz="1"/>
              <w:right w:val="single" w:color="CCCCCC" w:sz="1"/>
            </w:tcBorders>
          </w:tcPr>
          <w:p>
            <w:r>
              <w:t xml:space="preserve">Complete loss of connectivity</w:t>
            </w:r>
          </w:p>
        </w:tc>
      </w:tr>
      <w:tr>
        <w:tc>
          <w:tcPr>
            <w:tcW w:type="dxa" w:w="2800"/>
            <w:tcBorders>
              <w:top w:val="single" w:color="CCCCCC" w:sz="1"/>
              <w:left w:val="single" w:color="CCCCCC" w:sz="1"/>
              <w:bottom w:val="single" w:color="CCCCCC" w:sz="1"/>
              <w:right w:val="single" w:color="CCCCCC" w:sz="1"/>
            </w:tcBorders>
          </w:tcPr>
          <w:p>
            <w:r>
              <w:t xml:space="preserve">Domain Controllers &amp; Authentication</w:t>
            </w:r>
          </w:p>
        </w:tc>
        <w:tc>
          <w:tcPr>
            <w:tcW w:type="dxa" w:w="1400"/>
            <w:tcBorders>
              <w:top w:val="single" w:color="CCCCCC" w:sz="1"/>
              <w:left w:val="single" w:color="CCCCCC" w:sz="1"/>
              <w:bottom w:val="single" w:color="CCCCCC" w:sz="1"/>
              <w:right w:val="single" w:color="CCCCCC" w:sz="1"/>
            </w:tcBorders>
          </w:tcPr>
          <w:p>
            <w:pPr>
              <w:jc w:val="center"/>
            </w:pPr>
            <w:r>
              <w:t xml:space="preserve">Critical</w:t>
            </w:r>
          </w:p>
        </w:tc>
        <w:tc>
          <w:tcPr>
            <w:tcW w:type="dxa" w:w="1400"/>
            <w:tcBorders>
              <w:top w:val="single" w:color="CCCCCC" w:sz="1"/>
              <w:left w:val="single" w:color="CCCCCC" w:sz="1"/>
              <w:bottom w:val="single" w:color="CCCCCC" w:sz="1"/>
              <w:right w:val="single" w:color="CCCCCC" w:sz="1"/>
            </w:tcBorders>
          </w:tcPr>
          <w:p>
            <w:pPr>
              <w:jc w:val="center"/>
            </w:pPr>
            <w:r>
              <w:t xml:space="preserve">2 hours</w:t>
            </w:r>
          </w:p>
        </w:tc>
        <w:tc>
          <w:tcPr>
            <w:tcW w:type="dxa" w:w="1400"/>
            <w:tcBorders>
              <w:top w:val="single" w:color="CCCCCC" w:sz="1"/>
              <w:left w:val="single" w:color="CCCCCC" w:sz="1"/>
              <w:bottom w:val="single" w:color="CCCCCC" w:sz="1"/>
              <w:right w:val="single" w:color="CCCCCC" w:sz="1"/>
            </w:tcBorders>
          </w:tcPr>
          <w:p>
            <w:pPr>
              <w:jc w:val="center"/>
            </w:pPr>
            <w:r>
              <w:t xml:space="preserve">30 min</w:t>
            </w:r>
          </w:p>
        </w:tc>
        <w:tc>
          <w:tcPr>
            <w:tcW w:type="dxa" w:w="2360"/>
            <w:tcBorders>
              <w:top w:val="single" w:color="CCCCCC" w:sz="1"/>
              <w:left w:val="single" w:color="CCCCCC" w:sz="1"/>
              <w:bottom w:val="single" w:color="CCCCCC" w:sz="1"/>
              <w:right w:val="single" w:color="CCCCCC" w:sz="1"/>
            </w:tcBorders>
          </w:tcPr>
          <w:p>
            <w:r>
              <w:t xml:space="preserve">User authentication failures</w:t>
            </w:r>
          </w:p>
        </w:tc>
      </w:tr>
      <w:tr>
        <w:tc>
          <w:tcPr>
            <w:tcW w:type="dxa" w:w="2800"/>
            <w:tcBorders>
              <w:top w:val="single" w:color="CCCCCC" w:sz="1"/>
              <w:left w:val="single" w:color="CCCCCC" w:sz="1"/>
              <w:bottom w:val="single" w:color="CCCCCC" w:sz="1"/>
              <w:right w:val="single" w:color="CCCCCC" w:sz="1"/>
            </w:tcBorders>
          </w:tcPr>
          <w:p>
            <w:r>
              <w:t xml:space="preserve">Financial Systems (ERP)</w:t>
            </w:r>
          </w:p>
        </w:tc>
        <w:tc>
          <w:tcPr>
            <w:tcW w:type="dxa" w:w="1400"/>
            <w:tcBorders>
              <w:top w:val="single" w:color="CCCCCC" w:sz="1"/>
              <w:left w:val="single" w:color="CCCCCC" w:sz="1"/>
              <w:bottom w:val="single" w:color="CCCCCC" w:sz="1"/>
              <w:right w:val="single" w:color="CCCCCC" w:sz="1"/>
            </w:tcBorders>
          </w:tcPr>
          <w:p>
            <w:pPr>
              <w:jc w:val="center"/>
            </w:pPr>
            <w:r>
              <w:t xml:space="preserve">Critical</w:t>
            </w:r>
          </w:p>
        </w:tc>
        <w:tc>
          <w:tcPr>
            <w:tcW w:type="dxa" w:w="1400"/>
            <w:tcBorders>
              <w:top w:val="single" w:color="CCCCCC" w:sz="1"/>
              <w:left w:val="single" w:color="CCCCCC" w:sz="1"/>
              <w:bottom w:val="single" w:color="CCCCCC" w:sz="1"/>
              <w:right w:val="single" w:color="CCCCCC" w:sz="1"/>
            </w:tcBorders>
          </w:tcPr>
          <w:p>
            <w:pPr>
              <w:jc w:val="center"/>
            </w:pPr>
            <w:r>
              <w:t xml:space="preserve">4 hours</w:t>
            </w:r>
          </w:p>
        </w:tc>
        <w:tc>
          <w:tcPr>
            <w:tcW w:type="dxa" w:w="1400"/>
            <w:tcBorders>
              <w:top w:val="single" w:color="CCCCCC" w:sz="1"/>
              <w:left w:val="single" w:color="CCCCCC" w:sz="1"/>
              <w:bottom w:val="single" w:color="CCCCCC" w:sz="1"/>
              <w:right w:val="single" w:color="CCCCCC" w:sz="1"/>
            </w:tcBorders>
          </w:tcPr>
          <w:p>
            <w:pPr>
              <w:jc w:val="center"/>
            </w:pPr>
            <w:r>
              <w:t xml:space="preserve">1 hour</w:t>
            </w:r>
          </w:p>
        </w:tc>
        <w:tc>
          <w:tcPr>
            <w:tcW w:type="dxa" w:w="2360"/>
            <w:tcBorders>
              <w:top w:val="single" w:color="CCCCCC" w:sz="1"/>
              <w:left w:val="single" w:color="CCCCCC" w:sz="1"/>
              <w:bottom w:val="single" w:color="CCCCCC" w:sz="1"/>
              <w:right w:val="single" w:color="CCCCCC" w:sz="1"/>
            </w:tcBorders>
          </w:tcPr>
          <w:p>
            <w:r>
              <w:t xml:space="preserve">Financial processing disruption</w:t>
            </w:r>
          </w:p>
        </w:tc>
      </w:tr>
      <w:tr>
        <w:tc>
          <w:tcPr>
            <w:tcW w:type="dxa" w:w="2800"/>
            <w:tcBorders>
              <w:top w:val="single" w:color="CCCCCC" w:sz="1"/>
              <w:left w:val="single" w:color="CCCCCC" w:sz="1"/>
              <w:bottom w:val="single" w:color="CCCCCC" w:sz="1"/>
              <w:right w:val="single" w:color="CCCCCC" w:sz="1"/>
            </w:tcBorders>
          </w:tcPr>
          <w:p>
            <w:r>
              <w:t xml:space="preserve">Customer Relationship Management</w:t>
            </w:r>
          </w:p>
        </w:tc>
        <w:tc>
          <w:tcPr>
            <w:tcW w:type="dxa" w:w="1400"/>
            <w:tcBorders>
              <w:top w:val="single" w:color="CCCCCC" w:sz="1"/>
              <w:left w:val="single" w:color="CCCCCC" w:sz="1"/>
              <w:bottom w:val="single" w:color="CCCCCC" w:sz="1"/>
              <w:right w:val="single" w:color="CCCCCC" w:sz="1"/>
            </w:tcBorders>
          </w:tcPr>
          <w:p>
            <w:pPr>
              <w:jc w:val="center"/>
            </w:pPr>
            <w:r>
              <w:t xml:space="preserve">High</w:t>
            </w:r>
          </w:p>
        </w:tc>
        <w:tc>
          <w:tcPr>
            <w:tcW w:type="dxa" w:w="1400"/>
            <w:tcBorders>
              <w:top w:val="single" w:color="CCCCCC" w:sz="1"/>
              <w:left w:val="single" w:color="CCCCCC" w:sz="1"/>
              <w:bottom w:val="single" w:color="CCCCCC" w:sz="1"/>
              <w:right w:val="single" w:color="CCCCCC" w:sz="1"/>
            </w:tcBorders>
          </w:tcPr>
          <w:p>
            <w:pPr>
              <w:jc w:val="center"/>
            </w:pPr>
            <w:r>
              <w:t xml:space="preserve">8 hours</w:t>
            </w:r>
          </w:p>
        </w:tc>
        <w:tc>
          <w:tcPr>
            <w:tcW w:type="dxa" w:w="1400"/>
            <w:tcBorders>
              <w:top w:val="single" w:color="CCCCCC" w:sz="1"/>
              <w:left w:val="single" w:color="CCCCCC" w:sz="1"/>
              <w:bottom w:val="single" w:color="CCCCCC" w:sz="1"/>
              <w:right w:val="single" w:color="CCCCCC" w:sz="1"/>
            </w:tcBorders>
          </w:tcPr>
          <w:p>
            <w:pPr>
              <w:jc w:val="center"/>
            </w:pPr>
            <w:r>
              <w:t xml:space="preserve">4 hours</w:t>
            </w:r>
          </w:p>
        </w:tc>
        <w:tc>
          <w:tcPr>
            <w:tcW w:type="dxa" w:w="2360"/>
            <w:tcBorders>
              <w:top w:val="single" w:color="CCCCCC" w:sz="1"/>
              <w:left w:val="single" w:color="CCCCCC" w:sz="1"/>
              <w:bottom w:val="single" w:color="CCCCCC" w:sz="1"/>
              <w:right w:val="single" w:color="CCCCCC" w:sz="1"/>
            </w:tcBorders>
          </w:tcPr>
          <w:p>
            <w:r>
              <w:t xml:space="preserve">Customer service degradation</w:t>
            </w:r>
          </w:p>
        </w:tc>
      </w:tr>
      <w:tr>
        <w:tc>
          <w:tcPr>
            <w:tcW w:type="dxa" w:w="2800"/>
            <w:tcBorders>
              <w:top w:val="single" w:color="CCCCCC" w:sz="1"/>
              <w:left w:val="single" w:color="CCCCCC" w:sz="1"/>
              <w:bottom w:val="single" w:color="CCCCCC" w:sz="1"/>
              <w:right w:val="single" w:color="CCCCCC" w:sz="1"/>
            </w:tcBorders>
          </w:tcPr>
          <w:p>
            <w:r>
              <w:t xml:space="preserve">Email and Communication Systems</w:t>
            </w:r>
          </w:p>
        </w:tc>
        <w:tc>
          <w:tcPr>
            <w:tcW w:type="dxa" w:w="1400"/>
            <w:tcBorders>
              <w:top w:val="single" w:color="CCCCCC" w:sz="1"/>
              <w:left w:val="single" w:color="CCCCCC" w:sz="1"/>
              <w:bottom w:val="single" w:color="CCCCCC" w:sz="1"/>
              <w:right w:val="single" w:color="CCCCCC" w:sz="1"/>
            </w:tcBorders>
          </w:tcPr>
          <w:p>
            <w:pPr>
              <w:jc w:val="center"/>
            </w:pPr>
            <w:r>
              <w:t xml:space="preserve">High</w:t>
            </w:r>
          </w:p>
        </w:tc>
        <w:tc>
          <w:tcPr>
            <w:tcW w:type="dxa" w:w="1400"/>
            <w:tcBorders>
              <w:top w:val="single" w:color="CCCCCC" w:sz="1"/>
              <w:left w:val="single" w:color="CCCCCC" w:sz="1"/>
              <w:bottom w:val="single" w:color="CCCCCC" w:sz="1"/>
              <w:right w:val="single" w:color="CCCCCC" w:sz="1"/>
            </w:tcBorders>
          </w:tcPr>
          <w:p>
            <w:pPr>
              <w:jc w:val="center"/>
            </w:pPr>
            <w:r>
              <w:t xml:space="preserve">6 hours</w:t>
            </w:r>
          </w:p>
        </w:tc>
        <w:tc>
          <w:tcPr>
            <w:tcW w:type="dxa" w:w="1400"/>
            <w:tcBorders>
              <w:top w:val="single" w:color="CCCCCC" w:sz="1"/>
              <w:left w:val="single" w:color="CCCCCC" w:sz="1"/>
              <w:bottom w:val="single" w:color="CCCCCC" w:sz="1"/>
              <w:right w:val="single" w:color="CCCCCC" w:sz="1"/>
            </w:tcBorders>
          </w:tcPr>
          <w:p>
            <w:pPr>
              <w:jc w:val="center"/>
            </w:pPr>
            <w:r>
              <w:t xml:space="preserve">2 hours</w:t>
            </w:r>
          </w:p>
        </w:tc>
        <w:tc>
          <w:tcPr>
            <w:tcW w:type="dxa" w:w="2360"/>
            <w:tcBorders>
              <w:top w:val="single" w:color="CCCCCC" w:sz="1"/>
              <w:left w:val="single" w:color="CCCCCC" w:sz="1"/>
              <w:bottom w:val="single" w:color="CCCCCC" w:sz="1"/>
              <w:right w:val="single" w:color="CCCCCC" w:sz="1"/>
            </w:tcBorders>
          </w:tcPr>
          <w:p>
            <w:r>
              <w:t xml:space="preserve">Communication breakdown</w:t>
            </w:r>
          </w:p>
        </w:tc>
      </w:tr>
      <w:tr>
        <w:tc>
          <w:tcPr>
            <w:tcW w:type="dxa" w:w="2800"/>
            <w:tcBorders>
              <w:top w:val="single" w:color="CCCCCC" w:sz="1"/>
              <w:left w:val="single" w:color="CCCCCC" w:sz="1"/>
              <w:bottom w:val="single" w:color="CCCCCC" w:sz="1"/>
              <w:right w:val="single" w:color="CCCCCC" w:sz="1"/>
            </w:tcBorders>
          </w:tcPr>
          <w:p>
            <w:r>
              <w:t xml:space="preserve">File Servers and Shared Storage</w:t>
            </w:r>
          </w:p>
        </w:tc>
        <w:tc>
          <w:tcPr>
            <w:tcW w:type="dxa" w:w="1400"/>
            <w:tcBorders>
              <w:top w:val="single" w:color="CCCCCC" w:sz="1"/>
              <w:left w:val="single" w:color="CCCCCC" w:sz="1"/>
              <w:bottom w:val="single" w:color="CCCCCC" w:sz="1"/>
              <w:right w:val="single" w:color="CCCCCC" w:sz="1"/>
            </w:tcBorders>
          </w:tcPr>
          <w:p>
            <w:pPr>
              <w:jc w:val="center"/>
            </w:pPr>
            <w:r>
              <w:t xml:space="preserve">Medium</w:t>
            </w:r>
          </w:p>
        </w:tc>
        <w:tc>
          <w:tcPr>
            <w:tcW w:type="dxa" w:w="1400"/>
            <w:tcBorders>
              <w:top w:val="single" w:color="CCCCCC" w:sz="1"/>
              <w:left w:val="single" w:color="CCCCCC" w:sz="1"/>
              <w:bottom w:val="single" w:color="CCCCCC" w:sz="1"/>
              <w:right w:val="single" w:color="CCCCCC" w:sz="1"/>
            </w:tcBorders>
          </w:tcPr>
          <w:p>
            <w:pPr>
              <w:jc w:val="center"/>
            </w:pPr>
            <w:r>
              <w:t xml:space="preserve">12 hours</w:t>
            </w:r>
          </w:p>
        </w:tc>
        <w:tc>
          <w:tcPr>
            <w:tcW w:type="dxa" w:w="1400"/>
            <w:tcBorders>
              <w:top w:val="single" w:color="CCCCCC" w:sz="1"/>
              <w:left w:val="single" w:color="CCCCCC" w:sz="1"/>
              <w:bottom w:val="single" w:color="CCCCCC" w:sz="1"/>
              <w:right w:val="single" w:color="CCCCCC" w:sz="1"/>
            </w:tcBorders>
          </w:tcPr>
          <w:p>
            <w:pPr>
              <w:jc w:val="center"/>
            </w:pPr>
            <w:r>
              <w:t xml:space="preserve">4 hours</w:t>
            </w:r>
          </w:p>
        </w:tc>
        <w:tc>
          <w:tcPr>
            <w:tcW w:type="dxa" w:w="2360"/>
            <w:tcBorders>
              <w:top w:val="single" w:color="CCCCCC" w:sz="1"/>
              <w:left w:val="single" w:color="CCCCCC" w:sz="1"/>
              <w:bottom w:val="single" w:color="CCCCCC" w:sz="1"/>
              <w:right w:val="single" w:color="CCCCCC" w:sz="1"/>
            </w:tcBorders>
          </w:tcPr>
          <w:p>
            <w:r>
              <w:t xml:space="preserve">Document access issues</w:t>
            </w:r>
          </w:p>
        </w:tc>
      </w:tr>
    </w:tbl>
    <w:p>
      <w:pPr>
        <w:pStyle w:val="Heading2"/>
      </w:pPr>
      <w:r>
        <w:t xml:space="preserve">3.2 Dependencies and Interdependencies</w:t>
      </w:r>
    </w:p>
    <w:p>
      <w:r>
        <w:t xml:space="preserve">Critical dependencies that must be considered during ICT recovery:</w:t>
      </w:r>
    </w:p>
    <w:p>
      <w:pPr>
        <w:pStyle w:val="ListParagraph"/>
        <w:numPr>
          <w:ilvl w:val="0"/>
          <w:numId w:val="2"/>
        </w:numPr>
      </w:pPr>
      <w:r>
        <w:t xml:space="preserve">Primary Data Center (Corporate Headquarters Building A)</w:t>
      </w:r>
    </w:p>
    <w:p>
      <w:pPr>
        <w:pStyle w:val="ListParagraph"/>
        <w:numPr>
          <w:ilvl w:val="0"/>
          <w:numId w:val="2"/>
        </w:numPr>
      </w:pPr>
      <w:r>
        <w:t xml:space="preserve">Secondary Data Center (Disaster Recovery Facility - 50 miles distant)</w:t>
      </w:r>
    </w:p>
    <w:p>
      <w:pPr>
        <w:pStyle w:val="ListParagraph"/>
        <w:numPr>
          <w:ilvl w:val="0"/>
          <w:numId w:val="2"/>
        </w:numPr>
      </w:pPr>
      <w:r>
        <w:t xml:space="preserve">Cloud Infrastructure (AWS/Azure Multi-Region)</w:t>
      </w:r>
    </w:p>
    <w:p>
      <w:pPr>
        <w:pStyle w:val="ListParagraph"/>
        <w:numPr>
          <w:ilvl w:val="0"/>
          <w:numId w:val="2"/>
        </w:numPr>
      </w:pPr>
      <w:r>
        <w:t xml:space="preserve">Internet Service Providers (Primary and Secondary)</w:t>
      </w:r>
    </w:p>
    <w:p>
      <w:pPr>
        <w:pStyle w:val="ListParagraph"/>
        <w:numPr>
          <w:ilvl w:val="0"/>
          <w:numId w:val="2"/>
        </w:numPr>
      </w:pPr>
      <w:r>
        <w:t xml:space="preserve">Telecommunications providers</w:t>
      </w:r>
    </w:p>
    <w:p>
      <w:pPr>
        <w:pStyle w:val="ListParagraph"/>
        <w:numPr>
          <w:ilvl w:val="0"/>
          <w:numId w:val="2"/>
        </w:numPr>
      </w:pPr>
      <w:r>
        <w:t xml:space="preserve">Power utility services and backup generators</w:t>
      </w:r>
    </w:p>
    <w:p>
      <w:pPr>
        <w:pStyle w:val="ListParagraph"/>
        <w:numPr>
          <w:ilvl w:val="0"/>
          <w:numId w:val="2"/>
        </w:numPr>
      </w:pPr>
      <w:r>
        <w:t xml:space="preserve">Critical third-party service providers</w:t>
      </w:r>
    </w:p>
    <w:p>
      <w:r>
        <w:br w:type="page"/>
      </w:r>
    </w:p>
    <w:p>
      <w:pPr>
        <w:pStyle w:val="Heading1"/>
      </w:pPr>
      <w:r>
        <w:t xml:space="preserve">4. ICT RECOVERY STRATEGIES</w:t>
      </w:r>
    </w:p>
    <w:p>
      <w:pPr>
        <w:pStyle w:val="Heading2"/>
      </w:pPr>
      <w:r>
        <w:t xml:space="preserve">4.1 Data Backup and Recovery Strategy</w:t>
      </w:r>
    </w:p>
    <w:p>
      <w:r>
        <w:t xml:space="preserve">The organization employs a comprehensive data backup and recovery strategy:</w:t>
      </w:r>
    </w:p>
    <w:p>
      <w:pPr>
        <w:pStyle w:val="Heading3"/>
      </w:pPr>
      <w:r>
        <w:t xml:space="preserve">4.1.1 Backup Procedures</w:t>
      </w:r>
    </w:p>
    <w:p>
      <w:pPr>
        <w:pStyle w:val="ListParagraph"/>
        <w:numPr>
          <w:ilvl w:val="0"/>
          <w:numId w:val="2"/>
        </w:numPr>
      </w:pPr>
      <w:r>
        <w:t xml:space="preserve">Automated daily incremental backups of all critical systems</w:t>
      </w:r>
    </w:p>
    <w:p>
      <w:pPr>
        <w:pStyle w:val="ListParagraph"/>
        <w:numPr>
          <w:ilvl w:val="0"/>
          <w:numId w:val="2"/>
        </w:numPr>
      </w:pPr>
      <w:r>
        <w:t xml:space="preserve">Weekly full system backups with 90-day retention</w:t>
      </w:r>
    </w:p>
    <w:p>
      <w:pPr>
        <w:pStyle w:val="ListParagraph"/>
        <w:numPr>
          <w:ilvl w:val="0"/>
          <w:numId w:val="2"/>
        </w:numPr>
      </w:pPr>
      <w:r>
        <w:t xml:space="preserve">Geographic distribution across primary and secondary data centers</w:t>
      </w:r>
    </w:p>
    <w:p>
      <w:pPr>
        <w:pStyle w:val="ListParagraph"/>
        <w:numPr>
          <w:ilvl w:val="0"/>
          <w:numId w:val="2"/>
        </w:numPr>
      </w:pPr>
      <w:r>
        <w:t xml:space="preserve">Cloud-based backup replication for enhanced redundancy</w:t>
      </w:r>
    </w:p>
    <w:p>
      <w:pPr>
        <w:pStyle w:val="ListParagraph"/>
        <w:numPr>
          <w:ilvl w:val="0"/>
          <w:numId w:val="2"/>
        </w:numPr>
      </w:pPr>
      <w:r>
        <w:t xml:space="preserve">Monthly backup restoration testing and validation</w:t>
      </w:r>
    </w:p>
    <w:p>
      <w:pPr>
        <w:pStyle w:val="Heading3"/>
      </w:pPr>
      <w:r>
        <w:t xml:space="preserve">4.1.2 Backup Verification and Testing</w:t>
      </w:r>
    </w:p>
    <w:p>
      <w:r>
        <w:t xml:space="preserve">All backup procedures include automated verification processes:</w:t>
      </w:r>
    </w:p>
    <w:p>
      <w:pPr>
        <w:pStyle w:val="ListParagraph"/>
        <w:numPr>
          <w:ilvl w:val="0"/>
          <w:numId w:val="2"/>
        </w:numPr>
      </w:pPr>
      <w:r>
        <w:t xml:space="preserve">Automated integrity checks on all backup sets</w:t>
      </w:r>
    </w:p>
    <w:p>
      <w:pPr>
        <w:pStyle w:val="ListParagraph"/>
        <w:numPr>
          <w:ilvl w:val="0"/>
          <w:numId w:val="2"/>
        </w:numPr>
      </w:pPr>
      <w:r>
        <w:t xml:space="preserve">Monthly restoration tests on critical systems</w:t>
      </w:r>
    </w:p>
    <w:p>
      <w:pPr>
        <w:pStyle w:val="ListParagraph"/>
        <w:numPr>
          <w:ilvl w:val="0"/>
          <w:numId w:val="2"/>
        </w:numPr>
      </w:pPr>
      <w:r>
        <w:t xml:space="preserve">Quarterly full disaster recovery simulations</w:t>
      </w:r>
    </w:p>
    <w:p>
      <w:pPr>
        <w:pStyle w:val="ListParagraph"/>
        <w:numPr>
          <w:ilvl w:val="0"/>
          <w:numId w:val="2"/>
        </w:numPr>
      </w:pPr>
      <w:r>
        <w:t xml:space="preserve">Annual comprehensive backup and recovery audits</w:t>
      </w:r>
    </w:p>
    <w:p>
      <w:pPr>
        <w:pStyle w:val="Heading2"/>
      </w:pPr>
      <w:r>
        <w:t xml:space="preserve">4.2 Alternative Processing Sites</w:t>
      </w:r>
    </w:p>
    <w:p>
      <w:r>
        <w:t xml:space="preserve">The organization maintains multiple processing sites to ensure continuity:</w:t>
      </w:r>
    </w:p>
    <w:p>
      <w:r>
        <w:rPr>
          <w:b/>
          <w:bCs/>
        </w:rPr>
        <w:t xml:space="preserve">Primary Site: </w:t>
      </w:r>
      <w:r>
        <w:t xml:space="preserve">Corporate Headquarters Data Center (Building A)</w:t>
      </w:r>
    </w:p>
    <w:p>
      <w:r>
        <w:t xml:space="preserve">Full production capacity with complete IT infrastructure</w:t>
      </w:r>
    </w:p>
    <w:p>
      <w:r>
        <w:rPr>
          <w:b/>
          <w:bCs/>
        </w:rPr>
        <w:t xml:space="preserve">Secondary Site: </w:t>
      </w:r>
      <w:r>
        <w:t xml:space="preserve">Disaster Recovery Facility (50 miles distant)</w:t>
      </w:r>
    </w:p>
    <w:p>
      <w:r>
        <w:t xml:space="preserve">Hot site with synchronized data and immediate failover capability</w:t>
      </w:r>
    </w:p>
    <w:p>
      <w:r>
        <w:rPr>
          <w:b/>
          <w:bCs/>
        </w:rPr>
        <w:t xml:space="preserve">Tertiary Site: </w:t>
      </w:r>
      <w:r>
        <w:t xml:space="preserve">Cloud Infrastructure (AWS/Azure Multi-Region)</w:t>
      </w:r>
    </w:p>
    <w:p>
      <w:r>
        <w:t xml:space="preserve">Scalable cloud resources for extended operations and data redundancy</w:t>
      </w:r>
    </w:p>
    <w:p>
      <w:r>
        <w:t xml:space="preserve">All sites maintain synchronized data and can support full operational capacity within established RTOs.</w:t>
      </w:r>
    </w:p>
    <w:p>
      <w:pPr>
        <w:pStyle w:val="Heading2"/>
      </w:pPr>
      <w:r>
        <w:t xml:space="preserve">4.3 Recovery Priorities</w:t>
      </w:r>
    </w:p>
    <w:p>
      <w:r>
        <w:t xml:space="preserve">ICT recovery follows a prioritized approach based on business criticality:</w:t>
      </w:r>
    </w:p>
    <w:p>
      <w:pPr>
        <w:pStyle w:val="Heading3"/>
      </w:pPr>
      <w:r>
        <w:t xml:space="preserve">4.3.1 Phase 1: Critical Infrastructure (0-2 hours)</w:t>
      </w:r>
    </w:p>
    <w:p>
      <w:pPr>
        <w:pStyle w:val="ListParagraph"/>
        <w:numPr>
          <w:ilvl w:val="0"/>
          <w:numId w:val="3"/>
        </w:numPr>
      </w:pPr>
      <w:r>
        <w:t xml:space="preserve">Network connectivity and routing infrastructure</w:t>
      </w:r>
    </w:p>
    <w:p>
      <w:pPr>
        <w:pStyle w:val="ListParagraph"/>
        <w:numPr>
          <w:ilvl w:val="0"/>
          <w:numId w:val="3"/>
        </w:numPr>
      </w:pPr>
      <w:r>
        <w:t xml:space="preserve">Domain controllers and authentication services</w:t>
      </w:r>
    </w:p>
    <w:p>
      <w:pPr>
        <w:pStyle w:val="ListParagraph"/>
        <w:numPr>
          <w:ilvl w:val="0"/>
          <w:numId w:val="3"/>
        </w:numPr>
      </w:pPr>
      <w:r>
        <w:t xml:space="preserve">DNS and core directory services</w:t>
      </w:r>
    </w:p>
    <w:p>
      <w:pPr>
        <w:pStyle w:val="ListParagraph"/>
        <w:numPr>
          <w:ilvl w:val="0"/>
          <w:numId w:val="3"/>
        </w:numPr>
      </w:pPr>
      <w:r>
        <w:t xml:space="preserve">Security monitoring and logging systems</w:t>
      </w:r>
    </w:p>
    <w:p>
      <w:pPr>
        <w:pStyle w:val="Heading3"/>
      </w:pPr>
      <w:r>
        <w:t xml:space="preserve">4.3.2 Phase 2: Business Critical Systems (2-4 hours)</w:t>
      </w:r>
    </w:p>
    <w:p>
      <w:pPr>
        <w:pStyle w:val="ListParagraph"/>
        <w:numPr>
          <w:ilvl w:val="0"/>
          <w:numId w:val="3"/>
        </w:numPr>
      </w:pPr>
      <w:r>
        <w:t xml:space="preserve">Financial systems and ERP applications</w:t>
      </w:r>
    </w:p>
    <w:p>
      <w:pPr>
        <w:pStyle w:val="ListParagraph"/>
        <w:numPr>
          <w:ilvl w:val="0"/>
          <w:numId w:val="3"/>
        </w:numPr>
      </w:pPr>
      <w:r>
        <w:t xml:space="preserve">Database servers and data services</w:t>
      </w:r>
    </w:p>
    <w:p>
      <w:pPr>
        <w:pStyle w:val="ListParagraph"/>
        <w:numPr>
          <w:ilvl w:val="0"/>
          <w:numId w:val="3"/>
        </w:numPr>
      </w:pPr>
      <w:r>
        <w:t xml:space="preserve">Core business applications</w:t>
      </w:r>
    </w:p>
    <w:p>
      <w:pPr>
        <w:pStyle w:val="Heading3"/>
      </w:pPr>
      <w:r>
        <w:t xml:space="preserve">4.3.3 Phase 3: Supporting Systems (4-12 hours)</w:t>
      </w:r>
    </w:p>
    <w:p>
      <w:pPr>
        <w:pStyle w:val="ListParagraph"/>
        <w:numPr>
          <w:ilvl w:val="0"/>
          <w:numId w:val="3"/>
        </w:numPr>
      </w:pPr>
      <w:r>
        <w:t xml:space="preserve">Email and communication systems</w:t>
      </w:r>
    </w:p>
    <w:p>
      <w:pPr>
        <w:pStyle w:val="ListParagraph"/>
        <w:numPr>
          <w:ilvl w:val="0"/>
          <w:numId w:val="3"/>
        </w:numPr>
      </w:pPr>
      <w:r>
        <w:t xml:space="preserve">Customer relationship management systems</w:t>
      </w:r>
    </w:p>
    <w:p>
      <w:pPr>
        <w:pStyle w:val="ListParagraph"/>
        <w:numPr>
          <w:ilvl w:val="0"/>
          <w:numId w:val="3"/>
        </w:numPr>
      </w:pPr>
      <w:r>
        <w:t xml:space="preserve">Document management and file servers</w:t>
      </w:r>
    </w:p>
    <w:p>
      <w:pPr>
        <w:pStyle w:val="ListParagraph"/>
        <w:numPr>
          <w:ilvl w:val="0"/>
          <w:numId w:val="3"/>
        </w:numPr>
      </w:pPr>
      <w:r>
        <w:t xml:space="preserve">Non-critical workstations and peripherals</w:t>
      </w:r>
    </w:p>
    <w:p>
      <w:r>
        <w:br w:type="page"/>
      </w:r>
    </w:p>
    <w:p>
      <w:pPr>
        <w:pStyle w:val="Heading1"/>
      </w:pPr>
      <w:r>
        <w:t xml:space="preserve">5. DETAILED RECOVERY PROCEDURES</w:t>
      </w:r>
    </w:p>
    <w:p>
      <w:pPr>
        <w:pStyle w:val="Heading2"/>
      </w:pPr>
      <w:r>
        <w:t xml:space="preserve">5.1 Plan Activation and Notification</w:t>
      </w:r>
    </w:p>
    <w:p>
      <w:r>
        <w:t xml:space="preserve">Upon determination that ICT continuity plan activation is required:</w:t>
      </w:r>
    </w:p>
    <w:p>
      <w:pPr>
        <w:pStyle w:val="Heading3"/>
      </w:pPr>
      <w:r>
        <w:t xml:space="preserve">5.1.1 Initial Assessment and Decision (0-15 minutes)</w:t>
      </w:r>
    </w:p>
    <w:p>
      <w:pPr>
        <w:pStyle w:val="ListParagraph"/>
        <w:numPr>
          <w:ilvl w:val="0"/>
          <w:numId w:val="3"/>
        </w:numPr>
      </w:pPr>
      <w:r>
        <w:t xml:space="preserve">Conduct rapid assessment of IT infrastructure damage and impact</w:t>
      </w:r>
    </w:p>
    <w:p>
      <w:pPr>
        <w:pStyle w:val="ListParagraph"/>
        <w:numPr>
          <w:ilvl w:val="0"/>
          <w:numId w:val="3"/>
        </w:numPr>
      </w:pPr>
      <w:r>
        <w:t xml:space="preserve">Determine primary data center availability and functionality</w:t>
      </w:r>
    </w:p>
    <w:p>
      <w:pPr>
        <w:pStyle w:val="ListParagraph"/>
        <w:numPr>
          <w:ilvl w:val="0"/>
          <w:numId w:val="3"/>
        </w:numPr>
      </w:pPr>
      <w:r>
        <w:t xml:space="preserve">Evaluate need for alternate site activation</w:t>
      </w:r>
    </w:p>
    <w:p>
      <w:pPr>
        <w:pStyle w:val="ListParagraph"/>
        <w:numPr>
          <w:ilvl w:val="0"/>
          <w:numId w:val="3"/>
        </w:numPr>
      </w:pPr>
      <w:r>
        <w:t xml:space="preserve">Make formal plan activation decision and document time/authority</w:t>
      </w:r>
    </w:p>
    <w:p>
      <w:pPr>
        <w:pStyle w:val="Heading3"/>
      </w:pPr>
      <w:r>
        <w:t xml:space="preserve">5.1.2 Emergency Notification (15-30 minutes)</w:t>
      </w:r>
    </w:p>
    <w:p>
      <w:r>
        <w:t xml:space="preserve">CRITICAL: All notifications must be completed within 30 minutes of plan activation</w:t>
      </w:r>
    </w:p>
    <w:p>
      <w:pPr>
        <w:pStyle w:val="ListParagraph"/>
        <w:numPr>
          <w:ilvl w:val="0"/>
          <w:numId w:val="3"/>
        </w:numPr>
      </w:pPr>
      <w:r>
        <w:t xml:space="preserve">Activate ICT Recovery Team via mass notification system</w:t>
      </w:r>
    </w:p>
    <w:p>
      <w:pPr>
        <w:pStyle w:val="ListParagraph"/>
        <w:numPr>
          <w:ilvl w:val="0"/>
          <w:numId w:val="3"/>
        </w:numPr>
      </w:pPr>
      <w:r>
        <w:t xml:space="preserve">Notify Business Continuity Manager and senior leadership</w:t>
      </w:r>
    </w:p>
    <w:p>
      <w:pPr>
        <w:pStyle w:val="ListParagraph"/>
        <w:numPr>
          <w:ilvl w:val="0"/>
          <w:numId w:val="3"/>
        </w:numPr>
      </w:pPr>
      <w:r>
        <w:t xml:space="preserve">Establish Emergency Operations Center communications</w:t>
      </w:r>
    </w:p>
    <w:p>
      <w:pPr>
        <w:pStyle w:val="ListParagraph"/>
        <w:numPr>
          <w:ilvl w:val="0"/>
          <w:numId w:val="3"/>
        </w:numPr>
      </w:pPr>
      <w:r>
        <w:t xml:space="preserve">Contact critical third-party service providers as needed</w:t>
      </w:r>
    </w:p>
    <w:p>
      <w:pPr>
        <w:pStyle w:val="ListParagraph"/>
        <w:numPr>
          <w:ilvl w:val="0"/>
          <w:numId w:val="3"/>
        </w:numPr>
      </w:pPr>
      <w:r>
        <w:t xml:space="preserve">Alert alternate site facility managers if required</w:t>
      </w:r>
    </w:p>
    <w:p>
      <w:pPr>
        <w:pStyle w:val="Heading2"/>
      </w:pPr>
      <w:r>
        <w:t xml:space="preserve">5.2 Infrastructure Recovery Procedures</w:t>
      </w:r>
    </w:p>
    <w:p>
      <w:pPr>
        <w:pStyle w:val="Heading3"/>
      </w:pPr>
      <w:r>
        <w:t xml:space="preserve">5.2.1 Network Infrastructure Recovery</w:t>
      </w:r>
    </w:p>
    <w:p>
      <w:r>
        <w:rPr>
          <w:b/>
          <w:bCs/>
        </w:rPr>
        <w:t xml:space="preserve">TARGET RTO: 1 Hour | TARGET RPO: 15 Minutes</w:t>
      </w:r>
    </w:p>
    <w:p>
      <w:pPr>
        <w:pStyle w:val="ListParagraph"/>
        <w:numPr>
          <w:ilvl w:val="0"/>
          <w:numId w:val="3"/>
        </w:numPr>
      </w:pPr>
      <w:r>
        <w:t xml:space="preserve">Assess network equipment status and connectivity</w:t>
      </w:r>
    </w:p>
    <w:p>
      <w:pPr>
        <w:pStyle w:val="ListParagraph"/>
        <w:numPr>
          <w:ilvl w:val="0"/>
          <w:numId w:val="3"/>
        </w:numPr>
      </w:pPr>
      <w:r>
        <w:t xml:space="preserve">Activate backup network paths and redundant connections</w:t>
      </w:r>
    </w:p>
    <w:p>
      <w:pPr>
        <w:pStyle w:val="ListParagraph"/>
        <w:numPr>
          <w:ilvl w:val="0"/>
          <w:numId w:val="3"/>
        </w:numPr>
      </w:pPr>
      <w:r>
        <w:t xml:space="preserve">Restore core routing and switching infrastructure</w:t>
      </w:r>
    </w:p>
    <w:p>
      <w:pPr>
        <w:pStyle w:val="ListParagraph"/>
        <w:numPr>
          <w:ilvl w:val="0"/>
          <w:numId w:val="3"/>
        </w:numPr>
      </w:pPr>
      <w:r>
        <w:t xml:space="preserve">Implement network segmentation and security controls</w:t>
      </w:r>
    </w:p>
    <w:p>
      <w:pPr>
        <w:pStyle w:val="ListParagraph"/>
        <w:numPr>
          <w:ilvl w:val="0"/>
          <w:numId w:val="3"/>
        </w:numPr>
      </w:pPr>
      <w:r>
        <w:t xml:space="preserve">Test connectivity to secondary sites and cloud services</w:t>
      </w:r>
    </w:p>
    <w:p>
      <w:pPr>
        <w:pStyle w:val="ListParagraph"/>
        <w:numPr>
          <w:ilvl w:val="0"/>
          <w:numId w:val="3"/>
        </w:numPr>
      </w:pPr>
      <w:r>
        <w:t xml:space="preserve">Verify firewall and VPN functionality</w:t>
      </w:r>
    </w:p>
    <w:p>
      <w:pPr>
        <w:pStyle w:val="ListParagraph"/>
        <w:numPr>
          <w:ilvl w:val="0"/>
          <w:numId w:val="3"/>
        </w:numPr>
      </w:pPr>
      <w:r>
        <w:t xml:space="preserve">Document network configuration and notify ICT Recovery Commander</w:t>
      </w:r>
    </w:p>
    <w:p>
      <w:pPr>
        <w:pStyle w:val="Heading3"/>
      </w:pPr>
      <w:r>
        <w:t xml:space="preserve">5.2.2 Server and Storage Recovery</w:t>
      </w:r>
    </w:p>
    <w:p>
      <w:r>
        <w:rPr>
          <w:b/>
          <w:bCs/>
        </w:rPr>
        <w:t xml:space="preserve">TARGET RTO: 2 Hours | TARGET RPO: 30 Minutes</w:t>
      </w:r>
    </w:p>
    <w:p>
      <w:pPr>
        <w:pStyle w:val="ListParagraph"/>
        <w:numPr>
          <w:ilvl w:val="0"/>
          <w:numId w:val="3"/>
        </w:numPr>
      </w:pPr>
      <w:r>
        <w:t xml:space="preserve">Verify server hardware status and availability</w:t>
      </w:r>
    </w:p>
    <w:p>
      <w:pPr>
        <w:pStyle w:val="ListParagraph"/>
        <w:numPr>
          <w:ilvl w:val="0"/>
          <w:numId w:val="3"/>
        </w:numPr>
      </w:pPr>
      <w:r>
        <w:t xml:space="preserve">Activate backup servers if primary systems are unavailable</w:t>
      </w:r>
    </w:p>
    <w:p>
      <w:pPr>
        <w:pStyle w:val="ListParagraph"/>
        <w:numPr>
          <w:ilvl w:val="0"/>
          <w:numId w:val="3"/>
        </w:numPr>
      </w:pPr>
      <w:r>
        <w:t xml:space="preserve">Restore domain controllers and directory services</w:t>
      </w:r>
    </w:p>
    <w:p>
      <w:pPr>
        <w:pStyle w:val="ListParagraph"/>
        <w:numPr>
          <w:ilvl w:val="0"/>
          <w:numId w:val="3"/>
        </w:numPr>
      </w:pPr>
      <w:r>
        <w:t xml:space="preserve">Initialize storage systems and verify data integrity</w:t>
      </w:r>
    </w:p>
    <w:p>
      <w:pPr>
        <w:pStyle w:val="ListParagraph"/>
        <w:numPr>
          <w:ilvl w:val="0"/>
          <w:numId w:val="3"/>
        </w:numPr>
      </w:pPr>
      <w:r>
        <w:t xml:space="preserve">Begin systematic restoration of critical servers</w:t>
      </w:r>
    </w:p>
    <w:p>
      <w:pPr>
        <w:pStyle w:val="ListParagraph"/>
        <w:numPr>
          <w:ilvl w:val="0"/>
          <w:numId w:val="3"/>
        </w:numPr>
      </w:pPr>
      <w:r>
        <w:t xml:space="preserve">Validate authentication and authorization systems</w:t>
      </w:r>
    </w:p>
    <w:p>
      <w:pPr>
        <w:pStyle w:val="ListParagraph"/>
        <w:numPr>
          <w:ilvl w:val="0"/>
          <w:numId w:val="3"/>
        </w:numPr>
      </w:pPr>
      <w:r>
        <w:t xml:space="preserve">Confirm monitoring and logging system functionality</w:t>
      </w:r>
    </w:p>
    <w:p>
      <w:pPr>
        <w:pStyle w:val="Heading2"/>
      </w:pPr>
      <w:r>
        <w:t xml:space="preserve">5.3 Application and Data Recovery</w:t>
      </w:r>
    </w:p>
    <w:p>
      <w:pPr>
        <w:pStyle w:val="Heading3"/>
      </w:pPr>
      <w:r>
        <w:t xml:space="preserve">5.3.1 Financial Systems Recovery</w:t>
      </w:r>
    </w:p>
    <w:p>
      <w:r>
        <w:rPr>
          <w:b/>
          <w:bCs/>
        </w:rPr>
        <w:t xml:space="preserve">TARGET RTO: 4 Hours | TARGET RPO: 1 Hour</w:t>
      </w:r>
    </w:p>
    <w:p>
      <w:pPr>
        <w:pStyle w:val="ListParagraph"/>
        <w:numPr>
          <w:ilvl w:val="0"/>
          <w:numId w:val="3"/>
        </w:numPr>
      </w:pPr>
      <w:r>
        <w:t xml:space="preserve">Verify infrastructure recovery completion</w:t>
      </w:r>
    </w:p>
    <w:p>
      <w:pPr>
        <w:pStyle w:val="ListParagraph"/>
        <w:numPr>
          <w:ilvl w:val="0"/>
          <w:numId w:val="3"/>
        </w:numPr>
      </w:pPr>
      <w:r>
        <w:t xml:space="preserve">Restore database servers with latest verified backups</w:t>
      </w:r>
    </w:p>
    <w:p>
      <w:pPr>
        <w:pStyle w:val="ListParagraph"/>
        <w:numPr>
          <w:ilvl w:val="0"/>
          <w:numId w:val="3"/>
        </w:numPr>
      </w:pPr>
      <w:r>
        <w:t xml:space="preserve">Validate financial data integrity and consistency</w:t>
      </w:r>
    </w:p>
    <w:p>
      <w:pPr>
        <w:pStyle w:val="ListParagraph"/>
        <w:numPr>
          <w:ilvl w:val="0"/>
          <w:numId w:val="3"/>
        </w:numPr>
      </w:pPr>
      <w:r>
        <w:t xml:space="preserve">Initialize ERP application services</w:t>
      </w:r>
    </w:p>
    <w:p>
      <w:pPr>
        <w:pStyle w:val="ListParagraph"/>
        <w:numPr>
          <w:ilvl w:val="0"/>
          <w:numId w:val="3"/>
        </w:numPr>
      </w:pPr>
      <w:r>
        <w:t xml:space="preserve">Test payment processing and banking interfaces</w:t>
      </w:r>
    </w:p>
    <w:p>
      <w:pPr>
        <w:pStyle w:val="ListParagraph"/>
        <w:numPr>
          <w:ilvl w:val="0"/>
          <w:numId w:val="3"/>
        </w:numPr>
      </w:pPr>
      <w:r>
        <w:t xml:space="preserve">Restore user access for Finance Department personnel</w:t>
      </w:r>
    </w:p>
    <w:p>
      <w:pPr>
        <w:pStyle w:val="ListParagraph"/>
        <w:numPr>
          <w:ilvl w:val="0"/>
          <w:numId w:val="3"/>
        </w:numPr>
      </w:pPr>
      <w:r>
        <w:t xml:space="preserve">Perform system reconciliation and validation tests</w:t>
      </w:r>
    </w:p>
    <w:p>
      <w:pPr>
        <w:pStyle w:val="ListParagraph"/>
        <w:numPr>
          <w:ilvl w:val="0"/>
          <w:numId w:val="3"/>
        </w:numPr>
      </w:pPr>
      <w:r>
        <w:t xml:space="preserve">Notify CFO and ICT Recovery Commander of system status</w:t>
      </w:r>
    </w:p>
    <w:p>
      <w:pPr>
        <w:pStyle w:val="Heading3"/>
      </w:pPr>
      <w:r>
        <w:t xml:space="preserve">5.3.2 Data Integrity Verification</w:t>
      </w:r>
    </w:p>
    <w:p>
      <w:r>
        <w:t xml:space="preserve">Following system restoration, comprehensive data validation must be performed:</w:t>
      </w:r>
    </w:p>
    <w:p>
      <w:pPr>
        <w:pStyle w:val="ListParagraph"/>
        <w:numPr>
          <w:ilvl w:val="0"/>
          <w:numId w:val="2"/>
        </w:numPr>
      </w:pPr>
      <w:r>
        <w:t xml:space="preserve">Compare restored data with last known good backups</w:t>
      </w:r>
    </w:p>
    <w:p>
      <w:pPr>
        <w:pStyle w:val="ListParagraph"/>
        <w:numPr>
          <w:ilvl w:val="0"/>
          <w:numId w:val="2"/>
        </w:numPr>
      </w:pPr>
      <w:r>
        <w:t xml:space="preserve">Execute data integrity checks and validation scripts</w:t>
      </w:r>
    </w:p>
    <w:p>
      <w:pPr>
        <w:pStyle w:val="ListParagraph"/>
        <w:numPr>
          <w:ilvl w:val="0"/>
          <w:numId w:val="2"/>
        </w:numPr>
      </w:pPr>
      <w:r>
        <w:t xml:space="preserve">Review transaction logs for any inconsistencies</w:t>
      </w:r>
    </w:p>
    <w:p>
      <w:pPr>
        <w:pStyle w:val="ListParagraph"/>
        <w:numPr>
          <w:ilvl w:val="0"/>
          <w:numId w:val="2"/>
        </w:numPr>
      </w:pPr>
      <w:r>
        <w:t xml:space="preserve">Coordinate with data owners to validate business-critical information</w:t>
      </w:r>
    </w:p>
    <w:p>
      <w:pPr>
        <w:pStyle w:val="ListParagraph"/>
        <w:numPr>
          <w:ilvl w:val="0"/>
          <w:numId w:val="2"/>
        </w:numPr>
      </w:pPr>
      <w:r>
        <w:t xml:space="preserve">Document any data loss or corruption incidents</w:t>
      </w:r>
    </w:p>
    <w:p>
      <w:pPr>
        <w:pStyle w:val="Heading2"/>
      </w:pPr>
      <w:r>
        <w:t xml:space="preserve">5.4 Recovery Validation and Testing</w:t>
      </w:r>
    </w:p>
    <w:p>
      <w:r>
        <w:t xml:space="preserve">Before declaring systems fully operational:</w:t>
      </w:r>
    </w:p>
    <w:p>
      <w:pPr>
        <w:pStyle w:val="ListParagraph"/>
        <w:numPr>
          <w:ilvl w:val="0"/>
          <w:numId w:val="3"/>
        </w:numPr>
      </w:pPr>
      <w:r>
        <w:t xml:space="preserve">Conduct comprehensive system functionality testing</w:t>
      </w:r>
    </w:p>
    <w:p>
      <w:pPr>
        <w:pStyle w:val="ListParagraph"/>
        <w:numPr>
          <w:ilvl w:val="0"/>
          <w:numId w:val="3"/>
        </w:numPr>
      </w:pPr>
      <w:r>
        <w:t xml:space="preserve">Verify all security controls and monitoring systems</w:t>
      </w:r>
    </w:p>
    <w:p>
      <w:pPr>
        <w:pStyle w:val="ListParagraph"/>
        <w:numPr>
          <w:ilvl w:val="0"/>
          <w:numId w:val="3"/>
        </w:numPr>
      </w:pPr>
      <w:r>
        <w:t xml:space="preserve">Test user authentication and authorization processes</w:t>
      </w:r>
    </w:p>
    <w:p>
      <w:pPr>
        <w:pStyle w:val="ListParagraph"/>
        <w:numPr>
          <w:ilvl w:val="0"/>
          <w:numId w:val="3"/>
        </w:numPr>
      </w:pPr>
      <w:r>
        <w:t xml:space="preserve">Validate network connectivity and performance</w:t>
      </w:r>
    </w:p>
    <w:p>
      <w:pPr>
        <w:pStyle w:val="ListParagraph"/>
        <w:numPr>
          <w:ilvl w:val="0"/>
          <w:numId w:val="3"/>
        </w:numPr>
      </w:pPr>
      <w:r>
        <w:t xml:space="preserve">Confirm backup and monitoring system operations</w:t>
      </w:r>
    </w:p>
    <w:p>
      <w:pPr>
        <w:pStyle w:val="ListParagraph"/>
        <w:numPr>
          <w:ilvl w:val="0"/>
          <w:numId w:val="3"/>
        </w:numPr>
      </w:pPr>
      <w:r>
        <w:t xml:space="preserve">Obtain formal sign-off from business stakeholders</w:t>
      </w:r>
    </w:p>
    <w:p>
      <w:r>
        <w:br w:type="page"/>
      </w:r>
    </w:p>
    <w:p>
      <w:pPr>
        <w:pStyle w:val="Heading1"/>
      </w:pPr>
      <w:r>
        <w:t xml:space="preserve">6. PLAN TESTING AND MAINTENANCE</w:t>
      </w:r>
    </w:p>
    <w:p>
      <w:pPr>
        <w:pStyle w:val="Heading2"/>
      </w:pPr>
      <w:r>
        <w:t xml:space="preserve">6.1 Testing Program</w:t>
      </w:r>
    </w:p>
    <w:p>
      <w:r>
        <w:t xml:space="preserve">Regular testing ensures plan effectiveness and identifies improvement opportunities: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70"/>
        <w:gridCol w:w="2340"/>
        <w:gridCol w:w="2340"/>
        <w:gridCol w:w="2810"/>
      </w:tblGrid>
      <w:tr>
        <w:trPr>
          <w:tblHeader/>
        </w:trPr>
        <w:tc>
          <w:tcPr>
            <w:tcW w:type="dxa" w:w="1870"/>
            <w:tcBorders>
              <w:top w:val="single" w:color="CCCCCC" w:sz="1"/>
              <w:left w:val="single" w:color="CCCCCC" w:sz="1"/>
              <w:bottom w:val="single" w:color="CCCCCC" w:sz="1"/>
              <w:right w:val="single" w:color="CCCCCC" w:sz="1"/>
            </w:tcBorders>
            <w:shd w:fill="E7E7E7" w:val="clear"/>
          </w:tcPr>
          <w:p>
            <w:pPr>
              <w:jc w:val="center"/>
            </w:pPr>
            <w:r>
              <w:rPr>
                <w:b/>
                <w:bCs/>
              </w:rPr>
              <w:t xml:space="preserve">Frequency</w:t>
            </w:r>
          </w:p>
        </w:tc>
        <w:tc>
          <w:tcPr>
            <w:tcW w:type="dxa" w:w="2340"/>
            <w:tcBorders>
              <w:top w:val="single" w:color="CCCCCC" w:sz="1"/>
              <w:left w:val="single" w:color="CCCCCC" w:sz="1"/>
              <w:bottom w:val="single" w:color="CCCCCC" w:sz="1"/>
              <w:right w:val="single" w:color="CCCCCC" w:sz="1"/>
            </w:tcBorders>
            <w:shd w:fill="E7E7E7" w:val="clear"/>
          </w:tcPr>
          <w:p>
            <w:pPr>
              <w:jc w:val="center"/>
            </w:pPr>
            <w:r>
              <w:rPr>
                <w:b/>
                <w:bCs/>
              </w:rPr>
              <w:t xml:space="preserve">Test Type</w:t>
            </w:r>
          </w:p>
        </w:tc>
        <w:tc>
          <w:tcPr>
            <w:tcW w:type="dxa" w:w="2340"/>
            <w:tcBorders>
              <w:top w:val="single" w:color="CCCCCC" w:sz="1"/>
              <w:left w:val="single" w:color="CCCCCC" w:sz="1"/>
              <w:bottom w:val="single" w:color="CCCCCC" w:sz="1"/>
              <w:right w:val="single" w:color="CCCCCC" w:sz="1"/>
            </w:tcBorders>
            <w:shd w:fill="E7E7E7" w:val="clear"/>
          </w:tcPr>
          <w:p>
            <w:pPr>
              <w:jc w:val="center"/>
            </w:pPr>
            <w:r>
              <w:rPr>
                <w:b/>
                <w:bCs/>
              </w:rPr>
              <w:t xml:space="preserve">Scope</w:t>
            </w:r>
          </w:p>
        </w:tc>
        <w:tc>
          <w:tcPr>
            <w:tcW w:type="dxa" w:w="2810"/>
            <w:tcBorders>
              <w:top w:val="single" w:color="CCCCCC" w:sz="1"/>
              <w:left w:val="single" w:color="CCCCCC" w:sz="1"/>
              <w:bottom w:val="single" w:color="CCCCCC" w:sz="1"/>
              <w:right w:val="single" w:color="CCCCCC" w:sz="1"/>
            </w:tcBorders>
            <w:shd w:fill="E7E7E7" w:val="clear"/>
          </w:tcPr>
          <w:p>
            <w:pPr>
              <w:jc w:val="center"/>
            </w:pPr>
            <w:r>
              <w:rPr>
                <w:b/>
                <w:bCs/>
              </w:rPr>
              <w:t xml:space="preserve">Owner</w:t>
            </w:r>
          </w:p>
        </w:tc>
      </w:tr>
      <w:tr>
        <w:tc>
          <w:tcPr>
            <w:tcW w:type="dxa" w:w="1870"/>
            <w:tcBorders>
              <w:top w:val="single" w:color="CCCCCC" w:sz="1"/>
              <w:left w:val="single" w:color="CCCCCC" w:sz="1"/>
              <w:bottom w:val="single" w:color="CCCCCC" w:sz="1"/>
              <w:right w:val="single" w:color="CCCCCC" w:sz="1"/>
            </w:tcBorders>
          </w:tcPr>
          <w:p>
            <w:r>
              <w:t xml:space="preserve">Weekly</w:t>
            </w:r>
          </w:p>
        </w:tc>
        <w:tc>
          <w:tcPr>
            <w:tcW w:type="dxa" w:w="2340"/>
            <w:tcBorders>
              <w:top w:val="single" w:color="CCCCCC" w:sz="1"/>
              <w:left w:val="single" w:color="CCCCCC" w:sz="1"/>
              <w:bottom w:val="single" w:color="CCCCCC" w:sz="1"/>
              <w:right w:val="single" w:color="CCCCCC" w:sz="1"/>
            </w:tcBorders>
          </w:tcPr>
          <w:p>
            <w:r>
              <w:t xml:space="preserve">Backup Verification</w:t>
            </w:r>
          </w:p>
        </w:tc>
        <w:tc>
          <w:tcPr>
            <w:tcW w:type="dxa" w:w="2340"/>
            <w:tcBorders>
              <w:top w:val="single" w:color="CCCCCC" w:sz="1"/>
              <w:left w:val="single" w:color="CCCCCC" w:sz="1"/>
              <w:bottom w:val="single" w:color="CCCCCC" w:sz="1"/>
              <w:right w:val="single" w:color="CCCCCC" w:sz="1"/>
            </w:tcBorders>
          </w:tcPr>
          <w:p>
            <w:r>
              <w:t xml:space="preserve">Critical system backups</w:t>
            </w:r>
          </w:p>
        </w:tc>
        <w:tc>
          <w:tcPr>
            <w:tcW w:type="dxa" w:w="2810"/>
            <w:tcBorders>
              <w:top w:val="single" w:color="CCCCCC" w:sz="1"/>
              <w:left w:val="single" w:color="CCCCCC" w:sz="1"/>
              <w:bottom w:val="single" w:color="CCCCCC" w:sz="1"/>
              <w:right w:val="single" w:color="CCCCCC" w:sz="1"/>
            </w:tcBorders>
          </w:tcPr>
          <w:p>
            <w:r>
              <w:t xml:space="preserve">Data Recovery Lead</w:t>
            </w:r>
          </w:p>
        </w:tc>
      </w:tr>
      <w:tr>
        <w:tc>
          <w:tcPr>
            <w:tcW w:type="dxa" w:w="1870"/>
            <w:tcBorders>
              <w:top w:val="single" w:color="CCCCCC" w:sz="1"/>
              <w:left w:val="single" w:color="CCCCCC" w:sz="1"/>
              <w:bottom w:val="single" w:color="CCCCCC" w:sz="1"/>
              <w:right w:val="single" w:color="CCCCCC" w:sz="1"/>
            </w:tcBorders>
          </w:tcPr>
          <w:p>
            <w:r>
              <w:t xml:space="preserve">Monthly</w:t>
            </w:r>
          </w:p>
        </w:tc>
        <w:tc>
          <w:tcPr>
            <w:tcW w:type="dxa" w:w="2340"/>
            <w:tcBorders>
              <w:top w:val="single" w:color="CCCCCC" w:sz="1"/>
              <w:left w:val="single" w:color="CCCCCC" w:sz="1"/>
              <w:bottom w:val="single" w:color="CCCCCC" w:sz="1"/>
              <w:right w:val="single" w:color="CCCCCC" w:sz="1"/>
            </w:tcBorders>
          </w:tcPr>
          <w:p>
            <w:r>
              <w:t xml:space="preserve">Restoration Testing</w:t>
            </w:r>
          </w:p>
        </w:tc>
        <w:tc>
          <w:tcPr>
            <w:tcW w:type="dxa" w:w="2340"/>
            <w:tcBorders>
              <w:top w:val="single" w:color="CCCCCC" w:sz="1"/>
              <w:left w:val="single" w:color="CCCCCC" w:sz="1"/>
              <w:bottom w:val="single" w:color="CCCCCC" w:sz="1"/>
              <w:right w:val="single" w:color="CCCCCC" w:sz="1"/>
            </w:tcBorders>
          </w:tcPr>
          <w:p>
            <w:r>
              <w:t xml:space="preserve">Selected critical systems</w:t>
            </w:r>
          </w:p>
        </w:tc>
        <w:tc>
          <w:tcPr>
            <w:tcW w:type="dxa" w:w="2810"/>
            <w:tcBorders>
              <w:top w:val="single" w:color="CCCCCC" w:sz="1"/>
              <w:left w:val="single" w:color="CCCCCC" w:sz="1"/>
              <w:bottom w:val="single" w:color="CCCCCC" w:sz="1"/>
              <w:right w:val="single" w:color="CCCCCC" w:sz="1"/>
            </w:tcBorders>
          </w:tcPr>
          <w:p>
            <w:r>
              <w:t xml:space="preserve">IT Infrastructure Lead</w:t>
            </w:r>
          </w:p>
        </w:tc>
      </w:tr>
      <w:tr>
        <w:tc>
          <w:tcPr>
            <w:tcW w:type="dxa" w:w="1870"/>
            <w:tcBorders>
              <w:top w:val="single" w:color="CCCCCC" w:sz="1"/>
              <w:left w:val="single" w:color="CCCCCC" w:sz="1"/>
              <w:bottom w:val="single" w:color="CCCCCC" w:sz="1"/>
              <w:right w:val="single" w:color="CCCCCC" w:sz="1"/>
            </w:tcBorders>
          </w:tcPr>
          <w:p>
            <w:r>
              <w:t xml:space="preserve">Quarterly</w:t>
            </w:r>
          </w:p>
        </w:tc>
        <w:tc>
          <w:tcPr>
            <w:tcW w:type="dxa" w:w="2340"/>
            <w:tcBorders>
              <w:top w:val="single" w:color="CCCCCC" w:sz="1"/>
              <w:left w:val="single" w:color="CCCCCC" w:sz="1"/>
              <w:bottom w:val="single" w:color="CCCCCC" w:sz="1"/>
              <w:right w:val="single" w:color="CCCCCC" w:sz="1"/>
            </w:tcBorders>
          </w:tcPr>
          <w:p>
            <w:r>
              <w:t xml:space="preserve">Tabletop Exercises</w:t>
            </w:r>
          </w:p>
        </w:tc>
        <w:tc>
          <w:tcPr>
            <w:tcW w:type="dxa" w:w="2340"/>
            <w:tcBorders>
              <w:top w:val="single" w:color="CCCCCC" w:sz="1"/>
              <w:left w:val="single" w:color="CCCCCC" w:sz="1"/>
              <w:bottom w:val="single" w:color="CCCCCC" w:sz="1"/>
              <w:right w:val="single" w:color="CCCCCC" w:sz="1"/>
            </w:tcBorders>
          </w:tcPr>
          <w:p>
            <w:r>
              <w:t xml:space="preserve">ICT recovery scenarios</w:t>
            </w:r>
          </w:p>
        </w:tc>
        <w:tc>
          <w:tcPr>
            <w:tcW w:type="dxa" w:w="2810"/>
            <w:tcBorders>
              <w:top w:val="single" w:color="CCCCCC" w:sz="1"/>
              <w:left w:val="single" w:color="CCCCCC" w:sz="1"/>
              <w:bottom w:val="single" w:color="CCCCCC" w:sz="1"/>
              <w:right w:val="single" w:color="CCCCCC" w:sz="1"/>
            </w:tcBorders>
          </w:tcPr>
          <w:p>
            <w:r>
              <w:t xml:space="preserve">ICT Recovery Commander</w:t>
            </w:r>
          </w:p>
        </w:tc>
      </w:tr>
      <w:tr>
        <w:tc>
          <w:tcPr>
            <w:tcW w:type="dxa" w:w="1870"/>
            <w:tcBorders>
              <w:top w:val="single" w:color="CCCCCC" w:sz="1"/>
              <w:left w:val="single" w:color="CCCCCC" w:sz="1"/>
              <w:bottom w:val="single" w:color="CCCCCC" w:sz="1"/>
              <w:right w:val="single" w:color="CCCCCC" w:sz="1"/>
            </w:tcBorders>
          </w:tcPr>
          <w:p>
            <w:r>
              <w:t xml:space="preserve">Semi-Annual</w:t>
            </w:r>
          </w:p>
        </w:tc>
        <w:tc>
          <w:tcPr>
            <w:tcW w:type="dxa" w:w="2340"/>
            <w:tcBorders>
              <w:top w:val="single" w:color="CCCCCC" w:sz="1"/>
              <w:left w:val="single" w:color="CCCCCC" w:sz="1"/>
              <w:bottom w:val="single" w:color="CCCCCC" w:sz="1"/>
              <w:right w:val="single" w:color="CCCCCC" w:sz="1"/>
            </w:tcBorders>
          </w:tcPr>
          <w:p>
            <w:r>
              <w:t xml:space="preserve">Functional Exercises</w:t>
            </w:r>
          </w:p>
        </w:tc>
        <w:tc>
          <w:tcPr>
            <w:tcW w:type="dxa" w:w="2340"/>
            <w:tcBorders>
              <w:top w:val="single" w:color="CCCCCC" w:sz="1"/>
              <w:left w:val="single" w:color="CCCCCC" w:sz="1"/>
              <w:bottom w:val="single" w:color="CCCCCC" w:sz="1"/>
              <w:right w:val="single" w:color="CCCCCC" w:sz="1"/>
            </w:tcBorders>
          </w:tcPr>
          <w:p>
            <w:r>
              <w:t xml:space="preserve">Partial system activation</w:t>
            </w:r>
          </w:p>
        </w:tc>
        <w:tc>
          <w:tcPr>
            <w:tcW w:type="dxa" w:w="2810"/>
            <w:tcBorders>
              <w:top w:val="single" w:color="CCCCCC" w:sz="1"/>
              <w:left w:val="single" w:color="CCCCCC" w:sz="1"/>
              <w:bottom w:val="single" w:color="CCCCCC" w:sz="1"/>
              <w:right w:val="single" w:color="CCCCCC" w:sz="1"/>
            </w:tcBorders>
          </w:tcPr>
          <w:p>
            <w:r>
              <w:t xml:space="preserve">CISO</w:t>
            </w:r>
          </w:p>
        </w:tc>
      </w:tr>
      <w:tr>
        <w:tc>
          <w:tcPr>
            <w:tcW w:type="dxa" w:w="1870"/>
            <w:tcBorders>
              <w:top w:val="single" w:color="CCCCCC" w:sz="1"/>
              <w:left w:val="single" w:color="CCCCCC" w:sz="1"/>
              <w:bottom w:val="single" w:color="CCCCCC" w:sz="1"/>
              <w:right w:val="single" w:color="CCCCCC" w:sz="1"/>
            </w:tcBorders>
          </w:tcPr>
          <w:p>
            <w:r>
              <w:t xml:space="preserve">Annual</w:t>
            </w:r>
          </w:p>
        </w:tc>
        <w:tc>
          <w:tcPr>
            <w:tcW w:type="dxa" w:w="2340"/>
            <w:tcBorders>
              <w:top w:val="single" w:color="CCCCCC" w:sz="1"/>
              <w:left w:val="single" w:color="CCCCCC" w:sz="1"/>
              <w:bottom w:val="single" w:color="CCCCCC" w:sz="1"/>
              <w:right w:val="single" w:color="CCCCCC" w:sz="1"/>
            </w:tcBorders>
          </w:tcPr>
          <w:p>
            <w:r>
              <w:t xml:space="preserve">Full-Scale Exercise</w:t>
            </w:r>
          </w:p>
        </w:tc>
        <w:tc>
          <w:tcPr>
            <w:tcW w:type="dxa" w:w="2340"/>
            <w:tcBorders>
              <w:top w:val="single" w:color="CCCCCC" w:sz="1"/>
              <w:left w:val="single" w:color="CCCCCC" w:sz="1"/>
              <w:bottom w:val="single" w:color="CCCCCC" w:sz="1"/>
              <w:right w:val="single" w:color="CCCCCC" w:sz="1"/>
            </w:tcBorders>
          </w:tcPr>
          <w:p>
            <w:r>
              <w:t xml:space="preserve">Complete plan activation</w:t>
            </w:r>
          </w:p>
        </w:tc>
        <w:tc>
          <w:tcPr>
            <w:tcW w:type="dxa" w:w="2810"/>
            <w:tcBorders>
              <w:top w:val="single" w:color="CCCCCC" w:sz="1"/>
              <w:left w:val="single" w:color="CCCCCC" w:sz="1"/>
              <w:bottom w:val="single" w:color="CCCCCC" w:sz="1"/>
              <w:right w:val="single" w:color="CCCCCC" w:sz="1"/>
            </w:tcBorders>
          </w:tcPr>
          <w:p>
            <w:r>
              <w:t xml:space="preserve">CEO/COO</w:t>
            </w:r>
          </w:p>
        </w:tc>
      </w:tr>
    </w:tbl>
    <w:p>
      <w:pPr>
        <w:pStyle w:val="Heading2"/>
      </w:pPr>
      <w:r>
        <w:t xml:space="preserve">6.2 Plan Maintenance</w:t>
      </w:r>
    </w:p>
    <w:p>
      <w:r>
        <w:t xml:space="preserve">The ICT Continuity Plan requires regular maintenance to remain current and effective:</w:t>
      </w:r>
    </w:p>
    <w:p>
      <w:pPr>
        <w:pStyle w:val="Heading3"/>
      </w:pPr>
      <w:r>
        <w:t xml:space="preserve">6.2.1 Update Triggers</w:t>
      </w:r>
    </w:p>
    <w:p>
      <w:pPr>
        <w:pStyle w:val="ListParagraph"/>
        <w:numPr>
          <w:ilvl w:val="0"/>
          <w:numId w:val="2"/>
        </w:numPr>
      </w:pPr>
      <w:r>
        <w:t xml:space="preserve">Significant changes to IT infrastructure or architecture</w:t>
      </w:r>
    </w:p>
    <w:p>
      <w:pPr>
        <w:pStyle w:val="ListParagraph"/>
        <w:numPr>
          <w:ilvl w:val="0"/>
          <w:numId w:val="2"/>
        </w:numPr>
      </w:pPr>
      <w:r>
        <w:t xml:space="preserve">New critical applications or system implementations</w:t>
      </w:r>
    </w:p>
    <w:p>
      <w:pPr>
        <w:pStyle w:val="ListParagraph"/>
        <w:numPr>
          <w:ilvl w:val="0"/>
          <w:numId w:val="2"/>
        </w:numPr>
      </w:pPr>
      <w:r>
        <w:t xml:space="preserve">Changes to business processes or requirements</w:t>
      </w:r>
    </w:p>
    <w:p>
      <w:pPr>
        <w:pStyle w:val="ListParagraph"/>
        <w:numPr>
          <w:ilvl w:val="0"/>
          <w:numId w:val="2"/>
        </w:numPr>
      </w:pPr>
      <w:r>
        <w:t xml:space="preserve">Lessons learned from exercises or actual incidents</w:t>
      </w:r>
    </w:p>
    <w:p>
      <w:pPr>
        <w:pStyle w:val="ListParagraph"/>
        <w:numPr>
          <w:ilvl w:val="0"/>
          <w:numId w:val="2"/>
        </w:numPr>
      </w:pPr>
      <w:r>
        <w:t xml:space="preserve">Personnel changes in key recovery roles</w:t>
      </w:r>
    </w:p>
    <w:p>
      <w:pPr>
        <w:pStyle w:val="ListParagraph"/>
        <w:numPr>
          <w:ilvl w:val="0"/>
          <w:numId w:val="2"/>
        </w:numPr>
      </w:pPr>
      <w:r>
        <w:t xml:space="preserve">Regulatory or compliance requirement changes</w:t>
      </w:r>
    </w:p>
    <w:p>
      <w:pPr>
        <w:pStyle w:val="ListParagraph"/>
        <w:numPr>
          <w:ilvl w:val="0"/>
          <w:numId w:val="2"/>
        </w:numPr>
      </w:pPr>
      <w:r>
        <w:t xml:space="preserve">Annual comprehensive plan review</w:t>
      </w:r>
    </w:p>
    <w:p>
      <w:pPr>
        <w:pStyle w:val="Heading3"/>
      </w:pPr>
      <w:r>
        <w:t xml:space="preserve">6.2.2 Version Control and Distribution</w:t>
      </w:r>
    </w:p>
    <w:p>
      <w:pPr>
        <w:pStyle w:val="ListParagraph"/>
        <w:numPr>
          <w:ilvl w:val="0"/>
          <w:numId w:val="2"/>
        </w:numPr>
      </w:pPr>
      <w:r>
        <w:t xml:space="preserve">Centralized document repository with access controls</w:t>
      </w:r>
    </w:p>
    <w:p>
      <w:pPr>
        <w:pStyle w:val="ListParagraph"/>
        <w:numPr>
          <w:ilvl w:val="0"/>
          <w:numId w:val="2"/>
        </w:numPr>
      </w:pPr>
      <w:r>
        <w:t xml:space="preserve">Automated distribution to all plan stakeholders</w:t>
      </w:r>
    </w:p>
    <w:p>
      <w:pPr>
        <w:pStyle w:val="ListParagraph"/>
        <w:numPr>
          <w:ilvl w:val="0"/>
          <w:numId w:val="2"/>
        </w:numPr>
      </w:pPr>
      <w:r>
        <w:t xml:space="preserve">Version tracking and change documentation</w:t>
      </w:r>
    </w:p>
    <w:p>
      <w:pPr>
        <w:pStyle w:val="ListParagraph"/>
        <w:numPr>
          <w:ilvl w:val="0"/>
          <w:numId w:val="2"/>
        </w:numPr>
      </w:pPr>
      <w:r>
        <w:t xml:space="preserve">Secure offline copies for emergency access</w:t>
      </w:r>
    </w:p>
    <w:p>
      <w:pPr>
        <w:pStyle w:val="ListParagraph"/>
        <w:numPr>
          <w:ilvl w:val="0"/>
          <w:numId w:val="2"/>
        </w:numPr>
      </w:pPr>
      <w:r>
        <w:t xml:space="preserve">Annual verification of contact information and procedures</w:t>
      </w:r>
    </w:p>
    <w:p>
      <w:r>
        <w:br w:type="page"/>
      </w:r>
    </w:p>
    <w:p>
      <w:pPr>
        <w:pStyle w:val="Heading1"/>
      </w:pPr>
      <w:r>
        <w:t xml:space="preserve">7. APPENDICES</w:t>
      </w:r>
    </w:p>
    <w:p>
      <w:pPr>
        <w:pStyle w:val="Heading2"/>
      </w:pPr>
      <w:r>
        <w:t xml:space="preserve">Appendix A: Emergency Contact Lists</w:t>
      </w:r>
    </w:p>
    <w:p>
      <w:r>
        <w:t xml:space="preserve">Complete contact information for all ICT Recovery Team members, department heads, external vendors, and emergency services. (Maintained separately for security purposes)</w:t>
      </w:r>
    </w:p>
    <w:p>
      <w:pPr>
        <w:pStyle w:val="Heading2"/>
      </w:pPr>
      <w:r>
        <w:t xml:space="preserve">Appendix B: Vendor and Service Provider Contacts</w:t>
      </w:r>
    </w:p>
    <w:p>
      <w:r>
        <w:t xml:space="preserve">Emergency contact information for critical service providers, hardware vendors, software suppliers, and cloud service providers.</w:t>
      </w:r>
    </w:p>
    <w:p>
      <w:pPr>
        <w:pStyle w:val="Heading2"/>
      </w:pPr>
      <w:r>
        <w:t xml:space="preserve">Appendix C: System Recovery Checklists</w:t>
      </w:r>
    </w:p>
    <w:p>
      <w:r>
        <w:t xml:space="preserve">Detailed technical procedures for recovering specific IT systems and applications, including:</w:t>
      </w:r>
    </w:p>
    <w:p>
      <w:pPr>
        <w:pStyle w:val="ListParagraph"/>
        <w:numPr>
          <w:ilvl w:val="0"/>
          <w:numId w:val="2"/>
        </w:numPr>
      </w:pPr>
      <w:r>
        <w:t xml:space="preserve">Network infrastructure recovery procedures</w:t>
      </w:r>
    </w:p>
    <w:p>
      <w:pPr>
        <w:pStyle w:val="ListParagraph"/>
        <w:numPr>
          <w:ilvl w:val="0"/>
          <w:numId w:val="2"/>
        </w:numPr>
      </w:pPr>
      <w:r>
        <w:t xml:space="preserve">Server build and configuration scripts</w:t>
      </w:r>
    </w:p>
    <w:p>
      <w:pPr>
        <w:pStyle w:val="ListParagraph"/>
        <w:numPr>
          <w:ilvl w:val="0"/>
          <w:numId w:val="2"/>
        </w:numPr>
      </w:pPr>
      <w:r>
        <w:t xml:space="preserve">Database restoration procedures</w:t>
      </w:r>
    </w:p>
    <w:p>
      <w:pPr>
        <w:pStyle w:val="ListParagraph"/>
        <w:numPr>
          <w:ilvl w:val="0"/>
          <w:numId w:val="2"/>
        </w:numPr>
      </w:pPr>
      <w:r>
        <w:t xml:space="preserve">Application deployment and configuration guides</w:t>
      </w:r>
    </w:p>
    <w:p>
      <w:pPr>
        <w:pStyle w:val="ListParagraph"/>
        <w:numPr>
          <w:ilvl w:val="0"/>
          <w:numId w:val="2"/>
        </w:numPr>
      </w:pPr>
      <w:r>
        <w:t xml:space="preserve">Security hardening and validation checklists</w:t>
      </w:r>
    </w:p>
    <w:p>
      <w:pPr>
        <w:pStyle w:val="Heading2"/>
      </w:pPr>
      <w:r>
        <w:t xml:space="preserve">Appendix D: Communication Templates</w:t>
      </w:r>
    </w:p>
    <w:p>
      <w:r>
        <w:t xml:space="preserve">Pre-approved communication templates for various stakeholder groups and scenario types:</w:t>
      </w:r>
    </w:p>
    <w:p>
      <w:pPr>
        <w:pStyle w:val="ListParagraph"/>
        <w:numPr>
          <w:ilvl w:val="0"/>
          <w:numId w:val="2"/>
        </w:numPr>
      </w:pPr>
      <w:r>
        <w:t xml:space="preserve">Executive notification templates</w:t>
      </w:r>
    </w:p>
    <w:p>
      <w:pPr>
        <w:pStyle w:val="ListParagraph"/>
        <w:numPr>
          <w:ilvl w:val="0"/>
          <w:numId w:val="2"/>
        </w:numPr>
      </w:pPr>
      <w:r>
        <w:t xml:space="preserve">Employee communication templates</w:t>
      </w:r>
    </w:p>
    <w:p>
      <w:pPr>
        <w:pStyle w:val="ListParagraph"/>
        <w:numPr>
          <w:ilvl w:val="0"/>
          <w:numId w:val="2"/>
        </w:numPr>
      </w:pPr>
      <w:r>
        <w:t xml:space="preserve">Customer notification templates</w:t>
      </w:r>
    </w:p>
    <w:p>
      <w:pPr>
        <w:pStyle w:val="ListParagraph"/>
        <w:numPr>
          <w:ilvl w:val="0"/>
          <w:numId w:val="2"/>
        </w:numPr>
      </w:pPr>
      <w:r>
        <w:t xml:space="preserve">Vendor and partner communication templates</w:t>
      </w:r>
    </w:p>
    <w:p>
      <w:pPr>
        <w:pStyle w:val="ListParagraph"/>
        <w:numPr>
          <w:ilvl w:val="0"/>
          <w:numId w:val="2"/>
        </w:numPr>
      </w:pPr>
      <w:r>
        <w:t xml:space="preserve">Regulatory notification templates</w:t>
      </w:r>
    </w:p>
    <w:p>
      <w:pPr>
        <w:pStyle w:val="Heading2"/>
      </w:pPr>
      <w:r>
        <w:t xml:space="preserve">Appendix E: Lessons Learned from Incident INC-2025-001234</w:t>
      </w:r>
    </w:p>
    <w:p>
      <w:r>
        <w:t xml:space="preserve">Key findings and improvements implemented following the November 8, 2025 ransomware incident:</w:t>
      </w:r>
    </w:p>
    <w:p>
      <w:pPr>
        <w:pStyle w:val="ListParagraph"/>
        <w:numPr>
          <w:ilvl w:val="0"/>
          <w:numId w:val="2"/>
        </w:numPr>
      </w:pPr>
      <w:r>
        <w:t xml:space="preserve">Enhanced email security controls to prevent phishing attacks</w:t>
      </w:r>
    </w:p>
    <w:p>
      <w:pPr>
        <w:pStyle w:val="ListParagraph"/>
        <w:numPr>
          <w:ilvl w:val="0"/>
          <w:numId w:val="2"/>
        </w:numPr>
      </w:pPr>
      <w:r>
        <w:t xml:space="preserve">Improved network segmentation to limit lateral movement</w:t>
      </w:r>
    </w:p>
    <w:p>
      <w:pPr>
        <w:pStyle w:val="ListParagraph"/>
        <w:numPr>
          <w:ilvl w:val="0"/>
          <w:numId w:val="2"/>
        </w:numPr>
      </w:pPr>
      <w:r>
        <w:t xml:space="preserve">Automated backup integrity verification processes</w:t>
      </w:r>
    </w:p>
    <w:p>
      <w:pPr>
        <w:pStyle w:val="ListParagraph"/>
        <w:numPr>
          <w:ilvl w:val="0"/>
          <w:numId w:val="2"/>
        </w:numPr>
      </w:pPr>
      <w:r>
        <w:t xml:space="preserve">Accelerated recovery procedures for critical systems</w:t>
      </w:r>
    </w:p>
    <w:p>
      <w:pPr>
        <w:pStyle w:val="ListParagraph"/>
        <w:numPr>
          <w:ilvl w:val="0"/>
          <w:numId w:val="2"/>
        </w:numPr>
      </w:pPr>
      <w:r>
        <w:t xml:space="preserve">Enhanced coordination with incident response procedures</w:t>
      </w:r>
    </w:p>
    <w:p>
      <w:r>
        <w:t xml:space="preserve"/>
      </w:r>
    </w:p>
    <w:p>
      <w:r>
        <w:t xml:space="preserve"/>
      </w:r>
    </w:p>
    <w:p>
      <w:pPr>
        <w:pStyle w:val="Heading2"/>
      </w:pPr>
      <w:r>
        <w:t xml:space="preserve">PLAN APPROVAL AND AUTHORIZATION</w:t>
      </w:r>
    </w:p>
    <w:p>
      <w:r>
        <w:t xml:space="preserve">This ICT Continuity Plan has been reviewed and approved by the following authorized personnel: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7E7E7" w:val="clear"/>
          </w:tcPr>
          <w:p>
            <w:pPr>
              <w:jc w:val="center"/>
            </w:pPr>
            <w:r>
              <w:rPr>
                <w:b/>
                <w:bCs/>
              </w:rPr>
              <w:t xml:space="preserve">Role</w:t>
            </w:r>
          </w:p>
        </w:tc>
        <w:tc>
          <w:tcPr>
            <w:tcW w:type="dxa" w:w="3120"/>
            <w:tcBorders>
              <w:top w:val="single" w:color="CCCCCC" w:sz="1"/>
              <w:left w:val="single" w:color="CCCCCC" w:sz="1"/>
              <w:bottom w:val="single" w:color="CCCCCC" w:sz="1"/>
              <w:right w:val="single" w:color="CCCCCC" w:sz="1"/>
            </w:tcBorders>
            <w:shd w:fill="E7E7E7" w:val="clear"/>
          </w:tcPr>
          <w:p>
            <w:pPr>
              <w:jc w:val="center"/>
            </w:pPr>
            <w:r>
              <w:rPr>
                <w:b/>
                <w:bCs/>
              </w:rPr>
              <w:t xml:space="preserve">Name</w:t>
            </w:r>
          </w:p>
        </w:tc>
        <w:tc>
          <w:tcPr>
            <w:tcW w:type="dxa" w:w="3120"/>
            <w:tcBorders>
              <w:top w:val="single" w:color="CCCCCC" w:sz="1"/>
              <w:left w:val="single" w:color="CCCCCC" w:sz="1"/>
              <w:bottom w:val="single" w:color="CCCCCC" w:sz="1"/>
              <w:right w:val="single" w:color="CCCCCC" w:sz="1"/>
            </w:tcBorders>
            <w:shd w:fill="E7E7E7" w:val="clear"/>
          </w:tcPr>
          <w:p>
            <w:pPr>
              <w:jc w:val="center"/>
            </w:pPr>
            <w:r>
              <w:rPr>
                <w:b/>
                <w:bCs/>
              </w:rPr>
              <w:t xml:space="preserve">Date</w:t>
            </w:r>
          </w:p>
        </w:tc>
      </w:tr>
      <w:tr>
        <w:tc>
          <w:tcPr>
            <w:tcW w:type="dxa" w:w="3120"/>
            <w:tcBorders>
              <w:top w:val="single" w:color="CCCCCC" w:sz="1"/>
              <w:left w:val="single" w:color="CCCCCC" w:sz="1"/>
              <w:bottom w:val="single" w:color="CCCCCC" w:sz="1"/>
              <w:right w:val="single" w:color="CCCCCC" w:sz="1"/>
            </w:tcBorders>
          </w:tcPr>
          <w:p>
            <w:r>
              <w:t xml:space="preserve">Chief Executive Officer</w:t>
            </w:r>
          </w:p>
        </w:tc>
        <w:tc>
          <w:tcPr>
            <w:tcW w:type="dxa" w:w="3120"/>
            <w:tcBorders>
              <w:top w:val="single" w:color="CCCCCC" w:sz="1"/>
              <w:left w:val="single" w:color="CCCCCC" w:sz="1"/>
              <w:bottom w:val="single" w:color="CCCCCC" w:sz="1"/>
              <w:right w:val="single" w:color="CCCCCC" w:sz="1"/>
            </w:tcBorders>
          </w:tcPr>
          <w:p>
            <w:r>
              <w:t xml:space="preserve">_______________________</w:t>
            </w:r>
          </w:p>
        </w:tc>
        <w:tc>
          <w:tcPr>
            <w:tcW w:type="dxa" w:w="3120"/>
            <w:tcBorders>
              <w:top w:val="single" w:color="CCCCCC" w:sz="1"/>
              <w:left w:val="single" w:color="CCCCCC" w:sz="1"/>
              <w:bottom w:val="single" w:color="CCCCCC" w:sz="1"/>
              <w:right w:val="single" w:color="CCCCCC" w:sz="1"/>
            </w:tcBorders>
          </w:tcPr>
          <w:p>
            <w:r>
              <w:t xml:space="preserve">_______________</w:t>
            </w:r>
          </w:p>
        </w:tc>
      </w:tr>
      <w:tr>
        <w:tc>
          <w:tcPr>
            <w:tcW w:type="dxa" w:w="3120"/>
            <w:tcBorders>
              <w:top w:val="single" w:color="CCCCCC" w:sz="1"/>
              <w:left w:val="single" w:color="CCCCCC" w:sz="1"/>
              <w:bottom w:val="single" w:color="CCCCCC" w:sz="1"/>
              <w:right w:val="single" w:color="CCCCCC" w:sz="1"/>
            </w:tcBorders>
          </w:tcPr>
          <w:p>
            <w:r>
              <w:t xml:space="preserve">Chief Information Security Officer</w:t>
            </w:r>
          </w:p>
        </w:tc>
        <w:tc>
          <w:tcPr>
            <w:tcW w:type="dxa" w:w="3120"/>
            <w:tcBorders>
              <w:top w:val="single" w:color="CCCCCC" w:sz="1"/>
              <w:left w:val="single" w:color="CCCCCC" w:sz="1"/>
              <w:bottom w:val="single" w:color="CCCCCC" w:sz="1"/>
              <w:right w:val="single" w:color="CCCCCC" w:sz="1"/>
            </w:tcBorders>
          </w:tcPr>
          <w:p>
            <w:r>
              <w:t xml:space="preserve">_______________________</w:t>
            </w:r>
          </w:p>
        </w:tc>
        <w:tc>
          <w:tcPr>
            <w:tcW w:type="dxa" w:w="3120"/>
            <w:tcBorders>
              <w:top w:val="single" w:color="CCCCCC" w:sz="1"/>
              <w:left w:val="single" w:color="CCCCCC" w:sz="1"/>
              <w:bottom w:val="single" w:color="CCCCCC" w:sz="1"/>
              <w:right w:val="single" w:color="CCCCCC" w:sz="1"/>
            </w:tcBorders>
          </w:tcPr>
          <w:p>
            <w:r>
              <w:t xml:space="preserve">_______________</w:t>
            </w:r>
          </w:p>
        </w:tc>
      </w:tr>
      <w:tr>
        <w:tc>
          <w:tcPr>
            <w:tcW w:type="dxa" w:w="3120"/>
            <w:tcBorders>
              <w:top w:val="single" w:color="CCCCCC" w:sz="1"/>
              <w:left w:val="single" w:color="CCCCCC" w:sz="1"/>
              <w:bottom w:val="single" w:color="CCCCCC" w:sz="1"/>
              <w:right w:val="single" w:color="CCCCCC" w:sz="1"/>
            </w:tcBorders>
          </w:tcPr>
          <w:p>
            <w:r>
              <w:t xml:space="preserve">ICT Recovery Commander</w:t>
            </w:r>
          </w:p>
        </w:tc>
        <w:tc>
          <w:tcPr>
            <w:tcW w:type="dxa" w:w="3120"/>
            <w:tcBorders>
              <w:top w:val="single" w:color="CCCCCC" w:sz="1"/>
              <w:left w:val="single" w:color="CCCCCC" w:sz="1"/>
              <w:bottom w:val="single" w:color="CCCCCC" w:sz="1"/>
              <w:right w:val="single" w:color="CCCCCC" w:sz="1"/>
            </w:tcBorders>
          </w:tcPr>
          <w:p>
            <w:r>
              <w:t xml:space="preserve">_______________________</w:t>
            </w:r>
          </w:p>
        </w:tc>
        <w:tc>
          <w:tcPr>
            <w:tcW w:type="dxa" w:w="3120"/>
            <w:tcBorders>
              <w:top w:val="single" w:color="CCCCCC" w:sz="1"/>
              <w:left w:val="single" w:color="CCCCCC" w:sz="1"/>
              <w:bottom w:val="single" w:color="CCCCCC" w:sz="1"/>
              <w:right w:val="single" w:color="CCCCCC" w:sz="1"/>
            </w:tcBorders>
          </w:tcPr>
          <w:p>
            <w:r>
              <w:t xml:space="preserve">_______________</w:t>
            </w:r>
          </w:p>
        </w:tc>
      </w:tr>
    </w:tbl>
    <w:p>
      <w:r>
        <w:t xml:space="preserve"/>
      </w:r>
    </w:p>
    <w:p>
      <w:r>
        <w:t xml:space="preserve"/>
      </w:r>
    </w:p>
    <w:p>
      <w:pPr>
        <w:jc w:val="center"/>
      </w:pPr>
      <w:r>
        <w:rPr>
          <w:b/>
          <w:bCs/>
        </w:rPr>
        <w:t xml:space="preserve">--- END OF PLAN ---</w:t>
      </w:r>
    </w:p>
    <w:p>
      <w:r>
        <w:t xml:space="preserve"/>
      </w:r>
    </w:p>
    <w:p>
      <w:pPr>
        <w:pStyle w:val="confidential"/>
      </w:pPr>
      <w:r>
        <w:t xml:space="preserve">Document Classification: CONFIDENTIAL</w:t>
      </w:r>
    </w:p>
    <w:p>
      <w:pPr>
        <w:jc w:val="center"/>
      </w:pPr>
      <w:r>
        <w:rPr>
          <w:b/>
          <w:bCs/>
        </w:rPr>
        <w:t xml:space="preserve">Document ID: ICT-2025-001</w:t>
      </w:r>
    </w:p>
    <w:p>
      <w:pPr>
        <w:jc w:val="center"/>
      </w:pPr>
      <w:r>
        <w:rPr>
          <w:b/>
          <w:bCs/>
        </w:rPr>
        <w:t xml:space="preserve">Version: 1.0</w:t>
      </w:r>
    </w:p>
    <w:p>
      <w:pPr>
        <w:jc w:val="center"/>
      </w:pPr>
      <w:r>
        <w:rPr>
          <w:b/>
          <w:bCs/>
        </w:rPr>
        <w:t xml:space="preserve">Effective Date: November 10, 2025</w:t>
      </w:r>
    </w:p>
    <w:p>
      <w:pPr>
        <w:jc w:val="center"/>
      </w:pPr>
      <w:r>
        <w:rPr>
          <w:b/>
          <w:bCs/>
        </w:rPr>
        <w:t xml:space="preserve">Next Review Date: November 10, 2026</w:t>
      </w:r>
    </w:p>
    <w:p>
      <w:pPr>
        <w:jc w:val="center"/>
      </w:pPr>
      <w:r>
        <w:rPr>
          <w:b/>
          <w:bCs/>
        </w:rPr>
        <w:t xml:space="preserve">Prepared by: ICT Recovery Team</w:t>
      </w:r>
    </w:p>
    <w:p>
      <w:pPr>
        <w:jc w:val="center"/>
      </w:pPr>
      <w:r>
        <w:rPr>
          <w:b/>
          <w:bCs/>
        </w:rPr>
        <w:t xml:space="preserve">Approved by: Executive Leadership Team</w:t>
      </w:r>
    </w:p>
    <w:sectPr>
      <w:headerReference w:type="default" r:id="rId6"/>
      <w:footerReference w:type="default" r:id="rId7"/>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t xml:space="preserve">ICT CONTINUITY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120"/>
      <w:outlineLvl w:val="2"/>
    </w:pPr>
    <w:rPr>
      <w:rFonts w:ascii="Arial" w:cs="Arial" w:eastAsia="Arial" w:hAnsi="Arial"/>
      <w:b/>
      <w:bCs/>
      <w:color w:val="000000"/>
      <w:sz w:val="26"/>
      <w:szCs w:val="26"/>
    </w:rPr>
  </w:style>
  <w:style w:type="paragraph" w:styleId="confidential">
    <w:name w:val="Confidential"/>
    <w:basedOn w:val="Normal"/>
    <w:pPr>
      <w:spacing w:after="120"/>
      <w:jc w:val="center"/>
    </w:pPr>
    <w:rPr>
      <w:rFonts w:ascii="Arial" w:cs="Arial" w:eastAsia="Arial" w:hAnsi="Arial"/>
      <w:b/>
      <w:bCs/>
      <w:color w:val="FF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2025-11-10T17:49:35.005Z</dcterms:created>
  <dcterms:modified xsi:type="dcterms:W3CDTF">2025-11-10T17:49:35.006Z</dcterms:modified>
</cp:coreProperties>
</file>

<file path=docProps/custom.xml><?xml version="1.0" encoding="utf-8"?>
<Properties xmlns="http://schemas.openxmlformats.org/officeDocument/2006/custom-properties" xmlns:vt="http://schemas.openxmlformats.org/officeDocument/2006/docPropsVTypes"/>
</file>