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rFonts w:ascii="CAIXA Std" w:hAnsi="CAIXA Std"/>
          <w:b/>
          <w:bCs/>
          <w:sz w:val="32"/>
          <w:szCs w:val="32"/>
        </w:rPr>
        <w:t>Proposta de Modernização de Sistemas Legados e COBOL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rFonts w:ascii="CAIXA Std" w:hAnsi="CAIXA Std"/>
          <w:sz w:val="22"/>
          <w:szCs w:val="22"/>
        </w:rPr>
        <w:t>Para responder a este desafio eu recorri primeiro a pesquisas sobre casos de sucesso já existentes na indústria de software sobre situações da mesma natureza: legado COBOL que demandava modernização.</w:t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rFonts w:ascii="CAIXA Std" w:hAnsi="CAIXA Std"/>
          <w:sz w:val="22"/>
          <w:szCs w:val="22"/>
        </w:rPr>
        <w:t>Após essa pesquisa emergiu então que um pattern bastante utilizado nisso foi o Strangler Fig, que consiste em um processo gradual de modernização onde são feitas pequenas adições de recursos construídos sobre a base de código legada, mas independentes dela. À medida que isso é feito, transfere-se partes do comportamento do sistema legado para a nova base de código.</w:t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rFonts w:ascii="CAIXA Std" w:hAnsi="CAIXA Std"/>
          <w:sz w:val="22"/>
          <w:szCs w:val="22"/>
        </w:rPr>
        <w:t>Quando se migra uma feature ou serviço, deve-se direcionar os clientes para este novo local, onde essa abordagem dá suporte a uma migração incremental, minimizando a interrupção da feature ou serviço para estes clientes, culminando com a virada total do serviço ou feature para o novo serviço e desligamento de requisições para o legado.</w:t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rFonts w:ascii="CAIXA Std" w:hAnsi="CAIXA Std"/>
          <w:sz w:val="22"/>
          <w:szCs w:val="22"/>
        </w:rPr>
        <w:t>Esta imagem abaixo demonstra isso:</w:t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37610" cy="3420110"/>
            <wp:effectExtent l="0" t="0" r="0" b="0"/>
            <wp:wrapSquare wrapText="largest"/>
            <wp:docPr id="1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6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rFonts w:ascii="CAIXA Std" w:hAnsi="CAIXA Std"/>
          <w:sz w:val="22"/>
          <w:szCs w:val="22"/>
        </w:rPr>
        <w:t>Outras abordagens que também podem ser implementadas são a construção de layers sobre o core COBOL, ou seja, criação de APIs e/ou serviços event-driven (como Kafka) que terão como o COBOL como base de sustentação. Aqui o cenário não é de substituição, mas sim, de integração. O legado proporcionando inovação com a criação de serviços mais bem arquitetados sobre ele, se aplicável.</w:t>
      </w:r>
    </w:p>
    <w:p>
      <w:pPr>
        <w:pStyle w:val="Normal"/>
        <w:bidi w:val="0"/>
        <w:jc w:val="start"/>
        <w:rPr>
          <w:rFonts w:ascii="CAIXA Std" w:hAnsi="CAIXA Std"/>
        </w:rPr>
      </w:pPr>
      <w:r>
        <w:rPr>
          <w:rFonts w:ascii="CAIXA Std" w:hAnsi="CAIXA Std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100"/>
        <w:gridCol w:w="4537"/>
      </w:tblGrid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 First – transformar funções COBOL em serviços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Publicação de eventos do legado</w:t>
            </w:r>
          </w:p>
        </w:tc>
      </w:tr>
      <w:tr>
        <w:trPr/>
        <w:tc>
          <w:tcPr>
            <w:tcW w:w="51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COBOL</w:t>
            </w:r>
          </w:p>
          <w:p>
            <w:pPr>
              <w:pStyle w:val="TableContents"/>
              <w:bidi w:val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↓</w:t>
            </w:r>
          </w:p>
          <w:p>
            <w:pPr>
              <w:pStyle w:val="TableContents"/>
              <w:bidi w:val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 API</w:t>
            </w:r>
          </w:p>
          <w:p>
            <w:pPr>
              <w:pStyle w:val="TableContents"/>
              <w:bidi w:val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↓</w:t>
            </w:r>
          </w:p>
          <w:p>
            <w:pPr>
              <w:pStyle w:val="TableContents"/>
              <w:bidi w:val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Microsserviços</w:t>
            </w:r>
          </w:p>
          <w:p>
            <w:pPr>
              <w:pStyle w:val="TableContents"/>
              <w:bidi w:val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↓</w:t>
            </w:r>
          </w:p>
          <w:p>
            <w:pPr>
              <w:pStyle w:val="TableContents"/>
              <w:bidi w:val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Apps</w:t>
            </w:r>
          </w:p>
        </w:tc>
        <w:tc>
          <w:tcPr>
            <w:tcW w:w="45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COBOL</w:t>
            </w:r>
          </w:p>
          <w:p>
            <w:pPr>
              <w:pStyle w:val="TableContents"/>
              <w:bidi w:val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↓</w:t>
            </w:r>
          </w:p>
          <w:p>
            <w:pPr>
              <w:pStyle w:val="TableContents"/>
              <w:bidi w:val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IBM MQ</w:t>
            </w:r>
          </w:p>
          <w:p>
            <w:pPr>
              <w:pStyle w:val="TableContents"/>
              <w:bidi w:val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↓</w:t>
            </w:r>
          </w:p>
          <w:p>
            <w:pPr>
              <w:pStyle w:val="TableContents"/>
              <w:bidi w:val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Kafka</w:t>
            </w:r>
          </w:p>
          <w:p>
            <w:pPr>
              <w:pStyle w:val="TableContents"/>
              <w:bidi w:val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↓</w:t>
            </w:r>
          </w:p>
          <w:p>
            <w:pPr>
              <w:pStyle w:val="TableContents"/>
              <w:bidi w:val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Microsserviços</w:t>
            </w:r>
          </w:p>
        </w:tc>
      </w:tr>
    </w:tbl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Com isso, é possível que tenhamos ganhos com: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- aumento de pessoas nos times de desenvolvimento que agora podem evoluir e manter sistemas em Java, por exemplo. Diminuindo ou até eliminando a dependência de mão de obra qualificada e escassa do COBOL;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- as layers citadas acima podendo permitir escalabilidade com a utilização de containers e kubernetes;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- o sistema foi libertado das amarras de hardware proprietário (com redução no custo de infra [MIPS]), ficando pronto para uma futura quebra em microsserviços, já que agora reside em ambiente Linux e integrado a soluções de monitorabilidade modernas (Datadog, Dynatrace);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- continuidade operacional com nenhum ou o menor impacto possível para clientes;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Software LEGADO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Tomei como exemplo um caso atual no qual trabalho atualmente. Vou usá-lo como ponto de partida para o exemplo de modernização. Neste caso é o ecossistema de ouvidoria.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Nele temos um cenário de 3 áreas gestoras, cada uma com suas necessidades próprias e, por vezes, conflitantes entre si.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Acredito que cabe aqui uma estratégia de separação clara de domínios (DDD) com bounded contexts bem definidos onde termos, regras e modelo de dados sejam consistentes dentro da fronteira de cada domínio (ouvidoria, SAC e vivavoz).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Hoje existem 3 projetos em operação: SIOUV 1, 2 e 3 (conhecido agora como SISOU). Algumas funcionalidades só existem no primeiro e não no segundo. Este por sua vez contempla funcionalidades que não existem no </w:t>
      </w:r>
      <w:r>
        <w:rPr>
          <w:sz w:val="22"/>
          <w:szCs w:val="22"/>
        </w:rPr>
        <w:t>primeiro</w:t>
      </w:r>
      <w:r>
        <w:rPr>
          <w:sz w:val="22"/>
          <w:szCs w:val="22"/>
        </w:rPr>
        <w:t xml:space="preserve">. O SISOU, por sua vez, está passando neste momento por um Strangler Fig Pattern, mas que, por dificuldades de compreensão de regras de negócio e de funcionamento de infraestrutura de produção </w:t>
      </w:r>
      <w:r>
        <w:rPr>
          <w:sz w:val="22"/>
          <w:szCs w:val="22"/>
        </w:rPr>
        <w:t>por parte do time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pode atrasar ainda mais o projeto.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 xml:space="preserve">É </w:t>
      </w:r>
      <w:r>
        <w:rPr/>
        <w:t>preciso analisar mais a fundo o mecanismo do ciclo de vida de tratamento de ocorrências de ouvidoria e suas particularidades para, a partir daí, avaliar implementação de patterns como Event-Driven e/ou camada de API, dado que as áreas gestoras têm necessidade de prover dados a terceiros consumidores de dados de seu domínio.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IBM Plex Mono"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CAIXA Std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BM Plex Mono" w:hAnsi="IBM Plex Mono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IBM Plex Mono" w:hAnsi="IBM Plex Mono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IBM Plex Mono" w:hAnsi="IBM Plex Mono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IBM Plex Mono" w:hAnsi="IBM Plex Mono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IBM Plex Mono" w:hAnsi="IBM Plex Mono"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3</Pages>
  <Words>572</Words>
  <Characters>2998</Characters>
  <CharactersWithSpaces>3556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2026-06-03T22:38:25Z</dcterms:created>
  <dc:creator/>
  <dc:description/>
  <dc:language>pt-BR</dc:language>
  <cp:lastModifiedBy/>
  <dcterms:modified xsi:type="dcterms:W3CDTF">2026-06-10T23:09:51Z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