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B81" w:rsidRDefault="00A37792" w:rsidP="00A37792">
      <w:pPr>
        <w:pStyle w:val="Heading1"/>
        <w:jc w:val="center"/>
        <w:rPr>
          <w:b/>
        </w:rPr>
      </w:pPr>
      <w:bookmarkStart w:id="0" w:name="_GoBack"/>
      <w:bookmarkEnd w:id="0"/>
      <w:r w:rsidRPr="00A37792">
        <w:rPr>
          <w:b/>
        </w:rPr>
        <w:t>STAT 510: Consulting Seminar Handout</w:t>
      </w:r>
    </w:p>
    <w:p w:rsidR="00AA209D" w:rsidRPr="00AA209D" w:rsidRDefault="00AA209D" w:rsidP="00AA209D">
      <w:pPr>
        <w:jc w:val="center"/>
      </w:pPr>
      <w:r>
        <w:t>November 15, 2016</w:t>
      </w:r>
    </w:p>
    <w:p w:rsidR="00A37792" w:rsidRDefault="00084A8D" w:rsidP="00A37792">
      <w:r>
        <w:rPr>
          <w:noProof/>
        </w:rPr>
      </w:r>
      <w:r>
        <w:rPr>
          <w:noProof/>
        </w:rPr>
        <w:pict>
          <v:shapetype id="_x0000_t202" coordsize="21600,21600" o:spt="202" path="m,l,21600r21600,l21600,xe">
            <v:stroke joinstyle="miter"/>
            <v:path gradientshapeok="t" o:connecttype="rect"/>
          </v:shapetype>
          <v:shape id="Text Box 2" o:spid="_x0000_s1026" type="#_x0000_t202" style="width:457.9pt;height:130pt;visibility:visible;mso-position-horizontal-relative:char;mso-position-vertical-relative:line" fillcolor="white [3201]" strokecolor="black [3200]" strokeweight="2pt">
            <v:textbox>
              <w:txbxContent>
                <w:p w:rsidR="00AA209D" w:rsidRPr="00AA209D" w:rsidRDefault="00AA209D" w:rsidP="00AA209D">
                  <w:pPr>
                    <w:rPr>
                      <w:b/>
                    </w:rPr>
                  </w:pPr>
                  <w:r w:rsidRPr="00AA209D">
                    <w:rPr>
                      <w:b/>
                    </w:rPr>
                    <w:t>Group Members:</w:t>
                  </w:r>
                </w:p>
                <w:p w:rsidR="00AA209D" w:rsidRDefault="00AA209D" w:rsidP="00AA209D">
                  <w:pPr>
                    <w:pStyle w:val="ListParagraph"/>
                    <w:numPr>
                      <w:ilvl w:val="0"/>
                      <w:numId w:val="5"/>
                    </w:numPr>
                  </w:pPr>
                  <w:r>
                    <w:t>Andrea Mack</w:t>
                  </w:r>
                </w:p>
                <w:p w:rsidR="00AA209D" w:rsidRDefault="00AA209D" w:rsidP="00AA209D">
                  <w:pPr>
                    <w:pStyle w:val="ListParagraph"/>
                    <w:numPr>
                      <w:ilvl w:val="0"/>
                      <w:numId w:val="5"/>
                    </w:numPr>
                  </w:pPr>
                  <w:r>
                    <w:t>Paul Harmon</w:t>
                  </w:r>
                </w:p>
                <w:p w:rsidR="00AA209D" w:rsidRDefault="00AA209D" w:rsidP="00AA209D">
                  <w:pPr>
                    <w:pStyle w:val="ListParagraph"/>
                    <w:numPr>
                      <w:ilvl w:val="0"/>
                      <w:numId w:val="5"/>
                    </w:numPr>
                  </w:pPr>
                  <w:proofErr w:type="spellStart"/>
                  <w:r>
                    <w:t>Nnamdi</w:t>
                  </w:r>
                  <w:proofErr w:type="spellEnd"/>
                  <w:r>
                    <w:t xml:space="preserve"> </w:t>
                  </w:r>
                  <w:proofErr w:type="spellStart"/>
                  <w:r>
                    <w:t>Ezike</w:t>
                  </w:r>
                  <w:proofErr w:type="spellEnd"/>
                </w:p>
                <w:p w:rsidR="00AA209D" w:rsidRPr="00AA209D" w:rsidRDefault="00AA209D" w:rsidP="00AA209D">
                  <w:pPr>
                    <w:rPr>
                      <w:b/>
                    </w:rPr>
                  </w:pPr>
                  <w:r w:rsidRPr="00AA209D">
                    <w:rPr>
                      <w:b/>
                    </w:rPr>
                    <w:t xml:space="preserve">Client: </w:t>
                  </w:r>
                </w:p>
                <w:p w:rsidR="00AA209D" w:rsidRDefault="00AA209D" w:rsidP="00AA209D">
                  <w:proofErr w:type="spellStart"/>
                  <w:r>
                    <w:t>Jamin</w:t>
                  </w:r>
                  <w:proofErr w:type="spellEnd"/>
                  <w:r>
                    <w:t xml:space="preserve"> </w:t>
                  </w:r>
                  <w:proofErr w:type="spellStart"/>
                  <w:r>
                    <w:t>Smitchger</w:t>
                  </w:r>
                  <w:proofErr w:type="spellEnd"/>
                  <w:r>
                    <w:t xml:space="preserve">, PhD Candidate, Department of Plant Sciences and Plant Pathology </w:t>
                  </w:r>
                </w:p>
              </w:txbxContent>
            </v:textbox>
            <w10:wrap type="none"/>
            <w10:anchorlock/>
          </v:shape>
        </w:pict>
      </w:r>
    </w:p>
    <w:p w:rsidR="00A37792" w:rsidRDefault="00A37792" w:rsidP="00A37792">
      <w:pPr>
        <w:pStyle w:val="Heading1"/>
      </w:pPr>
      <w:r>
        <w:t>Introduction:</w:t>
      </w:r>
    </w:p>
    <w:p w:rsidR="00A37792" w:rsidRDefault="00A37792" w:rsidP="00A37792">
      <w:proofErr w:type="spellStart"/>
      <w:r>
        <w:t>Jamin</w:t>
      </w:r>
      <w:proofErr w:type="spellEnd"/>
      <w:r>
        <w:t xml:space="preserve"> </w:t>
      </w:r>
      <w:proofErr w:type="spellStart"/>
      <w:r>
        <w:t>Smitchger</w:t>
      </w:r>
      <w:proofErr w:type="spellEnd"/>
      <w:r>
        <w:t xml:space="preserve">, our client, researches pea-plants at two sites in Bozeman and Moccasin, Montana.  Data were collected over a 4 year period, leading to six site-year combinations of data: </w:t>
      </w:r>
    </w:p>
    <w:p w:rsidR="00A37792" w:rsidRDefault="00A37792" w:rsidP="00A37792">
      <w:pPr>
        <w:pStyle w:val="ListParagraph"/>
        <w:numPr>
          <w:ilvl w:val="0"/>
          <w:numId w:val="2"/>
        </w:numPr>
      </w:pPr>
      <w:r>
        <w:t xml:space="preserve">4 Field Seasons in Bozeman from 2013-2016 </w:t>
      </w:r>
    </w:p>
    <w:p w:rsidR="00A37792" w:rsidRDefault="00A37792" w:rsidP="00A37792">
      <w:pPr>
        <w:pStyle w:val="ListParagraph"/>
        <w:numPr>
          <w:ilvl w:val="0"/>
          <w:numId w:val="2"/>
        </w:numPr>
      </w:pPr>
      <w:r>
        <w:t xml:space="preserve">2 Field Seasons in Moccasin from 2015-2016 </w:t>
      </w:r>
    </w:p>
    <w:p w:rsidR="00A37792" w:rsidRPr="00A37792" w:rsidRDefault="00A37792" w:rsidP="006814D8">
      <w:pPr>
        <w:ind w:firstLine="360"/>
      </w:pPr>
      <w:r>
        <w:t xml:space="preserve">Of interest to our client is to determine which </w:t>
      </w:r>
      <w:r w:rsidR="007779AC">
        <w:t xml:space="preserve">genetic markers are associated with the most phenotypic variation. The phenotype of interest for </w:t>
      </w:r>
      <w:proofErr w:type="spellStart"/>
      <w:r w:rsidR="007779AC">
        <w:t>Jamin</w:t>
      </w:r>
      <w:proofErr w:type="spellEnd"/>
      <w:r>
        <w:t xml:space="preserve"> in pea plants called </w:t>
      </w:r>
      <w:r>
        <w:rPr>
          <w:b/>
        </w:rPr>
        <w:t>lodging</w:t>
      </w:r>
      <w:r w:rsidR="006814D8">
        <w:t>. Lodging refers to pea plants falling over, either due to root or stem failure. The more plants that exhibit lodging, the lower the yield. Although environmental factors can greatly influence whether a pea plant exhibits lodging or not, genetic fac</w:t>
      </w:r>
      <w:r w:rsidR="007779AC">
        <w:t>tors are able to be controlled. O</w:t>
      </w:r>
      <w:r w:rsidR="006814D8">
        <w:t xml:space="preserve">ur client intends to find genetic markers associated with reduced lodging so that he can then breed generations of plants that are less susceptible to this trait. </w:t>
      </w:r>
    </w:p>
    <w:p w:rsidR="00A37792" w:rsidRDefault="006814D8" w:rsidP="00A37792">
      <w:pPr>
        <w:pStyle w:val="Heading1"/>
      </w:pPr>
      <w:r>
        <w:t>Background Information and Research Questions</w:t>
      </w:r>
      <w:r w:rsidR="00A37792">
        <w:t>:</w:t>
      </w:r>
    </w:p>
    <w:p w:rsidR="00AA209D" w:rsidRPr="00EE5060" w:rsidRDefault="00EE5060" w:rsidP="00A37792">
      <w:r>
        <w:t xml:space="preserve">Some understanding of genetics is necessary to understand what is going on in this process. Basically, a </w:t>
      </w:r>
      <w:r>
        <w:rPr>
          <w:b/>
        </w:rPr>
        <w:t xml:space="preserve">genotype </w:t>
      </w:r>
      <w:r>
        <w:t xml:space="preserve">refers to the expression of a gene – because </w:t>
      </w:r>
      <w:r w:rsidR="00AA209D">
        <w:t xml:space="preserve">thousands of </w:t>
      </w:r>
      <w:r>
        <w:t xml:space="preserve">genes </w:t>
      </w:r>
      <w:r w:rsidR="00AA209D">
        <w:t>are located on any individual</w:t>
      </w:r>
      <w:r>
        <w:t xml:space="preserve"> chromosome, </w:t>
      </w:r>
      <w:r w:rsidR="00AA209D">
        <w:t>it can be difficult to measure genes themselves.  W</w:t>
      </w:r>
      <w:r>
        <w:t xml:space="preserve">e instead track </w:t>
      </w:r>
      <w:r>
        <w:rPr>
          <w:b/>
        </w:rPr>
        <w:t>genetic markers</w:t>
      </w:r>
      <w:r>
        <w:t xml:space="preserve">. These markers are then correlated with observable </w:t>
      </w:r>
      <w:r>
        <w:rPr>
          <w:b/>
        </w:rPr>
        <w:t xml:space="preserve">phenotypes </w:t>
      </w:r>
      <w:r>
        <w:t xml:space="preserve">such as the lodging trait, plant height, etc. </w:t>
      </w:r>
      <w:r w:rsidR="00AA209D">
        <w:t xml:space="preserve"> Gene location is important because genes that are located physically close together tend to be inherited together</w:t>
      </w:r>
      <w:r w:rsidR="00D20ABE">
        <w:t xml:space="preserve">; this phenomenon is referred to as </w:t>
      </w:r>
      <w:r w:rsidR="00D20ABE">
        <w:rPr>
          <w:b/>
        </w:rPr>
        <w:t>linkage</w:t>
      </w:r>
      <w:r w:rsidR="00AA209D">
        <w:t xml:space="preserve">.  By analyzing the </w:t>
      </w:r>
      <w:r w:rsidR="00D20ABE">
        <w:t xml:space="preserve">linkage in </w:t>
      </w:r>
      <w:r w:rsidR="00AA209D">
        <w:t xml:space="preserve">progeny of a hybridization – essentially mating two plants and examining the expressed phenotypes of their offspring, we can determine which genes </w:t>
      </w:r>
      <w:r w:rsidR="007779AC">
        <w:t>are most associated with variation in</w:t>
      </w:r>
      <w:r w:rsidR="00AA209D">
        <w:t xml:space="preserve"> phenotypes.  </w:t>
      </w:r>
      <w:r w:rsidR="004150EE">
        <w:t xml:space="preserve"> The goal of our analysis is to </w:t>
      </w:r>
      <w:r w:rsidR="007779AC">
        <w:t xml:space="preserve">assist </w:t>
      </w:r>
      <w:r w:rsidR="004150EE">
        <w:t xml:space="preserve">our client </w:t>
      </w:r>
      <w:r w:rsidR="007779AC">
        <w:t xml:space="preserve">in some aspects of </w:t>
      </w:r>
      <w:r w:rsidR="004150EE">
        <w:t xml:space="preserve">a Quantitative Trait Locus (QTL) mapping of markers relative to </w:t>
      </w:r>
      <w:r w:rsidR="007779AC">
        <w:t>phenotypic variation</w:t>
      </w:r>
      <w:r w:rsidR="004150EE">
        <w:t xml:space="preserve">.  </w:t>
      </w:r>
    </w:p>
    <w:p w:rsidR="006814D8" w:rsidRDefault="007779AC" w:rsidP="00A37792">
      <w:r>
        <w:t>Our</w:t>
      </w:r>
      <w:r w:rsidR="006814D8">
        <w:t xml:space="preserve"> client has three research questions we need to answer prior to him </w:t>
      </w:r>
      <w:r>
        <w:t>conducting the QTL analysis</w:t>
      </w:r>
      <w:r w:rsidR="006814D8">
        <w:t xml:space="preserve">. </w:t>
      </w:r>
    </w:p>
    <w:p w:rsidR="005D3459" w:rsidRDefault="005D3459" w:rsidP="005D3459">
      <w:pPr>
        <w:pStyle w:val="ListParagraph"/>
        <w:numPr>
          <w:ilvl w:val="0"/>
          <w:numId w:val="6"/>
        </w:numPr>
      </w:pPr>
      <w:r>
        <w:t>Are there any phenotypic traits that are highly correlated with each other, and which type of correlation is most useful for these data?</w:t>
      </w:r>
    </w:p>
    <w:p w:rsidR="005D3459" w:rsidRDefault="005D3459" w:rsidP="005D3459">
      <w:pPr>
        <w:pStyle w:val="ListParagraph"/>
        <w:numPr>
          <w:ilvl w:val="0"/>
          <w:numId w:val="6"/>
        </w:numPr>
      </w:pPr>
      <w:r>
        <w:lastRenderedPageBreak/>
        <w:t>Are the datasets from each year/site combination similar enough to be combined into a single dataset? Do year and site interact with each other</w:t>
      </w:r>
      <w:r w:rsidR="007779AC">
        <w:t xml:space="preserve"> or do we need to do separate QTL analyses for each dataset</w:t>
      </w:r>
      <w:r>
        <w:t>?</w:t>
      </w:r>
    </w:p>
    <w:p w:rsidR="005D3459" w:rsidRDefault="005D3459" w:rsidP="005D3459">
      <w:pPr>
        <w:pStyle w:val="ListParagraph"/>
        <w:numPr>
          <w:ilvl w:val="0"/>
          <w:numId w:val="6"/>
        </w:numPr>
      </w:pPr>
      <w:r>
        <w:t xml:space="preserve">Because QTL analysis involves simultaneous </w:t>
      </w:r>
      <w:r w:rsidR="004150EE">
        <w:t xml:space="preserve">hypothesis </w:t>
      </w:r>
      <w:r>
        <w:t>testing, what is an appropriate significance threshold (in LOD distance) for tests to be considered “statistically significant?”</w:t>
      </w:r>
    </w:p>
    <w:p w:rsidR="006814D8" w:rsidRDefault="006814D8" w:rsidP="00A37792">
      <w:pPr>
        <w:pStyle w:val="Heading1"/>
      </w:pPr>
      <w:r>
        <w:t>The Data:</w:t>
      </w:r>
    </w:p>
    <w:p w:rsidR="006814D8" w:rsidRDefault="007779AC" w:rsidP="006814D8">
      <w:r>
        <w:t>QTL analyses require two datasets</w:t>
      </w:r>
      <w:r w:rsidR="006814D8">
        <w:t xml:space="preserve">: A </w:t>
      </w:r>
      <w:r w:rsidR="006814D8" w:rsidRPr="006814D8">
        <w:rPr>
          <w:b/>
        </w:rPr>
        <w:t>Genotypic Dataset</w:t>
      </w:r>
      <w:r w:rsidR="006814D8">
        <w:t xml:space="preserve"> which contains information about distances between genetic markers on a chromosome, and a </w:t>
      </w:r>
      <w:r w:rsidR="006814D8">
        <w:rPr>
          <w:b/>
        </w:rPr>
        <w:t xml:space="preserve">Phenotypic Dataset </w:t>
      </w:r>
      <w:r w:rsidR="006814D8">
        <w:t>which contains information about specific plants</w:t>
      </w:r>
      <w:r>
        <w:t xml:space="preserve">' phenotypic expression, </w:t>
      </w:r>
      <w:r w:rsidR="006814D8">
        <w:t xml:space="preserve"> measured at the two sites. </w:t>
      </w:r>
    </w:p>
    <w:p w:rsidR="00AA209D" w:rsidRPr="005D3459" w:rsidRDefault="00AA209D" w:rsidP="00AA209D">
      <w:pPr>
        <w:pStyle w:val="Heading3"/>
        <w:rPr>
          <w:color w:val="B32C16" w:themeColor="accent3"/>
        </w:rPr>
      </w:pPr>
      <w:r w:rsidRPr="005D3459">
        <w:rPr>
          <w:color w:val="B32C16" w:themeColor="accent3"/>
        </w:rPr>
        <w:t>The Genotype Data:</w:t>
      </w:r>
    </w:p>
    <w:p w:rsidR="00AA209D" w:rsidRDefault="00AA209D" w:rsidP="00AA209D">
      <w:r>
        <w:t xml:space="preserve">The Genotype dataset includes 1.2 million observations, most of which is not useful for the analysis due to sequencing errors and other measurement issues.  Our client has been sorting through much of the “junk” in the genotypic dataset. </w:t>
      </w:r>
      <w:r w:rsidR="00D653F0">
        <w:t xml:space="preserve">"Junk" may include genes that are not expressed. </w:t>
      </w:r>
      <w:r>
        <w:t xml:space="preserve">Genotypic data indicates which </w:t>
      </w:r>
      <w:r w:rsidRPr="004150EE">
        <w:rPr>
          <w:b/>
        </w:rPr>
        <w:t>allele</w:t>
      </w:r>
      <w:r>
        <w:t xml:space="preserve"> of </w:t>
      </w:r>
      <w:r w:rsidR="00D653F0">
        <w:t>a gene has been inherited from each</w:t>
      </w:r>
      <w:r>
        <w:t xml:space="preserve"> parent.  This dataset looks different than the usual for several reasons: 1) there are more covariates than observations and 2)the data refer to the allele, so every observation is either “A” or “B”. </w:t>
      </w:r>
    </w:p>
    <w:p w:rsidR="005D3459" w:rsidRPr="005D3459" w:rsidRDefault="005D3459" w:rsidP="00AA209D">
      <w:pPr>
        <w:rPr>
          <w:b/>
        </w:rPr>
      </w:pPr>
      <w:r>
        <w:rPr>
          <w:b/>
        </w:rPr>
        <w:t>Example of the Genotypic Data:</w:t>
      </w:r>
    </w:p>
    <w:tbl>
      <w:tblPr>
        <w:tblStyle w:val="TableGrid"/>
        <w:tblW w:w="7224" w:type="dxa"/>
        <w:jc w:val="center"/>
        <w:tblLook w:val="04A0"/>
      </w:tblPr>
      <w:tblGrid>
        <w:gridCol w:w="732"/>
        <w:gridCol w:w="1044"/>
        <w:gridCol w:w="1758"/>
        <w:gridCol w:w="1878"/>
        <w:gridCol w:w="1812"/>
      </w:tblGrid>
      <w:tr w:rsidR="005D3459" w:rsidRPr="005D3459" w:rsidTr="005D3459">
        <w:trPr>
          <w:trHeight w:val="629"/>
          <w:jc w:val="center"/>
        </w:trPr>
        <w:tc>
          <w:tcPr>
            <w:tcW w:w="732" w:type="dxa"/>
            <w:noWrap/>
            <w:hideMark/>
          </w:tcPr>
          <w:p w:rsidR="005D3459" w:rsidRPr="005D3459" w:rsidRDefault="005D3459" w:rsidP="005D3459">
            <w:pPr>
              <w:jc w:val="left"/>
              <w:rPr>
                <w:rFonts w:ascii="Arial" w:eastAsia="Times New Roman" w:hAnsi="Arial" w:cs="Arial"/>
                <w:bCs/>
                <w:sz w:val="16"/>
                <w:szCs w:val="22"/>
              </w:rPr>
            </w:pPr>
          </w:p>
        </w:tc>
        <w:tc>
          <w:tcPr>
            <w:tcW w:w="1044" w:type="dxa"/>
            <w:hideMark/>
          </w:tcPr>
          <w:p w:rsidR="005D3459" w:rsidRPr="005D3459" w:rsidRDefault="005D3459" w:rsidP="005D3459">
            <w:pPr>
              <w:jc w:val="left"/>
              <w:rPr>
                <w:rFonts w:ascii="Calibri" w:eastAsia="Times New Roman" w:hAnsi="Calibri" w:cs="Calibri"/>
                <w:bCs/>
                <w:color w:val="000000"/>
                <w:sz w:val="16"/>
                <w:szCs w:val="22"/>
              </w:rPr>
            </w:pPr>
            <w:r w:rsidRPr="005D3459">
              <w:rPr>
                <w:rFonts w:ascii="Calibri" w:eastAsia="Times New Roman" w:hAnsi="Calibri" w:cs="Calibri"/>
                <w:bCs/>
                <w:color w:val="000000"/>
                <w:sz w:val="16"/>
                <w:szCs w:val="22"/>
              </w:rPr>
              <w:t>white flow 2015 +2016 CHECK</w:t>
            </w:r>
          </w:p>
        </w:tc>
        <w:tc>
          <w:tcPr>
            <w:tcW w:w="1758" w:type="dxa"/>
            <w:hideMark/>
          </w:tcPr>
          <w:p w:rsidR="005D3459" w:rsidRPr="005D3459" w:rsidRDefault="005D3459" w:rsidP="005D3459">
            <w:pPr>
              <w:jc w:val="left"/>
              <w:rPr>
                <w:rFonts w:ascii="Calibri" w:eastAsia="Times New Roman" w:hAnsi="Calibri" w:cs="Calibri"/>
                <w:bCs/>
                <w:color w:val="000000"/>
                <w:sz w:val="16"/>
                <w:szCs w:val="22"/>
              </w:rPr>
            </w:pPr>
            <w:r w:rsidRPr="005D3459">
              <w:rPr>
                <w:rFonts w:ascii="Calibri" w:eastAsia="Times New Roman" w:hAnsi="Calibri" w:cs="Calibri"/>
                <w:bCs/>
                <w:color w:val="000000"/>
                <w:sz w:val="16"/>
                <w:szCs w:val="22"/>
              </w:rPr>
              <w:t xml:space="preserve">white flower LG 2 A=white </w:t>
            </w:r>
            <w:proofErr w:type="spellStart"/>
            <w:r w:rsidRPr="005D3459">
              <w:rPr>
                <w:rFonts w:ascii="Calibri" w:eastAsia="Times New Roman" w:hAnsi="Calibri" w:cs="Calibri"/>
                <w:bCs/>
                <w:color w:val="000000"/>
                <w:sz w:val="16"/>
                <w:szCs w:val="22"/>
              </w:rPr>
              <w:t>dwf</w:t>
            </w:r>
            <w:proofErr w:type="spellEnd"/>
            <w:r w:rsidRPr="005D3459">
              <w:rPr>
                <w:rFonts w:ascii="Calibri" w:eastAsia="Times New Roman" w:hAnsi="Calibri" w:cs="Calibri"/>
                <w:bCs/>
                <w:color w:val="000000"/>
                <w:sz w:val="16"/>
                <w:szCs w:val="22"/>
              </w:rPr>
              <w:t xml:space="preserve"> only-updated 10-25-2016</w:t>
            </w:r>
          </w:p>
        </w:tc>
        <w:tc>
          <w:tcPr>
            <w:tcW w:w="1878" w:type="dxa"/>
            <w:hideMark/>
          </w:tcPr>
          <w:p w:rsidR="005D3459" w:rsidRPr="005D3459" w:rsidRDefault="005D3459" w:rsidP="005D3459">
            <w:pPr>
              <w:jc w:val="left"/>
              <w:rPr>
                <w:rFonts w:ascii="Calibri" w:eastAsia="Times New Roman" w:hAnsi="Calibri" w:cs="Calibri"/>
                <w:bCs/>
                <w:color w:val="000000"/>
                <w:sz w:val="16"/>
                <w:szCs w:val="22"/>
              </w:rPr>
            </w:pPr>
            <w:proofErr w:type="spellStart"/>
            <w:r w:rsidRPr="005D3459">
              <w:rPr>
                <w:rFonts w:ascii="Calibri" w:eastAsia="Times New Roman" w:hAnsi="Calibri" w:cs="Calibri"/>
                <w:bCs/>
                <w:color w:val="000000"/>
                <w:sz w:val="16"/>
                <w:szCs w:val="22"/>
              </w:rPr>
              <w:t>Afila</w:t>
            </w:r>
            <w:proofErr w:type="spellEnd"/>
            <w:r w:rsidRPr="005D3459">
              <w:rPr>
                <w:rFonts w:ascii="Calibri" w:eastAsia="Times New Roman" w:hAnsi="Calibri" w:cs="Calibri"/>
                <w:bCs/>
                <w:color w:val="000000"/>
                <w:sz w:val="16"/>
                <w:szCs w:val="22"/>
              </w:rPr>
              <w:t xml:space="preserve"> lg1 </w:t>
            </w:r>
            <w:proofErr w:type="spellStart"/>
            <w:r w:rsidRPr="005D3459">
              <w:rPr>
                <w:rFonts w:ascii="Calibri" w:eastAsia="Times New Roman" w:hAnsi="Calibri" w:cs="Calibri"/>
                <w:bCs/>
                <w:color w:val="000000"/>
                <w:sz w:val="16"/>
                <w:szCs w:val="22"/>
              </w:rPr>
              <w:t>Dwf</w:t>
            </w:r>
            <w:proofErr w:type="spellEnd"/>
            <w:r w:rsidRPr="005D3459">
              <w:rPr>
                <w:rFonts w:ascii="Calibri" w:eastAsia="Times New Roman" w:hAnsi="Calibri" w:cs="Calibri"/>
                <w:bCs/>
                <w:color w:val="000000"/>
                <w:sz w:val="16"/>
                <w:szCs w:val="22"/>
              </w:rPr>
              <w:t xml:space="preserve"> only-2015</w:t>
            </w:r>
          </w:p>
        </w:tc>
        <w:tc>
          <w:tcPr>
            <w:tcW w:w="1812" w:type="dxa"/>
            <w:hideMark/>
          </w:tcPr>
          <w:p w:rsidR="005D3459" w:rsidRPr="005D3459" w:rsidRDefault="005D3459" w:rsidP="005D3459">
            <w:pPr>
              <w:jc w:val="left"/>
              <w:rPr>
                <w:rFonts w:ascii="Calibri" w:eastAsia="Times New Roman" w:hAnsi="Calibri" w:cs="Calibri"/>
                <w:bCs/>
                <w:color w:val="000000"/>
                <w:sz w:val="16"/>
                <w:szCs w:val="22"/>
              </w:rPr>
            </w:pPr>
            <w:proofErr w:type="spellStart"/>
            <w:r w:rsidRPr="005D3459">
              <w:rPr>
                <w:rFonts w:ascii="Calibri" w:eastAsia="Times New Roman" w:hAnsi="Calibri" w:cs="Calibri"/>
                <w:bCs/>
                <w:color w:val="000000"/>
                <w:sz w:val="16"/>
                <w:szCs w:val="22"/>
              </w:rPr>
              <w:t>Afila</w:t>
            </w:r>
            <w:proofErr w:type="spellEnd"/>
            <w:r w:rsidRPr="005D3459">
              <w:rPr>
                <w:rFonts w:ascii="Calibri" w:eastAsia="Times New Roman" w:hAnsi="Calibri" w:cs="Calibri"/>
                <w:bCs/>
                <w:color w:val="000000"/>
                <w:sz w:val="16"/>
                <w:szCs w:val="22"/>
              </w:rPr>
              <w:t xml:space="preserve"> 1=YES=DELTA=A 2015</w:t>
            </w:r>
          </w:p>
        </w:tc>
      </w:tr>
      <w:tr w:rsidR="005D3459" w:rsidRPr="005D3459" w:rsidTr="005D3459">
        <w:trPr>
          <w:trHeight w:val="260"/>
          <w:jc w:val="center"/>
        </w:trPr>
        <w:tc>
          <w:tcPr>
            <w:tcW w:w="732" w:type="dxa"/>
            <w:noWrap/>
          </w:tcPr>
          <w:p w:rsidR="005D3459" w:rsidRPr="005D3459" w:rsidRDefault="005D3459" w:rsidP="005D3459">
            <w:pPr>
              <w:jc w:val="left"/>
              <w:rPr>
                <w:rFonts w:ascii="Arial" w:eastAsia="Times New Roman" w:hAnsi="Arial" w:cs="Arial"/>
                <w:bCs/>
                <w:sz w:val="16"/>
                <w:szCs w:val="22"/>
              </w:rPr>
            </w:pPr>
            <w:r>
              <w:rPr>
                <w:rFonts w:ascii="Arial" w:eastAsia="Times New Roman" w:hAnsi="Arial" w:cs="Arial"/>
                <w:bCs/>
                <w:sz w:val="16"/>
                <w:szCs w:val="22"/>
              </w:rPr>
              <w:t>Delta</w:t>
            </w:r>
          </w:p>
        </w:tc>
        <w:tc>
          <w:tcPr>
            <w:tcW w:w="1044"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A</w:t>
            </w:r>
          </w:p>
        </w:tc>
        <w:tc>
          <w:tcPr>
            <w:tcW w:w="1758"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A</w:t>
            </w:r>
          </w:p>
        </w:tc>
        <w:tc>
          <w:tcPr>
            <w:tcW w:w="1878"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A</w:t>
            </w:r>
          </w:p>
        </w:tc>
        <w:tc>
          <w:tcPr>
            <w:tcW w:w="1812"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A</w:t>
            </w:r>
          </w:p>
        </w:tc>
      </w:tr>
      <w:tr w:rsidR="005D3459" w:rsidRPr="005D3459" w:rsidTr="005D3459">
        <w:trPr>
          <w:trHeight w:val="390"/>
          <w:jc w:val="center"/>
        </w:trPr>
        <w:tc>
          <w:tcPr>
            <w:tcW w:w="732" w:type="dxa"/>
            <w:noWrap/>
          </w:tcPr>
          <w:p w:rsidR="005D3459" w:rsidRPr="005D3459" w:rsidRDefault="005D3459" w:rsidP="005D3459">
            <w:pPr>
              <w:jc w:val="left"/>
              <w:rPr>
                <w:rFonts w:ascii="Arial" w:eastAsia="Times New Roman" w:hAnsi="Arial" w:cs="Arial"/>
                <w:bCs/>
                <w:sz w:val="16"/>
                <w:szCs w:val="22"/>
              </w:rPr>
            </w:pPr>
            <w:r>
              <w:rPr>
                <w:rFonts w:ascii="Arial" w:eastAsia="Times New Roman" w:hAnsi="Arial" w:cs="Arial"/>
                <w:bCs/>
                <w:sz w:val="16"/>
                <w:szCs w:val="22"/>
              </w:rPr>
              <w:t>RER</w:t>
            </w:r>
          </w:p>
        </w:tc>
        <w:tc>
          <w:tcPr>
            <w:tcW w:w="1044"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B</w:t>
            </w:r>
          </w:p>
        </w:tc>
        <w:tc>
          <w:tcPr>
            <w:tcW w:w="1758"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B</w:t>
            </w:r>
          </w:p>
        </w:tc>
        <w:tc>
          <w:tcPr>
            <w:tcW w:w="1878"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B</w:t>
            </w:r>
          </w:p>
        </w:tc>
        <w:tc>
          <w:tcPr>
            <w:tcW w:w="1812"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B</w:t>
            </w:r>
          </w:p>
        </w:tc>
      </w:tr>
      <w:tr w:rsidR="005D3459" w:rsidRPr="005D3459" w:rsidTr="005D3459">
        <w:trPr>
          <w:trHeight w:val="360"/>
          <w:jc w:val="center"/>
        </w:trPr>
        <w:tc>
          <w:tcPr>
            <w:tcW w:w="732" w:type="dxa"/>
            <w:noWrap/>
          </w:tcPr>
          <w:p w:rsidR="005D3459" w:rsidRPr="005D3459" w:rsidRDefault="005D3459" w:rsidP="005D3459">
            <w:pPr>
              <w:jc w:val="right"/>
              <w:rPr>
                <w:rFonts w:ascii="Arial" w:eastAsia="Times New Roman" w:hAnsi="Arial" w:cs="Arial"/>
                <w:bCs/>
                <w:sz w:val="16"/>
                <w:szCs w:val="22"/>
              </w:rPr>
            </w:pPr>
            <w:r>
              <w:rPr>
                <w:rFonts w:ascii="Arial" w:eastAsia="Times New Roman" w:hAnsi="Arial" w:cs="Arial"/>
                <w:bCs/>
                <w:sz w:val="16"/>
                <w:szCs w:val="22"/>
              </w:rPr>
              <w:t>1</w:t>
            </w:r>
          </w:p>
        </w:tc>
        <w:tc>
          <w:tcPr>
            <w:tcW w:w="1044"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A</w:t>
            </w:r>
          </w:p>
        </w:tc>
        <w:tc>
          <w:tcPr>
            <w:tcW w:w="1758"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w:t>
            </w:r>
          </w:p>
        </w:tc>
        <w:tc>
          <w:tcPr>
            <w:tcW w:w="1878"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w:t>
            </w:r>
          </w:p>
        </w:tc>
        <w:tc>
          <w:tcPr>
            <w:tcW w:w="1812"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B</w:t>
            </w:r>
          </w:p>
        </w:tc>
      </w:tr>
      <w:tr w:rsidR="005D3459" w:rsidRPr="005D3459" w:rsidTr="005D3459">
        <w:trPr>
          <w:trHeight w:val="330"/>
          <w:jc w:val="center"/>
        </w:trPr>
        <w:tc>
          <w:tcPr>
            <w:tcW w:w="732" w:type="dxa"/>
            <w:noWrap/>
          </w:tcPr>
          <w:p w:rsidR="005D3459" w:rsidRPr="005D3459" w:rsidRDefault="005D3459" w:rsidP="005D3459">
            <w:pPr>
              <w:jc w:val="right"/>
              <w:rPr>
                <w:rFonts w:ascii="Arial" w:eastAsia="Times New Roman" w:hAnsi="Arial" w:cs="Arial"/>
                <w:bCs/>
                <w:sz w:val="16"/>
              </w:rPr>
            </w:pPr>
            <w:r>
              <w:rPr>
                <w:rFonts w:ascii="Arial" w:eastAsia="Times New Roman" w:hAnsi="Arial" w:cs="Arial"/>
                <w:bCs/>
                <w:sz w:val="16"/>
              </w:rPr>
              <w:t>2</w:t>
            </w:r>
          </w:p>
        </w:tc>
        <w:tc>
          <w:tcPr>
            <w:tcW w:w="1044"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B</w:t>
            </w:r>
          </w:p>
        </w:tc>
        <w:tc>
          <w:tcPr>
            <w:tcW w:w="1758"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B</w:t>
            </w:r>
          </w:p>
        </w:tc>
        <w:tc>
          <w:tcPr>
            <w:tcW w:w="1878"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A</w:t>
            </w:r>
          </w:p>
        </w:tc>
        <w:tc>
          <w:tcPr>
            <w:tcW w:w="1812" w:type="dxa"/>
            <w:noWrap/>
            <w:hideMark/>
          </w:tcPr>
          <w:p w:rsidR="005D3459" w:rsidRPr="005D3459" w:rsidRDefault="005D3459" w:rsidP="005D3459">
            <w:pPr>
              <w:jc w:val="left"/>
              <w:rPr>
                <w:rFonts w:ascii="Calibri" w:eastAsia="Times New Roman" w:hAnsi="Calibri" w:cs="Calibri"/>
                <w:color w:val="000000"/>
                <w:sz w:val="16"/>
                <w:szCs w:val="22"/>
              </w:rPr>
            </w:pPr>
            <w:r w:rsidRPr="005D3459">
              <w:rPr>
                <w:rFonts w:ascii="Calibri" w:eastAsia="Times New Roman" w:hAnsi="Calibri" w:cs="Calibri"/>
                <w:color w:val="000000"/>
                <w:sz w:val="16"/>
                <w:szCs w:val="22"/>
              </w:rPr>
              <w:t>A</w:t>
            </w:r>
          </w:p>
        </w:tc>
      </w:tr>
    </w:tbl>
    <w:p w:rsidR="005D3459" w:rsidRDefault="005D3459" w:rsidP="00AA209D">
      <w:pPr>
        <w:pStyle w:val="Heading3"/>
        <w:rPr>
          <w:color w:val="B32C16" w:themeColor="accent3"/>
        </w:rPr>
      </w:pPr>
    </w:p>
    <w:p w:rsidR="00AA209D" w:rsidRPr="005D3459" w:rsidRDefault="00AA209D" w:rsidP="00AA209D">
      <w:pPr>
        <w:pStyle w:val="Heading3"/>
        <w:rPr>
          <w:color w:val="B32C16" w:themeColor="accent3"/>
        </w:rPr>
      </w:pPr>
      <w:r w:rsidRPr="005D3459">
        <w:rPr>
          <w:color w:val="B32C16" w:themeColor="accent3"/>
        </w:rPr>
        <w:t>The Phenotype Data:</w:t>
      </w:r>
    </w:p>
    <w:p w:rsidR="00AA209D" w:rsidRDefault="00AA209D" w:rsidP="00AA209D">
      <w:r>
        <w:t>The phenotypic dataset includes 50,000 observations; in general, it is quantitative in nature. This looks more like the type of data that we are used to seeing; these data track expressed phenotypes observed in the progeny such as percent lodging, plant height, tendril width/length, etc.  This dataset is used for the analysis of interactions</w:t>
      </w:r>
      <w:r w:rsidR="005D3459">
        <w:t xml:space="preserve"> and correlations between phenotypic </w:t>
      </w:r>
      <w:r w:rsidR="0066129E">
        <w:t>traits</w:t>
      </w:r>
      <w:r>
        <w:t xml:space="preserve">. </w:t>
      </w:r>
      <w:r w:rsidR="0066129E">
        <w:t xml:space="preserve"> The percent lodging trait is highlighted in the data example below. </w:t>
      </w:r>
    </w:p>
    <w:p w:rsidR="0066129E" w:rsidRPr="0066129E" w:rsidRDefault="0066129E" w:rsidP="00AA209D">
      <w:pPr>
        <w:rPr>
          <w:b/>
        </w:rPr>
      </w:pPr>
      <w:r>
        <w:rPr>
          <w:b/>
        </w:rPr>
        <w:t>Example of the Phenotypic Data:</w:t>
      </w:r>
    </w:p>
    <w:tbl>
      <w:tblPr>
        <w:tblStyle w:val="TableGrid"/>
        <w:tblW w:w="9828" w:type="dxa"/>
        <w:tblLook w:val="04A0"/>
      </w:tblPr>
      <w:tblGrid>
        <w:gridCol w:w="817"/>
        <w:gridCol w:w="977"/>
        <w:gridCol w:w="977"/>
        <w:gridCol w:w="977"/>
        <w:gridCol w:w="1214"/>
        <w:gridCol w:w="977"/>
        <w:gridCol w:w="692"/>
        <w:gridCol w:w="902"/>
        <w:gridCol w:w="1078"/>
        <w:gridCol w:w="1280"/>
      </w:tblGrid>
      <w:tr w:rsidR="0066129E" w:rsidRPr="0066129E" w:rsidTr="0066129E">
        <w:trPr>
          <w:trHeight w:val="1277"/>
        </w:trPr>
        <w:tc>
          <w:tcPr>
            <w:tcW w:w="817" w:type="dxa"/>
            <w:hideMark/>
          </w:tcPr>
          <w:p w:rsidR="0066129E" w:rsidRPr="0066129E" w:rsidRDefault="0066129E">
            <w:pPr>
              <w:rPr>
                <w:b/>
                <w:bCs/>
                <w:sz w:val="14"/>
              </w:rPr>
            </w:pPr>
            <w:r w:rsidRPr="0066129E">
              <w:rPr>
                <w:b/>
                <w:bCs/>
                <w:sz w:val="14"/>
              </w:rPr>
              <w:t>line #</w:t>
            </w:r>
          </w:p>
        </w:tc>
        <w:tc>
          <w:tcPr>
            <w:tcW w:w="964" w:type="dxa"/>
            <w:noWrap/>
            <w:hideMark/>
          </w:tcPr>
          <w:p w:rsidR="0066129E" w:rsidRPr="0066129E" w:rsidRDefault="0066129E">
            <w:pPr>
              <w:rPr>
                <w:b/>
                <w:sz w:val="14"/>
              </w:rPr>
            </w:pPr>
            <w:r w:rsidRPr="0066129E">
              <w:rPr>
                <w:b/>
                <w:sz w:val="14"/>
              </w:rPr>
              <w:t>average lodging Moccasin 2015</w:t>
            </w:r>
          </w:p>
        </w:tc>
        <w:tc>
          <w:tcPr>
            <w:tcW w:w="965" w:type="dxa"/>
            <w:noWrap/>
            <w:hideMark/>
          </w:tcPr>
          <w:p w:rsidR="0066129E" w:rsidRPr="0066129E" w:rsidRDefault="0066129E">
            <w:pPr>
              <w:rPr>
                <w:b/>
                <w:sz w:val="14"/>
              </w:rPr>
            </w:pPr>
            <w:r w:rsidRPr="0066129E">
              <w:rPr>
                <w:b/>
                <w:sz w:val="14"/>
              </w:rPr>
              <w:t>AVERAGE HEIGHT Moccasin 2015</w:t>
            </w:r>
          </w:p>
        </w:tc>
        <w:tc>
          <w:tcPr>
            <w:tcW w:w="965" w:type="dxa"/>
            <w:hideMark/>
          </w:tcPr>
          <w:p w:rsidR="0066129E" w:rsidRPr="0066129E" w:rsidRDefault="0066129E">
            <w:pPr>
              <w:rPr>
                <w:b/>
                <w:bCs/>
                <w:sz w:val="14"/>
              </w:rPr>
            </w:pPr>
            <w:r w:rsidRPr="0066129E">
              <w:rPr>
                <w:b/>
                <w:bCs/>
                <w:sz w:val="14"/>
              </w:rPr>
              <w:t>Yield</w:t>
            </w:r>
          </w:p>
        </w:tc>
        <w:tc>
          <w:tcPr>
            <w:tcW w:w="1214" w:type="dxa"/>
            <w:noWrap/>
            <w:hideMark/>
          </w:tcPr>
          <w:p w:rsidR="0066129E" w:rsidRPr="0066129E" w:rsidRDefault="0066129E">
            <w:pPr>
              <w:rPr>
                <w:b/>
                <w:sz w:val="14"/>
              </w:rPr>
            </w:pPr>
            <w:r w:rsidRPr="0066129E">
              <w:rPr>
                <w:b/>
                <w:sz w:val="14"/>
              </w:rPr>
              <w:t>% GERMINATION AVG with bad germinating lines left in and adjusted for seeds planted</w:t>
            </w:r>
          </w:p>
        </w:tc>
        <w:tc>
          <w:tcPr>
            <w:tcW w:w="965" w:type="dxa"/>
            <w:noWrap/>
            <w:hideMark/>
          </w:tcPr>
          <w:p w:rsidR="0066129E" w:rsidRPr="0066129E" w:rsidRDefault="0066129E">
            <w:pPr>
              <w:rPr>
                <w:b/>
                <w:sz w:val="14"/>
              </w:rPr>
            </w:pPr>
            <w:r w:rsidRPr="0066129E">
              <w:rPr>
                <w:b/>
                <w:sz w:val="14"/>
              </w:rPr>
              <w:t xml:space="preserve">% germ </w:t>
            </w:r>
            <w:proofErr w:type="spellStart"/>
            <w:r w:rsidRPr="0066129E">
              <w:rPr>
                <w:b/>
                <w:sz w:val="14"/>
              </w:rPr>
              <w:t>avg</w:t>
            </w:r>
            <w:proofErr w:type="spellEnd"/>
            <w:r w:rsidRPr="0066129E">
              <w:rPr>
                <w:b/>
                <w:sz w:val="14"/>
              </w:rPr>
              <w:t xml:space="preserve"> with bad germ lines removed and adjusted for seeds planted</w:t>
            </w:r>
          </w:p>
        </w:tc>
        <w:tc>
          <w:tcPr>
            <w:tcW w:w="692" w:type="dxa"/>
            <w:hideMark/>
          </w:tcPr>
          <w:p w:rsidR="0066129E" w:rsidRPr="0066129E" w:rsidRDefault="0066129E" w:rsidP="0066129E">
            <w:pPr>
              <w:rPr>
                <w:b/>
                <w:bCs/>
                <w:sz w:val="14"/>
              </w:rPr>
            </w:pPr>
            <w:r w:rsidRPr="0066129E">
              <w:rPr>
                <w:b/>
                <w:bCs/>
                <w:sz w:val="14"/>
              </w:rPr>
              <w:t># of branch</w:t>
            </w:r>
          </w:p>
        </w:tc>
        <w:tc>
          <w:tcPr>
            <w:tcW w:w="902" w:type="dxa"/>
            <w:hideMark/>
          </w:tcPr>
          <w:p w:rsidR="0066129E" w:rsidRPr="0066129E" w:rsidRDefault="0066129E" w:rsidP="0066129E">
            <w:pPr>
              <w:rPr>
                <w:b/>
                <w:bCs/>
                <w:sz w:val="14"/>
              </w:rPr>
            </w:pPr>
            <w:r w:rsidRPr="0066129E">
              <w:rPr>
                <w:b/>
                <w:bCs/>
                <w:sz w:val="14"/>
              </w:rPr>
              <w:t>plants harvested</w:t>
            </w:r>
          </w:p>
        </w:tc>
        <w:tc>
          <w:tcPr>
            <w:tcW w:w="1064" w:type="dxa"/>
            <w:shd w:val="clear" w:color="auto" w:fill="F2F2F2" w:themeFill="background1" w:themeFillShade="F2"/>
            <w:hideMark/>
          </w:tcPr>
          <w:p w:rsidR="0066129E" w:rsidRPr="0066129E" w:rsidRDefault="0066129E" w:rsidP="0066129E">
            <w:pPr>
              <w:rPr>
                <w:b/>
                <w:bCs/>
                <w:sz w:val="14"/>
              </w:rPr>
            </w:pPr>
            <w:r w:rsidRPr="0066129E">
              <w:rPr>
                <w:b/>
                <w:bCs/>
                <w:sz w:val="14"/>
              </w:rPr>
              <w:t>% Lodging</w:t>
            </w:r>
          </w:p>
        </w:tc>
        <w:tc>
          <w:tcPr>
            <w:tcW w:w="1280" w:type="dxa"/>
            <w:noWrap/>
            <w:hideMark/>
          </w:tcPr>
          <w:p w:rsidR="0066129E" w:rsidRPr="0066129E" w:rsidRDefault="0066129E">
            <w:pPr>
              <w:rPr>
                <w:b/>
                <w:sz w:val="14"/>
              </w:rPr>
            </w:pPr>
            <w:r w:rsidRPr="0066129E">
              <w:rPr>
                <w:b/>
                <w:sz w:val="14"/>
              </w:rPr>
              <w:t>% Lodging with bad germinating lines included</w:t>
            </w:r>
          </w:p>
        </w:tc>
      </w:tr>
      <w:tr w:rsidR="0066129E" w:rsidRPr="0066129E" w:rsidTr="0066129E">
        <w:trPr>
          <w:trHeight w:val="300"/>
        </w:trPr>
        <w:tc>
          <w:tcPr>
            <w:tcW w:w="817" w:type="dxa"/>
            <w:noWrap/>
            <w:hideMark/>
          </w:tcPr>
          <w:p w:rsidR="0066129E" w:rsidRPr="0066129E" w:rsidRDefault="0066129E">
            <w:pPr>
              <w:rPr>
                <w:b/>
                <w:bCs/>
              </w:rPr>
            </w:pPr>
            <w:r w:rsidRPr="0066129E">
              <w:rPr>
                <w:b/>
                <w:bCs/>
              </w:rPr>
              <w:t>DELTA</w:t>
            </w:r>
          </w:p>
        </w:tc>
        <w:tc>
          <w:tcPr>
            <w:tcW w:w="964" w:type="dxa"/>
            <w:noWrap/>
            <w:hideMark/>
          </w:tcPr>
          <w:p w:rsidR="0066129E" w:rsidRPr="0066129E" w:rsidRDefault="0066129E" w:rsidP="0066129E">
            <w:r w:rsidRPr="0066129E">
              <w:t>19.71705</w:t>
            </w:r>
          </w:p>
        </w:tc>
        <w:tc>
          <w:tcPr>
            <w:tcW w:w="965" w:type="dxa"/>
            <w:noWrap/>
            <w:hideMark/>
          </w:tcPr>
          <w:p w:rsidR="0066129E" w:rsidRPr="0066129E" w:rsidRDefault="0066129E" w:rsidP="0066129E">
            <w:r w:rsidRPr="0066129E">
              <w:t>45.42857</w:t>
            </w:r>
          </w:p>
        </w:tc>
        <w:tc>
          <w:tcPr>
            <w:tcW w:w="965" w:type="dxa"/>
            <w:noWrap/>
            <w:hideMark/>
          </w:tcPr>
          <w:p w:rsidR="0066129E" w:rsidRPr="0066129E" w:rsidRDefault="0066129E" w:rsidP="0066129E">
            <w:r w:rsidRPr="0066129E">
              <w:t>28.88814</w:t>
            </w:r>
          </w:p>
        </w:tc>
        <w:tc>
          <w:tcPr>
            <w:tcW w:w="1214" w:type="dxa"/>
            <w:noWrap/>
            <w:hideMark/>
          </w:tcPr>
          <w:p w:rsidR="0066129E" w:rsidRPr="0066129E" w:rsidRDefault="0066129E" w:rsidP="0066129E">
            <w:r w:rsidRPr="0066129E">
              <w:t>98.57143</w:t>
            </w:r>
          </w:p>
        </w:tc>
        <w:tc>
          <w:tcPr>
            <w:tcW w:w="965" w:type="dxa"/>
            <w:noWrap/>
            <w:hideMark/>
          </w:tcPr>
          <w:p w:rsidR="0066129E" w:rsidRPr="0066129E" w:rsidRDefault="0066129E" w:rsidP="0066129E">
            <w:r w:rsidRPr="0066129E">
              <w:t>98.57143</w:t>
            </w:r>
          </w:p>
        </w:tc>
        <w:tc>
          <w:tcPr>
            <w:tcW w:w="692" w:type="dxa"/>
            <w:noWrap/>
            <w:hideMark/>
          </w:tcPr>
          <w:p w:rsidR="0066129E" w:rsidRPr="0066129E" w:rsidRDefault="0066129E" w:rsidP="0066129E">
            <w:r w:rsidRPr="0066129E">
              <w:t>1.8</w:t>
            </w:r>
          </w:p>
        </w:tc>
        <w:tc>
          <w:tcPr>
            <w:tcW w:w="902" w:type="dxa"/>
            <w:noWrap/>
            <w:hideMark/>
          </w:tcPr>
          <w:p w:rsidR="0066129E" w:rsidRPr="0066129E" w:rsidRDefault="0066129E" w:rsidP="0066129E">
            <w:r w:rsidRPr="0066129E">
              <w:t>3.9</w:t>
            </w:r>
          </w:p>
        </w:tc>
        <w:tc>
          <w:tcPr>
            <w:tcW w:w="1064" w:type="dxa"/>
            <w:shd w:val="clear" w:color="auto" w:fill="F2F2F2" w:themeFill="background1" w:themeFillShade="F2"/>
            <w:noWrap/>
            <w:hideMark/>
          </w:tcPr>
          <w:p w:rsidR="0066129E" w:rsidRPr="0066129E" w:rsidRDefault="0066129E" w:rsidP="0066129E">
            <w:r w:rsidRPr="0066129E">
              <w:t>30.901011</w:t>
            </w:r>
          </w:p>
        </w:tc>
        <w:tc>
          <w:tcPr>
            <w:tcW w:w="1280" w:type="dxa"/>
            <w:noWrap/>
            <w:hideMark/>
          </w:tcPr>
          <w:p w:rsidR="0066129E" w:rsidRPr="0066129E" w:rsidRDefault="0066129E" w:rsidP="0066129E">
            <w:r w:rsidRPr="0066129E">
              <w:t>30.90101</w:t>
            </w:r>
          </w:p>
        </w:tc>
      </w:tr>
      <w:tr w:rsidR="0066129E" w:rsidRPr="0066129E" w:rsidTr="0066129E">
        <w:trPr>
          <w:trHeight w:val="300"/>
        </w:trPr>
        <w:tc>
          <w:tcPr>
            <w:tcW w:w="817" w:type="dxa"/>
            <w:noWrap/>
            <w:hideMark/>
          </w:tcPr>
          <w:p w:rsidR="0066129E" w:rsidRPr="0066129E" w:rsidRDefault="0066129E">
            <w:pPr>
              <w:rPr>
                <w:b/>
                <w:bCs/>
              </w:rPr>
            </w:pPr>
            <w:r w:rsidRPr="0066129E">
              <w:rPr>
                <w:b/>
                <w:bCs/>
              </w:rPr>
              <w:t>RER</w:t>
            </w:r>
          </w:p>
        </w:tc>
        <w:tc>
          <w:tcPr>
            <w:tcW w:w="964" w:type="dxa"/>
            <w:noWrap/>
            <w:hideMark/>
          </w:tcPr>
          <w:p w:rsidR="0066129E" w:rsidRPr="0066129E" w:rsidRDefault="0066129E" w:rsidP="0066129E">
            <w:r w:rsidRPr="0066129E">
              <w:t>36.58911</w:t>
            </w:r>
          </w:p>
        </w:tc>
        <w:tc>
          <w:tcPr>
            <w:tcW w:w="965" w:type="dxa"/>
            <w:noWrap/>
            <w:hideMark/>
          </w:tcPr>
          <w:p w:rsidR="0066129E" w:rsidRPr="0066129E" w:rsidRDefault="0066129E" w:rsidP="0066129E">
            <w:r w:rsidRPr="0066129E">
              <w:t>61.78571</w:t>
            </w:r>
          </w:p>
        </w:tc>
        <w:tc>
          <w:tcPr>
            <w:tcW w:w="965" w:type="dxa"/>
            <w:noWrap/>
            <w:hideMark/>
          </w:tcPr>
          <w:p w:rsidR="0066129E" w:rsidRPr="0066129E" w:rsidRDefault="0066129E" w:rsidP="0066129E">
            <w:r w:rsidRPr="0066129E">
              <w:t>33.49136</w:t>
            </w:r>
          </w:p>
        </w:tc>
        <w:tc>
          <w:tcPr>
            <w:tcW w:w="1214" w:type="dxa"/>
            <w:noWrap/>
            <w:hideMark/>
          </w:tcPr>
          <w:p w:rsidR="0066129E" w:rsidRPr="0066129E" w:rsidRDefault="0066129E" w:rsidP="0066129E">
            <w:r w:rsidRPr="0066129E">
              <w:t>87.14286</w:t>
            </w:r>
          </w:p>
        </w:tc>
        <w:tc>
          <w:tcPr>
            <w:tcW w:w="965" w:type="dxa"/>
            <w:noWrap/>
            <w:hideMark/>
          </w:tcPr>
          <w:p w:rsidR="0066129E" w:rsidRPr="0066129E" w:rsidRDefault="0066129E" w:rsidP="0066129E">
            <w:r w:rsidRPr="0066129E">
              <w:t>87.14286</w:t>
            </w:r>
          </w:p>
        </w:tc>
        <w:tc>
          <w:tcPr>
            <w:tcW w:w="692" w:type="dxa"/>
            <w:noWrap/>
            <w:hideMark/>
          </w:tcPr>
          <w:p w:rsidR="0066129E" w:rsidRPr="0066129E" w:rsidRDefault="0066129E" w:rsidP="0066129E">
            <w:r w:rsidRPr="0066129E">
              <w:t>3.16</w:t>
            </w:r>
          </w:p>
        </w:tc>
        <w:tc>
          <w:tcPr>
            <w:tcW w:w="902" w:type="dxa"/>
            <w:noWrap/>
            <w:hideMark/>
          </w:tcPr>
          <w:p w:rsidR="0066129E" w:rsidRPr="0066129E" w:rsidRDefault="0066129E" w:rsidP="0066129E">
            <w:r w:rsidRPr="0066129E">
              <w:t>3.43</w:t>
            </w:r>
          </w:p>
        </w:tc>
        <w:tc>
          <w:tcPr>
            <w:tcW w:w="1064" w:type="dxa"/>
            <w:shd w:val="clear" w:color="auto" w:fill="F2F2F2" w:themeFill="background1" w:themeFillShade="F2"/>
            <w:noWrap/>
            <w:hideMark/>
          </w:tcPr>
          <w:p w:rsidR="0066129E" w:rsidRPr="0066129E" w:rsidRDefault="0066129E" w:rsidP="0066129E">
            <w:r w:rsidRPr="0066129E">
              <w:t>57.178192</w:t>
            </w:r>
          </w:p>
        </w:tc>
        <w:tc>
          <w:tcPr>
            <w:tcW w:w="1280" w:type="dxa"/>
            <w:noWrap/>
            <w:hideMark/>
          </w:tcPr>
          <w:p w:rsidR="0066129E" w:rsidRPr="0066129E" w:rsidRDefault="0066129E" w:rsidP="0066129E">
            <w:r w:rsidRPr="0066129E">
              <w:t>57.17819</w:t>
            </w:r>
          </w:p>
        </w:tc>
      </w:tr>
      <w:tr w:rsidR="0066129E" w:rsidRPr="0066129E" w:rsidTr="0066129E">
        <w:trPr>
          <w:trHeight w:val="300"/>
        </w:trPr>
        <w:tc>
          <w:tcPr>
            <w:tcW w:w="817" w:type="dxa"/>
            <w:noWrap/>
            <w:hideMark/>
          </w:tcPr>
          <w:p w:rsidR="0066129E" w:rsidRPr="0066129E" w:rsidRDefault="0066129E" w:rsidP="0066129E">
            <w:pPr>
              <w:rPr>
                <w:b/>
                <w:bCs/>
              </w:rPr>
            </w:pPr>
            <w:r w:rsidRPr="0066129E">
              <w:rPr>
                <w:b/>
                <w:bCs/>
              </w:rPr>
              <w:t>1</w:t>
            </w:r>
          </w:p>
        </w:tc>
        <w:tc>
          <w:tcPr>
            <w:tcW w:w="964" w:type="dxa"/>
            <w:noWrap/>
            <w:hideMark/>
          </w:tcPr>
          <w:p w:rsidR="0066129E" w:rsidRPr="0066129E" w:rsidRDefault="0066129E" w:rsidP="0066129E">
            <w:r w:rsidRPr="0066129E">
              <w:t>31.99218</w:t>
            </w:r>
          </w:p>
        </w:tc>
        <w:tc>
          <w:tcPr>
            <w:tcW w:w="965" w:type="dxa"/>
            <w:noWrap/>
            <w:hideMark/>
          </w:tcPr>
          <w:p w:rsidR="0066129E" w:rsidRPr="0066129E" w:rsidRDefault="0066129E" w:rsidP="0066129E">
            <w:r w:rsidRPr="0066129E">
              <w:t>69.61111</w:t>
            </w:r>
          </w:p>
        </w:tc>
        <w:tc>
          <w:tcPr>
            <w:tcW w:w="965" w:type="dxa"/>
            <w:noWrap/>
            <w:hideMark/>
          </w:tcPr>
          <w:p w:rsidR="0066129E" w:rsidRPr="0066129E" w:rsidRDefault="0066129E" w:rsidP="0066129E">
            <w:r w:rsidRPr="0066129E">
              <w:t>33.95567</w:t>
            </w:r>
          </w:p>
        </w:tc>
        <w:tc>
          <w:tcPr>
            <w:tcW w:w="1214" w:type="dxa"/>
            <w:noWrap/>
            <w:hideMark/>
          </w:tcPr>
          <w:p w:rsidR="0066129E" w:rsidRPr="0066129E" w:rsidRDefault="0066129E" w:rsidP="0066129E">
            <w:r w:rsidRPr="0066129E">
              <w:t>83.33333</w:t>
            </w:r>
          </w:p>
        </w:tc>
        <w:tc>
          <w:tcPr>
            <w:tcW w:w="965" w:type="dxa"/>
            <w:noWrap/>
            <w:hideMark/>
          </w:tcPr>
          <w:p w:rsidR="0066129E" w:rsidRPr="0066129E" w:rsidRDefault="0066129E" w:rsidP="0066129E">
            <w:r w:rsidRPr="0066129E">
              <w:t>83.33333</w:t>
            </w:r>
          </w:p>
        </w:tc>
        <w:tc>
          <w:tcPr>
            <w:tcW w:w="692" w:type="dxa"/>
            <w:noWrap/>
            <w:hideMark/>
          </w:tcPr>
          <w:p w:rsidR="0066129E" w:rsidRPr="0066129E" w:rsidRDefault="0066129E" w:rsidP="0066129E">
            <w:r w:rsidRPr="0066129E">
              <w:t>2.33</w:t>
            </w:r>
          </w:p>
        </w:tc>
        <w:tc>
          <w:tcPr>
            <w:tcW w:w="902" w:type="dxa"/>
            <w:noWrap/>
            <w:hideMark/>
          </w:tcPr>
          <w:p w:rsidR="0066129E" w:rsidRPr="0066129E" w:rsidRDefault="0066129E" w:rsidP="0066129E">
            <w:r w:rsidRPr="0066129E">
              <w:t>3.67</w:t>
            </w:r>
          </w:p>
        </w:tc>
        <w:tc>
          <w:tcPr>
            <w:tcW w:w="1064" w:type="dxa"/>
            <w:shd w:val="clear" w:color="auto" w:fill="F2F2F2" w:themeFill="background1" w:themeFillShade="F2"/>
            <w:noWrap/>
            <w:hideMark/>
          </w:tcPr>
          <w:p w:rsidR="0066129E" w:rsidRPr="0066129E" w:rsidRDefault="0066129E" w:rsidP="0066129E">
            <w:r w:rsidRPr="0066129E">
              <w:t>57.433633</w:t>
            </w:r>
          </w:p>
        </w:tc>
        <w:tc>
          <w:tcPr>
            <w:tcW w:w="1280" w:type="dxa"/>
            <w:noWrap/>
            <w:hideMark/>
          </w:tcPr>
          <w:p w:rsidR="0066129E" w:rsidRPr="0066129E" w:rsidRDefault="0066129E" w:rsidP="0066129E">
            <w:r w:rsidRPr="0066129E">
              <w:t>57.43363</w:t>
            </w:r>
          </w:p>
        </w:tc>
      </w:tr>
      <w:tr w:rsidR="0066129E" w:rsidRPr="0066129E" w:rsidTr="0066129E">
        <w:trPr>
          <w:trHeight w:val="300"/>
        </w:trPr>
        <w:tc>
          <w:tcPr>
            <w:tcW w:w="817" w:type="dxa"/>
            <w:noWrap/>
            <w:hideMark/>
          </w:tcPr>
          <w:p w:rsidR="0066129E" w:rsidRPr="0066129E" w:rsidRDefault="0066129E" w:rsidP="0066129E">
            <w:pPr>
              <w:rPr>
                <w:b/>
                <w:bCs/>
              </w:rPr>
            </w:pPr>
            <w:r w:rsidRPr="0066129E">
              <w:rPr>
                <w:b/>
                <w:bCs/>
              </w:rPr>
              <w:t>2</w:t>
            </w:r>
          </w:p>
        </w:tc>
        <w:tc>
          <w:tcPr>
            <w:tcW w:w="964" w:type="dxa"/>
            <w:noWrap/>
            <w:hideMark/>
          </w:tcPr>
          <w:p w:rsidR="0066129E" w:rsidRPr="0066129E" w:rsidRDefault="0066129E" w:rsidP="0066129E">
            <w:r w:rsidRPr="0066129E">
              <w:t>27.80952</w:t>
            </w:r>
          </w:p>
        </w:tc>
        <w:tc>
          <w:tcPr>
            <w:tcW w:w="965" w:type="dxa"/>
            <w:noWrap/>
            <w:hideMark/>
          </w:tcPr>
          <w:p w:rsidR="0066129E" w:rsidRPr="0066129E" w:rsidRDefault="0066129E" w:rsidP="0066129E">
            <w:r w:rsidRPr="0066129E">
              <w:t>39</w:t>
            </w:r>
          </w:p>
        </w:tc>
        <w:tc>
          <w:tcPr>
            <w:tcW w:w="965" w:type="dxa"/>
            <w:noWrap/>
            <w:hideMark/>
          </w:tcPr>
          <w:p w:rsidR="0066129E" w:rsidRPr="0066129E" w:rsidRDefault="0066129E" w:rsidP="0066129E">
            <w:r w:rsidRPr="0066129E">
              <w:t>22.95265</w:t>
            </w:r>
          </w:p>
        </w:tc>
        <w:tc>
          <w:tcPr>
            <w:tcW w:w="1214" w:type="dxa"/>
            <w:noWrap/>
            <w:hideMark/>
          </w:tcPr>
          <w:p w:rsidR="0066129E" w:rsidRPr="0066129E" w:rsidRDefault="0066129E" w:rsidP="0066129E">
            <w:r w:rsidRPr="0066129E">
              <w:t>86.66667</w:t>
            </w:r>
          </w:p>
        </w:tc>
        <w:tc>
          <w:tcPr>
            <w:tcW w:w="965" w:type="dxa"/>
            <w:noWrap/>
            <w:hideMark/>
          </w:tcPr>
          <w:p w:rsidR="0066129E" w:rsidRPr="0066129E" w:rsidRDefault="0066129E" w:rsidP="0066129E">
            <w:r w:rsidRPr="0066129E">
              <w:t>86.66667</w:t>
            </w:r>
          </w:p>
        </w:tc>
        <w:tc>
          <w:tcPr>
            <w:tcW w:w="692" w:type="dxa"/>
            <w:noWrap/>
            <w:hideMark/>
          </w:tcPr>
          <w:p w:rsidR="0066129E" w:rsidRPr="0066129E" w:rsidRDefault="0066129E" w:rsidP="0066129E">
            <w:r w:rsidRPr="0066129E">
              <w:t>3.13</w:t>
            </w:r>
          </w:p>
        </w:tc>
        <w:tc>
          <w:tcPr>
            <w:tcW w:w="902" w:type="dxa"/>
            <w:noWrap/>
            <w:hideMark/>
          </w:tcPr>
          <w:p w:rsidR="0066129E" w:rsidRPr="0066129E" w:rsidRDefault="0066129E" w:rsidP="0066129E">
            <w:r w:rsidRPr="0066129E">
              <w:t>3</w:t>
            </w:r>
          </w:p>
        </w:tc>
        <w:tc>
          <w:tcPr>
            <w:tcW w:w="1064" w:type="dxa"/>
            <w:shd w:val="clear" w:color="auto" w:fill="F2F2F2" w:themeFill="background1" w:themeFillShade="F2"/>
            <w:noWrap/>
            <w:hideMark/>
          </w:tcPr>
          <w:p w:rsidR="0066129E" w:rsidRPr="0066129E" w:rsidRDefault="0066129E" w:rsidP="0066129E">
            <w:r w:rsidRPr="0066129E">
              <w:t>36.841987</w:t>
            </w:r>
          </w:p>
        </w:tc>
        <w:tc>
          <w:tcPr>
            <w:tcW w:w="1280" w:type="dxa"/>
            <w:noWrap/>
            <w:hideMark/>
          </w:tcPr>
          <w:p w:rsidR="0066129E" w:rsidRPr="0066129E" w:rsidRDefault="0066129E" w:rsidP="0066129E">
            <w:r w:rsidRPr="0066129E">
              <w:t>36.84199</w:t>
            </w:r>
          </w:p>
        </w:tc>
      </w:tr>
      <w:tr w:rsidR="0066129E" w:rsidRPr="0066129E" w:rsidTr="0066129E">
        <w:trPr>
          <w:trHeight w:val="300"/>
        </w:trPr>
        <w:tc>
          <w:tcPr>
            <w:tcW w:w="817" w:type="dxa"/>
            <w:noWrap/>
            <w:hideMark/>
          </w:tcPr>
          <w:p w:rsidR="0066129E" w:rsidRPr="0066129E" w:rsidRDefault="0066129E" w:rsidP="0066129E">
            <w:pPr>
              <w:rPr>
                <w:b/>
                <w:bCs/>
              </w:rPr>
            </w:pPr>
            <w:r w:rsidRPr="0066129E">
              <w:rPr>
                <w:b/>
                <w:bCs/>
              </w:rPr>
              <w:t>3</w:t>
            </w:r>
          </w:p>
        </w:tc>
        <w:tc>
          <w:tcPr>
            <w:tcW w:w="964" w:type="dxa"/>
            <w:noWrap/>
            <w:hideMark/>
          </w:tcPr>
          <w:p w:rsidR="0066129E" w:rsidRPr="0066129E" w:rsidRDefault="0066129E" w:rsidP="0066129E">
            <w:r w:rsidRPr="0066129E">
              <w:t>35.07338</w:t>
            </w:r>
          </w:p>
        </w:tc>
        <w:tc>
          <w:tcPr>
            <w:tcW w:w="965" w:type="dxa"/>
            <w:noWrap/>
            <w:hideMark/>
          </w:tcPr>
          <w:p w:rsidR="0066129E" w:rsidRPr="0066129E" w:rsidRDefault="0066129E" w:rsidP="0066129E">
            <w:r w:rsidRPr="0066129E">
              <w:t>37.61111</w:t>
            </w:r>
          </w:p>
        </w:tc>
        <w:tc>
          <w:tcPr>
            <w:tcW w:w="965" w:type="dxa"/>
            <w:noWrap/>
            <w:hideMark/>
          </w:tcPr>
          <w:p w:rsidR="0066129E" w:rsidRPr="0066129E" w:rsidRDefault="0066129E" w:rsidP="0066129E">
            <w:r w:rsidRPr="0066129E">
              <w:t>21.15533</w:t>
            </w:r>
          </w:p>
        </w:tc>
        <w:tc>
          <w:tcPr>
            <w:tcW w:w="1214" w:type="dxa"/>
            <w:noWrap/>
            <w:hideMark/>
          </w:tcPr>
          <w:p w:rsidR="0066129E" w:rsidRPr="0066129E" w:rsidRDefault="0066129E" w:rsidP="0066129E">
            <w:r w:rsidRPr="0066129E">
              <w:t>100</w:t>
            </w:r>
          </w:p>
        </w:tc>
        <w:tc>
          <w:tcPr>
            <w:tcW w:w="965" w:type="dxa"/>
            <w:noWrap/>
            <w:hideMark/>
          </w:tcPr>
          <w:p w:rsidR="0066129E" w:rsidRPr="0066129E" w:rsidRDefault="0066129E" w:rsidP="0066129E">
            <w:r w:rsidRPr="0066129E">
              <w:t>100</w:t>
            </w:r>
          </w:p>
        </w:tc>
        <w:tc>
          <w:tcPr>
            <w:tcW w:w="692" w:type="dxa"/>
            <w:noWrap/>
            <w:hideMark/>
          </w:tcPr>
          <w:p w:rsidR="0066129E" w:rsidRPr="0066129E" w:rsidRDefault="0066129E" w:rsidP="0066129E">
            <w:r w:rsidRPr="0066129E">
              <w:t>1.58</w:t>
            </w:r>
          </w:p>
        </w:tc>
        <w:tc>
          <w:tcPr>
            <w:tcW w:w="902" w:type="dxa"/>
            <w:noWrap/>
            <w:hideMark/>
          </w:tcPr>
          <w:p w:rsidR="0066129E" w:rsidRPr="0066129E" w:rsidRDefault="0066129E" w:rsidP="0066129E">
            <w:r w:rsidRPr="0066129E">
              <w:t>4</w:t>
            </w:r>
          </w:p>
        </w:tc>
        <w:tc>
          <w:tcPr>
            <w:tcW w:w="1064" w:type="dxa"/>
            <w:shd w:val="clear" w:color="auto" w:fill="F2F2F2" w:themeFill="background1" w:themeFillShade="F2"/>
            <w:noWrap/>
            <w:hideMark/>
          </w:tcPr>
          <w:p w:rsidR="0066129E" w:rsidRPr="0066129E" w:rsidRDefault="0066129E" w:rsidP="0066129E">
            <w:r w:rsidRPr="0066129E">
              <w:t>36.995751</w:t>
            </w:r>
          </w:p>
        </w:tc>
        <w:tc>
          <w:tcPr>
            <w:tcW w:w="1280" w:type="dxa"/>
            <w:noWrap/>
            <w:hideMark/>
          </w:tcPr>
          <w:p w:rsidR="0066129E" w:rsidRPr="0066129E" w:rsidRDefault="0066129E" w:rsidP="0066129E">
            <w:r w:rsidRPr="0066129E">
              <w:t>36.99575</w:t>
            </w:r>
          </w:p>
        </w:tc>
      </w:tr>
      <w:tr w:rsidR="0066129E" w:rsidRPr="0066129E" w:rsidTr="0066129E">
        <w:trPr>
          <w:trHeight w:val="300"/>
        </w:trPr>
        <w:tc>
          <w:tcPr>
            <w:tcW w:w="817" w:type="dxa"/>
            <w:noWrap/>
            <w:hideMark/>
          </w:tcPr>
          <w:p w:rsidR="0066129E" w:rsidRPr="0066129E" w:rsidRDefault="0066129E" w:rsidP="0066129E">
            <w:pPr>
              <w:rPr>
                <w:b/>
                <w:bCs/>
              </w:rPr>
            </w:pPr>
            <w:r w:rsidRPr="0066129E">
              <w:rPr>
                <w:b/>
                <w:bCs/>
              </w:rPr>
              <w:lastRenderedPageBreak/>
              <w:t>4</w:t>
            </w:r>
          </w:p>
        </w:tc>
        <w:tc>
          <w:tcPr>
            <w:tcW w:w="964" w:type="dxa"/>
            <w:noWrap/>
            <w:hideMark/>
          </w:tcPr>
          <w:p w:rsidR="0066129E" w:rsidRPr="0066129E" w:rsidRDefault="0066129E" w:rsidP="0066129E">
            <w:r w:rsidRPr="0066129E">
              <w:t>29.93146</w:t>
            </w:r>
          </w:p>
        </w:tc>
        <w:tc>
          <w:tcPr>
            <w:tcW w:w="965" w:type="dxa"/>
            <w:noWrap/>
            <w:hideMark/>
          </w:tcPr>
          <w:p w:rsidR="0066129E" w:rsidRPr="0066129E" w:rsidRDefault="0066129E" w:rsidP="0066129E">
            <w:r w:rsidRPr="0066129E">
              <w:t>32.83333</w:t>
            </w:r>
          </w:p>
        </w:tc>
        <w:tc>
          <w:tcPr>
            <w:tcW w:w="965" w:type="dxa"/>
            <w:noWrap/>
            <w:hideMark/>
          </w:tcPr>
          <w:p w:rsidR="0066129E" w:rsidRPr="0066129E" w:rsidRDefault="0066129E" w:rsidP="0066129E">
            <w:r w:rsidRPr="0066129E">
              <w:t>24.6165</w:t>
            </w:r>
          </w:p>
        </w:tc>
        <w:tc>
          <w:tcPr>
            <w:tcW w:w="1214" w:type="dxa"/>
            <w:noWrap/>
            <w:hideMark/>
          </w:tcPr>
          <w:p w:rsidR="0066129E" w:rsidRPr="0066129E" w:rsidRDefault="0066129E" w:rsidP="0066129E">
            <w:r w:rsidRPr="0066129E">
              <w:t>100</w:t>
            </w:r>
          </w:p>
        </w:tc>
        <w:tc>
          <w:tcPr>
            <w:tcW w:w="965" w:type="dxa"/>
            <w:noWrap/>
            <w:hideMark/>
          </w:tcPr>
          <w:p w:rsidR="0066129E" w:rsidRPr="0066129E" w:rsidRDefault="0066129E" w:rsidP="0066129E">
            <w:r w:rsidRPr="0066129E">
              <w:t>100</w:t>
            </w:r>
          </w:p>
        </w:tc>
        <w:tc>
          <w:tcPr>
            <w:tcW w:w="692" w:type="dxa"/>
            <w:noWrap/>
            <w:hideMark/>
          </w:tcPr>
          <w:p w:rsidR="0066129E" w:rsidRPr="0066129E" w:rsidRDefault="0066129E" w:rsidP="0066129E">
            <w:r w:rsidRPr="0066129E">
              <w:t>2.17</w:t>
            </w:r>
          </w:p>
        </w:tc>
        <w:tc>
          <w:tcPr>
            <w:tcW w:w="902" w:type="dxa"/>
            <w:noWrap/>
            <w:hideMark/>
          </w:tcPr>
          <w:p w:rsidR="0066129E" w:rsidRPr="0066129E" w:rsidRDefault="0066129E" w:rsidP="0066129E">
            <w:r w:rsidRPr="0066129E">
              <w:t>4</w:t>
            </w:r>
          </w:p>
        </w:tc>
        <w:tc>
          <w:tcPr>
            <w:tcW w:w="1064" w:type="dxa"/>
            <w:shd w:val="clear" w:color="auto" w:fill="F2F2F2" w:themeFill="background1" w:themeFillShade="F2"/>
            <w:noWrap/>
            <w:hideMark/>
          </w:tcPr>
          <w:p w:rsidR="0066129E" w:rsidRPr="0066129E" w:rsidRDefault="0066129E" w:rsidP="0066129E">
            <w:r w:rsidRPr="0066129E">
              <w:t>23.857089</w:t>
            </w:r>
          </w:p>
        </w:tc>
        <w:tc>
          <w:tcPr>
            <w:tcW w:w="1280" w:type="dxa"/>
            <w:noWrap/>
            <w:hideMark/>
          </w:tcPr>
          <w:p w:rsidR="0066129E" w:rsidRPr="0066129E" w:rsidRDefault="0066129E" w:rsidP="0066129E">
            <w:r w:rsidRPr="0066129E">
              <w:t>23.85709</w:t>
            </w:r>
          </w:p>
        </w:tc>
      </w:tr>
    </w:tbl>
    <w:p w:rsidR="00AA209D" w:rsidRDefault="00AA209D" w:rsidP="00AA209D"/>
    <w:p w:rsidR="00A37792" w:rsidRDefault="00A37792" w:rsidP="00A37792">
      <w:pPr>
        <w:pStyle w:val="Heading1"/>
      </w:pPr>
      <w:r>
        <w:t>Statistical</w:t>
      </w:r>
      <w:r w:rsidR="00D20ABE">
        <w:t xml:space="preserve"> Analysis: What we plan to do</w:t>
      </w:r>
      <w:r>
        <w:t xml:space="preserve"> </w:t>
      </w:r>
    </w:p>
    <w:p w:rsidR="00A37792" w:rsidRDefault="006814D8" w:rsidP="00A37792">
      <w:r>
        <w:t xml:space="preserve">We are involved in much of the prior work leading up to the QTL analysis; however, we are not actually performing QTL tests during this semester. </w:t>
      </w:r>
      <w:r w:rsidR="00D20ABE">
        <w:t xml:space="preserve"> </w:t>
      </w:r>
      <w:r w:rsidR="004150EE">
        <w:t>Instead, we are helping our client to answer the aforementioned questions in the previous section. Our proposed strategy to answer them is:</w:t>
      </w:r>
    </w:p>
    <w:p w:rsidR="00026B08" w:rsidRDefault="00026B08" w:rsidP="00026B08">
      <w:pPr>
        <w:pStyle w:val="ListParagraph"/>
        <w:numPr>
          <w:ilvl w:val="0"/>
          <w:numId w:val="4"/>
        </w:numPr>
      </w:pPr>
      <w:r w:rsidRPr="00026B08">
        <w:rPr>
          <w:b/>
        </w:rPr>
        <w:t>Interaction between year/site combinations</w:t>
      </w:r>
      <w:r w:rsidR="00290D80">
        <w:rPr>
          <w:b/>
        </w:rPr>
        <w:t xml:space="preserve"> (phenotypic data)</w:t>
      </w:r>
      <w:r>
        <w:t xml:space="preserve">. </w:t>
      </w:r>
      <w:r w:rsidR="004150EE">
        <w:t>Two issues here need to be considered.</w:t>
      </w:r>
      <w:r w:rsidR="00290D80">
        <w:t xml:space="preserve"> Our client wants to combine all of his data from each site/year combination into a single dataset.</w:t>
      </w:r>
      <w:r w:rsidR="004150EE">
        <w:t xml:space="preserve"> We need to control for the variation in year/site combinations, possibly by fitti</w:t>
      </w:r>
      <w:r w:rsidR="00290D80">
        <w:t>ng random effects into the models we fit</w:t>
      </w:r>
      <w:r w:rsidR="004150EE">
        <w:t xml:space="preserve">. </w:t>
      </w:r>
      <w:r w:rsidR="00290D80">
        <w:t xml:space="preserve"> If year and site interact with each other, we may need to consider fitting these models with some interaction term.  </w:t>
      </w:r>
      <w:r w:rsidR="00540678">
        <w:t xml:space="preserve"> Note that we do not necessarily intend to fit these models, rather, we simply need to assess whether we can additively include year and environment or not. </w:t>
      </w:r>
      <w:r w:rsidR="00D653F0">
        <w:t xml:space="preserve"> For each of the </w:t>
      </w:r>
      <w:proofErr w:type="spellStart"/>
      <w:r w:rsidR="00D653F0">
        <w:t>i</w:t>
      </w:r>
      <w:proofErr w:type="spellEnd"/>
      <w:r w:rsidR="00D653F0">
        <w:t xml:space="preserve"> genetic markers, the model we believe that is fit is:</w:t>
      </w:r>
    </w:p>
    <w:p w:rsidR="004150EE" w:rsidRPr="00290D80" w:rsidRDefault="00084A8D" w:rsidP="004150EE">
      <w:pPr>
        <w:pStyle w:val="ListParagraph"/>
      </w:pPr>
      <m:oMathPara>
        <m:oMath>
          <m:sSub>
            <m:sSubPr>
              <m:ctrlPr>
                <w:rPr>
                  <w:rFonts w:ascii="Cambria Math" w:hAnsi="Cambria Math"/>
                  <w:i/>
                </w:rPr>
              </m:ctrlPr>
            </m:sSubPr>
            <m:e>
              <m:r>
                <w:rPr>
                  <w:rFonts w:ascii="Cambria Math" w:hAnsi="Cambria Math"/>
                </w:rPr>
                <m:t>y</m:t>
              </m:r>
            </m:e>
            <m:sub>
              <m:r>
                <w:rPr>
                  <w:rFonts w:ascii="Cambria Math" w:hAnsi="Cambria Math"/>
                </w:rPr>
                <m:t>lodging</m:t>
              </m:r>
            </m:sub>
          </m:sSub>
          <m:r>
            <w:rPr>
              <w:rFonts w:ascii="Cambria Math" w:hAnsi="Cambria Math"/>
            </w:rPr>
            <m:t>=GeneticMarkeri+ Year+Environment+Yea</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Environment+Error</m:t>
          </m:r>
        </m:oMath>
      </m:oMathPara>
    </w:p>
    <w:p w:rsidR="00290D80" w:rsidRDefault="00290D80" w:rsidP="004150EE">
      <w:pPr>
        <w:pStyle w:val="ListParagraph"/>
      </w:pPr>
    </w:p>
    <w:p w:rsidR="00026B08" w:rsidRDefault="00026B08" w:rsidP="00026B08">
      <w:pPr>
        <w:pStyle w:val="ListParagraph"/>
        <w:numPr>
          <w:ilvl w:val="0"/>
          <w:numId w:val="4"/>
        </w:numPr>
      </w:pPr>
      <w:r>
        <w:rPr>
          <w:b/>
        </w:rPr>
        <w:t xml:space="preserve">Correlations between Phenotypic Data: </w:t>
      </w:r>
      <w:r>
        <w:t xml:space="preserve">Our client has already created a </w:t>
      </w:r>
      <w:proofErr w:type="spellStart"/>
      <w:r>
        <w:t>scatterplot</w:t>
      </w:r>
      <w:proofErr w:type="spellEnd"/>
      <w:r>
        <w:t xml:space="preserve"> matrix</w:t>
      </w:r>
      <w:r w:rsidR="00540678">
        <w:t xml:space="preserve"> (using </w:t>
      </w:r>
      <w:proofErr w:type="spellStart"/>
      <w:r w:rsidR="00540678" w:rsidRPr="00540678">
        <w:rPr>
          <w:rFonts w:ascii="Courier New" w:hAnsi="Courier New" w:cs="Courier New"/>
        </w:rPr>
        <w:t>pairs.panels</w:t>
      </w:r>
      <w:proofErr w:type="spellEnd"/>
      <w:r w:rsidR="00540678">
        <w:t xml:space="preserve"> in the ‘psych’ package)</w:t>
      </w:r>
      <w:r>
        <w:t xml:space="preserve"> of correlations between covariates in the phenotypic data, in order to determine which traits are highly correlated with each other. </w:t>
      </w:r>
      <w:r w:rsidR="004150EE">
        <w:t xml:space="preserve"> We will remake the </w:t>
      </w:r>
      <w:proofErr w:type="spellStart"/>
      <w:r w:rsidR="004150EE">
        <w:t>scatterplot</w:t>
      </w:r>
      <w:proofErr w:type="spellEnd"/>
      <w:r w:rsidR="004150EE">
        <w:t xml:space="preserve"> matrix our client </w:t>
      </w:r>
      <w:r w:rsidR="00290D80">
        <w:t xml:space="preserve">brought to us, but look at different ways to display the correlations so that the plot is useful.  Also, since our client used Pearson correlations, we may want to re-examine the phenotype data to determine if there are other types of correlation (Spearman, Kendall’s Rank, etc.) that may be more useful in this context. </w:t>
      </w:r>
      <w:r w:rsidR="00D653F0">
        <w:t xml:space="preserve"> Doing one QTL on several traits is more powerful than doing a separate QTL for each phenotypic trait. Since our client is only concerned with the pea lodging, it is unclear to us why he is looking at all of the phenotypic data.</w:t>
      </w:r>
    </w:p>
    <w:p w:rsidR="00290D80" w:rsidRPr="00026B08" w:rsidRDefault="00290D80" w:rsidP="00290D80">
      <w:pPr>
        <w:pStyle w:val="ListParagraph"/>
      </w:pPr>
    </w:p>
    <w:p w:rsidR="00026B08" w:rsidRDefault="00026B08" w:rsidP="00B94E4C">
      <w:pPr>
        <w:pStyle w:val="ListParagraph"/>
        <w:numPr>
          <w:ilvl w:val="0"/>
          <w:numId w:val="4"/>
        </w:numPr>
      </w:pPr>
      <w:r w:rsidRPr="00026B08">
        <w:rPr>
          <w:b/>
        </w:rPr>
        <w:t>Significance Threshold</w:t>
      </w:r>
      <w:r>
        <w:t xml:space="preserve">: Because QTL relies on simultaneous testing, we need to develop a significance threshold that our client can use to interpret the statistical significance of his tests. </w:t>
      </w:r>
      <w:r w:rsidR="00290D80">
        <w:t xml:space="preserve"> However, rather than doing p-value based </w:t>
      </w:r>
      <w:r w:rsidR="00540678">
        <w:t xml:space="preserve">tests, we instead </w:t>
      </w:r>
      <w:r w:rsidR="00C11C75">
        <w:t xml:space="preserve">calculate a genome-wide adjusted LOD score at each loci (marker) and determine significance based on this distance threshold. This is feasible because distance between loci can be interpreted probabilistically; loci that are closer together are likely to be inherited together.  </w:t>
      </w:r>
      <w:r w:rsidR="00B94E4C">
        <w:t xml:space="preserve">LOD refers to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(likelihood)</m:t>
            </m:r>
          </m:e>
        </m:func>
        <m:r>
          <w:rPr>
            <w:rFonts w:ascii="Cambria Math" w:hAnsi="Cambria Math"/>
          </w:rPr>
          <m:t xml:space="preserve"> </m:t>
        </m:r>
      </m:oMath>
      <w:r w:rsidR="00B94E4C" w:rsidRPr="00B94E4C">
        <w:t>ratio comparing the null that there is not a QTL to the alternative, that there is.</w:t>
      </w:r>
    </w:p>
    <w:p w:rsidR="00290D80" w:rsidRDefault="00290D80" w:rsidP="00290D80">
      <w:pPr>
        <w:pStyle w:val="ListParagraph"/>
      </w:pPr>
    </w:p>
    <w:p w:rsidR="00026B08" w:rsidRPr="00026B08" w:rsidRDefault="00026B08" w:rsidP="00026B08">
      <w:pPr>
        <w:pStyle w:val="ListParagraph"/>
        <w:numPr>
          <w:ilvl w:val="0"/>
          <w:numId w:val="4"/>
        </w:numPr>
      </w:pPr>
      <w:r>
        <w:rPr>
          <w:b/>
        </w:rPr>
        <w:t>Quantitative Trait Locus (QTL)</w:t>
      </w:r>
      <w:r w:rsidR="00290D80">
        <w:rPr>
          <w:b/>
        </w:rPr>
        <w:t xml:space="preserve"> Mapping</w:t>
      </w:r>
      <w:r>
        <w:rPr>
          <w:b/>
        </w:rPr>
        <w:t xml:space="preserve">: </w:t>
      </w:r>
      <w:r>
        <w:t>Although we are not performing the QTL analysis, all of this culminates in a series of hypothesis tests known as QTL analysis</w:t>
      </w:r>
      <w:r w:rsidR="00540678">
        <w:t>/mapping</w:t>
      </w:r>
      <w:r w:rsidR="00290D80">
        <w:t xml:space="preserve"> that will be performed by our client.</w:t>
      </w:r>
      <w:r>
        <w:t xml:space="preserve"> </w:t>
      </w:r>
    </w:p>
    <w:sectPr w:rsidR="00026B08" w:rsidRPr="00026B08" w:rsidSect="00F8212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69C" w:rsidRDefault="0038569C" w:rsidP="00EE5060">
      <w:pPr>
        <w:spacing w:after="0" w:line="240" w:lineRule="auto"/>
      </w:pPr>
      <w:r>
        <w:separator/>
      </w:r>
    </w:p>
  </w:endnote>
  <w:endnote w:type="continuationSeparator" w:id="0">
    <w:p w:rsidR="0038569C" w:rsidRDefault="0038569C" w:rsidP="00EE50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890230"/>
      <w:docPartObj>
        <w:docPartGallery w:val="Page Numbers (Bottom of Page)"/>
        <w:docPartUnique/>
      </w:docPartObj>
    </w:sdtPr>
    <w:sdtEndPr>
      <w:rPr>
        <w:noProof/>
      </w:rPr>
    </w:sdtEndPr>
    <w:sdtContent>
      <w:p w:rsidR="005D3459" w:rsidRDefault="00084A8D" w:rsidP="005D3459">
        <w:pPr>
          <w:pStyle w:val="Footer"/>
          <w:ind w:left="5040" w:firstLine="4320"/>
          <w:jc w:val="center"/>
        </w:pPr>
        <w:r>
          <w:fldChar w:fldCharType="begin"/>
        </w:r>
        <w:r w:rsidR="005D3459">
          <w:instrText xml:space="preserve"> PAGE   \* MERGEFORMAT </w:instrText>
        </w:r>
        <w:r>
          <w:fldChar w:fldCharType="separate"/>
        </w:r>
        <w:r w:rsidR="00DD54E8">
          <w:rPr>
            <w:noProof/>
          </w:rPr>
          <w:t>3</w:t>
        </w:r>
        <w:r>
          <w:rPr>
            <w:noProof/>
          </w:rPr>
          <w:fldChar w:fldCharType="end"/>
        </w:r>
      </w:p>
    </w:sdtContent>
  </w:sdt>
  <w:p w:rsidR="005D3459" w:rsidRDefault="005D34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69C" w:rsidRDefault="0038569C" w:rsidP="00EE5060">
      <w:pPr>
        <w:spacing w:after="0" w:line="240" w:lineRule="auto"/>
      </w:pPr>
      <w:r>
        <w:separator/>
      </w:r>
    </w:p>
  </w:footnote>
  <w:footnote w:type="continuationSeparator" w:id="0">
    <w:p w:rsidR="0038569C" w:rsidRDefault="0038569C" w:rsidP="00EE50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459" w:rsidRDefault="005D3459" w:rsidP="005D3459">
    <w:pPr>
      <w:pStyle w:val="Header"/>
      <w:jc w:val="right"/>
    </w:pPr>
    <w:proofErr w:type="spellStart"/>
    <w:r>
      <w:t>Ezike</w:t>
    </w:r>
    <w:proofErr w:type="spellEnd"/>
    <w:r>
      <w:t>, Harmon, and Mack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75AA"/>
    <w:multiLevelType w:val="hybridMultilevel"/>
    <w:tmpl w:val="940E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20BAC"/>
    <w:multiLevelType w:val="hybridMultilevel"/>
    <w:tmpl w:val="E62A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82B8E"/>
    <w:multiLevelType w:val="hybridMultilevel"/>
    <w:tmpl w:val="2CD2C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7A2B7F"/>
    <w:multiLevelType w:val="hybridMultilevel"/>
    <w:tmpl w:val="D83C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764854"/>
    <w:multiLevelType w:val="hybridMultilevel"/>
    <w:tmpl w:val="022E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969FF"/>
    <w:multiLevelType w:val="hybridMultilevel"/>
    <w:tmpl w:val="442E237A"/>
    <w:lvl w:ilvl="0" w:tplc="55F898FC">
      <w:start w:val="1"/>
      <w:numFmt w:val="bullet"/>
      <w:lvlText w:val=""/>
      <w:lvlJc w:val="left"/>
      <w:pPr>
        <w:tabs>
          <w:tab w:val="num" w:pos="720"/>
        </w:tabs>
        <w:ind w:left="720" w:hanging="360"/>
      </w:pPr>
      <w:rPr>
        <w:rFonts w:ascii="Wingdings" w:hAnsi="Wingdings" w:hint="default"/>
      </w:rPr>
    </w:lvl>
    <w:lvl w:ilvl="1" w:tplc="89367346" w:tentative="1">
      <w:start w:val="1"/>
      <w:numFmt w:val="bullet"/>
      <w:lvlText w:val=""/>
      <w:lvlJc w:val="left"/>
      <w:pPr>
        <w:tabs>
          <w:tab w:val="num" w:pos="1440"/>
        </w:tabs>
        <w:ind w:left="1440" w:hanging="360"/>
      </w:pPr>
      <w:rPr>
        <w:rFonts w:ascii="Wingdings" w:hAnsi="Wingdings" w:hint="default"/>
      </w:rPr>
    </w:lvl>
    <w:lvl w:ilvl="2" w:tplc="D94A842E" w:tentative="1">
      <w:start w:val="1"/>
      <w:numFmt w:val="bullet"/>
      <w:lvlText w:val=""/>
      <w:lvlJc w:val="left"/>
      <w:pPr>
        <w:tabs>
          <w:tab w:val="num" w:pos="2160"/>
        </w:tabs>
        <w:ind w:left="2160" w:hanging="360"/>
      </w:pPr>
      <w:rPr>
        <w:rFonts w:ascii="Wingdings" w:hAnsi="Wingdings" w:hint="default"/>
      </w:rPr>
    </w:lvl>
    <w:lvl w:ilvl="3" w:tplc="730C3894" w:tentative="1">
      <w:start w:val="1"/>
      <w:numFmt w:val="bullet"/>
      <w:lvlText w:val=""/>
      <w:lvlJc w:val="left"/>
      <w:pPr>
        <w:tabs>
          <w:tab w:val="num" w:pos="2880"/>
        </w:tabs>
        <w:ind w:left="2880" w:hanging="360"/>
      </w:pPr>
      <w:rPr>
        <w:rFonts w:ascii="Wingdings" w:hAnsi="Wingdings" w:hint="default"/>
      </w:rPr>
    </w:lvl>
    <w:lvl w:ilvl="4" w:tplc="E960A80C" w:tentative="1">
      <w:start w:val="1"/>
      <w:numFmt w:val="bullet"/>
      <w:lvlText w:val=""/>
      <w:lvlJc w:val="left"/>
      <w:pPr>
        <w:tabs>
          <w:tab w:val="num" w:pos="3600"/>
        </w:tabs>
        <w:ind w:left="3600" w:hanging="360"/>
      </w:pPr>
      <w:rPr>
        <w:rFonts w:ascii="Wingdings" w:hAnsi="Wingdings" w:hint="default"/>
      </w:rPr>
    </w:lvl>
    <w:lvl w:ilvl="5" w:tplc="5B50A83C" w:tentative="1">
      <w:start w:val="1"/>
      <w:numFmt w:val="bullet"/>
      <w:lvlText w:val=""/>
      <w:lvlJc w:val="left"/>
      <w:pPr>
        <w:tabs>
          <w:tab w:val="num" w:pos="4320"/>
        </w:tabs>
        <w:ind w:left="4320" w:hanging="360"/>
      </w:pPr>
      <w:rPr>
        <w:rFonts w:ascii="Wingdings" w:hAnsi="Wingdings" w:hint="default"/>
      </w:rPr>
    </w:lvl>
    <w:lvl w:ilvl="6" w:tplc="AE4AD270" w:tentative="1">
      <w:start w:val="1"/>
      <w:numFmt w:val="bullet"/>
      <w:lvlText w:val=""/>
      <w:lvlJc w:val="left"/>
      <w:pPr>
        <w:tabs>
          <w:tab w:val="num" w:pos="5040"/>
        </w:tabs>
        <w:ind w:left="5040" w:hanging="360"/>
      </w:pPr>
      <w:rPr>
        <w:rFonts w:ascii="Wingdings" w:hAnsi="Wingdings" w:hint="default"/>
      </w:rPr>
    </w:lvl>
    <w:lvl w:ilvl="7" w:tplc="997E109A" w:tentative="1">
      <w:start w:val="1"/>
      <w:numFmt w:val="bullet"/>
      <w:lvlText w:val=""/>
      <w:lvlJc w:val="left"/>
      <w:pPr>
        <w:tabs>
          <w:tab w:val="num" w:pos="5760"/>
        </w:tabs>
        <w:ind w:left="5760" w:hanging="360"/>
      </w:pPr>
      <w:rPr>
        <w:rFonts w:ascii="Wingdings" w:hAnsi="Wingdings" w:hint="default"/>
      </w:rPr>
    </w:lvl>
    <w:lvl w:ilvl="8" w:tplc="5A52555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A37792"/>
    <w:rsid w:val="00026B08"/>
    <w:rsid w:val="00084A8D"/>
    <w:rsid w:val="00113C9B"/>
    <w:rsid w:val="002564B3"/>
    <w:rsid w:val="00264E7C"/>
    <w:rsid w:val="00290D80"/>
    <w:rsid w:val="003108FB"/>
    <w:rsid w:val="0038569C"/>
    <w:rsid w:val="004150EE"/>
    <w:rsid w:val="00540678"/>
    <w:rsid w:val="005D3459"/>
    <w:rsid w:val="0066129E"/>
    <w:rsid w:val="006814D8"/>
    <w:rsid w:val="007779AC"/>
    <w:rsid w:val="00803BA1"/>
    <w:rsid w:val="00A37792"/>
    <w:rsid w:val="00AA209D"/>
    <w:rsid w:val="00B94E4C"/>
    <w:rsid w:val="00C11C75"/>
    <w:rsid w:val="00D20ABE"/>
    <w:rsid w:val="00D653F0"/>
    <w:rsid w:val="00DD54E8"/>
    <w:rsid w:val="00EE5060"/>
    <w:rsid w:val="00F43B81"/>
    <w:rsid w:val="00F8212E"/>
    <w:rsid w:val="00F87B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792"/>
  </w:style>
  <w:style w:type="paragraph" w:styleId="Heading1">
    <w:name w:val="heading 1"/>
    <w:basedOn w:val="Normal"/>
    <w:next w:val="Normal"/>
    <w:link w:val="Heading1Char"/>
    <w:uiPriority w:val="9"/>
    <w:qFormat/>
    <w:rsid w:val="00A3779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37792"/>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3779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3779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37792"/>
    <w:pPr>
      <w:spacing w:before="200" w:after="0"/>
      <w:jc w:val="left"/>
      <w:outlineLvl w:val="4"/>
    </w:pPr>
    <w:rPr>
      <w:smallCaps/>
      <w:color w:val="3667C3" w:themeColor="accent2" w:themeShade="BF"/>
      <w:spacing w:val="10"/>
      <w:sz w:val="22"/>
      <w:szCs w:val="26"/>
    </w:rPr>
  </w:style>
  <w:style w:type="paragraph" w:styleId="Heading6">
    <w:name w:val="heading 6"/>
    <w:basedOn w:val="Normal"/>
    <w:next w:val="Normal"/>
    <w:link w:val="Heading6Char"/>
    <w:uiPriority w:val="9"/>
    <w:semiHidden/>
    <w:unhideWhenUsed/>
    <w:qFormat/>
    <w:rsid w:val="00A37792"/>
    <w:pPr>
      <w:spacing w:after="0"/>
      <w:jc w:val="left"/>
      <w:outlineLvl w:val="5"/>
    </w:pPr>
    <w:rPr>
      <w:smallCaps/>
      <w:color w:val="7598D9" w:themeColor="accent2"/>
      <w:spacing w:val="5"/>
      <w:sz w:val="22"/>
    </w:rPr>
  </w:style>
  <w:style w:type="paragraph" w:styleId="Heading7">
    <w:name w:val="heading 7"/>
    <w:basedOn w:val="Normal"/>
    <w:next w:val="Normal"/>
    <w:link w:val="Heading7Char"/>
    <w:uiPriority w:val="9"/>
    <w:semiHidden/>
    <w:unhideWhenUsed/>
    <w:qFormat/>
    <w:rsid w:val="00A37792"/>
    <w:pPr>
      <w:spacing w:after="0"/>
      <w:jc w:val="left"/>
      <w:outlineLvl w:val="6"/>
    </w:pPr>
    <w:rPr>
      <w:b/>
      <w:smallCaps/>
      <w:color w:val="7598D9" w:themeColor="accent2"/>
      <w:spacing w:val="10"/>
    </w:rPr>
  </w:style>
  <w:style w:type="paragraph" w:styleId="Heading8">
    <w:name w:val="heading 8"/>
    <w:basedOn w:val="Normal"/>
    <w:next w:val="Normal"/>
    <w:link w:val="Heading8Char"/>
    <w:uiPriority w:val="9"/>
    <w:semiHidden/>
    <w:unhideWhenUsed/>
    <w:qFormat/>
    <w:rsid w:val="00A37792"/>
    <w:pPr>
      <w:spacing w:after="0"/>
      <w:jc w:val="left"/>
      <w:outlineLvl w:val="7"/>
    </w:pPr>
    <w:rPr>
      <w:b/>
      <w:i/>
      <w:smallCaps/>
      <w:color w:val="3667C3" w:themeColor="accent2" w:themeShade="BF"/>
    </w:rPr>
  </w:style>
  <w:style w:type="paragraph" w:styleId="Heading9">
    <w:name w:val="heading 9"/>
    <w:basedOn w:val="Normal"/>
    <w:next w:val="Normal"/>
    <w:link w:val="Heading9Char"/>
    <w:uiPriority w:val="9"/>
    <w:semiHidden/>
    <w:unhideWhenUsed/>
    <w:qFormat/>
    <w:rsid w:val="00A37792"/>
    <w:pPr>
      <w:spacing w:after="0"/>
      <w:jc w:val="left"/>
      <w:outlineLvl w:val="8"/>
    </w:pPr>
    <w:rPr>
      <w:b/>
      <w:i/>
      <w:smallCaps/>
      <w:color w:val="244482"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792"/>
    <w:rPr>
      <w:smallCaps/>
      <w:spacing w:val="5"/>
      <w:sz w:val="32"/>
      <w:szCs w:val="32"/>
    </w:rPr>
  </w:style>
  <w:style w:type="character" w:customStyle="1" w:styleId="Heading2Char">
    <w:name w:val="Heading 2 Char"/>
    <w:basedOn w:val="DefaultParagraphFont"/>
    <w:link w:val="Heading2"/>
    <w:uiPriority w:val="9"/>
    <w:rsid w:val="00A37792"/>
    <w:rPr>
      <w:smallCaps/>
      <w:spacing w:val="5"/>
      <w:sz w:val="28"/>
      <w:szCs w:val="28"/>
    </w:rPr>
  </w:style>
  <w:style w:type="character" w:customStyle="1" w:styleId="Heading3Char">
    <w:name w:val="Heading 3 Char"/>
    <w:basedOn w:val="DefaultParagraphFont"/>
    <w:link w:val="Heading3"/>
    <w:uiPriority w:val="9"/>
    <w:rsid w:val="00A37792"/>
    <w:rPr>
      <w:smallCaps/>
      <w:spacing w:val="5"/>
      <w:sz w:val="24"/>
      <w:szCs w:val="24"/>
    </w:rPr>
  </w:style>
  <w:style w:type="character" w:customStyle="1" w:styleId="Heading4Char">
    <w:name w:val="Heading 4 Char"/>
    <w:basedOn w:val="DefaultParagraphFont"/>
    <w:link w:val="Heading4"/>
    <w:uiPriority w:val="9"/>
    <w:semiHidden/>
    <w:rsid w:val="00A37792"/>
    <w:rPr>
      <w:smallCaps/>
      <w:spacing w:val="10"/>
      <w:sz w:val="22"/>
      <w:szCs w:val="22"/>
    </w:rPr>
  </w:style>
  <w:style w:type="character" w:customStyle="1" w:styleId="Heading5Char">
    <w:name w:val="Heading 5 Char"/>
    <w:basedOn w:val="DefaultParagraphFont"/>
    <w:link w:val="Heading5"/>
    <w:uiPriority w:val="9"/>
    <w:semiHidden/>
    <w:rsid w:val="00A37792"/>
    <w:rPr>
      <w:smallCaps/>
      <w:color w:val="3667C3" w:themeColor="accent2" w:themeShade="BF"/>
      <w:spacing w:val="10"/>
      <w:sz w:val="22"/>
      <w:szCs w:val="26"/>
    </w:rPr>
  </w:style>
  <w:style w:type="character" w:customStyle="1" w:styleId="Heading6Char">
    <w:name w:val="Heading 6 Char"/>
    <w:basedOn w:val="DefaultParagraphFont"/>
    <w:link w:val="Heading6"/>
    <w:uiPriority w:val="9"/>
    <w:semiHidden/>
    <w:rsid w:val="00A37792"/>
    <w:rPr>
      <w:smallCaps/>
      <w:color w:val="7598D9" w:themeColor="accent2"/>
      <w:spacing w:val="5"/>
      <w:sz w:val="22"/>
    </w:rPr>
  </w:style>
  <w:style w:type="character" w:customStyle="1" w:styleId="Heading7Char">
    <w:name w:val="Heading 7 Char"/>
    <w:basedOn w:val="DefaultParagraphFont"/>
    <w:link w:val="Heading7"/>
    <w:uiPriority w:val="9"/>
    <w:semiHidden/>
    <w:rsid w:val="00A37792"/>
    <w:rPr>
      <w:b/>
      <w:smallCaps/>
      <w:color w:val="7598D9" w:themeColor="accent2"/>
      <w:spacing w:val="10"/>
    </w:rPr>
  </w:style>
  <w:style w:type="character" w:customStyle="1" w:styleId="Heading8Char">
    <w:name w:val="Heading 8 Char"/>
    <w:basedOn w:val="DefaultParagraphFont"/>
    <w:link w:val="Heading8"/>
    <w:uiPriority w:val="9"/>
    <w:semiHidden/>
    <w:rsid w:val="00A37792"/>
    <w:rPr>
      <w:b/>
      <w:i/>
      <w:smallCaps/>
      <w:color w:val="3667C3" w:themeColor="accent2" w:themeShade="BF"/>
    </w:rPr>
  </w:style>
  <w:style w:type="character" w:customStyle="1" w:styleId="Heading9Char">
    <w:name w:val="Heading 9 Char"/>
    <w:basedOn w:val="DefaultParagraphFont"/>
    <w:link w:val="Heading9"/>
    <w:uiPriority w:val="9"/>
    <w:semiHidden/>
    <w:rsid w:val="00A37792"/>
    <w:rPr>
      <w:b/>
      <w:i/>
      <w:smallCaps/>
      <w:color w:val="244482" w:themeColor="accent2" w:themeShade="7F"/>
    </w:rPr>
  </w:style>
  <w:style w:type="paragraph" w:styleId="Caption">
    <w:name w:val="caption"/>
    <w:basedOn w:val="Normal"/>
    <w:next w:val="Normal"/>
    <w:uiPriority w:val="35"/>
    <w:semiHidden/>
    <w:unhideWhenUsed/>
    <w:qFormat/>
    <w:rsid w:val="00A37792"/>
    <w:rPr>
      <w:b/>
      <w:bCs/>
      <w:caps/>
      <w:sz w:val="16"/>
      <w:szCs w:val="18"/>
    </w:rPr>
  </w:style>
  <w:style w:type="paragraph" w:styleId="Title">
    <w:name w:val="Title"/>
    <w:basedOn w:val="Normal"/>
    <w:next w:val="Normal"/>
    <w:link w:val="TitleChar"/>
    <w:uiPriority w:val="10"/>
    <w:qFormat/>
    <w:rsid w:val="00A37792"/>
    <w:pPr>
      <w:pBdr>
        <w:top w:val="single" w:sz="12" w:space="1" w:color="7598D9"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37792"/>
    <w:rPr>
      <w:smallCaps/>
      <w:sz w:val="48"/>
      <w:szCs w:val="48"/>
    </w:rPr>
  </w:style>
  <w:style w:type="paragraph" w:styleId="Subtitle">
    <w:name w:val="Subtitle"/>
    <w:basedOn w:val="Normal"/>
    <w:next w:val="Normal"/>
    <w:link w:val="SubtitleChar"/>
    <w:uiPriority w:val="11"/>
    <w:qFormat/>
    <w:rsid w:val="00A3779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37792"/>
    <w:rPr>
      <w:rFonts w:asciiTheme="majorHAnsi" w:eastAsiaTheme="majorEastAsia" w:hAnsiTheme="majorHAnsi" w:cstheme="majorBidi"/>
      <w:szCs w:val="22"/>
    </w:rPr>
  </w:style>
  <w:style w:type="character" w:styleId="Strong">
    <w:name w:val="Strong"/>
    <w:uiPriority w:val="22"/>
    <w:qFormat/>
    <w:rsid w:val="00A37792"/>
    <w:rPr>
      <w:b/>
      <w:color w:val="7598D9" w:themeColor="accent2"/>
    </w:rPr>
  </w:style>
  <w:style w:type="character" w:styleId="Emphasis">
    <w:name w:val="Emphasis"/>
    <w:uiPriority w:val="20"/>
    <w:qFormat/>
    <w:rsid w:val="00A37792"/>
    <w:rPr>
      <w:b/>
      <w:i/>
      <w:spacing w:val="10"/>
    </w:rPr>
  </w:style>
  <w:style w:type="paragraph" w:styleId="NoSpacing">
    <w:name w:val="No Spacing"/>
    <w:basedOn w:val="Normal"/>
    <w:link w:val="NoSpacingChar"/>
    <w:uiPriority w:val="1"/>
    <w:qFormat/>
    <w:rsid w:val="00A37792"/>
    <w:pPr>
      <w:spacing w:after="0" w:line="240" w:lineRule="auto"/>
    </w:pPr>
  </w:style>
  <w:style w:type="character" w:customStyle="1" w:styleId="NoSpacingChar">
    <w:name w:val="No Spacing Char"/>
    <w:basedOn w:val="DefaultParagraphFont"/>
    <w:link w:val="NoSpacing"/>
    <w:uiPriority w:val="1"/>
    <w:rsid w:val="00A37792"/>
  </w:style>
  <w:style w:type="paragraph" w:styleId="ListParagraph">
    <w:name w:val="List Paragraph"/>
    <w:basedOn w:val="Normal"/>
    <w:uiPriority w:val="34"/>
    <w:qFormat/>
    <w:rsid w:val="00A37792"/>
    <w:pPr>
      <w:ind w:left="720"/>
      <w:contextualSpacing/>
    </w:pPr>
  </w:style>
  <w:style w:type="paragraph" w:styleId="Quote">
    <w:name w:val="Quote"/>
    <w:basedOn w:val="Normal"/>
    <w:next w:val="Normal"/>
    <w:link w:val="QuoteChar"/>
    <w:uiPriority w:val="29"/>
    <w:qFormat/>
    <w:rsid w:val="00A37792"/>
    <w:rPr>
      <w:i/>
    </w:rPr>
  </w:style>
  <w:style w:type="character" w:customStyle="1" w:styleId="QuoteChar">
    <w:name w:val="Quote Char"/>
    <w:basedOn w:val="DefaultParagraphFont"/>
    <w:link w:val="Quote"/>
    <w:uiPriority w:val="29"/>
    <w:rsid w:val="00A37792"/>
    <w:rPr>
      <w:i/>
    </w:rPr>
  </w:style>
  <w:style w:type="paragraph" w:styleId="IntenseQuote">
    <w:name w:val="Intense Quote"/>
    <w:basedOn w:val="Normal"/>
    <w:next w:val="Normal"/>
    <w:link w:val="IntenseQuoteChar"/>
    <w:uiPriority w:val="30"/>
    <w:qFormat/>
    <w:rsid w:val="00A37792"/>
    <w:pPr>
      <w:pBdr>
        <w:top w:val="single" w:sz="8" w:space="10" w:color="3667C3" w:themeColor="accent2" w:themeShade="BF"/>
        <w:left w:val="single" w:sz="8" w:space="10" w:color="3667C3" w:themeColor="accent2" w:themeShade="BF"/>
        <w:bottom w:val="single" w:sz="8" w:space="10" w:color="3667C3" w:themeColor="accent2" w:themeShade="BF"/>
        <w:right w:val="single" w:sz="8" w:space="10" w:color="3667C3" w:themeColor="accent2" w:themeShade="BF"/>
      </w:pBdr>
      <w:shd w:val="clear" w:color="auto" w:fill="7598D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37792"/>
    <w:rPr>
      <w:b/>
      <w:i/>
      <w:color w:val="FFFFFF" w:themeColor="background1"/>
      <w:shd w:val="clear" w:color="auto" w:fill="7598D9" w:themeFill="accent2"/>
    </w:rPr>
  </w:style>
  <w:style w:type="character" w:styleId="SubtleEmphasis">
    <w:name w:val="Subtle Emphasis"/>
    <w:uiPriority w:val="19"/>
    <w:qFormat/>
    <w:rsid w:val="00A37792"/>
    <w:rPr>
      <w:i/>
    </w:rPr>
  </w:style>
  <w:style w:type="character" w:styleId="IntenseEmphasis">
    <w:name w:val="Intense Emphasis"/>
    <w:uiPriority w:val="21"/>
    <w:qFormat/>
    <w:rsid w:val="00A37792"/>
    <w:rPr>
      <w:b/>
      <w:i/>
      <w:color w:val="7598D9" w:themeColor="accent2"/>
      <w:spacing w:val="10"/>
    </w:rPr>
  </w:style>
  <w:style w:type="character" w:styleId="SubtleReference">
    <w:name w:val="Subtle Reference"/>
    <w:uiPriority w:val="31"/>
    <w:qFormat/>
    <w:rsid w:val="00A37792"/>
    <w:rPr>
      <w:b/>
    </w:rPr>
  </w:style>
  <w:style w:type="character" w:styleId="IntenseReference">
    <w:name w:val="Intense Reference"/>
    <w:uiPriority w:val="32"/>
    <w:qFormat/>
    <w:rsid w:val="00A37792"/>
    <w:rPr>
      <w:b/>
      <w:bCs/>
      <w:smallCaps/>
      <w:spacing w:val="5"/>
      <w:sz w:val="22"/>
      <w:szCs w:val="22"/>
      <w:u w:val="single"/>
    </w:rPr>
  </w:style>
  <w:style w:type="character" w:styleId="BookTitle">
    <w:name w:val="Book Title"/>
    <w:uiPriority w:val="33"/>
    <w:qFormat/>
    <w:rsid w:val="00A3779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37792"/>
    <w:pPr>
      <w:outlineLvl w:val="9"/>
    </w:pPr>
    <w:rPr>
      <w:lang w:bidi="en-US"/>
    </w:rPr>
  </w:style>
  <w:style w:type="paragraph" w:styleId="Header">
    <w:name w:val="header"/>
    <w:basedOn w:val="Normal"/>
    <w:link w:val="HeaderChar"/>
    <w:uiPriority w:val="99"/>
    <w:unhideWhenUsed/>
    <w:rsid w:val="00EE5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060"/>
  </w:style>
  <w:style w:type="paragraph" w:styleId="Footer">
    <w:name w:val="footer"/>
    <w:basedOn w:val="Normal"/>
    <w:link w:val="FooterChar"/>
    <w:uiPriority w:val="99"/>
    <w:unhideWhenUsed/>
    <w:rsid w:val="00EE5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060"/>
  </w:style>
  <w:style w:type="paragraph" w:styleId="BalloonText">
    <w:name w:val="Balloon Text"/>
    <w:basedOn w:val="Normal"/>
    <w:link w:val="BalloonTextChar"/>
    <w:uiPriority w:val="99"/>
    <w:semiHidden/>
    <w:unhideWhenUsed/>
    <w:rsid w:val="00AA2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09D"/>
    <w:rPr>
      <w:rFonts w:ascii="Tahoma" w:hAnsi="Tahoma" w:cs="Tahoma"/>
      <w:sz w:val="16"/>
      <w:szCs w:val="16"/>
    </w:rPr>
  </w:style>
  <w:style w:type="table" w:styleId="TableGrid">
    <w:name w:val="Table Grid"/>
    <w:basedOn w:val="TableNormal"/>
    <w:uiPriority w:val="59"/>
    <w:rsid w:val="005D34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150EE"/>
    <w:rPr>
      <w:color w:val="808080"/>
    </w:rPr>
  </w:style>
</w:styles>
</file>

<file path=word/webSettings.xml><?xml version="1.0" encoding="utf-8"?>
<w:webSettings xmlns:r="http://schemas.openxmlformats.org/officeDocument/2006/relationships" xmlns:w="http://schemas.openxmlformats.org/wordprocessingml/2006/main">
  <w:divs>
    <w:div w:id="253559602">
      <w:bodyDiv w:val="1"/>
      <w:marLeft w:val="0"/>
      <w:marRight w:val="0"/>
      <w:marTop w:val="0"/>
      <w:marBottom w:val="0"/>
      <w:divBdr>
        <w:top w:val="none" w:sz="0" w:space="0" w:color="auto"/>
        <w:left w:val="none" w:sz="0" w:space="0" w:color="auto"/>
        <w:bottom w:val="none" w:sz="0" w:space="0" w:color="auto"/>
        <w:right w:val="none" w:sz="0" w:space="0" w:color="auto"/>
      </w:divBdr>
    </w:div>
    <w:div w:id="805120029">
      <w:bodyDiv w:val="1"/>
      <w:marLeft w:val="0"/>
      <w:marRight w:val="0"/>
      <w:marTop w:val="0"/>
      <w:marBottom w:val="0"/>
      <w:divBdr>
        <w:top w:val="none" w:sz="0" w:space="0" w:color="auto"/>
        <w:left w:val="none" w:sz="0" w:space="0" w:color="auto"/>
        <w:bottom w:val="none" w:sz="0" w:space="0" w:color="auto"/>
        <w:right w:val="none" w:sz="0" w:space="0" w:color="auto"/>
      </w:divBdr>
    </w:div>
    <w:div w:id="1277444223">
      <w:bodyDiv w:val="1"/>
      <w:marLeft w:val="0"/>
      <w:marRight w:val="0"/>
      <w:marTop w:val="0"/>
      <w:marBottom w:val="0"/>
      <w:divBdr>
        <w:top w:val="none" w:sz="0" w:space="0" w:color="auto"/>
        <w:left w:val="none" w:sz="0" w:space="0" w:color="auto"/>
        <w:bottom w:val="none" w:sz="0" w:space="0" w:color="auto"/>
        <w:right w:val="none" w:sz="0" w:space="0" w:color="auto"/>
      </w:divBdr>
    </w:div>
    <w:div w:id="1477724634">
      <w:bodyDiv w:val="1"/>
      <w:marLeft w:val="0"/>
      <w:marRight w:val="0"/>
      <w:marTop w:val="0"/>
      <w:marBottom w:val="0"/>
      <w:divBdr>
        <w:top w:val="none" w:sz="0" w:space="0" w:color="auto"/>
        <w:left w:val="none" w:sz="0" w:space="0" w:color="auto"/>
        <w:bottom w:val="none" w:sz="0" w:space="0" w:color="auto"/>
        <w:right w:val="none" w:sz="0" w:space="0" w:color="auto"/>
      </w:divBdr>
    </w:div>
    <w:div w:id="189608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575F6D"/>
      </a:dk2>
      <a:lt2>
        <a:srgbClr val="FFC000"/>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Custom 2">
      <a:majorFont>
        <a:latin typeface="Century Gothi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68A67F4-F5C1-4086-8570-EC3F5D35B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Harmon</dc:creator>
  <cp:lastModifiedBy>Andrea Mack</cp:lastModifiedBy>
  <cp:revision>2</cp:revision>
  <cp:lastPrinted>2016-11-17T16:17:00Z</cp:lastPrinted>
  <dcterms:created xsi:type="dcterms:W3CDTF">2016-11-17T16:17:00Z</dcterms:created>
  <dcterms:modified xsi:type="dcterms:W3CDTF">2016-11-17T16:17:00Z</dcterms:modified>
</cp:coreProperties>
</file>