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b/>
          <w:bCs/>
          <w:color w:val="1F3A5F"/>
          <w:sz w:val="56"/>
          <w:szCs w:val="56"/>
        </w:rPr>
        <w:t xml:space="preserve">Legal GraphRAG</w:t>
      </w:r>
    </w:p>
    <w:p>
      <w:pPr>
        <w:spacing w:after="60"/>
        <w:jc w:val="center"/>
      </w:pPr>
      <w:r>
        <w:rPr>
          <w:color w:val="2F5BEA"/>
          <w:sz w:val="34"/>
          <w:szCs w:val="34"/>
        </w:rPr>
        <w:t xml:space="preserve">CUAD Evaluation Console</w:t>
      </w:r>
    </w:p>
    <w:p>
      <w:pPr>
        <w:spacing w:after="40"/>
        <w:jc w:val="center"/>
      </w:pPr>
      <w:r>
        <w:rPr>
          <w:color w:val="55627A"/>
          <w:sz w:val="26"/>
          <w:szCs w:val="26"/>
        </w:rPr>
        <w:t xml:space="preserve">Technical Documentation</w:t>
      </w:r>
    </w:p>
    <w:p>
      <w:pPr>
        <w:pBdr>
          <w:top w:val="single" w:color="C9D3E6" w:sz="4"/>
        </w:pBdr>
        <w:spacing w:before="220"/>
        <w:jc w:val="center"/>
      </w:pPr>
      <w:r>
        <w:rPr>
          <w:color w:val="222833"/>
          <w:sz w:val="20"/>
          <w:szCs w:val="20"/>
        </w:rPr>
        <w:t xml:space="preserve">Front-end + per-question RAGAS scoring + on-demand CUAD ingestion</w:t>
      </w:r>
    </w:p>
    <w:p>
      <w:pPr>
        <w:spacing w:before="40"/>
        <w:jc w:val="center"/>
      </w:pPr>
      <w:r>
        <w:rPr>
          <w:color w:val="55627A"/>
          <w:sz w:val="19"/>
          <w:szCs w:val="19"/>
        </w:rPr>
        <w:t xml:space="preserve">Prepared for engineering review · Version 1.0</w:t>
      </w:r>
    </w:p>
    <w:p>
      <w:pPr>
        <w:pageBreakBefore/>
      </w:pPr>
    </w:p>
    <w:p>
      <w:pPr>
        <w:pStyle w:val="Heading1"/>
        <w:spacing w:after="120" w:before="260"/>
      </w:pPr>
      <w:r>
        <w:rPr>
          <w:b/>
          <w:bCs/>
          <w:color w:val="1F3A5F"/>
          <w:sz w:val="30"/>
          <w:szCs w:val="30"/>
        </w:rPr>
        <w:t xml:space="preserve">1. Executive Summary</w:t>
      </w:r>
    </w:p>
    <w:p>
      <w:pPr>
        <w:spacing w:after="110" w:line="276"/>
      </w:pPr>
      <w:r>
        <w:rPr>
          <w:b/>
          <w:bCs/>
          <w:color w:val="222833"/>
          <w:sz w:val="21"/>
          <w:szCs w:val="21"/>
        </w:rPr>
        <w:t xml:space="preserve">What this delivers. </w:t>
      </w:r>
      <w:r>
        <w:rPr>
          <w:color w:val="222833"/>
          <w:sz w:val="21"/>
          <w:szCs w:val="21"/>
        </w:rPr>
        <w:t xml:space="preserve">A production-style web console for the existing Legal GraphRAG pipeline, plus a live, per-question evaluation layer built on the CUAD (Contract Understanding Atticus Dataset) benchmark. Every time a user asks a question about a CUAD contract, the system returns the chatbot's answer immediately and then scores that single answer against the human-annotated ground truth on four RAGAS metrics — </w:t>
      </w:r>
      <w:r>
        <w:rPr>
          <w:b/>
          <w:bCs/>
          <w:color w:val="222833"/>
          <w:sz w:val="21"/>
          <w:szCs w:val="21"/>
        </w:rPr>
        <w:t xml:space="preserve">Context Precision, Context Recall, Faithfulness, and Answer Correctness</w:t>
      </w:r>
      <w:r>
        <w:rPr>
          <w:color w:val="222833"/>
          <w:sz w:val="21"/>
          <w:szCs w:val="21"/>
        </w:rPr>
        <w:t xml:space="preserve"> — computed dynamically for that question rather than as an offline batch job.</w:t>
      </w:r>
    </w:p>
    <w:p>
      <w:pPr>
        <w:spacing w:after="110" w:line="276"/>
      </w:pPr>
      <w:r>
        <w:rPr>
          <w:b/>
          <w:bCs/>
          <w:color w:val="222833"/>
          <w:sz w:val="21"/>
          <w:szCs w:val="21"/>
        </w:rPr>
        <w:t xml:space="preserve">Design constraint honoured. </w:t>
      </w:r>
      <w:r>
        <w:rPr>
          <w:color w:val="222833"/>
          <w:sz w:val="21"/>
          <w:szCs w:val="21"/>
        </w:rPr>
        <w:t xml:space="preserve">No existing pipeline or evaluation module was modified. The retrieval, synthesis, human-in-the-loop, and RAGAS batch code (agents/legal_pipeline.py, retrieval/hybrid_search.py, ingestion/pdf_pipeline.py, evaluation/ragas_eval.py, evaluation/cuad_loader.py) are used exactly as written. All new behaviour lives in three additive files and one two-line registration edit to the API entry point.</w:t>
      </w:r>
    </w:p>
    <w:p>
      <w:pPr>
        <w:spacing w:after="110" w:line="276"/>
      </w:pPr>
      <w:r>
        <w:rPr>
          <w:b/>
          <w:bCs/>
          <w:color w:val="222833"/>
          <w:sz w:val="21"/>
          <w:szCs w:val="21"/>
        </w:rPr>
        <w:t xml:space="preserve">Two operating modes. </w:t>
      </w:r>
      <w:r>
        <w:rPr>
          <w:color w:val="222833"/>
          <w:sz w:val="21"/>
          <w:szCs w:val="21"/>
        </w:rPr>
        <w:t xml:space="preserve">(1) “Ask CUAD” — benchmark mode with ground-truth scoring; (2) “Upload &amp; Ask” — bring-your-own-PDF mode that surfaces the chatbot's reasoning and drives both human review checkpoints. A session History view lists prior questions.</w:t>
      </w:r>
    </w:p>
    <w:p>
      <w:pPr>
        <w:pStyle w:val="Heading1"/>
        <w:spacing w:after="120" w:before="260"/>
      </w:pPr>
      <w:r>
        <w:rPr>
          <w:b/>
          <w:bCs/>
          <w:color w:val="1F3A5F"/>
          <w:sz w:val="30"/>
          <w:szCs w:val="30"/>
        </w:rPr>
        <w:t xml:space="preserve">2. Scope &amp; Deliverables</w:t>
      </w:r>
    </w:p>
    <w:tbl>
      <w:tblPr>
        <w:tblW w:type="dxa" w:w="9360"/>
        <w:tblBorders>
          <w:top w:val="single" w:color="C9D3E6" w:sz="6"/>
          <w:left w:val="single" w:color="C9D3E6" w:sz="6"/>
          <w:bottom w:val="single" w:color="C9D3E6" w:sz="6"/>
          <w:right w:val="single" w:color="C9D3E6" w:sz="6"/>
          <w:insideH w:val="single" w:color="C9D3E6" w:sz="6"/>
          <w:insideV w:val="single" w:color="C9D3E6" w:sz="6"/>
        </w:tblBorders>
      </w:tblPr>
      <w:tblGrid>
        <w:gridCol w:w="2900"/>
        <w:gridCol w:w="1300"/>
        <w:gridCol w:w="5160"/>
      </w:tblGrid>
      <w:tr>
        <w:trPr>
          <w:tblHeader/>
        </w:trPr>
        <w:tc>
          <w:tcPr>
            <w:tcW w:type="dxa" w:w="2900"/>
            <w:shd w:fill="1F3A5F" w:color="auto" w:val="clear"/>
            <w:tcMar>
              <w:top w:type="dxa" w:w="80"/>
              <w:left w:type="dxa" w:w="110"/>
              <w:bottom w:type="dxa" w:w="80"/>
              <w:right w:type="dxa" w:w="110"/>
            </w:tcMar>
          </w:tcPr>
          <w:p>
            <w:r>
              <w:rPr>
                <w:b/>
                <w:bCs/>
                <w:color w:val="FFFFFF"/>
                <w:sz w:val="19"/>
                <w:szCs w:val="19"/>
              </w:rPr>
              <w:t xml:space="preserve">File</w:t>
            </w:r>
          </w:p>
        </w:tc>
        <w:tc>
          <w:tcPr>
            <w:tcW w:type="dxa" w:w="1300"/>
            <w:shd w:fill="1F3A5F" w:color="auto" w:val="clear"/>
            <w:tcMar>
              <w:top w:type="dxa" w:w="80"/>
              <w:left w:type="dxa" w:w="110"/>
              <w:bottom w:type="dxa" w:w="80"/>
              <w:right w:type="dxa" w:w="110"/>
            </w:tcMar>
          </w:tcPr>
          <w:p>
            <w:r>
              <w:rPr>
                <w:b/>
                <w:bCs/>
                <w:color w:val="FFFFFF"/>
                <w:sz w:val="19"/>
                <w:szCs w:val="19"/>
              </w:rPr>
              <w:t xml:space="preserve">Status</w:t>
            </w:r>
          </w:p>
        </w:tc>
        <w:tc>
          <w:tcPr>
            <w:tcW w:type="dxa" w:w="5160"/>
            <w:shd w:fill="1F3A5F" w:color="auto" w:val="clear"/>
            <w:tcMar>
              <w:top w:type="dxa" w:w="80"/>
              <w:left w:type="dxa" w:w="110"/>
              <w:bottom w:type="dxa" w:w="80"/>
              <w:right w:type="dxa" w:w="110"/>
            </w:tcMar>
          </w:tcPr>
          <w:p>
            <w:r>
              <w:rPr>
                <w:b/>
                <w:bCs/>
                <w:color w:val="FFFFFF"/>
                <w:sz w:val="19"/>
                <w:szCs w:val="19"/>
              </w:rPr>
              <w:t xml:space="preserve">Purpose</w:t>
            </w:r>
          </w:p>
        </w:tc>
      </w:tr>
      <w:tr>
        <w:tc>
          <w:tcPr>
            <w:tcW w:type="dxa" w:w="2900"/>
            <w:shd w:fill="EEF2FB" w:color="auto" w:val="clear"/>
            <w:tcMar>
              <w:top w:type="dxa" w:w="70"/>
              <w:left w:type="dxa" w:w="110"/>
              <w:bottom w:type="dxa" w:w="70"/>
              <w:right w:type="dxa" w:w="110"/>
            </w:tcMar>
          </w:tcPr>
          <w:p>
            <w:r>
              <w:rPr>
                <w:rFonts w:ascii="Consolas" w:cs="Consolas" w:eastAsia="Consolas" w:hAnsi="Consolas"/>
                <w:color w:val="1B2B4A"/>
                <w:sz w:val="19"/>
                <w:szCs w:val="19"/>
              </w:rPr>
              <w:t xml:space="preserve">frontend/index.html</w:t>
            </w:r>
          </w:p>
        </w:tc>
        <w:tc>
          <w:tcPr>
            <w:tcW w:type="dxa" w:w="1300"/>
            <w:shd w:fill="EEF2FB" w:color="auto" w:val="clear"/>
            <w:tcMar>
              <w:top w:type="dxa" w:w="70"/>
              <w:left w:type="dxa" w:w="110"/>
              <w:bottom w:type="dxa" w:w="70"/>
              <w:right w:type="dxa" w:w="110"/>
            </w:tcMar>
          </w:tcPr>
          <w:p>
            <w:r>
              <w:rPr>
                <w:color w:val="222833"/>
                <w:sz w:val="18"/>
                <w:szCs w:val="18"/>
              </w:rPr>
              <w:t xml:space="preserve">New</w:t>
            </w:r>
          </w:p>
        </w:tc>
        <w:tc>
          <w:tcPr>
            <w:tcW w:type="dxa" w:w="5160"/>
            <w:shd w:fill="EEF2FB" w:color="auto" w:val="clear"/>
            <w:tcMar>
              <w:top w:type="dxa" w:w="70"/>
              <w:left w:type="dxa" w:w="110"/>
              <w:bottom w:type="dxa" w:w="70"/>
              <w:right w:type="dxa" w:w="110"/>
            </w:tcMar>
          </w:tcPr>
          <w:p>
            <w:r>
              <w:rPr>
                <w:color w:val="222833"/>
                <w:sz w:val="18"/>
                <w:szCs w:val="18"/>
              </w:rPr>
              <w:t xml:space="preserve">Single-file React SPA (served statically by FastAPI). Sidebar, dropdowns, reasoning panel, metrics, HITL.</w:t>
            </w:r>
          </w:p>
        </w:tc>
      </w:tr>
      <w:tr>
        <w:tc>
          <w:tcPr>
            <w:tcW w:type="dxa" w:w="2900"/>
            <w:shd w:fill="FFFFFF" w:color="auto" w:val="clear"/>
            <w:tcMar>
              <w:top w:type="dxa" w:w="70"/>
              <w:left w:type="dxa" w:w="110"/>
              <w:bottom w:type="dxa" w:w="70"/>
              <w:right w:type="dxa" w:w="110"/>
            </w:tcMar>
          </w:tcPr>
          <w:p>
            <w:r>
              <w:rPr>
                <w:rFonts w:ascii="Consolas" w:cs="Consolas" w:eastAsia="Consolas" w:hAnsi="Consolas"/>
                <w:color w:val="1B2B4A"/>
                <w:sz w:val="19"/>
                <w:szCs w:val="19"/>
              </w:rPr>
              <w:t xml:space="preserve">legal_graphrag/api/cuad_routes.py</w:t>
            </w:r>
          </w:p>
        </w:tc>
        <w:tc>
          <w:tcPr>
            <w:tcW w:type="dxa" w:w="1300"/>
            <w:shd w:fill="FFFFFF" w:color="auto" w:val="clear"/>
            <w:tcMar>
              <w:top w:type="dxa" w:w="70"/>
              <w:left w:type="dxa" w:w="110"/>
              <w:bottom w:type="dxa" w:w="70"/>
              <w:right w:type="dxa" w:w="110"/>
            </w:tcMar>
          </w:tcPr>
          <w:p>
            <w:r>
              <w:rPr>
                <w:color w:val="222833"/>
                <w:sz w:val="18"/>
                <w:szCs w:val="18"/>
              </w:rPr>
              <w:t xml:space="preserve">New</w:t>
            </w:r>
          </w:p>
        </w:tc>
        <w:tc>
          <w:tcPr>
            <w:tcW w:type="dxa" w:w="5160"/>
            <w:shd w:fill="FFFFFF" w:color="auto" w:val="clear"/>
            <w:tcMar>
              <w:top w:type="dxa" w:w="70"/>
              <w:left w:type="dxa" w:w="110"/>
              <w:bottom w:type="dxa" w:w="70"/>
              <w:right w:type="dxa" w:w="110"/>
            </w:tcMar>
          </w:tcPr>
          <w:p>
            <w:r>
              <w:rPr>
                <w:color w:val="222833"/>
                <w:sz w:val="18"/>
                <w:szCs w:val="18"/>
              </w:rPr>
              <w:t xml:space="preserve">CUAD API: list contracts/questions, on-demand ingest, ask + immediate answer, background metrics.</w:t>
            </w:r>
          </w:p>
        </w:tc>
      </w:tr>
      <w:tr>
        <w:tc>
          <w:tcPr>
            <w:tcW w:type="dxa" w:w="2900"/>
            <w:shd w:fill="EEF2FB" w:color="auto" w:val="clear"/>
            <w:tcMar>
              <w:top w:type="dxa" w:w="70"/>
              <w:left w:type="dxa" w:w="110"/>
              <w:bottom w:type="dxa" w:w="70"/>
              <w:right w:type="dxa" w:w="110"/>
            </w:tcMar>
          </w:tcPr>
          <w:p>
            <w:r>
              <w:rPr>
                <w:rFonts w:ascii="Consolas" w:cs="Consolas" w:eastAsia="Consolas" w:hAnsi="Consolas"/>
                <w:color w:val="1B2B4A"/>
                <w:sz w:val="19"/>
                <w:szCs w:val="19"/>
              </w:rPr>
              <w:t xml:space="preserve">legal_graphrag/evaluation/per_question_ragas.py</w:t>
            </w:r>
          </w:p>
        </w:tc>
        <w:tc>
          <w:tcPr>
            <w:tcW w:type="dxa" w:w="1300"/>
            <w:shd w:fill="EEF2FB" w:color="auto" w:val="clear"/>
            <w:tcMar>
              <w:top w:type="dxa" w:w="70"/>
              <w:left w:type="dxa" w:w="110"/>
              <w:bottom w:type="dxa" w:w="70"/>
              <w:right w:type="dxa" w:w="110"/>
            </w:tcMar>
          </w:tcPr>
          <w:p>
            <w:r>
              <w:rPr>
                <w:color w:val="222833"/>
                <w:sz w:val="18"/>
                <w:szCs w:val="18"/>
              </w:rPr>
              <w:t xml:space="preserve">New</w:t>
            </w:r>
          </w:p>
        </w:tc>
        <w:tc>
          <w:tcPr>
            <w:tcW w:type="dxa" w:w="5160"/>
            <w:shd w:fill="EEF2FB" w:color="auto" w:val="clear"/>
            <w:tcMar>
              <w:top w:type="dxa" w:w="70"/>
              <w:left w:type="dxa" w:w="110"/>
              <w:bottom w:type="dxa" w:w="70"/>
              <w:right w:type="dxa" w:w="110"/>
            </w:tcMar>
          </w:tcPr>
          <w:p>
            <w:r>
              <w:rPr>
                <w:color w:val="222833"/>
                <w:sz w:val="18"/>
                <w:szCs w:val="18"/>
              </w:rPr>
              <w:t xml:space="preserve">Single-question RAGAS scoring, reusing the unmodified batch harness.</w:t>
            </w:r>
          </w:p>
        </w:tc>
      </w:tr>
      <w:tr>
        <w:tc>
          <w:tcPr>
            <w:tcW w:type="dxa" w:w="2900"/>
            <w:shd w:fill="FFFFFF" w:color="auto" w:val="clear"/>
            <w:tcMar>
              <w:top w:type="dxa" w:w="70"/>
              <w:left w:type="dxa" w:w="110"/>
              <w:bottom w:type="dxa" w:w="70"/>
              <w:right w:type="dxa" w:w="110"/>
            </w:tcMar>
          </w:tcPr>
          <w:p>
            <w:r>
              <w:rPr>
                <w:rFonts w:ascii="Consolas" w:cs="Consolas" w:eastAsia="Consolas" w:hAnsi="Consolas"/>
                <w:color w:val="1B2B4A"/>
                <w:sz w:val="19"/>
                <w:szCs w:val="19"/>
              </w:rPr>
              <w:t xml:space="preserve">legal_graphrag/api/main.py</w:t>
            </w:r>
          </w:p>
        </w:tc>
        <w:tc>
          <w:tcPr>
            <w:tcW w:type="dxa" w:w="1300"/>
            <w:shd w:fill="FFFFFF" w:color="auto" w:val="clear"/>
            <w:tcMar>
              <w:top w:type="dxa" w:w="70"/>
              <w:left w:type="dxa" w:w="110"/>
              <w:bottom w:type="dxa" w:w="70"/>
              <w:right w:type="dxa" w:w="110"/>
            </w:tcMar>
          </w:tcPr>
          <w:p>
            <w:r>
              <w:rPr>
                <w:color w:val="222833"/>
                <w:sz w:val="18"/>
                <w:szCs w:val="18"/>
              </w:rPr>
              <w:t xml:space="preserve">Edited (2 lines)</w:t>
            </w:r>
          </w:p>
        </w:tc>
        <w:tc>
          <w:tcPr>
            <w:tcW w:type="dxa" w:w="5160"/>
            <w:shd w:fill="FFFFFF" w:color="auto" w:val="clear"/>
            <w:tcMar>
              <w:top w:type="dxa" w:w="70"/>
              <w:left w:type="dxa" w:w="110"/>
              <w:bottom w:type="dxa" w:w="70"/>
              <w:right w:type="dxa" w:w="110"/>
            </w:tcMar>
          </w:tcPr>
          <w:p>
            <w:r>
              <w:rPr>
                <w:color w:val="222833"/>
                <w:sz w:val="18"/>
                <w:szCs w:val="18"/>
              </w:rPr>
              <w:t xml:space="preserve">Registers the new CUAD router alongside the existing query/ingest routers.</w:t>
            </w:r>
          </w:p>
        </w:tc>
      </w:tr>
    </w:tbl>
    <w:p>
      <w:pPr>
        <w:spacing w:after="110" w:line="276"/>
      </w:pPr>
      <w:r>
        <w:rPr>
          <w:color w:val="222833"/>
          <w:sz w:val="21"/>
          <w:szCs w:val="21"/>
        </w:rPr>
        <w:t xml:space="preserve"/>
      </w:r>
    </w:p>
    <w:p>
      <w:pPr>
        <w:spacing w:after="110" w:line="276"/>
      </w:pPr>
      <w:r>
        <w:rPr>
          <w:b/>
          <w:bCs/>
          <w:color w:val="222833"/>
          <w:sz w:val="21"/>
          <w:szCs w:val="21"/>
        </w:rPr>
        <w:t xml:space="preserve">Zero build step. </w:t>
      </w:r>
      <w:r>
        <w:rPr>
          <w:color w:val="222833"/>
          <w:sz w:val="21"/>
          <w:szCs w:val="21"/>
        </w:rPr>
        <w:t xml:space="preserve">The front end loads React and Babel from CDN and is transpiled in the browser, so it drops directly into the </w:t>
      </w:r>
      <w:r>
        <w:rPr>
          <w:rFonts w:ascii="Consolas" w:cs="Consolas" w:eastAsia="Consolas" w:hAnsi="Consolas"/>
          <w:color w:val="1B2B4A"/>
          <w:sz w:val="19"/>
          <w:szCs w:val="19"/>
        </w:rPr>
        <w:t xml:space="preserve">frontend/</w:t>
      </w:r>
      <w:r>
        <w:rPr>
          <w:color w:val="222833"/>
          <w:sz w:val="21"/>
          <w:szCs w:val="21"/>
        </w:rPr>
        <w:t xml:space="preserve"> directory the API already serves — no bundler, npm install, or Node toolchain is required to deploy it.</w:t>
      </w:r>
    </w:p>
    <w:p>
      <w:pPr>
        <w:pStyle w:val="Heading1"/>
        <w:spacing w:after="120" w:before="260"/>
      </w:pPr>
      <w:r>
        <w:rPr>
          <w:b/>
          <w:bCs/>
          <w:color w:val="1F3A5F"/>
          <w:sz w:val="30"/>
          <w:szCs w:val="30"/>
        </w:rPr>
        <w:t xml:space="preserve">3. System Architecture</w:t>
      </w:r>
    </w:p>
    <w:p>
      <w:pPr>
        <w:spacing w:after="110" w:line="276"/>
      </w:pPr>
      <w:r>
        <w:rPr>
          <w:color w:val="222833"/>
          <w:sz w:val="21"/>
          <w:szCs w:val="21"/>
        </w:rPr>
        <w:t xml:space="preserve">The console is a thin presentation and orchestration layer over the existing graph. The request path for a CUAD question is:</w:t>
      </w:r>
    </w:p>
    <w:tbl>
      <w:tblPr>
        <w:tblW w:type="pct" w:w="100%"/>
        <w:tblBorders>
          <w:top w:val="single" w:color="E1E6F0" w:sz="6"/>
          <w:left w:val="single" w:color="E1E6F0" w:sz="6"/>
          <w:bottom w:val="single" w:color="E1E6F0" w:sz="6"/>
          <w:right w:val="single" w:color="E1E6F0" w:sz="6"/>
          <w:insideH w:val="single" w:color="E1E6F0" w:sz="6"/>
          <w:insideV w:val="single" w:color="E1E6F0" w:sz="6"/>
        </w:tblBorders>
      </w:tblPr>
      <w:tblGrid>
        <w:gridCol w:w="9360"/>
      </w:tblGrid>
      <w:tr>
        <w:tc>
          <w:tcPr>
            <w:tcW w:type="dxa" w:w="9360"/>
            <w:shd w:fill="F2F4F9" w:color="auto" w:val="clear"/>
            <w:tcMar>
              <w:top w:type="dxa" w:w="120"/>
              <w:left w:type="dxa" w:w="160"/>
              <w:bottom w:type="dxa" w:w="120"/>
              <w:right w:type="dxa" w:w="160"/>
            </w:tcMar>
          </w:tcPr>
          <w:p>
            <w:pPr>
              <w:spacing w:after="20"/>
            </w:pPr>
            <w:r>
              <w:rPr>
                <w:rFonts w:ascii="Consolas" w:cs="Consolas" w:eastAsia="Consolas" w:hAnsi="Consolas"/>
                <w:color w:val="1B2B4A"/>
                <w:sz w:val="18"/>
                <w:szCs w:val="18"/>
              </w:rPr>
              <w:t xml:space="preserve">Browser (React SPA)</w:t>
            </w:r>
          </w:p>
          <w:p>
            <w:pPr>
              <w:spacing w:after="20"/>
            </w:pPr>
            <w:r>
              <w:rPr>
                <w:rFonts w:ascii="Consolas" w:cs="Consolas" w:eastAsia="Consolas" w:hAnsi="Consolas"/>
                <w:color w:val="1B2B4A"/>
                <w:sz w:val="18"/>
                <w:szCs w:val="18"/>
              </w:rPr>
              <w:t xml:space="preserve">   │  POST /api/cuad/ask { collection_name, qas_id }</w:t>
            </w:r>
          </w:p>
          <w:p>
            <w:pPr>
              <w:spacing w:after="20"/>
            </w:pPr>
            <w:r>
              <w:rPr>
                <w:rFonts w:ascii="Consolas" w:cs="Consolas" w:eastAsia="Consolas" w:hAnsi="Consolas"/>
                <w:color w:val="1B2B4A"/>
                <w:sz w:val="18"/>
                <w:szCs w:val="18"/>
              </w:rPr>
              <w:t xml:space="preserve">   ▼</w:t>
            </w:r>
          </w:p>
          <w:p>
            <w:pPr>
              <w:spacing w:after="20"/>
            </w:pPr>
            <w:r>
              <w:rPr>
                <w:rFonts w:ascii="Consolas" w:cs="Consolas" w:eastAsia="Consolas" w:hAnsi="Consolas"/>
                <w:color w:val="1B2B4A"/>
                <w:sz w:val="18"/>
                <w:szCs w:val="18"/>
              </w:rPr>
              <w:t xml:space="preserve">cuad_routes.ask_cuad()</w:t>
            </w:r>
          </w:p>
          <w:p>
            <w:pPr>
              <w:spacing w:after="20"/>
            </w:pPr>
            <w:r>
              <w:rPr>
                <w:rFonts w:ascii="Consolas" w:cs="Consolas" w:eastAsia="Consolas" w:hAnsi="Consolas"/>
                <w:color w:val="1B2B4A"/>
                <w:sz w:val="18"/>
                <w:szCs w:val="18"/>
              </w:rPr>
              <w:t xml:space="preserve">   ├─ 1. _ensure_ingested(example)      ← ON-DEMAND: embed this contract if not in Chroma</w:t>
            </w:r>
          </w:p>
          <w:p>
            <w:pPr>
              <w:spacing w:after="20"/>
            </w:pPr>
            <w:r>
              <w:rPr>
                <w:rFonts w:ascii="Consolas" w:cs="Consolas" w:eastAsia="Consolas" w:hAnsi="Consolas"/>
                <w:color w:val="1B2B4A"/>
                <w:sz w:val="18"/>
                <w:szCs w:val="18"/>
              </w:rPr>
              <w:t xml:space="preserve">   ├─ 2. run_scripted_pipeline(app,…)   ← REAL graph, both checkpoints auto-approved</w:t>
            </w:r>
          </w:p>
          <w:p>
            <w:pPr>
              <w:spacing w:after="20"/>
            </w:pPr>
            <w:r>
              <w:rPr>
                <w:rFonts w:ascii="Consolas" w:cs="Consolas" w:eastAsia="Consolas" w:hAnsi="Consolas"/>
                <w:color w:val="1B2B4A"/>
                <w:sz w:val="18"/>
                <w:szCs w:val="18"/>
              </w:rPr>
              <w:t xml:space="preserve">   │        router → hybrid_search → auditor → synthesizer → finalize</w:t>
            </w:r>
          </w:p>
          <w:p>
            <w:pPr>
              <w:spacing w:after="20"/>
            </w:pPr>
            <w:r>
              <w:rPr>
                <w:rFonts w:ascii="Consolas" w:cs="Consolas" w:eastAsia="Consolas" w:hAnsi="Consolas"/>
                <w:color w:val="1B2B4A"/>
                <w:sz w:val="18"/>
                <w:szCs w:val="18"/>
              </w:rPr>
              <w:t xml:space="preserve">   ├─ 3. return answer + reasoning + context + ground_truth   (immediate)</w:t>
            </w:r>
          </w:p>
          <w:p>
            <w:pPr>
              <w:spacing w:after="20"/>
            </w:pPr>
            <w:r>
              <w:rPr>
                <w:rFonts w:ascii="Consolas" w:cs="Consolas" w:eastAsia="Consolas" w:hAnsi="Consolas"/>
                <w:color w:val="1B2B4A"/>
                <w:sz w:val="18"/>
                <w:szCs w:val="18"/>
              </w:rPr>
              <w:t xml:space="preserve">   └─ 4. BackgroundTasks → _compute_metrics_job()            (RAGAS, ~seconds)</w:t>
            </w:r>
          </w:p>
          <w:p>
            <w:pPr>
              <w:spacing w:after="20"/>
            </w:pPr>
            <w:r>
              <w:rPr>
                <w:rFonts w:ascii="Consolas" w:cs="Consolas" w:eastAsia="Consolas" w:hAnsi="Consolas"/>
                <w:color w:val="1B2B4A"/>
                <w:sz w:val="18"/>
                <w:szCs w:val="18"/>
              </w:rPr>
              <w:t xml:space="preserve">                              │</w:t>
            </w:r>
          </w:p>
          <w:p>
            <w:pPr>
              <w:spacing w:after="20"/>
            </w:pPr>
            <w:r>
              <w:rPr>
                <w:rFonts w:ascii="Consolas" w:cs="Consolas" w:eastAsia="Consolas" w:hAnsi="Consolas"/>
                <w:color w:val="1B2B4A"/>
                <w:sz w:val="18"/>
                <w:szCs w:val="18"/>
              </w:rPr>
              <w:t xml:space="preserve">   ◄──────────────────────────┘  poll GET /api/cuad/ask/{job_id}  → 4 metrics</w:t>
            </w:r>
          </w:p>
        </w:tc>
      </w:tr>
    </w:tbl>
    <w:p>
      <w:pPr>
        <w:spacing w:after="110" w:line="276"/>
      </w:pPr>
      <w:r>
        <w:rPr>
          <w:b/>
          <w:bCs/>
          <w:color w:val="222833"/>
          <w:sz w:val="21"/>
          <w:szCs w:val="21"/>
        </w:rPr>
        <w:t xml:space="preserve">Why the real graph. </w:t>
      </w:r>
      <w:r>
        <w:rPr>
          <w:color w:val="222833"/>
          <w:sz w:val="21"/>
          <w:szCs w:val="21"/>
        </w:rPr>
        <w:t xml:space="preserve">The console runs the same compiled LangGraph pipeline that a human reviewer uses, resumed through both </w:t>
      </w:r>
      <w:r>
        <w:rPr>
          <w:rFonts w:ascii="Consolas" w:cs="Consolas" w:eastAsia="Consolas" w:hAnsi="Consolas"/>
          <w:color w:val="1B2B4A"/>
          <w:sz w:val="19"/>
          <w:szCs w:val="19"/>
        </w:rPr>
        <w:t xml:space="preserve">interrupt()</w:t>
      </w:r>
      <w:r>
        <w:rPr>
          <w:color w:val="222833"/>
          <w:sz w:val="21"/>
          <w:szCs w:val="21"/>
        </w:rPr>
        <w:t xml:space="preserve"> checkpoints by the project's own scripted reviewer (always-approve policy). This guarantees the answer, retrieval hits, and reasoning shown in the UI are produced by the deployed code path — not a re-implementation.</w:t>
      </w:r>
    </w:p>
    <w:p>
      <w:pPr>
        <w:spacing w:after="110" w:line="276"/>
      </w:pPr>
      <w:r>
        <w:rPr>
          <w:b/>
          <w:bCs/>
          <w:color w:val="222833"/>
          <w:sz w:val="21"/>
          <w:szCs w:val="21"/>
        </w:rPr>
        <w:t xml:space="preserve">Why metrics run in the background. </w:t>
      </w:r>
      <w:r>
        <w:rPr>
          <w:color w:val="222833"/>
          <w:sz w:val="21"/>
          <w:szCs w:val="21"/>
        </w:rPr>
        <w:t xml:space="preserve">The four RAGAS metrics are LLM-judged and take a few seconds. Blocking the answer on them would make the UI feel slow. Instead the answer returns instantly and the metric cards show a spinner until a short polling loop (1.5 s interval) retrieves the completed scores.</w:t>
      </w:r>
    </w:p>
    <w:p>
      <w:pPr>
        <w:pStyle w:val="Heading1"/>
        <w:spacing w:after="120" w:before="260"/>
      </w:pPr>
      <w:r>
        <w:rPr>
          <w:b/>
          <w:bCs/>
          <w:color w:val="1F3A5F"/>
          <w:sz w:val="30"/>
          <w:szCs w:val="30"/>
        </w:rPr>
        <w:t xml:space="preserve">4. On-Demand CUAD Ingestion</w:t>
      </w:r>
    </w:p>
    <w:p>
      <w:pPr>
        <w:spacing w:after="110" w:line="276"/>
      </w:pPr>
      <w:r>
        <w:rPr>
          <w:color w:val="222833"/>
          <w:sz w:val="21"/>
          <w:szCs w:val="21"/>
        </w:rPr>
        <w:t xml:space="preserve">All ~500 CUAD contracts are listed in the PDF dropdown, but </w:t>
      </w:r>
      <w:r>
        <w:rPr>
          <w:b/>
          <w:bCs/>
          <w:color w:val="222833"/>
          <w:sz w:val="21"/>
          <w:szCs w:val="21"/>
        </w:rPr>
        <w:t xml:space="preserve">none are embedded up front</w:t>
      </w:r>
      <w:r>
        <w:rPr>
          <w:color w:val="222833"/>
          <w:sz w:val="21"/>
          <w:szCs w:val="21"/>
        </w:rPr>
        <w:t xml:space="preserve">. A contract is chunked and embedded into its own Chroma collection only the first time it is asked about. This keeps start-up instant and cost proportional to actual use.</w:t>
      </w:r>
    </w:p>
    <w:tbl>
      <w:tblPr>
        <w:tblW w:type="pct" w:w="100%"/>
        <w:tblBorders>
          <w:top w:val="single" w:color="E1E6F0" w:sz="6"/>
          <w:left w:val="single" w:color="E1E6F0" w:sz="6"/>
          <w:bottom w:val="single" w:color="E1E6F0" w:sz="6"/>
          <w:right w:val="single" w:color="E1E6F0" w:sz="6"/>
          <w:insideH w:val="single" w:color="E1E6F0" w:sz="6"/>
          <w:insideV w:val="single" w:color="E1E6F0" w:sz="6"/>
        </w:tblBorders>
      </w:tblPr>
      <w:tblGrid>
        <w:gridCol w:w="9360"/>
      </w:tblGrid>
      <w:tr>
        <w:tc>
          <w:tcPr>
            <w:tcW w:type="dxa" w:w="9360"/>
            <w:shd w:fill="F2F4F9" w:color="auto" w:val="clear"/>
            <w:tcMar>
              <w:top w:type="dxa" w:w="120"/>
              <w:left w:type="dxa" w:w="160"/>
              <w:bottom w:type="dxa" w:w="120"/>
              <w:right w:type="dxa" w:w="160"/>
            </w:tcMar>
          </w:tcPr>
          <w:p>
            <w:pPr>
              <w:spacing w:after="20"/>
            </w:pPr>
            <w:r>
              <w:rPr>
                <w:rFonts w:ascii="Consolas" w:cs="Consolas" w:eastAsia="Consolas" w:hAnsi="Consolas"/>
                <w:color w:val="1B2B4A"/>
                <w:sz w:val="18"/>
                <w:szCs w:val="18"/>
              </w:rPr>
              <w:t xml:space="preserve">def _ensure_ingested(example) -&gt; bool:</w:t>
            </w:r>
          </w:p>
          <w:p>
            <w:pPr>
              <w:spacing w:after="20"/>
            </w:pPr>
            <w:r>
              <w:rPr>
                <w:rFonts w:ascii="Consolas" w:cs="Consolas" w:eastAsia="Consolas" w:hAnsi="Consolas"/>
                <w:color w:val="1B2B4A"/>
                <w:sz w:val="18"/>
                <w:szCs w:val="18"/>
              </w:rPr>
              <w:t xml:space="preserve">    if example.collection_name in _ingested_collections():</w:t>
            </w:r>
          </w:p>
          <w:p>
            <w:pPr>
              <w:spacing w:after="20"/>
            </w:pPr>
            <w:r>
              <w:rPr>
                <w:rFonts w:ascii="Consolas" w:cs="Consolas" w:eastAsia="Consolas" w:hAnsi="Consolas"/>
                <w:color w:val="1B2B4A"/>
                <w:sz w:val="18"/>
                <w:szCs w:val="18"/>
              </w:rPr>
              <w:t xml:space="preserve">        return False                       # already embedded — skip</w:t>
            </w:r>
          </w:p>
          <w:p>
            <w:pPr>
              <w:spacing w:after="20"/>
            </w:pPr>
            <w:r>
              <w:rPr>
                <w:rFonts w:ascii="Consolas" w:cs="Consolas" w:eastAsia="Consolas" w:hAnsi="Consolas"/>
                <w:color w:val="1B2B4A"/>
                <w:sz w:val="18"/>
                <w:szCs w:val="18"/>
              </w:rPr>
              <w:t xml:space="preserve">    ingest_cuad_contract(example)          # chunk + embed just this one contract</w:t>
            </w:r>
          </w:p>
          <w:p>
            <w:pPr>
              <w:spacing w:after="20"/>
            </w:pPr>
            <w:r>
              <w:rPr>
                <w:rFonts w:ascii="Consolas" w:cs="Consolas" w:eastAsia="Consolas" w:hAnsi="Consolas"/>
                <w:color w:val="1B2B4A"/>
                <w:sz w:val="18"/>
                <w:szCs w:val="18"/>
              </w:rPr>
              <w:t xml:space="preserve">    return True</w:t>
            </w:r>
          </w:p>
        </w:tc>
      </w:tr>
    </w:tbl>
    <w:p>
      <w:pPr>
        <w:spacing w:after="110" w:line="276"/>
      </w:pPr>
      <w:r>
        <w:rPr>
          <w:b/>
          <w:bCs/>
          <w:color w:val="222833"/>
          <w:sz w:val="21"/>
          <w:szCs w:val="21"/>
        </w:rPr>
        <w:t xml:space="preserve">Idempotent &amp; safe. </w:t>
      </w:r>
      <w:r>
        <w:rPr>
          <w:color w:val="222833"/>
          <w:sz w:val="21"/>
          <w:szCs w:val="21"/>
        </w:rPr>
        <w:t xml:space="preserve">Ingestion reuses evaluation/cuad_ingest.ingest_cuad_contract, which upserts chunks by id, so re-picking a contract is a no-op. The vector-store-only path (no Neo4j clause extraction) is used deliberately, matching how the batch RAGAS harness prepares CUAD — which is also why the pipeline is pinned to the </w:t>
      </w:r>
      <w:r>
        <w:rPr>
          <w:rFonts w:ascii="Consolas" w:cs="Consolas" w:eastAsia="Consolas" w:hAnsi="Consolas"/>
          <w:color w:val="1B2B4A"/>
          <w:sz w:val="19"/>
          <w:szCs w:val="19"/>
        </w:rPr>
        <w:t xml:space="preserve">hybrid</w:t>
      </w:r>
      <w:r>
        <w:rPr>
          <w:color w:val="222833"/>
          <w:sz w:val="21"/>
          <w:szCs w:val="21"/>
        </w:rPr>
        <w:t xml:space="preserve"> route for these questions (the clause graph is intentionally not populated for CUAD).</w:t>
      </w:r>
    </w:p>
    <w:p>
      <w:pPr>
        <w:spacing w:after="110" w:line="276"/>
      </w:pPr>
      <w:r>
        <w:rPr>
          <w:b/>
          <w:bCs/>
          <w:color w:val="222833"/>
          <w:sz w:val="21"/>
          <w:szCs w:val="21"/>
        </w:rPr>
        <w:t xml:space="preserve">Presence check. </w:t>
      </w:r>
      <w:r>
        <w:rPr>
          <w:color w:val="222833"/>
          <w:sz w:val="21"/>
          <w:szCs w:val="21"/>
        </w:rPr>
        <w:t xml:space="preserve">Ingested vs. not-yet-ingested state is read live from the Chroma client, and the dropdown labels each contract accordingly (“✓ ingested” vs “ingest on pick”).</w:t>
      </w:r>
    </w:p>
    <w:p>
      <w:pPr>
        <w:pStyle w:val="Heading1"/>
        <w:spacing w:after="120" w:before="260"/>
      </w:pPr>
      <w:r>
        <w:rPr>
          <w:b/>
          <w:bCs/>
          <w:color w:val="1F3A5F"/>
          <w:sz w:val="30"/>
          <w:szCs w:val="30"/>
        </w:rPr>
        <w:t xml:space="preserve">5. Per-Question Evaluation Methodology</w:t>
      </w:r>
    </w:p>
    <w:p>
      <w:pPr>
        <w:spacing w:after="110" w:line="276"/>
      </w:pPr>
      <w:r>
        <w:rPr>
          <w:color w:val="222833"/>
          <w:sz w:val="21"/>
          <w:szCs w:val="21"/>
        </w:rPr>
        <w:t xml:space="preserve">CUAD provides, for every (contract, question) pair: the contract text as </w:t>
      </w:r>
      <w:r>
        <w:rPr>
          <w:b/>
          <w:bCs/>
          <w:color w:val="222833"/>
          <w:sz w:val="21"/>
          <w:szCs w:val="21"/>
        </w:rPr>
        <w:t xml:space="preserve">context</w:t>
      </w:r>
      <w:r>
        <w:rPr>
          <w:color w:val="222833"/>
          <w:sz w:val="21"/>
          <w:szCs w:val="21"/>
        </w:rPr>
        <w:t xml:space="preserve">, a category-specific </w:t>
      </w:r>
      <w:r>
        <w:rPr>
          <w:b/>
          <w:bCs/>
          <w:color w:val="222833"/>
          <w:sz w:val="21"/>
          <w:szCs w:val="21"/>
        </w:rPr>
        <w:t xml:space="preserve">question</w:t>
      </w:r>
      <w:r>
        <w:rPr>
          <w:color w:val="222833"/>
          <w:sz w:val="21"/>
          <w:szCs w:val="21"/>
        </w:rPr>
        <w:t xml:space="preserve">, the human annotator's </w:t>
      </w:r>
      <w:r>
        <w:rPr>
          <w:b/>
          <w:bCs/>
          <w:color w:val="222833"/>
          <w:sz w:val="21"/>
          <w:szCs w:val="21"/>
        </w:rPr>
        <w:t xml:space="preserve">answer span(s)</w:t>
      </w:r>
      <w:r>
        <w:rPr>
          <w:color w:val="222833"/>
          <w:sz w:val="21"/>
          <w:szCs w:val="21"/>
        </w:rPr>
        <w:t xml:space="preserve"> as ground truth, and the source contract name. The console maps these onto the four RAGAS metrics for the single question the user selected.</w:t>
      </w:r>
    </w:p>
    <w:tbl>
      <w:tblPr>
        <w:tblW w:type="dxa" w:w="9360"/>
        <w:tblBorders>
          <w:top w:val="single" w:color="C9D3E6" w:sz="6"/>
          <w:left w:val="single" w:color="C9D3E6" w:sz="6"/>
          <w:bottom w:val="single" w:color="C9D3E6" w:sz="6"/>
          <w:right w:val="single" w:color="C9D3E6" w:sz="6"/>
          <w:insideH w:val="single" w:color="C9D3E6" w:sz="6"/>
          <w:insideV w:val="single" w:color="C9D3E6" w:sz="6"/>
        </w:tblBorders>
      </w:tblPr>
      <w:tblGrid>
        <w:gridCol w:w="2350"/>
        <w:gridCol w:w="4360"/>
        <w:gridCol w:w="2650"/>
      </w:tblGrid>
      <w:tr>
        <w:trPr>
          <w:tblHeader/>
        </w:trPr>
        <w:tc>
          <w:tcPr>
            <w:tcW w:type="dxa" w:w="2350"/>
            <w:shd w:fill="1F3A5F" w:color="auto" w:val="clear"/>
            <w:tcMar>
              <w:top w:type="dxa" w:w="80"/>
              <w:left w:type="dxa" w:w="110"/>
              <w:bottom w:type="dxa" w:w="80"/>
              <w:right w:type="dxa" w:w="110"/>
            </w:tcMar>
          </w:tcPr>
          <w:p>
            <w:r>
              <w:rPr>
                <w:b/>
                <w:bCs/>
                <w:color w:val="FFFFFF"/>
                <w:sz w:val="19"/>
                <w:szCs w:val="19"/>
              </w:rPr>
              <w:t xml:space="preserve">Metric</w:t>
            </w:r>
          </w:p>
        </w:tc>
        <w:tc>
          <w:tcPr>
            <w:tcW w:type="dxa" w:w="4360"/>
            <w:shd w:fill="1F3A5F" w:color="auto" w:val="clear"/>
            <w:tcMar>
              <w:top w:type="dxa" w:w="80"/>
              <w:left w:type="dxa" w:w="110"/>
              <w:bottom w:type="dxa" w:w="80"/>
              <w:right w:type="dxa" w:w="110"/>
            </w:tcMar>
          </w:tcPr>
          <w:p>
            <w:r>
              <w:rPr>
                <w:b/>
                <w:bCs/>
                <w:color w:val="FFFFFF"/>
                <w:sz w:val="19"/>
                <w:szCs w:val="19"/>
              </w:rPr>
              <w:t xml:space="preserve">What it measures</w:t>
            </w:r>
          </w:p>
        </w:tc>
        <w:tc>
          <w:tcPr>
            <w:tcW w:type="dxa" w:w="2650"/>
            <w:shd w:fill="1F3A5F" w:color="auto" w:val="clear"/>
            <w:tcMar>
              <w:top w:type="dxa" w:w="80"/>
              <w:left w:type="dxa" w:w="110"/>
              <w:bottom w:type="dxa" w:w="80"/>
              <w:right w:type="dxa" w:w="110"/>
            </w:tcMar>
          </w:tcPr>
          <w:p>
            <w:r>
              <w:rPr>
                <w:b/>
                <w:bCs/>
                <w:color w:val="FFFFFF"/>
                <w:sz w:val="19"/>
                <w:szCs w:val="19"/>
              </w:rPr>
              <w:t xml:space="preserve">Inputs used</w:t>
            </w:r>
          </w:p>
        </w:tc>
      </w:tr>
      <w:tr>
        <w:tc>
          <w:tcPr>
            <w:tcW w:type="dxa" w:w="2350"/>
            <w:shd w:fill="EEF2FB" w:color="auto" w:val="clear"/>
            <w:tcMar>
              <w:top w:type="dxa" w:w="70"/>
              <w:left w:type="dxa" w:w="110"/>
              <w:bottom w:type="dxa" w:w="70"/>
              <w:right w:type="dxa" w:w="110"/>
            </w:tcMar>
          </w:tcPr>
          <w:p>
            <w:r>
              <w:rPr>
                <w:color w:val="222833"/>
                <w:sz w:val="18"/>
                <w:szCs w:val="18"/>
              </w:rPr>
              <w:t xml:space="preserve">Context Precision</w:t>
            </w:r>
          </w:p>
        </w:tc>
        <w:tc>
          <w:tcPr>
            <w:tcW w:type="dxa" w:w="4360"/>
            <w:shd w:fill="EEF2FB" w:color="auto" w:val="clear"/>
            <w:tcMar>
              <w:top w:type="dxa" w:w="70"/>
              <w:left w:type="dxa" w:w="110"/>
              <w:bottom w:type="dxa" w:w="70"/>
              <w:right w:type="dxa" w:w="110"/>
            </w:tcMar>
          </w:tcPr>
          <w:p>
            <w:r>
              <w:rPr>
                <w:color w:val="222833"/>
                <w:sz w:val="18"/>
                <w:szCs w:val="18"/>
              </w:rPr>
              <w:t xml:space="preserve">Are the retrieved chunks relevant to the reference answer? (signal vs. noise in retrieval)</w:t>
            </w:r>
          </w:p>
        </w:tc>
        <w:tc>
          <w:tcPr>
            <w:tcW w:type="dxa" w:w="2650"/>
            <w:shd w:fill="EEF2FB" w:color="auto" w:val="clear"/>
            <w:tcMar>
              <w:top w:type="dxa" w:w="70"/>
              <w:left w:type="dxa" w:w="110"/>
              <w:bottom w:type="dxa" w:w="70"/>
              <w:right w:type="dxa" w:w="110"/>
            </w:tcMar>
          </w:tcPr>
          <w:p>
            <w:r>
              <w:rPr>
                <w:color w:val="222833"/>
                <w:sz w:val="18"/>
                <w:szCs w:val="18"/>
              </w:rPr>
              <w:t xml:space="preserve">retrieved hybrid hits + CUAD reference span</w:t>
            </w:r>
          </w:p>
        </w:tc>
      </w:tr>
      <w:tr>
        <w:tc>
          <w:tcPr>
            <w:tcW w:type="dxa" w:w="2350"/>
            <w:shd w:fill="FFFFFF" w:color="auto" w:val="clear"/>
            <w:tcMar>
              <w:top w:type="dxa" w:w="70"/>
              <w:left w:type="dxa" w:w="110"/>
              <w:bottom w:type="dxa" w:w="70"/>
              <w:right w:type="dxa" w:w="110"/>
            </w:tcMar>
          </w:tcPr>
          <w:p>
            <w:r>
              <w:rPr>
                <w:color w:val="222833"/>
                <w:sz w:val="18"/>
                <w:szCs w:val="18"/>
              </w:rPr>
              <w:t xml:space="preserve">Context Recall</w:t>
            </w:r>
          </w:p>
        </w:tc>
        <w:tc>
          <w:tcPr>
            <w:tcW w:type="dxa" w:w="4360"/>
            <w:shd w:fill="FFFFFF" w:color="auto" w:val="clear"/>
            <w:tcMar>
              <w:top w:type="dxa" w:w="70"/>
              <w:left w:type="dxa" w:w="110"/>
              <w:bottom w:type="dxa" w:w="70"/>
              <w:right w:type="dxa" w:w="110"/>
            </w:tcMar>
          </w:tcPr>
          <w:p>
            <w:r>
              <w:rPr>
                <w:color w:val="222833"/>
                <w:sz w:val="18"/>
                <w:szCs w:val="18"/>
              </w:rPr>
              <w:t xml:space="preserve">Did retrieval surface all of the ground-truth-supporting text?</w:t>
            </w:r>
          </w:p>
        </w:tc>
        <w:tc>
          <w:tcPr>
            <w:tcW w:type="dxa" w:w="2650"/>
            <w:shd w:fill="FFFFFF" w:color="auto" w:val="clear"/>
            <w:tcMar>
              <w:top w:type="dxa" w:w="70"/>
              <w:left w:type="dxa" w:w="110"/>
              <w:bottom w:type="dxa" w:w="70"/>
              <w:right w:type="dxa" w:w="110"/>
            </w:tcMar>
          </w:tcPr>
          <w:p>
            <w:r>
              <w:rPr>
                <w:color w:val="222833"/>
                <w:sz w:val="18"/>
                <w:szCs w:val="18"/>
              </w:rPr>
              <w:t xml:space="preserve">retrieved hybrid hits + CUAD reference span</w:t>
            </w:r>
          </w:p>
        </w:tc>
      </w:tr>
      <w:tr>
        <w:tc>
          <w:tcPr>
            <w:tcW w:type="dxa" w:w="2350"/>
            <w:shd w:fill="EEF2FB" w:color="auto" w:val="clear"/>
            <w:tcMar>
              <w:top w:type="dxa" w:w="70"/>
              <w:left w:type="dxa" w:w="110"/>
              <w:bottom w:type="dxa" w:w="70"/>
              <w:right w:type="dxa" w:w="110"/>
            </w:tcMar>
          </w:tcPr>
          <w:p>
            <w:r>
              <w:rPr>
                <w:color w:val="222833"/>
                <w:sz w:val="18"/>
                <w:szCs w:val="18"/>
              </w:rPr>
              <w:t xml:space="preserve">Faithfulness</w:t>
            </w:r>
          </w:p>
        </w:tc>
        <w:tc>
          <w:tcPr>
            <w:tcW w:type="dxa" w:w="4360"/>
            <w:shd w:fill="EEF2FB" w:color="auto" w:val="clear"/>
            <w:tcMar>
              <w:top w:type="dxa" w:w="70"/>
              <w:left w:type="dxa" w:w="110"/>
              <w:bottom w:type="dxa" w:w="70"/>
              <w:right w:type="dxa" w:w="110"/>
            </w:tcMar>
          </w:tcPr>
          <w:p>
            <w:r>
              <w:rPr>
                <w:color w:val="222833"/>
                <w:sz w:val="18"/>
                <w:szCs w:val="18"/>
              </w:rPr>
              <w:t xml:space="preserve">Is the generated answer grounded in the retrieved context (no hallucination)?</w:t>
            </w:r>
          </w:p>
        </w:tc>
        <w:tc>
          <w:tcPr>
            <w:tcW w:type="dxa" w:w="2650"/>
            <w:shd w:fill="EEF2FB" w:color="auto" w:val="clear"/>
            <w:tcMar>
              <w:top w:type="dxa" w:w="70"/>
              <w:left w:type="dxa" w:w="110"/>
              <w:bottom w:type="dxa" w:w="70"/>
              <w:right w:type="dxa" w:w="110"/>
            </w:tcMar>
          </w:tcPr>
          <w:p>
            <w:r>
              <w:rPr>
                <w:color w:val="222833"/>
                <w:sz w:val="18"/>
                <w:szCs w:val="18"/>
              </w:rPr>
              <w:t xml:space="preserve">chatbot answer + retrieved hybrid hits</w:t>
            </w:r>
          </w:p>
        </w:tc>
      </w:tr>
      <w:tr>
        <w:tc>
          <w:tcPr>
            <w:tcW w:type="dxa" w:w="2350"/>
            <w:shd w:fill="FFFFFF" w:color="auto" w:val="clear"/>
            <w:tcMar>
              <w:top w:type="dxa" w:w="70"/>
              <w:left w:type="dxa" w:w="110"/>
              <w:bottom w:type="dxa" w:w="70"/>
              <w:right w:type="dxa" w:w="110"/>
            </w:tcMar>
          </w:tcPr>
          <w:p>
            <w:r>
              <w:rPr>
                <w:color w:val="222833"/>
                <w:sz w:val="18"/>
                <w:szCs w:val="18"/>
              </w:rPr>
              <w:t xml:space="preserve">Answer Correctness</w:t>
            </w:r>
          </w:p>
        </w:tc>
        <w:tc>
          <w:tcPr>
            <w:tcW w:type="dxa" w:w="4360"/>
            <w:shd w:fill="FFFFFF" w:color="auto" w:val="clear"/>
            <w:tcMar>
              <w:top w:type="dxa" w:w="70"/>
              <w:left w:type="dxa" w:w="110"/>
              <w:bottom w:type="dxa" w:w="70"/>
              <w:right w:type="dxa" w:w="110"/>
            </w:tcMar>
          </w:tcPr>
          <w:p>
            <w:r>
              <w:rPr>
                <w:color w:val="222833"/>
                <w:sz w:val="18"/>
                <w:szCs w:val="18"/>
              </w:rPr>
              <w:t xml:space="preserve">How close is the answer to the human annotation, semantically and factually?</w:t>
            </w:r>
          </w:p>
        </w:tc>
        <w:tc>
          <w:tcPr>
            <w:tcW w:type="dxa" w:w="2650"/>
            <w:shd w:fill="FFFFFF" w:color="auto" w:val="clear"/>
            <w:tcMar>
              <w:top w:type="dxa" w:w="70"/>
              <w:left w:type="dxa" w:w="110"/>
              <w:bottom w:type="dxa" w:w="70"/>
              <w:right w:type="dxa" w:w="110"/>
            </w:tcMar>
          </w:tcPr>
          <w:p>
            <w:r>
              <w:rPr>
                <w:color w:val="222833"/>
                <w:sz w:val="18"/>
                <w:szCs w:val="18"/>
              </w:rPr>
              <w:t xml:space="preserve">chatbot answer + CUAD reference span</w:t>
            </w:r>
          </w:p>
        </w:tc>
      </w:tr>
    </w:tbl>
    <w:p>
      <w:pPr>
        <w:spacing w:after="110" w:line="276"/>
      </w:pPr>
      <w:r>
        <w:rPr>
          <w:color w:val="222833"/>
          <w:sz w:val="21"/>
          <w:szCs w:val="21"/>
        </w:rPr>
        <w:t xml:space="preserve"/>
      </w:r>
    </w:p>
    <w:p>
      <w:pPr>
        <w:spacing w:after="110" w:line="276"/>
      </w:pPr>
      <w:r>
        <w:rPr>
          <w:b/>
          <w:bCs/>
          <w:color w:val="222833"/>
          <w:sz w:val="21"/>
          <w:szCs w:val="21"/>
        </w:rPr>
        <w:t xml:space="preserve">Implementation. </w:t>
      </w:r>
      <w:r>
        <w:rPr>
          <w:color w:val="222833"/>
          <w:sz w:val="21"/>
          <w:szCs w:val="21"/>
        </w:rPr>
        <w:t xml:space="preserve">per_question_ragas.score_single_question() wraps the one pipeline result in a single RagasRow (via the unmodified evaluation/ragas_eval.build_ragas_rows) and runs the same four metric objects the batch harness uses (Faithfulness, LLMContextPrecisionWithReference, LLMContextRecall, AnswerCorrectness) over a one-row dataset. It then reads the four numbers back out of the returned pandas frame. Nothing RAGAS-specific — the judge LLM, embeddings, or metric definitions — is re-implemented.</w:t>
      </w:r>
    </w:p>
    <w:p>
      <w:pPr>
        <w:spacing w:after="110" w:line="276"/>
      </w:pPr>
      <w:r>
        <w:rPr>
          <w:b/>
          <w:bCs/>
          <w:color w:val="222833"/>
          <w:sz w:val="21"/>
          <w:szCs w:val="21"/>
        </w:rPr>
        <w:t xml:space="preserve">Answerable vs. absence questions. </w:t>
      </w:r>
      <w:r>
        <w:rPr>
          <w:color w:val="222833"/>
          <w:sz w:val="21"/>
          <w:szCs w:val="21"/>
        </w:rPr>
        <w:t xml:space="preserve">CUAD marks some questions </w:t>
      </w:r>
      <w:r>
        <w:rPr>
          <w:rFonts w:ascii="Consolas" w:cs="Consolas" w:eastAsia="Consolas" w:hAnsi="Consolas"/>
          <w:color w:val="1B2B4A"/>
          <w:sz w:val="19"/>
          <w:szCs w:val="19"/>
        </w:rPr>
        <w:t xml:space="preserve">is_impossible</w:t>
      </w:r>
      <w:r>
        <w:rPr>
          <w:color w:val="222833"/>
          <w:sz w:val="21"/>
          <w:szCs w:val="21"/>
        </w:rPr>
        <w:t xml:space="preserve"> (the clause genuinely does not exist in that contract). For those there is no reference span to score against, so the console falls back to the same “correctly identified absence” check the batch harness uses, and the UI explains that the four metrics do not apply. Any metric RAGAS cannot compute is surfaced as </w:t>
      </w:r>
      <w:r>
        <w:rPr>
          <w:rFonts w:ascii="Consolas" w:cs="Consolas" w:eastAsia="Consolas" w:hAnsi="Consolas"/>
          <w:color w:val="1B2B4A"/>
          <w:sz w:val="19"/>
          <w:szCs w:val="19"/>
        </w:rPr>
        <w:t xml:space="preserve">N/A</w:t>
      </w:r>
      <w:r>
        <w:rPr>
          <w:color w:val="222833"/>
          <w:sz w:val="21"/>
          <w:szCs w:val="21"/>
        </w:rPr>
        <w:t xml:space="preserve">, never a misleading 0.0.</w:t>
      </w:r>
    </w:p>
    <w:p>
      <w:pPr>
        <w:spacing w:after="110" w:line="276"/>
      </w:pPr>
      <w:r>
        <w:rPr>
          <w:b/>
          <w:bCs/>
          <w:color w:val="222833"/>
          <w:sz w:val="21"/>
          <w:szCs w:val="21"/>
        </w:rPr>
        <w:t xml:space="preserve">Prerequisite. </w:t>
      </w:r>
      <w:r>
        <w:rPr>
          <w:color w:val="222833"/>
          <w:sz w:val="21"/>
          <w:szCs w:val="21"/>
        </w:rPr>
        <w:t xml:space="preserve">The RAGAS judge requires the evaluation extras (ragas, langchain-huggingface) and an </w:t>
      </w:r>
      <w:r>
        <w:rPr>
          <w:rFonts w:ascii="Consolas" w:cs="Consolas" w:eastAsia="Consolas" w:hAnsi="Consolas"/>
          <w:color w:val="1B2B4A"/>
          <w:sz w:val="19"/>
          <w:szCs w:val="19"/>
        </w:rPr>
        <w:t xml:space="preserve">HF_TOKEN</w:t>
      </w:r>
      <w:r>
        <w:rPr>
          <w:color w:val="222833"/>
          <w:sz w:val="21"/>
          <w:szCs w:val="21"/>
        </w:rPr>
        <w:t xml:space="preserve"> in the environment, exactly as the existing batch evaluation does. If unavailable, the answer and reasoning still render and the metric job reports an error the UI shows gracefully.</w:t>
      </w:r>
    </w:p>
    <w:p>
      <w:pPr>
        <w:pStyle w:val="Heading1"/>
        <w:spacing w:after="120" w:before="260"/>
      </w:pPr>
      <w:r>
        <w:rPr>
          <w:b/>
          <w:bCs/>
          <w:color w:val="1F3A5F"/>
          <w:sz w:val="30"/>
          <w:szCs w:val="30"/>
        </w:rPr>
        <w:t xml:space="preserve">6. API Contract (new endpoints)</w:t>
      </w:r>
    </w:p>
    <w:tbl>
      <w:tblPr>
        <w:tblW w:type="dxa" w:w="9360"/>
        <w:tblBorders>
          <w:top w:val="single" w:color="C9D3E6" w:sz="6"/>
          <w:left w:val="single" w:color="C9D3E6" w:sz="6"/>
          <w:bottom w:val="single" w:color="C9D3E6" w:sz="6"/>
          <w:right w:val="single" w:color="C9D3E6" w:sz="6"/>
          <w:insideH w:val="single" w:color="C9D3E6" w:sz="6"/>
          <w:insideV w:val="single" w:color="C9D3E6" w:sz="6"/>
        </w:tblBorders>
      </w:tblPr>
      <w:tblGrid>
        <w:gridCol w:w="3050"/>
        <w:gridCol w:w="3050"/>
        <w:gridCol w:w="3260"/>
      </w:tblGrid>
      <w:tr>
        <w:trPr>
          <w:tblHeader/>
        </w:trPr>
        <w:tc>
          <w:tcPr>
            <w:tcW w:type="dxa" w:w="3050"/>
            <w:shd w:fill="1F3A5F" w:color="auto" w:val="clear"/>
            <w:tcMar>
              <w:top w:type="dxa" w:w="80"/>
              <w:left w:type="dxa" w:w="110"/>
              <w:bottom w:type="dxa" w:w="80"/>
              <w:right w:type="dxa" w:w="110"/>
            </w:tcMar>
          </w:tcPr>
          <w:p>
            <w:r>
              <w:rPr>
                <w:b/>
                <w:bCs/>
                <w:color w:val="FFFFFF"/>
                <w:sz w:val="19"/>
                <w:szCs w:val="19"/>
              </w:rPr>
              <w:t xml:space="preserve">Method &amp; path</w:t>
            </w:r>
          </w:p>
        </w:tc>
        <w:tc>
          <w:tcPr>
            <w:tcW w:type="dxa" w:w="3050"/>
            <w:shd w:fill="1F3A5F" w:color="auto" w:val="clear"/>
            <w:tcMar>
              <w:top w:type="dxa" w:w="80"/>
              <w:left w:type="dxa" w:w="110"/>
              <w:bottom w:type="dxa" w:w="80"/>
              <w:right w:type="dxa" w:w="110"/>
            </w:tcMar>
          </w:tcPr>
          <w:p>
            <w:r>
              <w:rPr>
                <w:b/>
                <w:bCs/>
                <w:color w:val="FFFFFF"/>
                <w:sz w:val="19"/>
                <w:szCs w:val="19"/>
              </w:rPr>
              <w:t xml:space="preserve">Purpose</w:t>
            </w:r>
          </w:p>
        </w:tc>
        <w:tc>
          <w:tcPr>
            <w:tcW w:type="dxa" w:w="3260"/>
            <w:shd w:fill="1F3A5F" w:color="auto" w:val="clear"/>
            <w:tcMar>
              <w:top w:type="dxa" w:w="80"/>
              <w:left w:type="dxa" w:w="110"/>
              <w:bottom w:type="dxa" w:w="80"/>
              <w:right w:type="dxa" w:w="110"/>
            </w:tcMar>
          </w:tcPr>
          <w:p>
            <w:r>
              <w:rPr>
                <w:b/>
                <w:bCs/>
                <w:color w:val="FFFFFF"/>
                <w:sz w:val="19"/>
                <w:szCs w:val="19"/>
              </w:rPr>
              <w:t xml:space="preserve">Returns</w:t>
            </w:r>
          </w:p>
        </w:tc>
      </w:tr>
      <w:tr>
        <w:tc>
          <w:tcPr>
            <w:tcW w:type="dxa" w:w="3050"/>
            <w:shd w:fill="EEF2FB" w:color="auto" w:val="clear"/>
            <w:tcMar>
              <w:top w:type="dxa" w:w="70"/>
              <w:left w:type="dxa" w:w="110"/>
              <w:bottom w:type="dxa" w:w="70"/>
              <w:right w:type="dxa" w:w="110"/>
            </w:tcMar>
          </w:tcPr>
          <w:p>
            <w:r>
              <w:rPr>
                <w:rFonts w:ascii="Consolas" w:cs="Consolas" w:eastAsia="Consolas" w:hAnsi="Consolas"/>
                <w:color w:val="1B2B4A"/>
                <w:sz w:val="19"/>
                <w:szCs w:val="19"/>
              </w:rPr>
              <w:t xml:space="preserve">GET /api/cuad/contracts</w:t>
            </w:r>
          </w:p>
        </w:tc>
        <w:tc>
          <w:tcPr>
            <w:tcW w:type="dxa" w:w="3050"/>
            <w:shd w:fill="EEF2FB" w:color="auto" w:val="clear"/>
            <w:tcMar>
              <w:top w:type="dxa" w:w="70"/>
              <w:left w:type="dxa" w:w="110"/>
              <w:bottom w:type="dxa" w:w="70"/>
              <w:right w:type="dxa" w:w="110"/>
            </w:tcMar>
          </w:tcPr>
          <w:p>
            <w:r>
              <w:rPr>
                <w:color w:val="222833"/>
                <w:sz w:val="18"/>
                <w:szCs w:val="18"/>
              </w:rPr>
              <w:t xml:space="preserve">PDF dropdown — all unique CUAD contracts</w:t>
            </w:r>
          </w:p>
        </w:tc>
        <w:tc>
          <w:tcPr>
            <w:tcW w:type="dxa" w:w="3260"/>
            <w:shd w:fill="EEF2FB" w:color="auto" w:val="clear"/>
            <w:tcMar>
              <w:top w:type="dxa" w:w="70"/>
              <w:left w:type="dxa" w:w="110"/>
              <w:bottom w:type="dxa" w:w="70"/>
              <w:right w:type="dxa" w:w="110"/>
            </w:tcMar>
          </w:tcPr>
          <w:p>
            <w:r>
              <w:rPr>
                <w:color w:val="222833"/>
                <w:sz w:val="18"/>
                <w:szCs w:val="18"/>
              </w:rPr>
              <w:t xml:space="preserve">[{collection_name, contract_title, contract_type, ingested}]</w:t>
            </w:r>
          </w:p>
        </w:tc>
      </w:tr>
      <w:tr>
        <w:tc>
          <w:tcPr>
            <w:tcW w:type="dxa" w:w="3050"/>
            <w:shd w:fill="FFFFFF" w:color="auto" w:val="clear"/>
            <w:tcMar>
              <w:top w:type="dxa" w:w="70"/>
              <w:left w:type="dxa" w:w="110"/>
              <w:bottom w:type="dxa" w:w="70"/>
              <w:right w:type="dxa" w:w="110"/>
            </w:tcMar>
          </w:tcPr>
          <w:p>
            <w:r>
              <w:rPr>
                <w:rFonts w:ascii="Consolas" w:cs="Consolas" w:eastAsia="Consolas" w:hAnsi="Consolas"/>
                <w:color w:val="1B2B4A"/>
                <w:sz w:val="19"/>
                <w:szCs w:val="19"/>
              </w:rPr>
              <w:t xml:space="preserve">GET /api/cuad/contracts/{c}/questions</w:t>
            </w:r>
          </w:p>
        </w:tc>
        <w:tc>
          <w:tcPr>
            <w:tcW w:type="dxa" w:w="3050"/>
            <w:shd w:fill="FFFFFF" w:color="auto" w:val="clear"/>
            <w:tcMar>
              <w:top w:type="dxa" w:w="70"/>
              <w:left w:type="dxa" w:w="110"/>
              <w:bottom w:type="dxa" w:w="70"/>
              <w:right w:type="dxa" w:w="110"/>
            </w:tcMar>
          </w:tcPr>
          <w:p>
            <w:r>
              <w:rPr>
                <w:color w:val="222833"/>
                <w:sz w:val="18"/>
                <w:szCs w:val="18"/>
              </w:rPr>
              <w:t xml:space="preserve">Question dropdown for a contract</w:t>
            </w:r>
          </w:p>
        </w:tc>
        <w:tc>
          <w:tcPr>
            <w:tcW w:type="dxa" w:w="3260"/>
            <w:shd w:fill="FFFFFF" w:color="auto" w:val="clear"/>
            <w:tcMar>
              <w:top w:type="dxa" w:w="70"/>
              <w:left w:type="dxa" w:w="110"/>
              <w:bottom w:type="dxa" w:w="70"/>
              <w:right w:type="dxa" w:w="110"/>
            </w:tcMar>
          </w:tcPr>
          <w:p>
            <w:r>
              <w:rPr>
                <w:color w:val="222833"/>
                <w:sz w:val="18"/>
                <w:szCs w:val="18"/>
              </w:rPr>
              <w:t xml:space="preserve">[{qas_id, question, clause_category, is_impossible, ground_truth}]</w:t>
            </w:r>
          </w:p>
        </w:tc>
      </w:tr>
      <w:tr>
        <w:tc>
          <w:tcPr>
            <w:tcW w:type="dxa" w:w="3050"/>
            <w:shd w:fill="EEF2FB" w:color="auto" w:val="clear"/>
            <w:tcMar>
              <w:top w:type="dxa" w:w="70"/>
              <w:left w:type="dxa" w:w="110"/>
              <w:bottom w:type="dxa" w:w="70"/>
              <w:right w:type="dxa" w:w="110"/>
            </w:tcMar>
          </w:tcPr>
          <w:p>
            <w:r>
              <w:rPr>
                <w:rFonts w:ascii="Consolas" w:cs="Consolas" w:eastAsia="Consolas" w:hAnsi="Consolas"/>
                <w:color w:val="1B2B4A"/>
                <w:sz w:val="19"/>
                <w:szCs w:val="19"/>
              </w:rPr>
              <w:t xml:space="preserve">POST /api/cuad/ask</w:t>
            </w:r>
          </w:p>
        </w:tc>
        <w:tc>
          <w:tcPr>
            <w:tcW w:type="dxa" w:w="3050"/>
            <w:shd w:fill="EEF2FB" w:color="auto" w:val="clear"/>
            <w:tcMar>
              <w:top w:type="dxa" w:w="70"/>
              <w:left w:type="dxa" w:w="110"/>
              <w:bottom w:type="dxa" w:w="70"/>
              <w:right w:type="dxa" w:w="110"/>
            </w:tcMar>
          </w:tcPr>
          <w:p>
            <w:r>
              <w:rPr>
                <w:color w:val="222833"/>
                <w:sz w:val="18"/>
                <w:szCs w:val="18"/>
              </w:rPr>
              <w:t xml:space="preserve">Ingest-if-needed, run pipeline, return answer now</w:t>
            </w:r>
          </w:p>
        </w:tc>
        <w:tc>
          <w:tcPr>
            <w:tcW w:type="dxa" w:w="3260"/>
            <w:shd w:fill="EEF2FB" w:color="auto" w:val="clear"/>
            <w:tcMar>
              <w:top w:type="dxa" w:w="70"/>
              <w:left w:type="dxa" w:w="110"/>
              <w:bottom w:type="dxa" w:w="70"/>
              <w:right w:type="dxa" w:w="110"/>
            </w:tcMar>
          </w:tcPr>
          <w:p>
            <w:r>
              <w:rPr>
                <w:color w:val="222833"/>
                <w:sz w:val="18"/>
                <w:szCs w:val="18"/>
              </w:rPr>
              <w:t xml:space="preserve">{job_id, answer, context[], ground_truth, reasoning{}, evaluation{}, metrics_status}</w:t>
            </w:r>
          </w:p>
        </w:tc>
      </w:tr>
      <w:tr>
        <w:tc>
          <w:tcPr>
            <w:tcW w:type="dxa" w:w="3050"/>
            <w:shd w:fill="FFFFFF" w:color="auto" w:val="clear"/>
            <w:tcMar>
              <w:top w:type="dxa" w:w="70"/>
              <w:left w:type="dxa" w:w="110"/>
              <w:bottom w:type="dxa" w:w="70"/>
              <w:right w:type="dxa" w:w="110"/>
            </w:tcMar>
          </w:tcPr>
          <w:p>
            <w:r>
              <w:rPr>
                <w:rFonts w:ascii="Consolas" w:cs="Consolas" w:eastAsia="Consolas" w:hAnsi="Consolas"/>
                <w:color w:val="1B2B4A"/>
                <w:sz w:val="19"/>
                <w:szCs w:val="19"/>
              </w:rPr>
              <w:t xml:space="preserve">GET /api/cuad/ask/{job_id}</w:t>
            </w:r>
          </w:p>
        </w:tc>
        <w:tc>
          <w:tcPr>
            <w:tcW w:type="dxa" w:w="3050"/>
            <w:shd w:fill="FFFFFF" w:color="auto" w:val="clear"/>
            <w:tcMar>
              <w:top w:type="dxa" w:w="70"/>
              <w:left w:type="dxa" w:w="110"/>
              <w:bottom w:type="dxa" w:w="70"/>
              <w:right w:type="dxa" w:w="110"/>
            </w:tcMar>
          </w:tcPr>
          <w:p>
            <w:r>
              <w:rPr>
                <w:color w:val="222833"/>
                <w:sz w:val="18"/>
                <w:szCs w:val="18"/>
              </w:rPr>
              <w:t xml:space="preserve">Poll for the four metrics</w:t>
            </w:r>
          </w:p>
        </w:tc>
        <w:tc>
          <w:tcPr>
            <w:tcW w:type="dxa" w:w="3260"/>
            <w:shd w:fill="FFFFFF" w:color="auto" w:val="clear"/>
            <w:tcMar>
              <w:top w:type="dxa" w:w="70"/>
              <w:left w:type="dxa" w:w="110"/>
              <w:bottom w:type="dxa" w:w="70"/>
              <w:right w:type="dxa" w:w="110"/>
            </w:tcMar>
          </w:tcPr>
          <w:p>
            <w:r>
              <w:rPr>
                <w:color w:val="222833"/>
                <w:sz w:val="18"/>
                <w:szCs w:val="18"/>
              </w:rPr>
              <w:t xml:space="preserve">{metrics_status, metrics{}, error}</w:t>
            </w:r>
          </w:p>
        </w:tc>
      </w:tr>
    </w:tbl>
    <w:p>
      <w:pPr>
        <w:spacing w:after="110" w:line="276"/>
      </w:pPr>
      <w:r>
        <w:rPr>
          <w:color w:val="222833"/>
          <w:sz w:val="21"/>
          <w:szCs w:val="21"/>
        </w:rPr>
        <w:t xml:space="preserve"/>
      </w:r>
    </w:p>
    <w:p>
      <w:pPr>
        <w:spacing w:after="110" w:line="276"/>
      </w:pPr>
      <w:r>
        <w:rPr>
          <w:b/>
          <w:bCs/>
          <w:color w:val="222833"/>
          <w:sz w:val="21"/>
          <w:szCs w:val="21"/>
        </w:rPr>
        <w:t xml:space="preserve">Reuse of existing endpoints. </w:t>
      </w:r>
      <w:r>
        <w:rPr>
          <w:color w:val="222833"/>
          <w:sz w:val="21"/>
          <w:szCs w:val="21"/>
        </w:rPr>
        <w:t xml:space="preserve">The Upload &amp; Ask mode uses the pre-existing </w:t>
      </w:r>
      <w:r>
        <w:rPr>
          <w:rFonts w:ascii="Consolas" w:cs="Consolas" w:eastAsia="Consolas" w:hAnsi="Consolas"/>
          <w:color w:val="1B2B4A"/>
          <w:sz w:val="19"/>
          <w:szCs w:val="19"/>
        </w:rPr>
        <w:t xml:space="preserve">POST /api/ingest</w:t>
      </w:r>
      <w:r>
        <w:rPr>
          <w:color w:val="222833"/>
          <w:sz w:val="21"/>
          <w:szCs w:val="21"/>
        </w:rPr>
        <w:t xml:space="preserve">, </w:t>
      </w:r>
      <w:r>
        <w:rPr>
          <w:rFonts w:ascii="Consolas" w:cs="Consolas" w:eastAsia="Consolas" w:hAnsi="Consolas"/>
          <w:color w:val="1B2B4A"/>
          <w:sz w:val="19"/>
          <w:szCs w:val="19"/>
        </w:rPr>
        <w:t xml:space="preserve">GET /api/ingest/{job_id}</w:t>
      </w:r>
      <w:r>
        <w:rPr>
          <w:color w:val="222833"/>
          <w:sz w:val="21"/>
          <w:szCs w:val="21"/>
        </w:rPr>
        <w:t xml:space="preserve">, </w:t>
      </w:r>
      <w:r>
        <w:rPr>
          <w:rFonts w:ascii="Consolas" w:cs="Consolas" w:eastAsia="Consolas" w:hAnsi="Consolas"/>
          <w:color w:val="1B2B4A"/>
          <w:sz w:val="19"/>
          <w:szCs w:val="19"/>
        </w:rPr>
        <w:t xml:space="preserve">POST /api/query/start</w:t>
      </w:r>
      <w:r>
        <w:rPr>
          <w:color w:val="222833"/>
          <w:sz w:val="21"/>
          <w:szCs w:val="21"/>
        </w:rPr>
        <w:t xml:space="preserve">, and the two decision endpoints unchanged.</w:t>
      </w:r>
    </w:p>
    <w:p>
      <w:pPr>
        <w:pStyle w:val="Heading1"/>
        <w:spacing w:after="120" w:before="260"/>
      </w:pPr>
      <w:r>
        <w:rPr>
          <w:b/>
          <w:bCs/>
          <w:color w:val="1F3A5F"/>
          <w:sz w:val="30"/>
          <w:szCs w:val="30"/>
        </w:rPr>
        <w:t xml:space="preserve">7. Front-End Behaviour</w:t>
      </w:r>
    </w:p>
    <w:p>
      <w:pPr>
        <w:pStyle w:val="Heading2"/>
        <w:spacing w:after="90" w:before="200"/>
      </w:pPr>
      <w:r>
        <w:rPr>
          <w:b/>
          <w:bCs/>
          <w:color w:val="2F5BEA"/>
          <w:sz w:val="24"/>
          <w:szCs w:val="24"/>
        </w:rPr>
        <w:t xml:space="preserve">7.1 Layout</w:t>
      </w:r>
    </w:p>
    <w:p>
      <w:pPr>
        <w:pStyle w:val="ListParagraph"/>
        <w:numPr>
          <w:ilvl w:val="0"/>
          <w:numId w:val="1"/>
        </w:numPr>
        <w:spacing w:after="70" w:line="270"/>
      </w:pPr>
      <w:r>
        <w:rPr>
          <w:b/>
          <w:bCs/>
          <w:color w:val="222833"/>
          <w:sz w:val="21"/>
          <w:szCs w:val="21"/>
        </w:rPr>
        <w:t xml:space="preserve">Left sidebar — </w:t>
      </w:r>
      <w:r>
        <w:rPr>
          <w:color w:val="222833"/>
          <w:sz w:val="21"/>
          <w:szCs w:val="21"/>
        </w:rPr>
        <w:t xml:space="preserve">two primary buttons (Ask CUAD, Upload &amp; Ask) and a separate History section listing this session's questions.</w:t>
      </w:r>
    </w:p>
    <w:p>
      <w:pPr>
        <w:pStyle w:val="ListParagraph"/>
        <w:numPr>
          <w:ilvl w:val="0"/>
          <w:numId w:val="1"/>
        </w:numPr>
        <w:spacing w:after="70" w:line="270"/>
      </w:pPr>
      <w:r>
        <w:rPr>
          <w:b/>
          <w:bCs/>
          <w:color w:val="222833"/>
          <w:sz w:val="21"/>
          <w:szCs w:val="21"/>
        </w:rPr>
        <w:t xml:space="preserve">Ask CUAD — </w:t>
      </w:r>
      <w:r>
        <w:rPr>
          <w:color w:val="222833"/>
          <w:sz w:val="21"/>
          <w:szCs w:val="21"/>
        </w:rPr>
        <w:t xml:space="preserve">a visually highlighted picker (dashed accent border) with a PDF dropdown and a dependent question dropdown; the selected question is echoed for confirmation.</w:t>
      </w:r>
    </w:p>
    <w:p>
      <w:pPr>
        <w:pStyle w:val="ListParagraph"/>
        <w:numPr>
          <w:ilvl w:val="0"/>
          <w:numId w:val="1"/>
        </w:numPr>
        <w:spacing w:after="70" w:line="270"/>
      </w:pPr>
      <w:r>
        <w:rPr>
          <w:b/>
          <w:bCs/>
          <w:color w:val="222833"/>
          <w:sz w:val="21"/>
          <w:szCs w:val="21"/>
        </w:rPr>
        <w:t xml:space="preserve">Output by default — </w:t>
      </w:r>
      <w:r>
        <w:rPr>
          <w:color w:val="222833"/>
          <w:sz w:val="21"/>
          <w:szCs w:val="21"/>
        </w:rPr>
        <w:t xml:space="preserve">the chatbot's answer shows immediately; Context and Ground Truth are toggle buttons that reveal the retrieved chunks and the CUAD human annotation respectively.</w:t>
      </w:r>
    </w:p>
    <w:p>
      <w:pPr>
        <w:pStyle w:val="ListParagraph"/>
        <w:numPr>
          <w:ilvl w:val="0"/>
          <w:numId w:val="1"/>
        </w:numPr>
        <w:spacing w:after="70" w:line="270"/>
      </w:pPr>
      <w:r>
        <w:rPr>
          <w:b/>
          <w:bCs/>
          <w:color w:val="222833"/>
          <w:sz w:val="21"/>
          <w:szCs w:val="21"/>
        </w:rPr>
        <w:t xml:space="preserve">Reasoning on screen — </w:t>
      </w:r>
      <w:r>
        <w:rPr>
          <w:color w:val="222833"/>
          <w:sz w:val="21"/>
          <w:szCs w:val="21"/>
        </w:rPr>
        <w:t xml:space="preserve">route, dense/BM25/hybrid candidate counts, hierarchy boosting, rerank count, evidence-sufficiency verdict, and confidence are rendered as a live panel (not hidden).</w:t>
      </w:r>
    </w:p>
    <w:p>
      <w:pPr>
        <w:pStyle w:val="ListParagraph"/>
        <w:numPr>
          <w:ilvl w:val="0"/>
          <w:numId w:val="1"/>
        </w:numPr>
        <w:spacing w:after="70" w:line="270"/>
      </w:pPr>
      <w:r>
        <w:rPr>
          <w:b/>
          <w:bCs/>
          <w:color w:val="222833"/>
          <w:sz w:val="21"/>
          <w:szCs w:val="21"/>
        </w:rPr>
        <w:t xml:space="preserve">Metrics — </w:t>
      </w:r>
      <w:r>
        <w:rPr>
          <w:color w:val="222833"/>
          <w:sz w:val="21"/>
          <w:szCs w:val="21"/>
        </w:rPr>
        <w:t xml:space="preserve">four cards with progress bars that fill in when background scoring completes.</w:t>
      </w:r>
    </w:p>
    <w:p>
      <w:pPr>
        <w:pStyle w:val="Heading2"/>
        <w:spacing w:after="90" w:before="200"/>
      </w:pPr>
      <w:r>
        <w:rPr>
          <w:b/>
          <w:bCs/>
          <w:color w:val="2F5BEA"/>
          <w:sz w:val="24"/>
          <w:szCs w:val="24"/>
        </w:rPr>
        <w:t xml:space="preserve">7.2 Upload &amp; Ask (human-in-the-loop)</w:t>
      </w:r>
    </w:p>
    <w:p>
      <w:pPr>
        <w:spacing w:after="110" w:line="276"/>
      </w:pPr>
      <w:r>
        <w:rPr>
          <w:color w:val="222833"/>
          <w:sz w:val="21"/>
          <w:szCs w:val="21"/>
        </w:rPr>
        <w:t xml:space="preserve">This mode intentionally shows only the reasoning and the review workflow — there is no ground-truth scoring because a user's own PDF has no CUAD reference. After ingest, a question triggers the pipeline, which pauses at:</w:t>
      </w:r>
    </w:p>
    <w:p>
      <w:pPr>
        <w:pStyle w:val="ListParagraph"/>
        <w:numPr>
          <w:ilvl w:val="0"/>
          <w:numId w:val="1"/>
        </w:numPr>
        <w:spacing w:after="70" w:line="270"/>
      </w:pPr>
      <w:r>
        <w:rPr>
          <w:b/>
          <w:bCs/>
          <w:color w:val="222833"/>
          <w:sz w:val="21"/>
          <w:szCs w:val="21"/>
        </w:rPr>
        <w:t xml:space="preserve">Checkpoint 1 — Evidence review: </w:t>
      </w:r>
      <w:r>
        <w:rPr>
          <w:color w:val="222833"/>
          <w:sz w:val="21"/>
          <w:szCs w:val="21"/>
        </w:rPr>
        <w:t xml:space="preserve">approve the retrieved evidence or reject to stop.</w:t>
      </w:r>
    </w:p>
    <w:p>
      <w:pPr>
        <w:pStyle w:val="ListParagraph"/>
        <w:numPr>
          <w:ilvl w:val="0"/>
          <w:numId w:val="1"/>
        </w:numPr>
        <w:spacing w:after="70" w:line="270"/>
      </w:pPr>
      <w:r>
        <w:rPr>
          <w:b/>
          <w:bCs/>
          <w:color w:val="222833"/>
          <w:sz w:val="21"/>
          <w:szCs w:val="21"/>
        </w:rPr>
        <w:t xml:space="preserve">Checkpoint 2 — Answer review: </w:t>
      </w:r>
      <w:r>
        <w:rPr>
          <w:color w:val="222833"/>
          <w:sz w:val="21"/>
          <w:szCs w:val="21"/>
        </w:rPr>
        <w:t xml:space="preserve">approve, revise (with a required comment the model reasons over), or reject.</w:t>
      </w:r>
    </w:p>
    <w:p>
      <w:pPr>
        <w:spacing w:after="110" w:line="276"/>
      </w:pPr>
      <w:r>
        <w:rPr>
          <w:color w:val="222833"/>
          <w:sz w:val="21"/>
          <w:szCs w:val="21"/>
        </w:rPr>
        <w:t xml:space="preserve">These map directly onto the pipeline's two </w:t>
      </w:r>
      <w:r>
        <w:rPr>
          <w:rFonts w:ascii="Consolas" w:cs="Consolas" w:eastAsia="Consolas" w:hAnsi="Consolas"/>
          <w:color w:val="1B2B4A"/>
          <w:sz w:val="19"/>
          <w:szCs w:val="19"/>
        </w:rPr>
        <w:t xml:space="preserve">interrupt()</w:t>
      </w:r>
      <w:r>
        <w:rPr>
          <w:color w:val="222833"/>
          <w:sz w:val="21"/>
          <w:szCs w:val="21"/>
        </w:rPr>
        <w:t xml:space="preserve"> points and the </w:t>
      </w:r>
      <w:r>
        <w:rPr>
          <w:rFonts w:ascii="Consolas" w:cs="Consolas" w:eastAsia="Consolas" w:hAnsi="Consolas"/>
          <w:color w:val="1B2B4A"/>
          <w:sz w:val="19"/>
          <w:szCs w:val="19"/>
        </w:rPr>
        <w:t xml:space="preserve">evidence-decision</w:t>
      </w:r>
      <w:r>
        <w:rPr>
          <w:color w:val="222833"/>
          <w:sz w:val="21"/>
          <w:szCs w:val="21"/>
        </w:rPr>
        <w:t xml:space="preserve"> / </w:t>
      </w:r>
      <w:r>
        <w:rPr>
          <w:rFonts w:ascii="Consolas" w:cs="Consolas" w:eastAsia="Consolas" w:hAnsi="Consolas"/>
          <w:color w:val="1B2B4A"/>
          <w:sz w:val="19"/>
          <w:szCs w:val="19"/>
        </w:rPr>
        <w:t xml:space="preserve">answer-decision</w:t>
      </w:r>
      <w:r>
        <w:rPr>
          <w:color w:val="222833"/>
          <w:sz w:val="21"/>
          <w:szCs w:val="21"/>
        </w:rPr>
        <w:t xml:space="preserve"> endpoints.</w:t>
      </w:r>
    </w:p>
    <w:p>
      <w:pPr>
        <w:pStyle w:val="Heading1"/>
        <w:spacing w:after="120" w:before="260"/>
      </w:pPr>
      <w:r>
        <w:rPr>
          <w:b/>
          <w:bCs/>
          <w:color w:val="1F3A5F"/>
          <w:sz w:val="30"/>
          <w:szCs w:val="30"/>
        </w:rPr>
        <w:t xml:space="preserve">8. Reasoning Fields — Provenance</w:t>
      </w:r>
    </w:p>
    <w:p>
      <w:pPr>
        <w:spacing w:after="110" w:line="276"/>
      </w:pPr>
      <w:r>
        <w:rPr>
          <w:color w:val="222833"/>
          <w:sz w:val="21"/>
          <w:szCs w:val="21"/>
        </w:rPr>
        <w:t xml:space="preserve">Every value shown in the reasoning panel is derived from real pipeline state, not fabricated:</w:t>
      </w:r>
    </w:p>
    <w:tbl>
      <w:tblPr>
        <w:tblW w:type="dxa" w:w="9360"/>
        <w:tblBorders>
          <w:top w:val="single" w:color="C9D3E6" w:sz="6"/>
          <w:left w:val="single" w:color="C9D3E6" w:sz="6"/>
          <w:bottom w:val="single" w:color="C9D3E6" w:sz="6"/>
          <w:right w:val="single" w:color="C9D3E6" w:sz="6"/>
          <w:insideH w:val="single" w:color="C9D3E6" w:sz="6"/>
          <w:insideV w:val="single" w:color="C9D3E6" w:sz="6"/>
        </w:tblBorders>
      </w:tblPr>
      <w:tblGrid>
        <w:gridCol w:w="3600"/>
        <w:gridCol w:w="5760"/>
      </w:tblGrid>
      <w:tr>
        <w:trPr>
          <w:tblHeader/>
        </w:trPr>
        <w:tc>
          <w:tcPr>
            <w:tcW w:type="dxa" w:w="3600"/>
            <w:shd w:fill="1F3A5F" w:color="auto" w:val="clear"/>
            <w:tcMar>
              <w:top w:type="dxa" w:w="80"/>
              <w:left w:type="dxa" w:w="110"/>
              <w:bottom w:type="dxa" w:w="80"/>
              <w:right w:type="dxa" w:w="110"/>
            </w:tcMar>
          </w:tcPr>
          <w:p>
            <w:r>
              <w:rPr>
                <w:b/>
                <w:bCs/>
                <w:color w:val="FFFFFF"/>
                <w:sz w:val="19"/>
                <w:szCs w:val="19"/>
              </w:rPr>
              <w:t xml:space="preserve">UI field</w:t>
            </w:r>
          </w:p>
        </w:tc>
        <w:tc>
          <w:tcPr>
            <w:tcW w:type="dxa" w:w="5760"/>
            <w:shd w:fill="1F3A5F" w:color="auto" w:val="clear"/>
            <w:tcMar>
              <w:top w:type="dxa" w:w="80"/>
              <w:left w:type="dxa" w:w="110"/>
              <w:bottom w:type="dxa" w:w="80"/>
              <w:right w:type="dxa" w:w="110"/>
            </w:tcMar>
          </w:tcPr>
          <w:p>
            <w:r>
              <w:rPr>
                <w:b/>
                <w:bCs/>
                <w:color w:val="FFFFFF"/>
                <w:sz w:val="19"/>
                <w:szCs w:val="19"/>
              </w:rPr>
              <w:t xml:space="preserve">Source in pipeline state</w:t>
            </w:r>
          </w:p>
        </w:tc>
      </w:tr>
      <w:tr>
        <w:tc>
          <w:tcPr>
            <w:tcW w:type="dxa" w:w="3600"/>
            <w:shd w:fill="EEF2FB" w:color="auto" w:val="clear"/>
            <w:tcMar>
              <w:top w:type="dxa" w:w="70"/>
              <w:left w:type="dxa" w:w="110"/>
              <w:bottom w:type="dxa" w:w="70"/>
              <w:right w:type="dxa" w:w="110"/>
            </w:tcMar>
          </w:tcPr>
          <w:p>
            <w:r>
              <w:rPr>
                <w:color w:val="222833"/>
                <w:sz w:val="18"/>
                <w:szCs w:val="18"/>
              </w:rPr>
              <w:t xml:space="preserve">Route / alpha / rationale</w:t>
            </w:r>
          </w:p>
        </w:tc>
        <w:tc>
          <w:tcPr>
            <w:tcW w:type="dxa" w:w="5760"/>
            <w:shd w:fill="EEF2FB" w:color="auto" w:val="clear"/>
            <w:tcMar>
              <w:top w:type="dxa" w:w="70"/>
              <w:left w:type="dxa" w:w="110"/>
              <w:bottom w:type="dxa" w:w="70"/>
              <w:right w:type="dxa" w:w="110"/>
            </w:tcMar>
          </w:tcPr>
          <w:p>
            <w:r>
              <w:rPr>
                <w:color w:val="222833"/>
                <w:sz w:val="18"/>
                <w:szCs w:val="18"/>
              </w:rPr>
              <w:t xml:space="preserve">route, alpha, route_reasoning (router node output)</w:t>
            </w:r>
          </w:p>
        </w:tc>
      </w:tr>
      <w:tr>
        <w:tc>
          <w:tcPr>
            <w:tcW w:type="dxa" w:w="3600"/>
            <w:shd w:fill="FFFFFF" w:color="auto" w:val="clear"/>
            <w:tcMar>
              <w:top w:type="dxa" w:w="70"/>
              <w:left w:type="dxa" w:w="110"/>
              <w:bottom w:type="dxa" w:w="70"/>
              <w:right w:type="dxa" w:w="110"/>
            </w:tcMar>
          </w:tcPr>
          <w:p>
            <w:r>
              <w:rPr>
                <w:color w:val="222833"/>
                <w:sz w:val="18"/>
                <w:szCs w:val="18"/>
              </w:rPr>
              <w:t xml:space="preserve">Dense / BM25 / hybrid / reranked counts</w:t>
            </w:r>
          </w:p>
        </w:tc>
        <w:tc>
          <w:tcPr>
            <w:tcW w:type="dxa" w:w="5760"/>
            <w:shd w:fill="FFFFFF" w:color="auto" w:val="clear"/>
            <w:tcMar>
              <w:top w:type="dxa" w:w="70"/>
              <w:left w:type="dxa" w:w="110"/>
              <w:bottom w:type="dxa" w:w="70"/>
              <w:right w:type="dxa" w:w="110"/>
            </w:tcMar>
          </w:tcPr>
          <w:p>
            <w:r>
              <w:rPr>
                <w:color w:val="222833"/>
                <w:sz w:val="18"/>
                <w:szCs w:val="18"/>
              </w:rPr>
              <w:t xml:space="preserve">length of hybrid_hits after fusion + cross-encoder rerank</w:t>
            </w:r>
          </w:p>
        </w:tc>
      </w:tr>
      <w:tr>
        <w:tc>
          <w:tcPr>
            <w:tcW w:type="dxa" w:w="3600"/>
            <w:shd w:fill="EEF2FB" w:color="auto" w:val="clear"/>
            <w:tcMar>
              <w:top w:type="dxa" w:w="70"/>
              <w:left w:type="dxa" w:w="110"/>
              <w:bottom w:type="dxa" w:w="70"/>
              <w:right w:type="dxa" w:w="110"/>
            </w:tcMar>
          </w:tcPr>
          <w:p>
            <w:r>
              <w:rPr>
                <w:color w:val="222833"/>
                <w:sz w:val="18"/>
                <w:szCs w:val="18"/>
              </w:rPr>
              <w:t xml:space="preserve">Hierarchy boosting</w:t>
            </w:r>
          </w:p>
        </w:tc>
        <w:tc>
          <w:tcPr>
            <w:tcW w:type="dxa" w:w="5760"/>
            <w:shd w:fill="EEF2FB" w:color="auto" w:val="clear"/>
            <w:tcMar>
              <w:top w:type="dxa" w:w="70"/>
              <w:left w:type="dxa" w:w="110"/>
              <w:bottom w:type="dxa" w:w="70"/>
              <w:right w:type="dxa" w:w="110"/>
            </w:tcMar>
          </w:tcPr>
          <w:p>
            <w:r>
              <w:rPr>
                <w:color w:val="222833"/>
                <w:sz w:val="18"/>
                <w:szCs w:val="18"/>
              </w:rPr>
              <w:t xml:space="preserve">hybrid_search applies hierarchy-aware boosting on every query</w:t>
            </w:r>
          </w:p>
        </w:tc>
      </w:tr>
      <w:tr>
        <w:tc>
          <w:tcPr>
            <w:tcW w:type="dxa" w:w="3600"/>
            <w:shd w:fill="FFFFFF" w:color="auto" w:val="clear"/>
            <w:tcMar>
              <w:top w:type="dxa" w:w="70"/>
              <w:left w:type="dxa" w:w="110"/>
              <w:bottom w:type="dxa" w:w="70"/>
              <w:right w:type="dxa" w:w="110"/>
            </w:tcMar>
          </w:tcPr>
          <w:p>
            <w:r>
              <w:rPr>
                <w:color w:val="222833"/>
                <w:sz w:val="18"/>
                <w:szCs w:val="18"/>
              </w:rPr>
              <w:t xml:space="preserve">Evidence sufficient</w:t>
            </w:r>
          </w:p>
        </w:tc>
        <w:tc>
          <w:tcPr>
            <w:tcW w:type="dxa" w:w="5760"/>
            <w:shd w:fill="FFFFFF" w:color="auto" w:val="clear"/>
            <w:tcMar>
              <w:top w:type="dxa" w:w="70"/>
              <w:left w:type="dxa" w:w="110"/>
              <w:bottom w:type="dxa" w:w="70"/>
              <w:right w:type="dxa" w:w="110"/>
            </w:tcMar>
          </w:tcPr>
          <w:p>
            <w:r>
              <w:rPr>
                <w:color w:val="222833"/>
                <w:sz w:val="18"/>
                <w:szCs w:val="18"/>
              </w:rPr>
              <w:t xml:space="preserve">evidence_verdict.sufficient (auditor node)</w:t>
            </w:r>
          </w:p>
        </w:tc>
      </w:tr>
      <w:tr>
        <w:tc>
          <w:tcPr>
            <w:tcW w:type="dxa" w:w="3600"/>
            <w:shd w:fill="EEF2FB" w:color="auto" w:val="clear"/>
            <w:tcMar>
              <w:top w:type="dxa" w:w="70"/>
              <w:left w:type="dxa" w:w="110"/>
              <w:bottom w:type="dxa" w:w="70"/>
              <w:right w:type="dxa" w:w="110"/>
            </w:tcMar>
          </w:tcPr>
          <w:p>
            <w:r>
              <w:rPr>
                <w:color w:val="222833"/>
                <w:sz w:val="18"/>
                <w:szCs w:val="18"/>
              </w:rPr>
              <w:t xml:space="preserve">Confidence</w:t>
            </w:r>
          </w:p>
        </w:tc>
        <w:tc>
          <w:tcPr>
            <w:tcW w:type="dxa" w:w="5760"/>
            <w:shd w:fill="EEF2FB" w:color="auto" w:val="clear"/>
            <w:tcMar>
              <w:top w:type="dxa" w:w="70"/>
              <w:left w:type="dxa" w:w="110"/>
              <w:bottom w:type="dxa" w:w="70"/>
              <w:right w:type="dxa" w:w="110"/>
            </w:tcMar>
          </w:tcPr>
          <w:p>
            <w:r>
              <w:rPr>
                <w:color w:val="222833"/>
                <w:sz w:val="18"/>
                <w:szCs w:val="18"/>
              </w:rPr>
              <w:t xml:space="preserve">draft_confidence (High/Medium/Low) mapped to a 0–1 scale</w:t>
            </w:r>
          </w:p>
        </w:tc>
      </w:tr>
    </w:tbl>
    <w:p>
      <w:pPr>
        <w:pStyle w:val="Heading1"/>
        <w:spacing w:after="120" w:before="260"/>
      </w:pPr>
      <w:r>
        <w:rPr>
          <w:b/>
          <w:bCs/>
          <w:color w:val="1F3A5F"/>
          <w:sz w:val="30"/>
          <w:szCs w:val="30"/>
        </w:rPr>
        <w:t xml:space="preserve">9. Deployment</w:t>
      </w:r>
    </w:p>
    <w:p>
      <w:pPr>
        <w:spacing w:after="110" w:line="276"/>
      </w:pPr>
      <w:r>
        <w:rPr>
          <w:b/>
          <w:bCs/>
          <w:color w:val="222833"/>
          <w:sz w:val="21"/>
          <w:szCs w:val="21"/>
        </w:rPr>
        <w:t xml:space="preserve">Install the new files</w:t>
      </w:r>
      <w:r>
        <w:rPr>
          <w:color w:val="222833"/>
          <w:sz w:val="21"/>
          <w:szCs w:val="21"/>
        </w:rPr>
        <w:t xml:space="preserve"> into the matching package paths, then start the API as before:</w:t>
      </w:r>
    </w:p>
    <w:tbl>
      <w:tblPr>
        <w:tblW w:type="pct" w:w="100%"/>
        <w:tblBorders>
          <w:top w:val="single" w:color="E1E6F0" w:sz="6"/>
          <w:left w:val="single" w:color="E1E6F0" w:sz="6"/>
          <w:bottom w:val="single" w:color="E1E6F0" w:sz="6"/>
          <w:right w:val="single" w:color="E1E6F0" w:sz="6"/>
          <w:insideH w:val="single" w:color="E1E6F0" w:sz="6"/>
          <w:insideV w:val="single" w:color="E1E6F0" w:sz="6"/>
        </w:tblBorders>
      </w:tblPr>
      <w:tblGrid>
        <w:gridCol w:w="9360"/>
      </w:tblGrid>
      <w:tr>
        <w:tc>
          <w:tcPr>
            <w:tcW w:type="dxa" w:w="9360"/>
            <w:shd w:fill="F2F4F9" w:color="auto" w:val="clear"/>
            <w:tcMar>
              <w:top w:type="dxa" w:w="120"/>
              <w:left w:type="dxa" w:w="160"/>
              <w:bottom w:type="dxa" w:w="120"/>
              <w:right w:type="dxa" w:w="160"/>
            </w:tcMar>
          </w:tcPr>
          <w:p>
            <w:pPr>
              <w:spacing w:after="20"/>
            </w:pPr>
            <w:r>
              <w:rPr>
                <w:rFonts w:ascii="Consolas" w:cs="Consolas" w:eastAsia="Consolas" w:hAnsi="Consolas"/>
                <w:color w:val="1B2B4A"/>
                <w:sz w:val="18"/>
                <w:szCs w:val="18"/>
              </w:rPr>
              <w:t xml:space="preserve"># from the project root</w:t>
            </w:r>
          </w:p>
          <w:p>
            <w:pPr>
              <w:spacing w:after="20"/>
            </w:pPr>
            <w:r>
              <w:rPr>
                <w:rFonts w:ascii="Consolas" w:cs="Consolas" w:eastAsia="Consolas" w:hAnsi="Consolas"/>
                <w:color w:val="1B2B4A"/>
                <w:sz w:val="18"/>
                <w:szCs w:val="18"/>
              </w:rPr>
              <w:t xml:space="preserve">uvicorn legal_graphrag.api.main:app --reload --app-dir src</w:t>
            </w:r>
          </w:p>
          <w:p>
            <w:pPr>
              <w:spacing w:after="20"/>
            </w:pPr>
            <w:r>
              <w:rPr>
                <w:rFonts w:ascii="Consolas" w:cs="Consolas" w:eastAsia="Consolas" w:hAnsi="Consolas"/>
                <w:color w:val="1B2B4A"/>
                <w:sz w:val="18"/>
                <w:szCs w:val="18"/>
              </w:rPr>
              <w:t xml:space="preserve"> </w:t>
            </w:r>
          </w:p>
          <w:p>
            <w:pPr>
              <w:spacing w:after="20"/>
            </w:pPr>
            <w:r>
              <w:rPr>
                <w:rFonts w:ascii="Consolas" w:cs="Consolas" w:eastAsia="Consolas" w:hAnsi="Consolas"/>
                <w:color w:val="1B2B4A"/>
                <w:sz w:val="18"/>
                <w:szCs w:val="18"/>
              </w:rPr>
              <w:t xml:space="preserve"># then open the console:</w:t>
            </w:r>
          </w:p>
          <w:p>
            <w:pPr>
              <w:spacing w:after="20"/>
            </w:pPr>
            <w:r>
              <w:rPr>
                <w:rFonts w:ascii="Consolas" w:cs="Consolas" w:eastAsia="Consolas" w:hAnsi="Consolas"/>
                <w:color w:val="1B2B4A"/>
                <w:sz w:val="18"/>
                <w:szCs w:val="18"/>
              </w:rPr>
              <w:t xml:space="preserve">http://127.0.0.1:8000/</w:t>
            </w:r>
          </w:p>
        </w:tc>
      </w:tr>
    </w:tbl>
    <w:p>
      <w:pPr>
        <w:spacing w:after="110" w:line="276"/>
      </w:pPr>
      <w:r>
        <w:rPr>
          <w:color w:val="222833"/>
          <w:sz w:val="21"/>
          <w:szCs w:val="21"/>
        </w:rPr>
        <w:t xml:space="preserve">The API serves </w:t>
      </w:r>
      <w:r>
        <w:rPr>
          <w:rFonts w:ascii="Consolas" w:cs="Consolas" w:eastAsia="Consolas" w:hAnsi="Consolas"/>
          <w:color w:val="1B2B4A"/>
          <w:sz w:val="19"/>
          <w:szCs w:val="19"/>
        </w:rPr>
        <w:t xml:space="preserve">frontend/index.html</w:t>
      </w:r>
      <w:r>
        <w:rPr>
          <w:color w:val="222833"/>
          <w:sz w:val="21"/>
          <w:szCs w:val="21"/>
        </w:rPr>
        <w:t xml:space="preserve"> at </w:t>
      </w:r>
      <w:r>
        <w:rPr>
          <w:rFonts w:ascii="Consolas" w:cs="Consolas" w:eastAsia="Consolas" w:hAnsi="Consolas"/>
          <w:color w:val="1B2B4A"/>
          <w:sz w:val="19"/>
          <w:szCs w:val="19"/>
        </w:rPr>
        <w:t xml:space="preserve">/</w:t>
      </w:r>
      <w:r>
        <w:rPr>
          <w:color w:val="222833"/>
          <w:sz w:val="21"/>
          <w:szCs w:val="21"/>
        </w:rPr>
        <w:t xml:space="preserve"> via the existing StaticFiles mount, so the front end needs no separate server. Requirements: the base pipeline stack (Chroma, Neo4j, model resources) plus the evaluation extras and </w:t>
      </w:r>
      <w:r>
        <w:rPr>
          <w:rFonts w:ascii="Consolas" w:cs="Consolas" w:eastAsia="Consolas" w:hAnsi="Consolas"/>
          <w:color w:val="1B2B4A"/>
          <w:sz w:val="19"/>
          <w:szCs w:val="19"/>
        </w:rPr>
        <w:t xml:space="preserve">HF_TOKEN</w:t>
      </w:r>
      <w:r>
        <w:rPr>
          <w:color w:val="222833"/>
          <w:sz w:val="21"/>
          <w:szCs w:val="21"/>
        </w:rPr>
        <w:t xml:space="preserve"> for RAGAS scoring.</w:t>
      </w:r>
    </w:p>
    <w:p>
      <w:pPr>
        <w:pStyle w:val="Heading1"/>
        <w:spacing w:after="120" w:before="260"/>
      </w:pPr>
      <w:r>
        <w:rPr>
          <w:b/>
          <w:bCs/>
          <w:color w:val="1F3A5F"/>
          <w:sz w:val="30"/>
          <w:szCs w:val="30"/>
        </w:rPr>
        <w:t xml:space="preserve">10. Limitations &amp; Next Steps</w:t>
      </w:r>
    </w:p>
    <w:p>
      <w:pPr>
        <w:pStyle w:val="ListParagraph"/>
        <w:numPr>
          <w:ilvl w:val="0"/>
          <w:numId w:val="1"/>
        </w:numPr>
        <w:spacing w:after="70" w:line="270"/>
      </w:pPr>
      <w:r>
        <w:rPr>
          <w:b/>
          <w:bCs/>
          <w:color w:val="222833"/>
          <w:sz w:val="21"/>
          <w:szCs w:val="21"/>
        </w:rPr>
        <w:t xml:space="preserve">In-memory job registries. </w:t>
      </w:r>
      <w:r>
        <w:rPr>
          <w:color w:val="222833"/>
          <w:sz w:val="21"/>
          <w:szCs w:val="21"/>
        </w:rPr>
        <w:t xml:space="preserve">Metric jobs and query threads reset on process restart (same behaviour as the pipeline's own MemorySaver). A shared store (Redis/DB) would be needed for horizontal scaling.</w:t>
      </w:r>
    </w:p>
    <w:p>
      <w:pPr>
        <w:pStyle w:val="ListParagraph"/>
        <w:numPr>
          <w:ilvl w:val="0"/>
          <w:numId w:val="1"/>
        </w:numPr>
        <w:spacing w:after="70" w:line="270"/>
      </w:pPr>
      <w:r>
        <w:rPr>
          <w:b/>
          <w:bCs/>
          <w:color w:val="222833"/>
          <w:sz w:val="21"/>
          <w:szCs w:val="21"/>
        </w:rPr>
        <w:t xml:space="preserve">First-pick latency. </w:t>
      </w:r>
      <w:r>
        <w:rPr>
          <w:color w:val="222833"/>
          <w:sz w:val="21"/>
          <w:szCs w:val="21"/>
        </w:rPr>
        <w:t xml:space="preserve">The first question on a never-seen contract pays a one-time embedding cost; subsequent questions are fast.</w:t>
      </w:r>
    </w:p>
    <w:p>
      <w:pPr>
        <w:pStyle w:val="ListParagraph"/>
        <w:numPr>
          <w:ilvl w:val="0"/>
          <w:numId w:val="1"/>
        </w:numPr>
        <w:spacing w:after="70" w:line="270"/>
      </w:pPr>
      <w:r>
        <w:rPr>
          <w:b/>
          <w:bCs/>
          <w:color w:val="222833"/>
          <w:sz w:val="21"/>
          <w:szCs w:val="21"/>
        </w:rPr>
        <w:t xml:space="preserve">Metric availability. </w:t>
      </w:r>
      <w:r>
        <w:rPr>
          <w:color w:val="222833"/>
          <w:sz w:val="21"/>
          <w:szCs w:val="21"/>
        </w:rPr>
        <w:t xml:space="preserve">Metrics depend on the RAGAS extras and HF token; without them the answer path is unaffected but scores are unavailable.</w:t>
      </w:r>
    </w:p>
    <w:p>
      <w:pPr>
        <w:pStyle w:val="ListParagraph"/>
        <w:numPr>
          <w:ilvl w:val="0"/>
          <w:numId w:val="1"/>
        </w:numPr>
        <w:spacing w:after="70" w:line="270"/>
      </w:pPr>
      <w:r>
        <w:rPr>
          <w:b/>
          <w:bCs/>
          <w:color w:val="222833"/>
          <w:sz w:val="21"/>
          <w:szCs w:val="21"/>
        </w:rPr>
        <w:t xml:space="preserve">Single-answer scoring. </w:t>
      </w:r>
      <w:r>
        <w:rPr>
          <w:color w:val="222833"/>
          <w:sz w:val="21"/>
          <w:szCs w:val="21"/>
        </w:rPr>
        <w:t xml:space="preserve">Metrics reflect the first draft (checkpoints auto-approved in CUAD mode). A future toggle could score post-revision answers.</w:t>
      </w:r>
    </w:p>
    <w:p>
      <w:pPr>
        <w:pBdr>
          <w:top w:val="single" w:color="C9D3E6" w:sz="4"/>
        </w:pBdr>
        <w:spacing w:before="260"/>
      </w:pPr>
      <w:r>
        <w:rPr>
          <w:i/>
          <w:iCs/>
          <w:color w:val="55627A"/>
          <w:sz w:val="19"/>
          <w:szCs w:val="19"/>
        </w:rPr>
        <w:t xml:space="preserve">End of document.</w:t>
      </w:r>
    </w:p>
    <w:sectPr>
      <w:headerReference w:type="default" r:id="rId7"/>
      <w:footerReference w:type="default" r:id="rId8"/>
      <w:pgSz w:w="12240" w:h="15840"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Page </w:t>
    </w:r>
    <w:r>
      <w:rPr>
        <w:color w:val="55627A"/>
        <w:sz w:val="16"/>
        <w:szCs w:val="16"/>
      </w:rPr>
      <w:fldChar w:fldCharType="begin"/>
      <w:instrText xml:space="preserve">PAGE</w:instrText>
      <w:fldChar w:fldCharType="separate"/>
      <w:fldChar w:fldCharType="end"/>
    </w:r>
    <w:r>
      <w:rPr>
        <w:color w:val="55627A"/>
        <w:sz w:val="16"/>
        <w:szCs w:val="16"/>
      </w:rPr>
      <w:t xml:space="preserve"> of </w:t>
    </w:r>
    <w:r>
      <w:rPr>
        <w:color w:val="5562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6" w:sz="4"/>
      </w:pBdr>
      <w:tabs>
        <w:tab w:val="right" w:pos="9026"/>
      </w:tabs>
    </w:pPr>
    <w:r>
      <w:rPr>
        <w:color w:val="55627A"/>
        <w:sz w:val="16"/>
        <w:szCs w:val="16"/>
      </w:rPr>
      <w:t xml:space="preserve">Legal GraphRAG · CUAD Evaluation Console</w:t>
    </w:r>
    <w:r>
      <w:rPr>
        <w:color w:val="55627A"/>
        <w:sz w:val="16"/>
        <w:szCs w:val="16"/>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GraphRAG — CUAD Evaluation Console: Technical Documentation</dc:title>
  <dc:creator>Legal GraphRAG Team</dc:creator>
  <cp:lastModifiedBy>Un-named</cp:lastModifiedBy>
  <cp:revision>1</cp:revision>
  <dcterms:created xsi:type="dcterms:W3CDTF">2026-08-13T03:03:04.906Z</dcterms:created>
  <dcterms:modified xsi:type="dcterms:W3CDTF">2026-08-13T03:03:04.906Z</dcterms:modified>
</cp:coreProperties>
</file>

<file path=docProps/custom.xml><?xml version="1.0" encoding="utf-8"?>
<Properties xmlns="http://schemas.openxmlformats.org/officeDocument/2006/custom-properties" xmlns:vt="http://schemas.openxmlformats.org/officeDocument/2006/docPropsVTypes"/>
</file>