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6.png" ContentType="image/png"/>
  <Override PartName="/word/media/rId79.png" ContentType="image/png"/>
  <Override PartName="/word/media/rId26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ЭВМ</w:t>
      </w:r>
    </w:p>
    <w:p>
      <w:pPr>
        <w:pStyle w:val="Author"/>
      </w:pPr>
      <w:r>
        <w:t xml:space="preserve">Альманасра</w:t>
      </w:r>
      <w:r>
        <w:t xml:space="preserve"> </w:t>
      </w:r>
      <w:r>
        <w:t xml:space="preserve">Рами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Реализация подпрограмм в NASM</w:t>
      </w:r>
    </w:p>
    <w:p>
      <w:pPr>
        <w:numPr>
          <w:ilvl w:val="0"/>
          <w:numId w:val="1001"/>
        </w:numPr>
        <w:pStyle w:val="Compact"/>
      </w:pPr>
      <w:r>
        <w:t xml:space="preserve">Отладка программ с использованием GDB</w:t>
      </w:r>
    </w:p>
    <w:p>
      <w:pPr>
        <w:numPr>
          <w:ilvl w:val="0"/>
          <w:numId w:val="1001"/>
        </w:numPr>
        <w:pStyle w:val="Compact"/>
      </w:pPr>
      <w:r>
        <w:t xml:space="preserve">Самостоятельное выполнение заданий по материалам лабораторной работы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Отладка — это процесс поиска и исправления ошибок в программе. В общем случае его можно разделить на четыре этапа:</w:t>
      </w:r>
      <w:r>
        <w:t xml:space="preserve"> </w:t>
      </w:r>
      <w:r>
        <w:t xml:space="preserve">- обнаружение ошибки;</w:t>
      </w:r>
      <w:r>
        <w:t xml:space="preserve"> </w:t>
      </w:r>
      <w:r>
        <w:t xml:space="preserve">- поиск её местонахождения;</w:t>
      </w:r>
      <w:r>
        <w:t xml:space="preserve"> </w:t>
      </w:r>
      <w:r>
        <w:t xml:space="preserve">- определение причины ошибки;</w:t>
      </w:r>
      <w:r>
        <w:t xml:space="preserve"> </w:t>
      </w:r>
      <w:r>
        <w:t xml:space="preserve">- исправление ошибки.</w:t>
      </w:r>
    </w:p>
    <w:p>
      <w:pPr>
        <w:pStyle w:val="BodyText"/>
      </w:pPr>
      <w:r>
        <w:t xml:space="preserve">Можно выделить следующие типы ошибок:</w:t>
      </w:r>
    </w:p>
    <w:p>
      <w:pPr>
        <w:pStyle w:val="BodyText"/>
      </w:pPr>
      <w:r>
        <w:t xml:space="preserve">• синтаксические ошибки — обнаруживаются во время трансляции исходного кода и вызваны нарушением ожидаемой формы или структуры языка;</w:t>
      </w:r>
      <w:r>
        <w:t xml:space="preserve"> </w:t>
      </w:r>
      <w:r>
        <w:t xml:space="preserve">• семантические ошибки — являются логическими и приводят к тому, что программа запускается, отрабатывает, но не даёт желаемого результата;</w:t>
      </w:r>
      <w:r>
        <w:t xml:space="preserve"> </w:t>
      </w:r>
      <w:r>
        <w:t xml:space="preserve">• ошибки в процессе выполнения — не обнаруживаются при трансляции и вызывают прерывание выполнения программы (например, это ошибки, связанные с переполнением или делением на ноль).</w:t>
      </w:r>
    </w:p>
    <w:p>
      <w:pPr>
        <w:pStyle w:val="BodyText"/>
      </w:pPr>
      <w:r>
        <w:t xml:space="preserve">Второй этап — поиск местонахождения ошибки. Некоторые ошибки обнаружить довольно трудно. Лучший способ найти место в программе, где находится ошибка, это разбить программу на части и произвести их отладку отдельно друг от друга.</w:t>
      </w:r>
      <w:r>
        <w:t xml:space="preserve"> </w:t>
      </w:r>
      <w:r>
        <w:t xml:space="preserve">Третий этап — выяснение причины ошибки. После определения местонахождения ошибки обычно проще определить причину неправильной работы программы.</w:t>
      </w:r>
      <w:r>
        <w:t xml:space="preserve"> </w:t>
      </w:r>
      <w:r>
        <w:t xml:space="preserve">Последний этап — исправление ошибки. После этого при повторном запуске программы, может обнаружиться следующая ошибка, и процесс отладки начнётся заново.</w:t>
      </w:r>
    </w:p>
    <w:bookmarkEnd w:id="22"/>
    <w:bookmarkStart w:id="9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75" w:name="реализация-подпрограмм-в-nasm"/>
    <w:p>
      <w:pPr>
        <w:pStyle w:val="Heading2"/>
      </w:pPr>
      <w:r>
        <w:t xml:space="preserve">Реализация подпрограмм в NASM</w:t>
      </w:r>
    </w:p>
    <w:p>
      <w:pPr>
        <w:pStyle w:val="FirstParagraph"/>
      </w:pPr>
      <w:r>
        <w:t xml:space="preserve">Создаю файл lab09-1.asm в каталог для выполнения лабораторной работы № 9 : (Figure 1).</w:t>
      </w:r>
    </w:p>
    <w:p>
      <w:pPr>
        <w:pStyle w:val="CaptionedFigure"/>
      </w:pPr>
      <w:r>
        <w:drawing>
          <wp:inline>
            <wp:extent cx="3733800" cy="506277"/>
            <wp:effectExtent b="0" l="0" r="0" t="0"/>
            <wp:docPr descr="создание файл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p>
      <w:pPr>
        <w:pStyle w:val="BodyText"/>
      </w:pPr>
      <w:r>
        <w:t xml:space="preserve">Я копирую код из листинга в файл, компилирую и запускаю его. Эта программа выполняет вычисление функции 2x+7 (Figure 2).</w:t>
      </w:r>
    </w:p>
    <w:p>
      <w:pPr>
        <w:pStyle w:val="CaptionedFigure"/>
      </w:pPr>
      <w:r>
        <w:drawing>
          <wp:inline>
            <wp:extent cx="3733800" cy="429898"/>
            <wp:effectExtent b="0" l="0" r="0" t="0"/>
            <wp:docPr descr="запкуск программы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9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запкуск программы</w:t>
      </w:r>
    </w:p>
    <w:p>
      <w:pPr>
        <w:pStyle w:val="BodyText"/>
      </w:pPr>
      <w:r>
        <w:t xml:space="preserve">Изменяю текст программы, добавляя в него подпрограмму. Теперь она вычисляет значение функции для выражения f(g(x)) (Figure 3).</w:t>
      </w:r>
    </w:p>
    <w:p>
      <w:pPr>
        <w:pStyle w:val="CaptionedFigure"/>
      </w:pPr>
      <w:r>
        <w:drawing>
          <wp:inline>
            <wp:extent cx="3733800" cy="543317"/>
            <wp:effectExtent b="0" l="0" r="0" t="0"/>
            <wp:docPr descr="замена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программы</w:t>
      </w:r>
    </w:p>
    <w:p>
      <w:pPr>
        <w:pStyle w:val="BodyText"/>
      </w:pPr>
      <w:r>
        <w:t xml:space="preserve">новый код программы: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x: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result: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'2(3x-1)+7='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res: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_calcul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  <w:r>
        <w:br/>
      </w:r>
      <w:r>
        <w:br/>
      </w:r>
      <w:r>
        <w:rPr>
          <w:rStyle w:val="FunctionTok"/>
        </w:rPr>
        <w:t xml:space="preserve">_calcul:</w:t>
      </w:r>
      <w:r>
        <w:br/>
      </w:r>
      <w:r>
        <w:rPr>
          <w:rStyle w:val="Keyword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_subcalcul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ControlFlowTok"/>
        </w:rPr>
        <w:t xml:space="preserve">ret</w:t>
      </w:r>
      <w:r>
        <w:br/>
      </w:r>
      <w:r>
        <w:br/>
      </w:r>
      <w:r>
        <w:rPr>
          <w:rStyle w:val="FunctionTok"/>
        </w:rPr>
        <w:t xml:space="preserve">_subcalcul: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ret</w:t>
      </w:r>
    </w:p>
    <w:bookmarkStart w:id="47" w:name="отладка-программам-с-помощью-gdb"/>
    <w:p>
      <w:pPr>
        <w:pStyle w:val="Heading3"/>
      </w:pPr>
      <w:r>
        <w:t xml:space="preserve">Отладка программам с помощью GDB</w:t>
      </w:r>
    </w:p>
    <w:p>
      <w:pPr>
        <w:pStyle w:val="FirstParagraph"/>
      </w:pPr>
      <w:r>
        <w:t xml:space="preserve">Копирую программу из второго листинга в созданный файл, и провожу трансляцию с ключом -g (Figure 4).</w:t>
      </w:r>
    </w:p>
    <w:p>
      <w:pPr>
        <w:pStyle w:val="CaptionedFigure"/>
      </w:pPr>
      <w:r>
        <w:drawing>
          <wp:inline>
            <wp:extent cx="3733800" cy="1764356"/>
            <wp:effectExtent b="0" l="0" r="0" t="0"/>
            <wp:docPr descr="Запуск программы в GDB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в GDB</w:t>
      </w:r>
    </w:p>
    <w:p>
      <w:pPr>
        <w:pStyle w:val="BodyText"/>
      </w:pPr>
      <w:r>
        <w:t xml:space="preserve">Запустив программу командой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я убедился, что она работает корректно (Figure 5).</w:t>
      </w:r>
    </w:p>
    <w:p>
      <w:pPr>
        <w:pStyle w:val="CaptionedFigure"/>
      </w:pPr>
      <w:r>
        <w:drawing>
          <wp:inline>
            <wp:extent cx="3733800" cy="1948463"/>
            <wp:effectExtent b="0" l="0" r="0" t="0"/>
            <wp:docPr descr="Проверка программы с помощью GDB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программы с помощью GDB</w:t>
      </w:r>
    </w:p>
    <w:p>
      <w:pPr>
        <w:pStyle w:val="BodyText"/>
      </w:pPr>
      <w:r>
        <w:t xml:space="preserve">Для более подробного анализа программы установлю брейкпоинт на метку _start (Figure 6).</w:t>
      </w:r>
    </w:p>
    <w:p>
      <w:pPr>
        <w:pStyle w:val="CaptionedFigure"/>
      </w:pPr>
      <w:r>
        <w:drawing>
          <wp:inline>
            <wp:extent cx="3733800" cy="1948331"/>
            <wp:effectExtent b="0" l="0" r="0" t="0"/>
            <wp:docPr descr="Запуск отладчика с брейкпоинтом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отладчика с брейкпоинтом</w:t>
      </w:r>
    </w:p>
    <w:p>
      <w:pPr>
        <w:pStyle w:val="BodyText"/>
      </w:pPr>
      <w:r>
        <w:t xml:space="preserve">Далее я смотрю на дизассемблированный код программы, переведенный в команду с синтаксисом Intel (Figure 7).</w:t>
      </w:r>
    </w:p>
    <w:p>
      <w:pPr>
        <w:pStyle w:val="BodyText"/>
      </w:pPr>
      <w:r>
        <w:t xml:space="preserve">Различия между синтаксисом ATT и Intel заключаются в порядке следования операндов (ATT: сначала исходный операнд; Intel: сначала целевой операнд), их размере (ATT: явно задается с помощью суффиксов; Intel: неявно определяется контекстом) и именах регистров (ATT: перед</w:t>
      </w:r>
      <w:r>
        <w:t xml:space="preserve"> </w:t>
      </w:r>
      <w:r>
        <w:t xml:space="preserve">‘</w:t>
      </w:r>
      <w:r>
        <w:t xml:space="preserve">%</w:t>
      </w:r>
      <w:r>
        <w:t xml:space="preserve">’</w:t>
      </w:r>
      <w:r>
        <w:t xml:space="preserve">; Intel: без префиксы).</w:t>
      </w:r>
    </w:p>
    <w:p>
      <w:pPr>
        <w:pStyle w:val="CaptionedFigure"/>
      </w:pPr>
      <w:r>
        <w:drawing>
          <wp:inline>
            <wp:extent cx="3733800" cy="2408717"/>
            <wp:effectExtent b="0" l="0" r="0" t="0"/>
            <wp:docPr descr="дисассимилированный код программы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дисассимилированный код программы</w:t>
      </w:r>
    </w:p>
    <w:p>
      <w:pPr>
        <w:pStyle w:val="BodyText"/>
      </w:pPr>
      <w:r>
        <w:t xml:space="preserve">Включаю режим псевдографики для более удобного анализа программы (Figure 8).</w:t>
      </w:r>
    </w:p>
    <w:p>
      <w:pPr>
        <w:pStyle w:val="CaptionedFigure"/>
      </w:pPr>
      <w:r>
        <w:drawing>
          <wp:inline>
            <wp:extent cx="3733800" cy="2530558"/>
            <wp:effectExtent b="0" l="0" r="0" t="0"/>
            <wp:docPr descr="режим псевдографики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псевдографики</w:t>
      </w:r>
    </w:p>
    <w:bookmarkEnd w:id="47"/>
    <w:bookmarkStart w:id="54" w:name="добавление-точек-останова"/>
    <w:p>
      <w:pPr>
        <w:pStyle w:val="Heading3"/>
      </w:pPr>
      <w:r>
        <w:t xml:space="preserve">Добавление точек останова</w:t>
      </w:r>
    </w:p>
    <w:p>
      <w:pPr>
        <w:pStyle w:val="FirstParagraph"/>
      </w:pPr>
      <w:r>
        <w:t xml:space="preserve">Я проверяю в псевдографическом режиме, сохранена ли точка останова (Figure 9).</w:t>
      </w:r>
    </w:p>
    <w:p>
      <w:pPr>
        <w:pStyle w:val="CaptionedFigure"/>
      </w:pPr>
      <w:r>
        <w:drawing>
          <wp:inline>
            <wp:extent cx="3733800" cy="2553791"/>
            <wp:effectExtent b="0" l="0" r="0" t="0"/>
            <wp:docPr descr="Список точек останова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точек останова</w:t>
      </w:r>
    </w:p>
    <w:p>
      <w:pPr>
        <w:pStyle w:val="BodyText"/>
      </w:pPr>
      <w:r>
        <w:t xml:space="preserve">Установлю еще одну точку останова по адресу инструкции и смотрю информацию о всех установленных точках останова (Figure 10).</w:t>
      </w:r>
    </w:p>
    <w:p>
      <w:pPr>
        <w:pStyle w:val="CaptionedFigure"/>
      </w:pPr>
      <w:r>
        <w:drawing>
          <wp:inline>
            <wp:extent cx="3733800" cy="2530462"/>
            <wp:effectExtent b="0" l="0" r="0" t="0"/>
            <wp:docPr descr="вторая точка останов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точка останова</w:t>
      </w:r>
    </w:p>
    <w:bookmarkEnd w:id="54"/>
    <w:bookmarkStart w:id="67" w:name="работа-с-данными-программы-в-gdb"/>
    <w:p>
      <w:pPr>
        <w:pStyle w:val="Heading3"/>
      </w:pPr>
      <w:r>
        <w:t xml:space="preserve">Работа с данными программы в GDB</w:t>
      </w:r>
    </w:p>
    <w:p>
      <w:pPr>
        <w:pStyle w:val="FirstParagraph"/>
      </w:pPr>
      <w:r>
        <w:t xml:space="preserve">Я просматриваю содержимое регистров, используя команду</w:t>
      </w:r>
      <w:r>
        <w:t xml:space="preserve"> </w:t>
      </w:r>
      <w:r>
        <w:rPr>
          <w:rStyle w:val="VerbatimChar"/>
        </w:rPr>
        <w:t xml:space="preserve">info registers</w:t>
      </w:r>
      <w:r>
        <w:t xml:space="preserve"> </w:t>
      </w:r>
      <w:r>
        <w:t xml:space="preserve">(Figure 11).</w:t>
      </w:r>
    </w:p>
    <w:p>
      <w:pPr>
        <w:pStyle w:val="CaptionedFigure"/>
      </w:pPr>
      <w:r>
        <w:drawing>
          <wp:inline>
            <wp:extent cx="3733800" cy="2549701"/>
            <wp:effectExtent b="0" l="0" r="0" t="0"/>
            <wp:docPr descr="содержимое регистров" title="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регистров</w:t>
      </w:r>
    </w:p>
    <w:p>
      <w:pPr>
        <w:pStyle w:val="BodyText"/>
      </w:pPr>
      <w:r>
        <w:t xml:space="preserve">Я просматриваю содержимое переменных по имени и адресу (Figure 12).</w:t>
      </w:r>
    </w:p>
    <w:p>
      <w:pPr>
        <w:pStyle w:val="CaptionedFigure"/>
      </w:pPr>
      <w:r>
        <w:drawing>
          <wp:inline>
            <wp:extent cx="3733800" cy="1564393"/>
            <wp:effectExtent b="0" l="0" r="0" t="0"/>
            <wp:docPr descr="Просмотр содержимого переменных двумя способами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4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переменных двумя способами</w:t>
      </w:r>
    </w:p>
    <w:p>
      <w:pPr>
        <w:pStyle w:val="BodyText"/>
      </w:pPr>
      <w:r>
        <w:t xml:space="preserve">изменяю содержимое переменных(Figure 13).</w:t>
      </w:r>
    </w:p>
    <w:p>
      <w:pPr>
        <w:pStyle w:val="CaptionedFigure"/>
      </w:pPr>
      <w:r>
        <w:drawing>
          <wp:inline>
            <wp:extent cx="3733800" cy="1575016"/>
            <wp:effectExtent b="0" l="0" r="0" t="0"/>
            <wp:docPr descr="Изменение содержимого переменных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содержимого переменных</w:t>
      </w:r>
    </w:p>
    <w:p>
      <w:pPr>
        <w:pStyle w:val="BodyText"/>
      </w:pPr>
      <w:r>
        <w:t xml:space="preserve">Я вывожу значение регистра</w:t>
      </w:r>
      <w:r>
        <w:t xml:space="preserve"> </w:t>
      </w:r>
      <w:r>
        <w:rPr>
          <w:rStyle w:val="VerbatimChar"/>
        </w:rPr>
        <w:t xml:space="preserve">edx</w:t>
      </w:r>
      <w:r>
        <w:t xml:space="preserve"> </w:t>
      </w:r>
      <w:r>
        <w:t xml:space="preserve">в различных форматах и Используя команду</w:t>
      </w:r>
      <w:r>
        <w:t xml:space="preserve"> </w:t>
      </w:r>
      <w:r>
        <w:t xml:space="preserve">“</w:t>
      </w:r>
      <w:r>
        <w:t xml:space="preserve">set</w:t>
      </w:r>
      <w:r>
        <w:t xml:space="preserve">”</w:t>
      </w:r>
      <w:r>
        <w:t xml:space="preserve">, изменяю содержимое регистра</w:t>
      </w:r>
      <w:r>
        <w:t xml:space="preserve"> </w:t>
      </w:r>
      <w:r>
        <w:t xml:space="preserve">“</w:t>
      </w:r>
      <w:r>
        <w:t xml:space="preserve">ebx</w:t>
      </w:r>
      <w:r>
        <w:t xml:space="preserve">”</w:t>
      </w:r>
      <w:r>
        <w:t xml:space="preserve"> </w:t>
      </w:r>
      <w:r>
        <w:t xml:space="preserve">(Figure 14).</w:t>
      </w:r>
    </w:p>
    <w:p>
      <w:pPr>
        <w:pStyle w:val="CaptionedFigure"/>
      </w:pPr>
      <w:r>
        <w:drawing>
          <wp:inline>
            <wp:extent cx="3733800" cy="2546687"/>
            <wp:effectExtent b="0" l="0" r="0" t="0"/>
            <wp:docPr descr="значение регистра в различных представлениях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регистра в различных представлениях</w:t>
      </w:r>
    </w:p>
    <w:bookmarkEnd w:id="67"/>
    <w:bookmarkStart w:id="74" w:name="X34484a9d02dddcc072527afae661c9b27116987"/>
    <w:p>
      <w:pPr>
        <w:pStyle w:val="Heading3"/>
      </w:pPr>
      <w:r>
        <w:t xml:space="preserve">Обработка аргументов командной строки в GDB</w:t>
      </w:r>
    </w:p>
    <w:p>
      <w:pPr>
        <w:pStyle w:val="FirstParagraph"/>
      </w:pPr>
      <w:r>
        <w:t xml:space="preserve">копирую программу из предыдущей лабораторной работы в текущий каталог и создаю исполняемый файл со списком и файлом отладки (Figure 16).</w:t>
      </w:r>
    </w:p>
    <w:p>
      <w:pPr>
        <w:pStyle w:val="CaptionedFigure"/>
      </w:pPr>
      <w:r>
        <w:drawing>
          <wp:inline>
            <wp:extent cx="3733800" cy="1587577"/>
            <wp:effectExtent b="0" l="0" r="0" t="0"/>
            <wp:docPr descr="Подготовка новой программы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7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новой программы</w:t>
      </w:r>
    </w:p>
    <w:p>
      <w:pPr>
        <w:pStyle w:val="BodyText"/>
      </w:pPr>
      <w:r>
        <w:t xml:space="preserve">Я запускаю программу в режиме отладки, задавая аргументы, указываю точку останова и начинаю отладку. Я проверяю работу стека, изменяя аргумент команды для просмотра регистра</w:t>
      </w:r>
      <w:r>
        <w:t xml:space="preserve"> </w:t>
      </w:r>
      <w:r>
        <w:rPr>
          <w:rStyle w:val="VerbatimChar"/>
        </w:rPr>
        <w:t xml:space="preserve">esp</w:t>
      </w:r>
      <w:r>
        <w:t xml:space="preserve"> </w:t>
      </w:r>
      <w:r>
        <w:t xml:space="preserve">на +4 (число определяется разрядностью системы, а указатель void занимает 4 байта); ошибка с аргументом +24 означает, что входные аргументы программы закончились. (Figure 17).</w:t>
      </w:r>
    </w:p>
    <w:p>
      <w:pPr>
        <w:pStyle w:val="CaptionedFigure"/>
      </w:pPr>
      <w:r>
        <w:drawing>
          <wp:inline>
            <wp:extent cx="3733800" cy="3079223"/>
            <wp:effectExtent b="0" l="0" r="0" t="0"/>
            <wp:docPr descr="работа стека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стека</w:t>
      </w:r>
    </w:p>
    <w:bookmarkEnd w:id="74"/>
    <w:bookmarkEnd w:id="75"/>
    <w:bookmarkStart w:id="91" w:name="задание-для-самостоятельной-работы"/>
    <w:p>
      <w:pPr>
        <w:pStyle w:val="Heading2"/>
      </w:pPr>
      <w:r>
        <w:t xml:space="preserve">Задание для самостоятельной работы</w:t>
      </w:r>
    </w:p>
    <w:p>
      <w:pPr>
        <w:numPr>
          <w:ilvl w:val="0"/>
          <w:numId w:val="1002"/>
        </w:numPr>
        <w:pStyle w:val="Compact"/>
      </w:pPr>
      <w:r>
        <w:t xml:space="preserve">изменяю программу самостоятельной части предыдущей лабораторной работы с помощью подпрограммы (Figure 18).</w:t>
      </w:r>
    </w:p>
    <w:p>
      <w:pPr>
        <w:pStyle w:val="CaptionedFigure"/>
      </w:pPr>
      <w:r>
        <w:drawing>
          <wp:inline>
            <wp:extent cx="3733800" cy="3527639"/>
            <wp:effectExtent b="0" l="0" r="0" t="0"/>
            <wp:docPr descr="Измененная программа предыдущей лабораторной работы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7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Измененная программа предыдущей лабораторной работы</w:t>
      </w:r>
    </w:p>
    <w:p>
      <w:pPr>
        <w:pStyle w:val="BodyText"/>
      </w:pPr>
      <w:r>
        <w:t xml:space="preserve">Запускаю программу и проверяю что работает (Figure 19).</w:t>
      </w:r>
    </w:p>
    <w:p>
      <w:pPr>
        <w:pStyle w:val="CaptionedFigure"/>
      </w:pPr>
      <w:r>
        <w:drawing>
          <wp:inline>
            <wp:extent cx="3733800" cy="775324"/>
            <wp:effectExtent b="0" l="0" r="0" t="0"/>
            <wp:docPr descr="запуск программы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5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код программы: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 msg_result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sum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next: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_end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calculate_function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loop</w:t>
      </w:r>
      <w:r>
        <w:rPr>
          <w:rStyle w:val="NormalTok"/>
        </w:rPr>
        <w:t xml:space="preserve"> next</w:t>
      </w:r>
      <w:r>
        <w:br/>
      </w:r>
      <w:r>
        <w:br/>
      </w:r>
      <w:r>
        <w:rPr>
          <w:rStyle w:val="FunctionTok"/>
        </w:rPr>
        <w:t xml:space="preserve">_end: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msg_result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  <w:r>
        <w:br/>
      </w:r>
      <w:r>
        <w:br/>
      </w:r>
      <w:r>
        <w:rPr>
          <w:rStyle w:val="FunctionTok"/>
        </w:rPr>
        <w:t xml:space="preserve">calculate_function: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</w:t>
      </w:r>
    </w:p>
    <w:p>
      <w:pPr>
        <w:numPr>
          <w:ilvl w:val="0"/>
          <w:numId w:val="1003"/>
        </w:numPr>
        <w:pStyle w:val="Compact"/>
      </w:pPr>
      <w:r>
        <w:t xml:space="preserve">Проверяю программу,С помощью отладчика GDB, анализируя изменения значений регистров. (Figure 20).</w:t>
      </w:r>
      <w:r>
        <w:t xml:space="preserve"> </w:t>
      </w:r>
      <w:r>
        <w:t xml:space="preserve">Результат (3 + 2) сохраняется в ebx, но mul использует eax вместо ebx. Из-за этого результат неверный.</w:t>
      </w:r>
    </w:p>
    <w:p>
      <w:pPr>
        <w:pStyle w:val="CaptionedFigure"/>
      </w:pPr>
      <w:r>
        <w:drawing>
          <wp:inline>
            <wp:extent cx="3733800" cy="2302217"/>
            <wp:effectExtent b="0" l="0" r="0" t="0"/>
            <wp:docPr descr="проверка программы в GDB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2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программы в GDB</w:t>
      </w:r>
    </w:p>
    <w:p>
      <w:pPr>
        <w:pStyle w:val="BodyText"/>
      </w:pPr>
      <w:r>
        <w:t xml:space="preserve">исправляю код программы (Figure 21).</w:t>
      </w:r>
    </w:p>
    <w:p>
      <w:pPr>
        <w:pStyle w:val="CaptionedFigure"/>
      </w:pPr>
      <w:r>
        <w:drawing>
          <wp:inline>
            <wp:extent cx="3733800" cy="3516185"/>
            <wp:effectExtent b="0" l="0" r="0" t="0"/>
            <wp:docPr descr="новый код программы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6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код программы</w:t>
      </w:r>
    </w:p>
    <w:p>
      <w:pPr>
        <w:pStyle w:val="BodyText"/>
      </w:pPr>
      <w:r>
        <w:t xml:space="preserve">Теперь программа дает правильный результат (Figure 22).</w:t>
      </w:r>
    </w:p>
    <w:p>
      <w:pPr>
        <w:pStyle w:val="CaptionedFigure"/>
      </w:pPr>
      <w:r>
        <w:drawing>
          <wp:inline>
            <wp:extent cx="3733800" cy="425554"/>
            <wp:effectExtent b="0" l="0" r="0" t="0"/>
            <wp:docPr descr="запуск программы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исправленный код: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br/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div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edi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End w:id="91"/>
    <w:bookmarkEnd w:id="92"/>
    <w:bookmarkStart w:id="9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этой лабораторной работы я приобрел навыки написания программ с использованием подпрограмм, а также познакомился с методами отладки с использованием GDB и его основными возможностями.</w:t>
      </w:r>
    </w:p>
    <w:bookmarkEnd w:id="93"/>
    <w:bookmarkStart w:id="9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4"/>
        </w:numPr>
        <w:pStyle w:val="Compact"/>
      </w:pPr>
      <w:hyperlink r:id="rId94">
        <w:r>
          <w:rPr>
            <w:rStyle w:val="Hyperlink"/>
          </w:rPr>
          <w:t xml:space="preserve">Course on TUIS</w:t>
        </w:r>
      </w:hyperlink>
    </w:p>
    <w:p>
      <w:pPr>
        <w:numPr>
          <w:ilvl w:val="0"/>
          <w:numId w:val="1004"/>
        </w:numPr>
        <w:pStyle w:val="Compact"/>
      </w:pPr>
      <w:hyperlink r:id="rId95">
        <w:r>
          <w:rPr>
            <w:rStyle w:val="Hyperlink"/>
          </w:rPr>
          <w:t xml:space="preserve">Laboratory work No. 9</w:t>
        </w:r>
      </w:hyperlink>
    </w:p>
    <w:p>
      <w:pPr>
        <w:numPr>
          <w:ilvl w:val="0"/>
          <w:numId w:val="1004"/>
        </w:numPr>
        <w:pStyle w:val="Compact"/>
      </w:pPr>
      <w:hyperlink r:id="rId96">
        <w:r>
          <w:rPr>
            <w:rStyle w:val="Hyperlink"/>
          </w:rPr>
          <w:t xml:space="preserve">Programming in NASM Assembly Language Stolyarov A. V.</w:t>
        </w:r>
      </w:hyperlink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en-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6" Target="media/rId26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hyperlink" Id="rId94" Target="https://esystem.rudn.ru/course/view.php?id=112" TargetMode="External" /><Relationship Type="http://schemas.openxmlformats.org/officeDocument/2006/relationships/hyperlink" Id="rId96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Relationship Type="http://schemas.openxmlformats.org/officeDocument/2006/relationships/hyperlink" Id="rId95" Target="https://esystem.rudn.ru/pluginfile.php/2089096/mod_resource/content/0/%D0%9B%D0%B0%D0%B1%D0%BE%D1%80%D0%B0%D1%82%D0%BE%D1%80%D0%BD%D0%B0%D1%8F%20%D1%80%D0%B0%D0%B1%D0%BE%D1%82%D0%B0%20%E2%84%969.%20%D0%9F%D0%BE%D0%BD%D1%8F%D1%82%D0%B8%D0%B5%20%D0%BF%D0%BE%D0%B4%D0%BF%D1%80%D0%BE%D0%B3%D1%80%D0%B0%D0%BC%D0%BC%D1%8B.%20%D0%9E%D1%82%D0%BB%D0%B0%D0%B4%D1%87%D0%B8%D0%BA%20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4" Target="https://esystem.rudn.ru/course/view.php?id=112" TargetMode="External" /><Relationship Type="http://schemas.openxmlformats.org/officeDocument/2006/relationships/hyperlink" Id="rId96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Relationship Type="http://schemas.openxmlformats.org/officeDocument/2006/relationships/hyperlink" Id="rId95" Target="https://esystem.rudn.ru/pluginfile.php/2089096/mod_resource/content/0/%D0%9B%D0%B0%D0%B1%D0%BE%D1%80%D0%B0%D1%82%D0%BE%D1%80%D0%BD%D0%B0%D1%8F%20%D1%80%D0%B0%D0%B1%D0%BE%D1%82%D0%B0%20%E2%84%969.%20%D0%9F%D0%BE%D0%BD%D1%8F%D1%82%D0%B8%D0%B5%20%D0%BF%D0%BE%D0%B4%D0%BF%D1%80%D0%BE%D0%B3%D1%80%D0%B0%D0%BC%D0%BC%D1%8B.%20%D0%9E%D1%82%D0%BB%D0%B0%D0%B4%D1%87%D0%B8%D0%BA%20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Альманасра Рами</dc:creator>
  <dc:language>ren-EN</dc:language>
  <cp:keywords/>
  <dcterms:created xsi:type="dcterms:W3CDTF">2025-01-31T22:29:47Z</dcterms:created>
  <dcterms:modified xsi:type="dcterms:W3CDTF">2025-01-31T22:29:47Z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Fig.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Listing</vt:lpwstr>
  </property>
  <property fmtid="{D5CDD505-2E9C-101B-9397-08002B2CF9AE}" pid="16" name="lof">
    <vt:lpwstr>True</vt:lpwstr>
  </property>
  <property fmtid="{D5CDD505-2E9C-101B-9397-08002B2CF9AE}" pid="17" name="lofTitle">
    <vt:lpwstr>List of illustrations</vt:lpwstr>
  </property>
  <property fmtid="{D5CDD505-2E9C-101B-9397-08002B2CF9AE}" pid="18" name="lolTitle">
    <vt:lpwstr>Listings</vt:lpwstr>
  </property>
  <property fmtid="{D5CDD505-2E9C-101B-9397-08002B2CF9AE}" pid="19" name="lot">
    <vt:lpwstr>True</vt:lpwstr>
  </property>
  <property fmtid="{D5CDD505-2E9C-101B-9397-08002B2CF9AE}" pid="20" name="lotTitle">
    <vt:lpwstr>List of Tables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ЭВМ</vt:lpwstr>
  </property>
  <property fmtid="{D5CDD505-2E9C-101B-9397-08002B2CF9AE}" pid="35" name="tableTitle">
    <vt:lpwstr>Table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Content</vt:lpwstr>
  </property>
</Properties>
</file>