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1.png" ContentType="image/png"/>
  <Override PartName="/word/media/rId74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Символьные и числовые данные в NASM</w:t>
      </w:r>
    </w:p>
    <w:p>
      <w:pPr>
        <w:numPr>
          <w:ilvl w:val="0"/>
          <w:numId w:val="1001"/>
        </w:numPr>
        <w:pStyle w:val="Compact"/>
      </w:pPr>
      <w:r>
        <w:t xml:space="preserve">Выполнение арифметических операций в NASM</w:t>
      </w:r>
    </w:p>
    <w:p>
      <w:pPr>
        <w:numPr>
          <w:ilvl w:val="0"/>
          <w:numId w:val="1001"/>
        </w:numPr>
        <w:pStyle w:val="Compact"/>
      </w:pPr>
      <w:r>
        <w:t xml:space="preserve">Выполнение заданий для самостоятельной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Большинство инструкций на языке ассемблера требуют обработки операндов.</w:t>
      </w:r>
      <w:r>
        <w:t xml:space="preserve"> </w:t>
      </w:r>
      <w:r>
        <w:t xml:space="preserve">Адрес операнда указывает местоположение, в котором хранятся обрабатываемые данные. Это могут быть данные, хранящиеся в регистре или в ячейке памяти. -</w:t>
      </w:r>
      <w:r>
        <w:t xml:space="preserve"> </w:t>
      </w:r>
      <w:r>
        <w:t xml:space="preserve">Регистровая адресация - операнды хранятся в регистрах, и имена этих регистров используются в команде, например: mov ax, bx. - Прямая адресация</w:t>
      </w:r>
      <w:r>
        <w:t xml:space="preserve"> </w:t>
      </w:r>
      <w:r>
        <w:t xml:space="preserve">- значение операнда указывается непосредственно в команде, например: mov ax, 2.</w:t>
      </w:r>
      <w:r>
        <w:t xml:space="preserve"> </w:t>
      </w:r>
      <w:r>
        <w:t xml:space="preserve">- Адресация в памяти - операнд задает адрес в памяти. Команда задает</w:t>
      </w:r>
      <w:r>
        <w:t xml:space="preserve"> </w:t>
      </w:r>
      <w:r>
        <w:t xml:space="preserve">символьное обозначение ячейки памяти, с содержимым которой необходимо выполнить операцию.</w:t>
      </w:r>
      <w:r>
        <w:t xml:space="preserve"> </w:t>
      </w:r>
      <w:r>
        <w:t xml:space="preserve">Информация вводится с клавиатуры и отображается на экране в символьном виде. Эта информация кодируется в соответствии с таблицей кодов символов ASCII. ASCII - это сокращение от американского стандартного кода информации</w:t>
      </w:r>
      <w:r>
        <w:t xml:space="preserve"> </w:t>
      </w:r>
      <w:r>
        <w:t xml:space="preserve">Обмен. Согласно стандарту ASCII, каждый символ кодируется одним байтом. В NASM нет инструкции, которая выводила бы числа (не в символьной форме). Поэтому, например, чтобы вывести число, вы должны сначала преобразовать его цифры в ASCII-коды этих цифр и вывести эти коды на экран, а не само число. Если вы выведете число непосредственно на экран, экран воспримет его не как число, а как последовательность символов ASCII - каждый байт числа будет восприниматься как один символ ASCII - и выведет эти символы на экран. Аналогичная ситуация возникает при вводе данных с клавиатуры. Введенные данные будут представлять собой символы, что сделает невозможным получение корректного результата при выполнении над ними арифметических действий. Для решения этой проблемы необходимо преобразовать символы ASCII в цифры и наоборот.</w:t>
      </w:r>
    </w:p>
    <w:bookmarkEnd w:id="22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0" w:name="символьные-и-численные-данные-в-nasm"/>
    <w:p>
      <w:pPr>
        <w:pStyle w:val="Heading2"/>
      </w:pPr>
      <w:r>
        <w:t xml:space="preserve">Символьные и численные данные в NASM</w:t>
      </w:r>
    </w:p>
    <w:p>
      <w:pPr>
        <w:pStyle w:val="FirstParagraph"/>
      </w:pPr>
      <w:r>
        <w:t xml:space="preserve">Создаю каталог для программам лабораторной работы № 6, перехожу в него и</w:t>
      </w:r>
      <w:r>
        <w:t xml:space="preserve"> </w:t>
      </w:r>
      <w:r>
        <w:t xml:space="preserve">создаю файл lab6-1.asm: (рис. -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733267"/>
            <wp:effectExtent b="0" l="0" r="0" t="0"/>
            <wp:docPr descr="перехожу в каталог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перехожу в каталог</w:t>
      </w:r>
    </w:p>
    <w:p>
      <w:pPr>
        <w:pStyle w:val="BodyText"/>
      </w:pPr>
      <w:r>
        <w:t xml:space="preserve">В созданном файле я ввожу программу из листинга (рис. -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3114271"/>
            <wp:effectExtent b="0" l="0" r="0" t="0"/>
            <wp:docPr descr="Программа вывода значения регистра eax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вывода значения регистра eax</w:t>
      </w:r>
    </w:p>
    <w:p>
      <w:pPr>
        <w:pStyle w:val="BodyText"/>
      </w:pPr>
      <w:r>
        <w:t xml:space="preserve">Я создаю исполняемый файл и запускаю его, вывод программы отличается от того, что ожидалось изначально, потому что коды символов вместе дают символ j в соответствии с таблицей ASCII. {#fig:003 width=70%}</w:t>
      </w:r>
    </w:p>
    <w:p>
      <w:pPr>
        <w:pStyle w:val="CaptionedFigure"/>
      </w:pPr>
      <w:r>
        <w:drawing>
          <wp:inline>
            <wp:extent cx="3733800" cy="917228"/>
            <wp:effectExtent b="0" l="0" r="0" t="0"/>
            <wp:docPr descr="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Я изменяю текст исходной программы, убирая кавычки (рис. -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092182"/>
            <wp:effectExtent b="0" l="0" r="0" t="0"/>
            <wp:docPr descr="изменение программ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</w:t>
      </w:r>
    </w:p>
    <w:p>
      <w:pPr>
        <w:pStyle w:val="BodyText"/>
      </w:pPr>
      <w:r>
        <w:t xml:space="preserve">В этот раз программа вернула пустую строку, это связано с тем, что символ 10 означает новую строку. (рис. -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855724"/>
            <wp:effectExtent b="0" l="0" r="0" t="0"/>
            <wp:docPr descr="Запуск программы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Создаю файл lab6-2.asm в каталоге и ввожу в него текст программы из листинга (рис. -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3104600"/>
            <wp:effectExtent b="0" l="0" r="0" t="0"/>
            <wp:docPr descr="вторая программ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программа</w:t>
      </w:r>
    </w:p>
    <w:p>
      <w:pPr>
        <w:pStyle w:val="BodyText"/>
      </w:pPr>
      <w:r>
        <w:t xml:space="preserve">Я создаю исполняемый файл и запускаю его, В результате работы программы мы получим число 106. В данном случае, как и в первом, команда add складывает коды символов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и</w:t>
      </w:r>
      <w:r>
        <w:t xml:space="preserve"> </w:t>
      </w:r>
      <w:r>
        <w:t xml:space="preserve">‘</w:t>
      </w:r>
      <w:r>
        <w:t xml:space="preserve">4</w:t>
      </w:r>
      <w:r>
        <w:t xml:space="preserve">’</w:t>
      </w:r>
      <w:r>
        <w:t xml:space="preserve"> </w:t>
      </w:r>
      <w:r>
        <w:t xml:space="preserve">(54+52=106). Однако, в отличии от программы из первого листинга, функция iprintLF позволяет вывести число, а не символ, кодом которого является это число (рис. -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917125"/>
            <wp:effectExtent b="0" l="0" r="0" t="0"/>
            <wp:docPr descr="Запуск программ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После удаления кавычек в программе я запускаю ее снова и получаю результат, который изначально предполагал. (рис. -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735445"/>
            <wp:effectExtent b="0" l="0" r="0" t="0"/>
            <wp:docPr descr="вывод измененной программы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измененной программы</w:t>
      </w:r>
    </w:p>
    <w:p>
      <w:pPr>
        <w:pStyle w:val="BodyText"/>
      </w:pPr>
      <w:r>
        <w:t xml:space="preserve">Замена функции вывода на iprint дает мне тот же результат, но в той же строке (рис. -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765680"/>
            <wp:effectExtent b="0" l="0" r="0" t="0"/>
            <wp:docPr descr="Замена функции вывода во второй программ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функции вывода во второй программе</w:t>
      </w:r>
    </w:p>
    <w:bookmarkEnd w:id="50"/>
    <w:bookmarkStart w:id="69" w:name="X8c0a1c151545696051e31eb8f7e02c7d54dd7c6"/>
    <w:p>
      <w:pPr>
        <w:pStyle w:val="Heading2"/>
      </w:pPr>
      <w:r>
        <w:t xml:space="preserve">Выполнение арифметических операций в NASM</w:t>
      </w:r>
    </w:p>
    <w:p>
      <w:pPr>
        <w:pStyle w:val="FirstParagraph"/>
      </w:pPr>
      <w:r>
        <w:t xml:space="preserve">Создайте файл lab6-3.asm в каталоге и ввожу текст программы из листинга(рис. -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3092768"/>
            <wp:effectExtent b="0" l="0" r="0" t="0"/>
            <wp:docPr descr="третья программ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программа</w:t>
      </w:r>
    </w:p>
    <w:p>
      <w:pPr>
        <w:pStyle w:val="BodyText"/>
      </w:pPr>
      <w:r>
        <w:t xml:space="preserve">Программа выполняет арифметические вычисления, выводит результирующее выражение и его остаток от деления (рис. -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770466"/>
            <wp:effectExtent b="0" l="0" r="0" t="0"/>
            <wp:docPr descr="Запуск третьей программы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третьей программы</w:t>
      </w:r>
    </w:p>
    <w:p>
      <w:pPr>
        <w:pStyle w:val="BodyText"/>
      </w:pPr>
      <w:r>
        <w:t xml:space="preserve">Замена переменных в программе для выражения f(x) = (4*6+2)/5 (рис. -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3119165"/>
            <wp:effectExtent b="0" l="0" r="0" t="0"/>
            <wp:docPr descr="Замена третьей программы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третьей программы</w:t>
      </w:r>
    </w:p>
    <w:p>
      <w:pPr>
        <w:pStyle w:val="BodyText"/>
      </w:pPr>
      <w:r>
        <w:t xml:space="preserve">Запуск программы дает правильный результат (рис. -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648331"/>
            <wp:effectExtent b="0" l="0" r="0" t="0"/>
            <wp:docPr descr="Запуск программы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Я создаю новый файл lab6-4 и помещаю текст из листинга (рис. -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3098347"/>
            <wp:effectExtent b="0" l="0" r="0" t="0"/>
            <wp:docPr descr="Программа для расчета вариант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для расчета варианта</w:t>
      </w:r>
    </w:p>
    <w:p>
      <w:pPr>
        <w:pStyle w:val="BodyText"/>
      </w:pPr>
      <w:r>
        <w:t xml:space="preserve">После запуска программы и ввода номера моего студенческого билета я получил свою версию для работы. (рис. -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830061"/>
            <wp:effectExtent b="0" l="0" r="0" t="0"/>
            <wp:docPr descr="Запуск программы для расчета варианта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для расчета варианта</w:t>
      </w:r>
    </w:p>
    <w:bookmarkEnd w:id="69"/>
    <w:bookmarkStart w:id="70" w:name="answers-to-security-questions"/>
    <w:p>
      <w:pPr>
        <w:pStyle w:val="Heading2"/>
      </w:pPr>
      <w:r>
        <w:t xml:space="preserve">Answers to security questions</w:t>
      </w:r>
    </w:p>
    <w:p>
      <w:pPr>
        <w:numPr>
          <w:ilvl w:val="0"/>
          <w:numId w:val="1002"/>
        </w:numPr>
        <w:pStyle w:val="Compact"/>
      </w:pPr>
      <w:r>
        <w:t xml:space="preserve">Следующие строки кода отвечают за отображение сообщения</w:t>
      </w:r>
      <w:r>
        <w:t xml:space="preserve"> </w:t>
      </w:r>
      <w:r>
        <w:t xml:space="preserve">“</w:t>
      </w:r>
      <w:r>
        <w:t xml:space="preserve">Ваш вариант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</w:p>
    <w:p>
      <w:pPr>
        <w:numPr>
          <w:ilvl w:val="0"/>
          <w:numId w:val="1003"/>
        </w:numPr>
      </w:pPr>
      <w:r>
        <w:t xml:space="preserve">Команда mov ecx, x используется для ввода адреса входной строки x в регистр ecx. mov edx, 80 - записывает длину входной строки в регистр edx. call sread - вызывает подпрограмму из внешнего файла, которая обеспечивает ввод сообщения с клавиатуры.</w:t>
      </w:r>
    </w:p>
    <w:p>
      <w:pPr>
        <w:numPr>
          <w:ilvl w:val="0"/>
          <w:numId w:val="1003"/>
        </w:numPr>
      </w:pPr>
      <w:r>
        <w:t xml:space="preserve">call atoi используется для вызова подпрограммы из внешнего файла, которая преобразует ascii-код символа в целое число и записывает результат в регистр eax.</w:t>
      </w:r>
    </w:p>
    <w:p>
      <w:pPr>
        <w:numPr>
          <w:ilvl w:val="0"/>
          <w:numId w:val="1003"/>
        </w:numPr>
      </w:pPr>
      <w:r>
        <w:t xml:space="preserve">Строками, ответственными за расчет варианта, являются:</w:t>
      </w:r>
    </w:p>
    <w:p>
      <w:pPr>
        <w:pStyle w:val="SourceCode"/>
      </w:pP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reset edx for correct work div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 = 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 = eax/20, edx - remainder from division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edx = edx + 1</w:t>
      </w:r>
    </w:p>
    <w:p>
      <w:pPr>
        <w:pStyle w:val="FirstParagraph"/>
      </w:pPr>
      <w:r>
        <w:t xml:space="preserve">5.Когда выполняется команда div ebx, оставшаяся часть от деления записывается в регистр edx.</w:t>
      </w:r>
    </w:p>
    <w:p>
      <w:pPr>
        <w:numPr>
          <w:ilvl w:val="0"/>
          <w:numId w:val="1004"/>
        </w:numPr>
      </w:pPr>
      <w:r>
        <w:t xml:space="preserve">Команда inc edx увеличивает значение регистра edx на 1.</w:t>
      </w:r>
    </w:p>
    <w:p>
      <w:pPr>
        <w:numPr>
          <w:ilvl w:val="0"/>
          <w:numId w:val="1004"/>
        </w:numPr>
      </w:pPr>
      <w:r>
        <w:t xml:space="preserve">Следующие строки отвечают за отображение результатов вычислений на экране: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</w:p>
    <w:bookmarkEnd w:id="70"/>
    <w:bookmarkStart w:id="77" w:name="задание-для-самостоятельной-работы"/>
    <w:p>
      <w:pPr>
        <w:pStyle w:val="Heading2"/>
      </w:pPr>
      <w:r>
        <w:t xml:space="preserve">Задание для самостоятельной работы</w:t>
      </w:r>
    </w:p>
    <w:p>
      <w:pPr>
        <w:pStyle w:val="FirstParagraph"/>
      </w:pPr>
      <w:r>
        <w:t xml:space="preserve">В соответствии с выбранным вариантом я реализую программу для вычисления функции f(x) = (2 + x)^2 , проверка по нескольким переменным показывает корректность выполнения программы (рис. -</w:t>
      </w:r>
      <w:r>
        <w:t xml:space="preserve">@fig:016</w:t>
      </w:r>
      <w:r>
        <w:t xml:space="preserve">), (рис. -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3085888"/>
            <wp:effectExtent b="0" l="0" r="0" t="0"/>
            <wp:docPr descr="программа для фукции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для фукции</w:t>
      </w:r>
    </w:p>
    <w:p>
      <w:pPr>
        <w:pStyle w:val="CaptionedFigure"/>
      </w:pPr>
      <w:r>
        <w:drawing>
          <wp:inline>
            <wp:extent cx="3733800" cy="984771"/>
            <wp:effectExtent b="0" l="0" r="0" t="0"/>
            <wp:docPr descr="Запуск программы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Во время этой лабораторной работы я освоил арифметические инструкции языка ассемблера NASM.</w:t>
      </w:r>
    </w:p>
    <w:bookmarkEnd w:id="79"/>
    <w:bookmarkStart w:id="8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  <w:pStyle w:val="Compact"/>
      </w:pPr>
      <w:hyperlink r:id="rId80">
        <w:r>
          <w:rPr>
            <w:rStyle w:val="Hyperlink"/>
          </w:rPr>
          <w:t xml:space="preserve">Пример выполнения лабораторной работы</w:t>
        </w:r>
      </w:hyperlink>
    </w:p>
    <w:p>
      <w:pPr>
        <w:numPr>
          <w:ilvl w:val="0"/>
          <w:numId w:val="1005"/>
        </w:numPr>
        <w:pStyle w:val="Compact"/>
      </w:pPr>
      <w:hyperlink r:id="rId81">
        <w:r>
          <w:rPr>
            <w:rStyle w:val="Hyperlink"/>
          </w:rPr>
          <w:t xml:space="preserve">Курс на ТУИС</w:t>
        </w:r>
      </w:hyperlink>
    </w:p>
    <w:p>
      <w:pPr>
        <w:numPr>
          <w:ilvl w:val="0"/>
          <w:numId w:val="1005"/>
        </w:numPr>
        <w:pStyle w:val="Compact"/>
      </w:pPr>
      <w:hyperlink r:id="rId82">
        <w:r>
          <w:rPr>
            <w:rStyle w:val="Hyperlink"/>
          </w:rPr>
          <w:t xml:space="preserve">Лабораторная работа №6</w:t>
        </w:r>
      </w:hyperlink>
    </w:p>
    <w:p>
      <w:pPr>
        <w:numPr>
          <w:ilvl w:val="0"/>
          <w:numId w:val="1005"/>
        </w:numPr>
        <w:pStyle w:val="Compact"/>
      </w:pPr>
      <w:hyperlink r:id="rId83">
        <w:r>
          <w:rPr>
            <w:rStyle w:val="Hyperlink"/>
          </w:rPr>
          <w:t xml:space="preserve">Программирование на языке ассемблера NASM Столяров А. В.</w:t>
        </w:r>
      </w:hyperlink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en-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81" Target="https://esystem.rudn.ru/course/view.php?id=112" TargetMode="External" /><Relationship Type="http://schemas.openxmlformats.org/officeDocument/2006/relationships/hyperlink" Id="rId83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82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pdf" TargetMode="External" /><Relationship Type="http://schemas.openxmlformats.org/officeDocument/2006/relationships/hyperlink" Id="rId80" Target="https://github.com/evdvorkina/study_2022-2023_arh-pc/blob/master/labs/lab07/report/%D0%9B07_%D0%94%D0%B2%D0%BE%D1%80%D0%BA%D0%B8%D0%BD%D0%B0_%D0%BE%D1%82%D1%87%D0%B5%D1%8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course/view.php?id=112" TargetMode="External" /><Relationship Type="http://schemas.openxmlformats.org/officeDocument/2006/relationships/hyperlink" Id="rId83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82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pdf" TargetMode="External" /><Relationship Type="http://schemas.openxmlformats.org/officeDocument/2006/relationships/hyperlink" Id="rId80" Target="https://github.com/evdvorkina/study_2022-2023_arh-pc/blob/master/labs/lab07/report/%D0%9B07_%D0%94%D0%B2%D0%BE%D1%80%D0%BA%D0%B8%D0%BD%D0%B0_%D0%BE%D1%82%D1%87%D0%B5%D1%8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Альманасра Рами</dc:creator>
  <dc:language>ren-EN</dc:language>
  <cp:keywords/>
  <dcterms:created xsi:type="dcterms:W3CDTF">2025-01-30T14:49:18Z</dcterms:created>
  <dcterms:modified xsi:type="dcterms:W3CDTF">2025-01-30T14:49:18Z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Fig.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List of illustrations</vt:lpwstr>
  </property>
  <property fmtid="{D5CDD505-2E9C-101B-9397-08002B2CF9AE}" pid="18" name="lolTitle">
    <vt:lpwstr>Listings</vt:lpwstr>
  </property>
  <property fmtid="{D5CDD505-2E9C-101B-9397-08002B2CF9AE}" pid="19" name="lot">
    <vt:lpwstr>True</vt:lpwstr>
  </property>
  <property fmtid="{D5CDD505-2E9C-101B-9397-08002B2CF9AE}" pid="20" name="lotTitle">
    <vt:lpwstr>List of Tables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ЭВМ</vt:lpwstr>
  </property>
  <property fmtid="{D5CDD505-2E9C-101B-9397-08002B2CF9AE}" pid="35" name="tableTitle">
    <vt:lpwstr>Table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Content</vt:lpwstr>
  </property>
</Properties>
</file>