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3: SCRM Framework &amp; Literature</w:t>
      </w:r>
    </w:p>
    <w:p>
      <w:r>
        <w:t>The 2026 crisis did not expose a gap in supply chain risk theory. It exposed a gap between what the theory prescribed and what practitioners implemented. Three bodies of scholarship, taken together, explain with precision why India's fertilizer supply chain failed — and what a genuinely resilient architecture would have required.</w:t>
      </w:r>
    </w:p>
    <w:p>
      <w:pPr>
        <w:pStyle w:val="Heading1"/>
      </w:pPr>
      <w:r>
        <w:t>Sheffi's Resilience and Robustness Framework</w:t>
      </w:r>
    </w:p>
    <w:p>
      <w:r>
        <w:t>Sheffi (2005) draws a distinction that the 2026 crisis renders consequential: robustness is a supply chain's capacity to absorb disruption without restructuring; resilience is its capacity to recover rapidly once disruption occurs. India's fertilizer system failed both tests — not through negligence, but through structural design choices that optimised for cost efficiency at the direct expense of shock absorption.</w:t>
      </w:r>
    </w:p>
    <w:p>
      <w:r>
        <w:t>Robustness requires sourcing diversification, inventory buffers calibrated to credible worst-case scenarios, and flexible production capacity. India had none in adequate measure. Urea imports were over 50% concentrated from Gulf. Strategic buffer stocks covered approximately 30 days of Kharif supply — sufficient for a brief disruption, catastrophic against a sustained one. Domestic fertilizer plants carried no contractual gas security against upstream force majeure events (FAO India, April 2026). Resilience requires pre-built recovery mechanisms that activate before a crisis is confirmed in price data — not after. IFFCO and Coromandel lacked pre-qualified alternative supplier contracts and trigger-based procurement protocols, meaning diversification efforts began when the shortage was already visible, not when the geopolitical signal appeared weeks earlier. Sheffi's central argument is validated precisely here: improvised recovery is slower, costlier, and more damaging than pre-positioned response. In 2026, the difference between the two was measured in 45 days and hundreds of millions in emergency procurement premiums.</w:t>
      </w:r>
    </w:p>
    <w:p>
      <w:pPr>
        <w:pStyle w:val="Heading1"/>
      </w:pPr>
      <w:r>
        <w:t>Hopp's Multi-Sourcing and Risk Pooling Logic</w:t>
      </w:r>
    </w:p>
    <w:p>
      <w:r>
        <w:t>Hopp (2008) provides the economic foundation for what Sheffi prescribes operationally. The expected ongoing cost of maintaining secondary supplier relationships — sourcing premiums, administrative overhead, contractual obligations — is structurally lower than the expected cost of disruption at a geopolitically concentrated single source. The 2026 data validates this at scale. Firms with active alternative contracts — Russian, Egyptian, or North African — redirected procurement within 10–14 days. Single-source Gulf importers absorbed the full 45-day recovery period, paying emergency premiums of 40–90% above pre-crisis prices in the process. The same logic applies upstream: India's domestic fertilizer industry operated as a de facto single-source LNG buyer from Qatar through Petronet, with no pooled gas supply alternatives. The 3 March force majeure event triggered an immediate 30% domestic production collapse — an outcome that diversified feedstock arrangements would have materially dampened.</w:t>
      </w:r>
    </w:p>
    <w:p>
      <w:pPr>
        <w:pStyle w:val="Heading1"/>
      </w:pPr>
      <w:r>
        <w:t>Choi, Rogers, and Vakil: Tier Blindness as Decision Latency</w:t>
      </w:r>
    </w:p>
    <w:p>
      <w:r>
        <w:t>Choi, Rogers, and Vakil (2020) argued post-COVID that the defining supply chain vulnerability was not disruption magnitude but visibility depth — firms could map Tier-1 exposure but not Tier-2 or Tier-3. The 2026 crisis confirms this and sharpens it. Indian fertilizer companies monitored import contracts and had partial visibility into Gulf producer schedules. Almost none had mapped LNG feedstock availability at their suppliers' plants. When Petronet declared force majeure, buyers learned of their Tier-3 exposure through a news alert. The response-time penalty was quantifiable: $490 to $700+ per tonne in 30 days; 800,000 tonnes unproduced. The 2026 extension of this argument is critical — tier blindness is not a mapping problem. It is a decision latency problem. Without Tier-3 feedstock visibility, no early-warning system can exist. What could have been a 10-day response became a 45-day recovery. That 35-day gap is the measurable cost of opacity.</w:t>
      </w:r>
    </w:p>
    <w:p>
      <w:pPr>
        <w:pStyle w:val="Heading1"/>
      </w:pPr>
      <w:r>
        <w:t>Crisis Velocity: The Missing Risk Dimension</w:t>
      </w:r>
    </w:p>
    <w:p>
      <w:r>
        <w:t>The 2022 Russia-Ukraine fertilizer shock transmitted into agricultural harm through an 18-month lag — a buffer that allowed partial policy and market adjustment before irreversible planting decisions were made (FAO, 2023; NDSU, 2022). The 2026 crisis eliminates this buffer. The disruption struck during India's active Kharif procurement window, compressing the adjustment lag to 6–8 weeks. Building on NDSU's purchasing-window analysis, this paper proposes "crisis velocity" — the rate at which a supply shock translates into irreversible downstream agricultural decisions — as a risk dimension absent from existing SCRM frameworks. This paper adopts velocity as a formal third risk parameter alongside likelihood and consequence. A disruption that strikes within a 6-week procurement window is categorically more dangerous than one allowing market adjustment time, irrespective of nominal price magnitude. In 2026, velocity was not a theoretical refinement — it was the variable that determined whether the crisis was absorbable or not.</w:t>
      </w:r>
    </w:p>
    <w:p>
      <w:r>
        <w:t>[Word count: 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