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4: Vulnerability Assessment — Multi-Tier Map</w:t>
      </w:r>
    </w:p>
    <w:p>
      <w:r>
        <w:t>The Strait of Hormuz closure exposed a structural truth about India's fertiliser supply chain: it is not a single point of failure. It is a stack of compounding points of failure, each dependent on the one above it. Mapping the vulnerability across three distinct tiers reveals why the disruption cascaded faster and further than any single-variable risk model had anticipated.</w:t>
      </w:r>
    </w:p>
    <w:p>
      <w:pPr>
        <w:pStyle w:val="Heading1"/>
      </w:pPr>
      <w:r>
        <w:t>Tier-1: Finished Urea and DAP Imports</w:t>
      </w:r>
    </w:p>
    <w:p>
      <w:r>
        <w:t>The Tier-1 exposure was the most visible — and, paradoxically, the most managed. India's urea imports were over 50% concentrated through Gulf producers (Qatar, UAE, Oman), with DAP imports similarly weighted toward West Asian sources. This concentration was a deliberate procurement decision: Gulf urea offered delivery efficiency, freight proximity, and established trade finance relationships that alternative sources could not match at benchmark prices. The vulnerability was known; the cost of eliminating it was considered acceptable. The 2026 crisis reveals that calculation was wrong.</w:t>
      </w:r>
    </w:p>
    <w:p>
      <w:r>
        <w:t>The immediate Tier-1 concentration metric: India's emergency tender of 2.5 million tonnes — the largest single urea procurement event in history — absorbed approximately 15% of global monthly trade volume, driving spot prices from $490 to $700 per tonne within 30 days (Reuters, April 2026). The concentration was not merely supplier-side. It was vessel-route-side: Hormuz is the mandatory transit corridor for roughly 70% of Gulf-origin fertiliser cargoes to India. Closure of the Strait eliminated the route entirely, not just the supplier.</w:t>
      </w:r>
    </w:p>
    <w:p>
      <w:pPr>
        <w:pStyle w:val="Heading1"/>
      </w:pPr>
      <w:r>
        <w:t>Tier-2: Ammonia and LNG Feedstock</w:t>
      </w:r>
    </w:p>
    <w:p>
      <w:r>
        <w:t>Tier-2 is where the 2026 crisis became catastrophic rather than merely expensive. Gulf natural gas is the primary feedstock for nitrogen fertiliser production across South Asia, constituting 70–80% of urea manufacturing cost at domestic Indian plants (FAO India, April 2026). India's domestic fertiliser industry was not merely an import substitute — it was a strategic backstop. That backstop failed within days of the Strait closure.</w:t>
      </w:r>
    </w:p>
    <w:p>
      <w:r>
        <w:t>Petronet LNG issued force majeure notices on Qatari gas supplies on 3 March 2026. Domestic fertiliser plants at Gail, IFFCO, and Coromandel facilities were immediately capped at 60–70% of normal gas allocation. This was not a procurement failure — it was a contractual architecture failure. India's domestic plants operated as a de facto single-source LNG buyer from Qatar through Petronet, with no pooled gas supply alternatives, no interruptible supply contracts, and no pre-negotiated force majeure protocols with alternative feedstock providers. The result: an estimated 800,000 tonnes of domestic urea output lost in March alone — a 30% monthly production shortfall — before a single import vessel had deviated from Hormuz (FAO India, April 2026; News18).</w:t>
      </w:r>
    </w:p>
    <w:p>
      <w:pPr>
        <w:pStyle w:val="Heading1"/>
      </w:pPr>
      <w:r>
        <w:t>Tier-3: Sulphur and Phosphate Rock</w:t>
      </w:r>
    </w:p>
    <w:p>
      <w:r>
        <w:t>Tier-3 vulnerabilities are the least visible and most structurally persistent. Phosphate rock and sulphur are essential inputs for DAP and complex fertiliser production. Morocco's phosphate rock reserves represent approximately 70% of global accessible reserves; India imports roughly 60% of its phosphate rock requirement from limited alternative sources (NDSU Agricultural Trade Monitor, March 2026). Sulphur, primarily a refinery and oil-refining byproduct, flows through routes partially subject to the same Gulf maritime disruption as Tier-1 cargoes. The non-obvious Tier-3 vulnerability: both phosphate and sulphur supply chains have minimal spot market depth. When major importers simultaneously seek alternative sourcing, there is no equivalent buffer capacity to absorb the demand surge that urea experienced. A Tier-3 disruption in phosphate or sulphur would transmit into DAP prices within weeks — not months — with no viable substitution logic.</w:t>
      </w:r>
    </w:p>
    <w:p>
      <w:pPr>
        <w:pStyle w:val="Heading1"/>
      </w:pPr>
      <w:r>
        <w:t>Non-Obvious Structural Vulnerabilities</w:t>
      </w:r>
    </w:p>
    <w:p>
      <w:r>
        <w:t>Three vulnerabilities sit outside the three-tier commodity framework but determined whether the disruption remained manageable or became systemic.</w:t>
      </w:r>
    </w:p>
    <w:p>
      <w:pPr>
        <w:pStyle w:val="ListBullet"/>
      </w:pPr>
      <w:r>
        <w:t>Insurance concentration: The majority of Gulf-to-India fertiliser cargoes are insured through Lloyd's syndicates and European marine insurers with war risk exclusions triggered by Gulf naval conflict. As the crisis escalated, hull and cargo war risk premiums spiked from 0.1% to 0.8% of cargo value — effectively adding $4–6 per tonne to landed costs. For a commodity with 3–5% margins, this is existential. The insurance concentration vulnerability means that even a successful re-routing around Hormuz carries an effective cost penalty that undermines import viability.</w:t>
      </w:r>
    </w:p>
    <w:p>
      <w:pPr>
        <w:pStyle w:val="ListBullet"/>
      </w:pPr>
      <w:r>
        <w:t>Shadow fleet constraints: The most commonly proposed workaround — re-routing via Cape of Good Hope — requires vessels capable of the extended voyage. Indian fertiliser imports rely heavily on MR (Medium Range) tankers optimised for Gulf-to-India routes. These vessels lack the fuel efficiency and cargo capacity for Cape routing at scale. The shadow fleet of larger, Cape-capable vessels was already absorbed by Russian oil trade re-routing following 2022 sanctions. India faced not just a route closure but a fleet availability constraint that could not be resolved by price alone.</w:t>
      </w:r>
    </w:p>
    <w:p>
      <w:pPr>
        <w:pStyle w:val="ListBullet"/>
      </w:pPr>
      <w:r>
        <w:t>Single-region feedstock synchronisation: The structural vulnerability most absent from existing SCRM frameworks is the co-dependence between feedstock (LNG), production (domestic plants), and import (Gulf urea). Each node is partially insulated from the others in normal conditions; under crisis conditions, they synchronise rather than absorb. The Tier-2 gas disruption and the Tier-1 import disruption hit simultaneously because they share a single geographic root cause. Multi-region feedstock diversification — not merely multi-source procurement — is the structural solution that existing frameworks prescribe but India's procurement architecture never implemented.</w:t>
      </w:r>
    </w:p>
    <w:p>
      <w:r>
        <w:t>[Word count: 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