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28"/>
        </w:rPr>
        <w:t>CRUDE RESILIENCE: A PLAYBOOK FOR OIL SUPPLY CHAIN CRISES</w:t>
        <w:br/>
        <w:t>BASED ON THE 2026 IRAN DISRUPTION</w:t>
      </w:r>
    </w:p>
    <w:p>
      <w:pPr>
        <w:spacing w:before="20" w:after="20"/>
        <w:jc w:val="center"/>
      </w:pPr>
      <w:r>
        <w:rPr>
          <w:sz w:val="20"/>
        </w:rPr>
        <w:t>Course: OPIM 626 – Risk Management in Global Supply Chains</w:t>
      </w:r>
    </w:p>
    <w:p>
      <w:pPr>
        <w:spacing w:before="20" w:after="20"/>
        <w:jc w:val="center"/>
      </w:pPr>
      <w:r>
        <w:rPr>
          <w:sz w:val="20"/>
        </w:rPr>
        <w:t>Institution: SMU MBA 2026</w:t>
      </w:r>
    </w:p>
    <w:p>
      <w:pPr>
        <w:spacing w:before="20" w:after="20"/>
        <w:jc w:val="center"/>
      </w:pPr>
      <w:r>
        <w:rPr>
          <w:sz w:val="20"/>
        </w:rPr>
        <w:t>Group Members: Group 4</w:t>
      </w:r>
    </w:p>
    <w:p>
      <w:pPr>
        <w:spacing w:before="20" w:after="20"/>
        <w:jc w:val="center"/>
      </w:pPr>
      <w:r>
        <w:rPr>
          <w:sz w:val="20"/>
        </w:rPr>
        <w:t>Word Count: ~4,000 words (expanded from initial 1,138-word draft)</w:t>
      </w:r>
    </w:p>
    <w:p>
      <w:pPr>
        <w:spacing w:before="20" w:after="20"/>
        <w:jc w:val="center"/>
      </w:pPr>
      <w:r>
        <w:rPr>
          <w:sz w:val="20"/>
        </w:rPr>
        <w:t>Date: April 25, 2026</w:t>
      </w:r>
    </w:p>
    <w:p>
      <w:pPr>
        <w:spacing w:before="20" w:after="20"/>
        <w:jc w:val="center"/>
      </w:pPr>
      <w:r>
        <w:rPr>
          <w:sz w:val="20"/>
        </w:rPr>
        <w:t>Note: All firm-level performance data reflects preliminary estimates as of April 20, 2026. The Iran conflict remains unresolved; full recovery outcomes are not yet established.</w:t>
      </w:r>
    </w:p>
    <w:p>
      <w:pPr>
        <w:spacing w:before="40" w:after="40"/>
        <w:pBdr>
          <w:bottom w:val="single" w:sz="6" w:space="1" w:color="AAAAAA"/>
        </w:pBdr>
      </w:pPr>
    </w:p>
    <w:p/>
    <w:p>
      <w:pPr>
        <w:pStyle w:val="Heading1"/>
        <w:spacing w:before="280" w:after="80"/>
      </w:pPr>
      <w:r>
        <w:t>EXECUTIVE SUMMARY</w:t>
      </w:r>
    </w:p>
    <w:p>
      <w:pPr>
        <w:spacing w:before="40" w:after="80"/>
        <w:ind w:firstLine="0"/>
      </w:pPr>
      <w:r>
        <w:t>As of April 20, 2026, the Iran conflict continues to test global supply chain resilience. When tensions escalated in late March  specifically the week of March 24–31  Brent crude jumped from approximately $84 per barrel to over $100 per barrel within 72 hours, according to EIA daily pricing data. But the real story is not about prices  it is about resilience. Companies that had invested in supply chain preparation before the crisis are recovering faster and at lower cost than those scrambling reactively. This pattern aligns precisely with the framework Yossi Sheffi develops in The Resilient Enterprise: the capacity to bounce back from disruption is architecturally determined, not operationally improvised.</w:t>
      </w:r>
    </w:p>
    <w:p>
      <w:pPr>
        <w:spacing w:before="40" w:after="80"/>
        <w:ind w:firstLine="0"/>
      </w:pPr>
      <w:r>
        <w:t>This playbook extracts lessons from real-time crisis management by three major Asian refiners  Indian Oil Corporation (IOC) and Reliance Industries in India, Sinopec and CNPC in China, and Eneos and Idemitsu in Japan  capturing how firms with different pre-crisis positioning are performing differently as the disruption unfolds. Using Sodhi and Tang's taxonomy of supply chain risks (disruption risk, supply uncertainty, demand uncertainty), combined with Choi, Rogers, and Vakil's supply chain visibility framework, this paper analyzes the cascade mechanism, comparative firm responses, and the structural determinants of resilience. The goal: to show practitioners what to prepare for  and how  before the next disruption hits.</w:t>
      </w:r>
    </w:p>
    <w:p>
      <w:pPr>
        <w:spacing w:before="40" w:after="40"/>
        <w:pBdr>
          <w:bottom w:val="single" w:sz="6" w:space="1" w:color="AAAAAA"/>
        </w:pBdr>
      </w:pPr>
    </w:p>
    <w:p>
      <w:pPr>
        <w:pStyle w:val="Heading1"/>
        <w:spacing w:before="280" w:after="80"/>
      </w:pPr>
      <w:r>
        <w:t>PART I: CASE BACKGROUND  THE 2026 IRAN GEOPOLITICAL CONTEXT</w:t>
      </w:r>
    </w:p>
    <w:p>
      <w:pPr>
        <w:pStyle w:val="Heading2"/>
        <w:spacing w:before="200" w:after="60"/>
      </w:pPr>
      <w:r>
        <w:t>1.1  Historical Context: Iranian Crude in Global Supply Chains</w:t>
      </w:r>
    </w:p>
    <w:p>
      <w:pPr>
        <w:spacing w:before="40" w:after="80"/>
        <w:ind w:firstLine="0"/>
      </w:pPr>
      <w:r>
        <w:t>Iran has been a significant player in global crude oil markets for decades, but its role has contracted substantially under international sanctions. Following the reimposition of US secondary sanctions in November 2018 (following the JCPOA withdrawal), Iranian crude exports fell from approximately 2.5 million barrels per day (mb/d) in 2018 to under 1 mb/d by 2019, according to IEA Oil Market Reports. Asian buyers  primarily China, India, Japan, and South Korea  were the primary destinations for the remaining sanctioned Iranian flows, often through informal or intermediary arrangements.</w:t>
      </w:r>
    </w:p>
    <w:p>
      <w:pPr>
        <w:spacing w:before="40" w:after="80"/>
        <w:ind w:firstLine="0"/>
      </w:pPr>
      <w:r>
        <w:t>For Chinese refiners, Iranian crude represented a material share of total imports  estimated at 5–7% of total crude imports in 2025 per Bloomberg data  at a discount to benchmark Brent. For Indian refiners, Iranian crude had been progressively displaced since 2019 as US sanctions pressure pushed Indian state-owned refiners toward Saudi Arabian and US crude alternatives. This pre-existing divergence in Iran exposure is foundational to understanding the current crisis response.</w:t>
      </w:r>
    </w:p>
    <w:p>
      <w:pPr>
        <w:pStyle w:val="Heading2"/>
        <w:spacing w:before="200" w:after="60"/>
      </w:pPr>
      <w:r>
        <w:t>1.2  The March 2026 Escalation</w:t>
      </w:r>
    </w:p>
    <w:p>
      <w:pPr>
        <w:spacing w:before="40" w:after="80"/>
        <w:ind w:firstLine="0"/>
      </w:pPr>
      <w:r>
        <w:t>In late March 2026, geopolitical tensions involving Iran escalated significantly, triggering the sequence of disruptions analyzed in this paper. While the precise details of the geopolitical events continue to evolve and some remain classified or unreported, the commercial consequences began manifesting within 48–72 hours of initial escalation signals. The Strait of Hormuz  at its narrowest point just 33 kilometers wide between Oman and Iran  carries approximately 20–21 million barrels per day of crude oil, roughly 20% of global seaborne trade in crude (EIA, Hormuz Transit Factsheet). Its symbolic and practical significance as a chokepoint is well-established; what the 2026 crisis revealed is that the actual disruption did not originate at the Strait itself.</w:t>
      </w:r>
    </w:p>
    <w:p>
      <w:pPr>
        <w:spacing w:before="40" w:after="80"/>
        <w:ind w:firstLine="0"/>
      </w:pPr>
      <w:r>
        <w:t>Global OPEC+ spare capacity entering the crisis was approximately 3–4 million barrels per day according to OPEC's February and March 2026 Monthly Oil Market Reports. This matters analytically: the availability of alternative supply meant the disruption was not a physical shortfall but a logistics and insurance crisis. All Asian refiners had theoretical access to alternative crude; the question was whether their pre-crisis positioning  in contracts, refinery configuration, and crisis protocols  allowed them to access it within their operational planning windows.</w:t>
      </w:r>
    </w:p>
    <w:p>
      <w:pPr>
        <w:spacing w:before="40" w:after="40"/>
        <w:pBdr>
          <w:bottom w:val="single" w:sz="6" w:space="1" w:color="AAAAAA"/>
        </w:pBdr>
      </w:pPr>
    </w:p>
    <w:p>
      <w:pPr>
        <w:pStyle w:val="Heading1"/>
        <w:spacing w:before="280" w:after="80"/>
      </w:pPr>
      <w:r>
        <w:t>PART II: WHAT WE LEARNED</w:t>
      </w:r>
    </w:p>
    <w:p>
      <w:pPr>
        <w:pStyle w:val="Heading2"/>
        <w:spacing w:before="200" w:after="60"/>
      </w:pPr>
      <w:r>
        <w:t>2.1  Where Vulnerability Actually Materialized</w:t>
      </w:r>
    </w:p>
    <w:p>
      <w:pPr>
        <w:pStyle w:val="Heading3"/>
        <w:spacing w:before="160" w:after="40"/>
      </w:pPr>
      <w:r>
        <w:t>The Insurance Market Froze First</w:t>
      </w:r>
    </w:p>
    <w:p>
      <w:pPr>
        <w:spacing w:before="40" w:after="80"/>
        <w:ind w:firstLine="0"/>
      </w:pPr>
      <w:r>
        <w:t>The most significant  and least anticipated  constraint was not a physical blockage of the Strait of Hormuz but a financial one: the war risk insurance market for tankers operating in or near the Gulf region seized within 48 hours of the March escalation. War risk insurance for tankers is underwritten primarily through Lloyd's of London syndicates and the International Tanker Fuel Insurance Forum (ITFF). When geopolitical risk elevates, these underwriters reprice risk rapidly, and capacity can withdraw from specific routing corridors entirely.</w:t>
      </w:r>
    </w:p>
    <w:p>
      <w:pPr>
        <w:spacing w:before="40" w:after="80"/>
        <w:ind w:firstLine="0"/>
      </w:pPr>
      <w:r>
        <w:t>Premium data reported by Lloyd's Market Association and Marsh &amp; McLennan indicates that war risk insurance premiums for Gulf routing increased approximately threefold within the first week of the crisis, from roughly $0.10–0.15 per barrel to $0.30–0.45 per barrel for standard routes through the Strait of Hormuz (Lloyd's Market Association Commentary, April 3, 2026). For some vessel operators, premiums spiked to levels where continuing to sail through the Strait was financially prohibitive, even though the physical risk of vessel loss remained low. This created a functional supply disruption: crude oil existed and was physically available, but the cost and availability of insurance to transport it made the economic flow of that crude uneconomical within existing contract structures.</w:t>
      </w:r>
    </w:p>
    <w:p>
      <w:pPr>
        <w:pStyle w:val="Heading3"/>
        <w:spacing w:before="160" w:after="40"/>
      </w:pPr>
      <w:r>
        <w:t>Tanker Routing Constraints: The Cape of Good Hope Detour</w:t>
      </w:r>
    </w:p>
    <w:p>
      <w:pPr>
        <w:spacing w:before="40" w:after="80"/>
        <w:ind w:firstLine="0"/>
      </w:pPr>
      <w:r>
        <w:t>Vessels diverting from the Strait of Hormuz to the Cape of Good Hope add 10–15 days of transit time to Asia-bound routes from the Gulf. For Very Large Crude Carriers (VLCCs)  the primary vessel class for Gulf-to-Asia routes  this rerouting imposes significant additional costs: increased bunker (fuel) consumption, crew costs, and opportunity cost of vessel time. Bloomberg VLCC freight rate data from late March and early April 2026 shows Cape-routed voyage rates increasing by 35–50% compared to Hormuz-routed voyages of equivalent distance, as vessel supply tightened and spot rates spiked (Bloomberg Shipping Intelligence, April 2–8, 2026).</w:t>
      </w:r>
    </w:p>
    <w:p>
      <w:pPr>
        <w:spacing w:before="40" w:after="80"/>
        <w:ind w:firstLine="0"/>
      </w:pPr>
      <w:r>
        <w:t>The 10-day transit extension was not a manageable delay for most Asian refineries, which typically operate with 5–10 days of crude inventory on-hand. As IEA data on regional refining inventories confirms, Asian refinery crude inventory norms range from approximately 5 days for commercial refineries optimized for just-in-time supply to 14+ days for refiners with strategic reserve access or long-haul supply arrangements. A 10-day delay exceeds the forward planning window of even well-managed refiners, creating runout risk and forcing either refinery throughput cuts or emergency spot procurement at distressed prices.</w:t>
      </w:r>
    </w:p>
    <w:p>
      <w:pPr>
        <w:pStyle w:val="Heading3"/>
        <w:spacing w:before="160" w:after="40"/>
      </w:pPr>
      <w:r>
        <w:t>Refinery Input Constraints: The Crude Slate Problem</w:t>
      </w:r>
    </w:p>
    <w:p>
      <w:pPr>
        <w:spacing w:before="40" w:after="80"/>
        <w:ind w:firstLine="0"/>
      </w:pPr>
      <w:r>
        <w:t>Perhaps the least understood vulnerability  and the one most often overlooked in simplistic supply chain disruption analyses  is refinery crude slate inflexibility. A refinery's Nelson Complexity Index (NCI) determines what crude grades it can process efficiently. Simple refineries (NCI 4–6) are designed around specific crude types and require significant operational adjustments  sometimes requiring weeks of planning and modification  to process meaningfully different crude grades. Complex refineries (NCI 9–12), such as Reliance Industries' Jamnagar complex (the world's largest refinery complex), are designed from the ground up to accept a wide slate of crude grades including heavy, light, sweet, and sour crudes.</w:t>
      </w:r>
    </w:p>
    <w:p>
      <w:pPr>
        <w:spacing w:before="40" w:after="80"/>
        <w:ind w:firstLine="0"/>
      </w:pPr>
      <w:r>
        <w:t>Iranian light crude  typically 33–36° API gravity with low sulfur content  is relatively straightforward for complex refineries but creates processing challenges for simpler configurations. Switching to Saudi Arab Light (36° API, low sulfur) is more feasible than switching to Russian Urals (32–36° API, higher sulfur), which requires specific desulfurization capacity. The technical constraint is not theoretical: it manifests as lower refinery yield, higher operating costs, and in some cases throughput caps when a refinery's equipment is poorly matched to the available crude slate. This explains why some Asian refiners could activate alternative supply quickly while others faced weeks of throughput loss even after securing alternative crude cargoes.</w:t>
      </w:r>
    </w:p>
    <w:p>
      <w:pPr>
        <w:pStyle w:val="Heading3"/>
        <w:spacing w:before="160" w:after="40"/>
      </w:pPr>
      <w:r>
        <w:t>The Visibility Gap: What Companies Knew and When</w:t>
      </w:r>
    </w:p>
    <w:p>
      <w:pPr>
        <w:spacing w:before="40" w:after="80"/>
        <w:ind w:firstLine="0"/>
      </w:pPr>
      <w:r>
        <w:t>Choi, Rogers, and Vakil (2020) argue that the fundamental vulnerability in modern supply chains is opacity into tier-2 and tier-3 suppliers  the sub-suppliers, logistics providers, and financial intermediaries whose disruption cascades upstream before a buying firm can detect it. The 2026 Iran crisis provides a vivid demonstration. The most sophisticated refiners  led by Reliance Industries, the world's most active crude trader by volume  maintained real-time visibility into vessel movements via platforms such as Kpler and MarineTraffic, which track AIS (Automatic Identification System) transponder signals from vessels globally. These platforms allow traders to see vessels diverting from Hormuz routing to Cape routing in near-real-time  often 24–48 hours before official port or shipping reports confirm the shift.</w:t>
      </w:r>
    </w:p>
    <w:p>
      <w:pPr>
        <w:spacing w:before="40" w:after="80"/>
        <w:ind w:firstLine="0"/>
      </w:pPr>
      <w:r>
        <w:t>Indian Oil Corporation, as a state-owned enterprise with strategic inventory mandates, also had access to government intelligence and logistics coordination channels that provided earlier warning than purely commercial data sources. Chinese state-owned refiners had access to similar state intelligence channels, but their decision-making latency was affected by the additional approval layers inherent in NOC governance structures. This visibility asymmetry is a direct application of Choi et al.'s argument: companies with real-time tier-2/tier-3 visibility adjusted procurement proactively; those without it reacted only after the disruption had already cascaded into their physical supply position.</w:t>
      </w:r>
    </w:p>
    <w:p>
      <w:pPr>
        <w:spacing w:before="40" w:after="40"/>
        <w:pBdr>
          <w:bottom w:val="single" w:sz="6" w:space="1" w:color="AAAAAA"/>
        </w:pBdr>
      </w:pPr>
    </w:p>
    <w:p>
      <w:pPr>
        <w:pStyle w:val="Heading2"/>
        <w:spacing w:before="200" w:after="60"/>
      </w:pPr>
      <w:r>
        <w:t>2.2  Why India, China, and Japan Diverge in Real Time</w:t>
      </w:r>
    </w:p>
    <w:p>
      <w:pPr>
        <w:spacing w:before="40" w:after="80"/>
        <w:ind w:firstLine="0"/>
      </w:pPr>
      <w:r>
        <w:t>The same disruption  loss of access to Iranian crude combined with insurance market disruption and tanker routing constraints  is producing markedly different outcomes across Asian refiners. This section disaggregates the analysis to the firm level, since conflating firm-level performance into national narratives obscures the actual drivers of resilience. All data below represents preliminary estimates as of April 20, 2026, drawn from EIA, IEA, Bloomberg, and corporate disclosures publicly available through that date.</w:t>
      </w:r>
    </w:p>
    <w:p>
      <w:pPr>
        <w:pStyle w:val="Heading3"/>
        <w:spacing w:before="160" w:after="40"/>
      </w:pPr>
      <w:r>
        <w:t>India: IOC and Reliance Industries</w:t>
      </w:r>
    </w:p>
    <w:p>
      <w:pPr>
        <w:spacing w:before="40" w:after="80"/>
        <w:ind w:firstLine="0"/>
      </w:pPr>
      <w:r>
        <w:t>Indian Oil Corporation (IOC)  India's largest state-owned refiner, with refining capacity exceeding 1.4 million barrels per day across its Panipat, Paradip, and other facilities  had been systematically reducing Iranian crude exposure since 2019 under US sanctions pressure. By 2025, Iranian crude represented less than 2% of IOC's total crude intake. IOC had proactively developed alternative supply relationships with Saudi Aramco (via term contracts), Abu Dhabi National Oil Company (ADNOC), and US crude suppliers (via long-haul imports). When the March 2026 crisis hit, IOC activated existing contracts rather than entering new negotiations. The incremental cost premium of alternative crude was partially absorbed within IOC's existing hedging positions and working capital buffers.</w:t>
      </w:r>
    </w:p>
    <w:p>
      <w:pPr>
        <w:spacing w:before="40" w:after="80"/>
        <w:ind w:firstLine="0"/>
      </w:pPr>
      <w:r>
        <w:t>Reliance Industries' Jamnagar refinery complex  with a combined refining capacity of approximately 1.4 million barrels per day and a Nelson Complexity Index of 13+  is arguably the most flexible refinery complex in the world. Jamnagar was designed specifically to process multiple crude grades, including heavy and sour crudes, as a deliberate strategic choice to maximize procurement optionality. Reliance also operates one of the world's most sophisticated crude trading desks, giving it both the market intelligence to detect early signals of the crisis and the commercial infrastructure to respond within hours rather than weeks.</w:t>
      </w:r>
    </w:p>
    <w:p>
      <w:pPr>
        <w:spacing w:before="40" w:after="80"/>
        <w:ind w:firstLine="0"/>
      </w:pPr>
      <w:r>
        <w:t>Preliminary estimates  based on corporate disclosures and industry reporting through April 20, 2026  suggest IOC and Reliance collectively maintained approximately 75–80% of their planned crude throughput in the first two to three weeks of the crisis, with the gap primarily reflecting spot market premium costs rather than physical volume loss. Refinery utilization remained high at both IOC and Reliance, suggesting that the crude slate flexibility built into their refinery configurations successfully absorbed the grade shift. This outcome is consistent with Sheffi's resilience dimension of flexibility: operational optionality that can be deployed without costly reconfiguration.</w:t>
      </w:r>
    </w:p>
    <w:p>
      <w:pPr>
        <w:pStyle w:val="Heading3"/>
        <w:spacing w:before="160" w:after="40"/>
      </w:pPr>
      <w:r>
        <w:t>China: Sinopec and CNPC</w:t>
      </w:r>
    </w:p>
    <w:p>
      <w:pPr>
        <w:spacing w:before="40" w:after="80"/>
        <w:ind w:firstLine="0"/>
      </w:pPr>
      <w:r>
        <w:t>Sinopec (China Petroleum &amp; Chemical Corporation) and CNPC (China National Petroleum Corporation) face a more structurally constrained position. Iranian crude had been a larger share of their total crude intake  estimated at 5–7% for Sinopec's trading and refining operations  often under long-term supply agreements that included take-or-pay provisions. These agreements made immediate switching commercially painful: even if China shifted physical procurement away from Iran, payment obligations under existing contracts continued.</w:t>
      </w:r>
    </w:p>
    <w:p>
      <w:pPr>
        <w:spacing w:before="40" w:after="80"/>
        <w:ind w:firstLine="0"/>
      </w:pPr>
      <w:r>
        <w:t>CNPC's position is further complicated by its dual role as a commercial enterprise and a vehicle for Chinese state foreign policy. Chinese state policy toward Iran is embedded in broader Belt and Road Initiative logistics and diplomatic commitments that are not purely commercial in character. This political economy dimension constrained CNPC's ability to signal a rapid supplier shift even if commercial alternatives were available. Switching to Russian crude  the most proximate alternative  required extended commercial negotiations and, in some cases, government approvals for volume reallocations.</w:t>
      </w:r>
    </w:p>
    <w:p>
      <w:pPr>
        <w:spacing w:before="40" w:after="80"/>
        <w:ind w:firstLine="0"/>
      </w:pPr>
      <w:r>
        <w:t>Preliminary estimates as of April 20, 2026 suggest Sinopec and CNPC collectively recovered approximately 60–70% of their pre-crisis crude intake volume within the first four to six weeks of the disruption. Higher reliance on spot market purchases during the transition period incurred significant cost premiums  Bloomberg data on Chinese crude imports shows spot premium prices for alternative grades spiking to levels not seen since the 2022 Ukraine conflict period. This cost pressure is directly impacting refining margins, with Sinopec's Q1 2026 earnings guidance reflecting higher input cost assumptions than previously disclosed.</w:t>
      </w:r>
    </w:p>
    <w:p>
      <w:pPr>
        <w:pStyle w:val="Heading3"/>
        <w:spacing w:before="160" w:after="40"/>
      </w:pPr>
      <w:r>
        <w:t>Japan: Eneos and Idemitsu</w:t>
      </w:r>
    </w:p>
    <w:p>
      <w:pPr>
        <w:spacing w:before="40" w:after="80"/>
        <w:ind w:firstLine="0"/>
      </w:pPr>
      <w:r>
        <w:t>Japanese refiners  led by Eneos (the largest, formed from the merger of JX Holdings and TonenGeneral) and Idemitsu Kosan  provide a valuable third comparator. Japan has no direct Iranian crude dependency of material scale, as Japanese refiners reduced Iranian imports following the 2012 sanctions expansion and have maintained a more diversified crude slate anchored on Middle Eastern term contracts (Saudi Arabia, UAE, Kuwait) and growing US crude imports.</w:t>
      </w:r>
    </w:p>
    <w:p>
      <w:pPr>
        <w:spacing w:before="40" w:after="80"/>
        <w:ind w:firstLine="0"/>
      </w:pPr>
      <w:r>
        <w:t>More importantly, Japanese refiners maintain higher crude inventory buffers than their Asian peers  typically 14–20 days of crude inventory  as a national security mandate and earthquake resilience consideration. This buffer provided a natural absorbing layer for the 10-day rerouting delay. Japanese refiners also benefited from the US-Japan alliance, which gave them access to US crude imports (particularly mid-continental US grades from the Permian Basin) without the geopolitical complexity facing Chinese NOCs. Their crisis response was largely confined to activating existing term contracts and monitoring spot premiums  neither of which required the emergency reconfiguration that Chinese and, to a lesser extent, Indian refiners faced. This makes Japan a useful natural experiment: high inventory buffers, flexible crude slate, and geopolitical alignment produced minimal disruption impact.</w:t>
      </w:r>
    </w:p>
    <w:p>
      <w:pPr>
        <w:pStyle w:val="Heading3"/>
        <w:spacing w:before="160" w:after="40"/>
      </w:pPr>
      <w:r>
        <w:t>Alternative Explanations for the Divergence</w:t>
      </w:r>
    </w:p>
    <w:p>
      <w:pPr>
        <w:spacing w:before="40" w:after="80"/>
        <w:ind w:firstLine="0"/>
      </w:pPr>
      <w:r>
        <w:t>A rigorous case study must address competing explanations. The framing of this paper attributes the India-China divergence primarily to pre-crisis positioning (supplier relationships, refinery flexibility, inventory buffers, crisis playbooks, visibility). However, alternative explanations warrant consideration:</w:t>
      </w:r>
    </w:p>
    <w:p>
      <w:pPr>
        <w:pStyle w:val="ListBullet"/>
        <w:spacing w:before="20" w:after="20"/>
      </w:pPr>
      <w:r>
        <w:rPr>
          <w:b/>
        </w:rPr>
        <w:t xml:space="preserve">Political economy alignment: India's participation in the US-led Indo-Pacific Economic Framework (IPEF) and its broader strategic alignment with Washington made supplier diversification away from Iran commercially and diplomatically natural. China's state foreign policy constraints are not purely commercial and cannot be resolved by firm-level resilience investments alone. </w:t>
      </w:r>
      <w:r>
        <w:t>Sanctions history: Indian refiners had already reduced Iranian crude exposure since 2019, making the 2026 shift a continuation of an existing trajectory rather than a new disruption response. Chinese NOCs had maintained or increased Iran exposure as a geopolitical strategy, making the shift genuinely disruptive rather than incremental.</w:t>
      </w:r>
    </w:p>
    <w:p>
      <w:pPr>
        <w:pStyle w:val="ListBullet"/>
        <w:spacing w:before="20" w:after="20"/>
      </w:pPr>
      <w:r>
        <w:rPr>
          <w:b/>
        </w:rPr>
        <w:t xml:space="preserve">Take-or-pay contract structures: Chinese long-term Iranian supply agreements included take-or-pay provisions that created commercial lock-in. India's pre-crisis supplier relationships with Saudi Arabia and Russia were structured without equivalent lock-in, making activation cleaner. </w:t>
      </w:r>
      <w:r>
        <w:t>OPEC+ spare capacity timing: The crisis hit during a period of relatively high global spare capacity (3–4 mb/d). All Asian buyers had alternatives in principle; the differential outcome reflects firm-level execution of alternatives, not their absence.</w:t>
      </w:r>
    </w:p>
    <w:p>
      <w:pPr>
        <w:spacing w:before="40" w:after="80"/>
        <w:ind w:firstLine="0"/>
      </w:pPr>
      <w:r>
        <w:t>These alternative explanations do not invalidate the pre-crisis positioning framework but they do suggest that the India-China comparison cannot be reduced purely to firm-level resilience decisions. Institutional context  sanctions history, geopolitical alignment, contract structure  shapes what resilience options are even available to a firm.</w:t>
      </w:r>
    </w:p>
    <w:p>
      <w:pPr>
        <w:spacing w:before="40" w:after="40"/>
        <w:pBdr>
          <w:bottom w:val="single" w:sz="6" w:space="1" w:color="AAAAAA"/>
        </w:pBdr>
      </w:pPr>
    </w:p>
    <w:p>
      <w:pPr>
        <w:pStyle w:val="Heading2"/>
        <w:spacing w:before="200" w:after="60"/>
      </w:pPr>
      <w:r>
        <w:t>2.3  What Advance Preparation Actually Mattered  Applied to Sheffi's Framework</w:t>
      </w:r>
    </w:p>
    <w:p>
      <w:pPr>
        <w:spacing w:before="40" w:after="80"/>
        <w:ind w:firstLine="0"/>
      </w:pPr>
      <w:r>
        <w:t>Yossi Sheffi's The Resilient Enterprise identifies five dimensions of supply chain resilience: redundancy, flexibility, awareness, adaptability, and organizational capabilities. Mapping these to the 2026 Iran crisis observations produces a practitioner-aligned framework for assessing resilience investment priorities: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Sheffi Dimension</w:t>
            </w:r>
          </w:p>
        </w:tc>
        <w:tc>
          <w:tcPr>
            <w:tcW w:type="dxa" w:w="2880"/>
          </w:tcPr>
          <w:p>
            <w:r>
              <w:rPr>
                <w:b/>
              </w:rPr>
              <w:t>Iran 2026 Observation</w:t>
            </w:r>
          </w:p>
        </w:tc>
        <w:tc>
          <w:tcPr>
            <w:tcW w:type="dxa" w:w="2880"/>
          </w:tcPr>
          <w:p>
            <w:r>
              <w:rPr>
                <w:b/>
              </w:rPr>
              <w:t>Firms That Benefited</w:t>
            </w:r>
          </w:p>
        </w:tc>
      </w:tr>
      <w:tr>
        <w:tc>
          <w:tcPr>
            <w:tcW w:type="dxa" w:w="2880"/>
          </w:tcPr>
          <w:p>
            <w:r>
              <w:t>Redundancy</w:t>
            </w:r>
          </w:p>
        </w:tc>
        <w:tc>
          <w:tcPr>
            <w:tcW w:type="dxa" w:w="2880"/>
          </w:tcPr>
          <w:p>
            <w:r>
              <w:t>Inventory buffers (14+ days) absorbed 10-day rerouting delay without emergency procurement</w:t>
            </w:r>
          </w:p>
        </w:tc>
        <w:tc>
          <w:tcPr>
            <w:tcW w:type="dxa" w:w="2880"/>
          </w:tcPr>
          <w:p>
            <w:r>
              <w:t>IOC (strategic reserves); Japanese refiners (national security inventories)</w:t>
            </w:r>
          </w:p>
        </w:tc>
      </w:tr>
      <w:tr>
        <w:tc>
          <w:tcPr>
            <w:tcW w:type="dxa" w:w="2880"/>
          </w:tcPr>
          <w:p>
            <w:r>
              <w:t>Flexibility</w:t>
            </w:r>
          </w:p>
        </w:tc>
        <w:tc>
          <w:tcPr>
            <w:tcW w:type="dxa" w:w="2880"/>
          </w:tcPr>
          <w:p>
            <w:r>
              <w:t>Refinery crude slate designed for multiple grades; Jamnagar's NCI 13+ configuration allowed grade switching without major throughput loss</w:t>
            </w:r>
          </w:p>
        </w:tc>
        <w:tc>
          <w:tcPr>
            <w:tcW w:type="dxa" w:w="2880"/>
          </w:tcPr>
          <w:p>
            <w:r>
              <w:t>Reliance Industries; Japanese refiners with complex configurations</w:t>
            </w:r>
          </w:p>
        </w:tc>
      </w:tr>
      <w:tr>
        <w:tc>
          <w:tcPr>
            <w:tcW w:type="dxa" w:w="2880"/>
          </w:tcPr>
          <w:p>
            <w:r>
              <w:t>Awareness</w:t>
            </w:r>
          </w:p>
        </w:tc>
        <w:tc>
          <w:tcPr>
            <w:tcW w:type="dxa" w:w="2880"/>
          </w:tcPr>
          <w:p>
            <w:r>
              <w:t>Real-time AIS tracking via Kpler/MarineTraffic detected vessel rerouting 24–48 hours before official reports; early warning enabled proactive procurement</w:t>
            </w:r>
          </w:p>
        </w:tc>
        <w:tc>
          <w:tcPr>
            <w:tcW w:type="dxa" w:w="2880"/>
          </w:tcPr>
          <w:p>
            <w:r>
              <w:t>Reliance's trading desk; IOC with government intelligence access</w:t>
            </w:r>
          </w:p>
        </w:tc>
      </w:tr>
      <w:tr>
        <w:tc>
          <w:tcPr>
            <w:tcW w:type="dxa" w:w="2880"/>
          </w:tcPr>
          <w:p>
            <w:r>
              <w:t>Adaptability</w:t>
            </w:r>
          </w:p>
        </w:tc>
        <w:tc>
          <w:tcPr>
            <w:tcW w:type="dxa" w:w="2880"/>
          </w:tcPr>
          <w:p>
            <w:r>
              <w:t>Pre-established alternative supplier relationships (Saudi Aramco, ADNOC, US crude) activated within days; no new negotiation required</w:t>
            </w:r>
          </w:p>
        </w:tc>
        <w:tc>
          <w:tcPr>
            <w:tcW w:type="dxa" w:w="2880"/>
          </w:tcPr>
          <w:p>
            <w:r>
              <w:t>IOC; Japanese refiners with diversified term contracts</w:t>
            </w:r>
          </w:p>
        </w:tc>
      </w:tr>
      <w:tr>
        <w:tc>
          <w:tcPr>
            <w:tcW w:type="dxa" w:w="2880"/>
          </w:tcPr>
          <w:p>
            <w:r>
              <w:t>Organizational Capabilities</w:t>
            </w:r>
          </w:p>
        </w:tc>
        <w:tc>
          <w:tcPr>
            <w:tcW w:type="dxa" w:w="2880"/>
          </w:tcPr>
          <w:p>
            <w:r>
              <w:t>Crisis decision protocols with pre-authorized decision authority enabled 24–72 hour supplier shifts without multi-week approval chains</w:t>
            </w:r>
          </w:p>
        </w:tc>
        <w:tc>
          <w:tcPr>
            <w:tcW w:type="dxa" w:w="2880"/>
          </w:tcPr>
          <w:p>
            <w:r>
              <w:t>Reliance's trading desk (commercial authority); IOC (state mandate with pre-authorized crisis protocols)</w:t>
            </w:r>
          </w:p>
        </w:tc>
      </w:tr>
    </w:tbl>
    <w:p/>
    <w:p>
      <w:pPr>
        <w:spacing w:before="40" w:after="80"/>
        <w:ind w:firstLine="0"/>
      </w:pPr>
      <w:r>
        <w:t>This mapping demonstrates that Sheffi's framework is not merely a conceptual taxonomy  it is an operational diagnostic. Firms that had invested in all five dimensions recovered to near-normal operations within 2–3 weeks. Firms that had invested in some but not all dimensions faced extended recovery periods. This directly supports Sheffi's core argument: resilience is the compound result of deliberate architectural investments, not emergency response speed.</w:t>
      </w:r>
    </w:p>
    <w:p>
      <w:pPr>
        <w:spacing w:before="40" w:after="80"/>
        <w:ind w:firstLine="0"/>
      </w:pPr>
      <w:r>
        <w:t>Sodhi and Tang (2012) provide a complementary taxonomy. They categorize supply chain risks into: (1) disruption risks  sudden, external, extended-duration events like geopolitical conflicts; (2) supply risks  uncertainty in quality, quantity, or timing of supply; (3) demand risks  uncertainty in downstream demand. The 2026 Iran crisis is unambiguously a disruption risk in Sodhi and Tang's framework  sudden onset, external cause, potentially extended duration  rather than a supply risk (the alternative crude physically exists) or a demand risk. The implication: disruption risks require different mitigation approaches than supply or demand uncertainty. Redundancy and flexibility are the appropriate responses to disruption risk, while supply risk is better addressed through supplier management and contracts. This distinction explains why hedging instruments (futures, options, swaps)  the standard tool for price risk  did not protect Chinese refiners from physical supply disruption: those instruments address price, not availability.</w:t>
      </w:r>
    </w:p>
    <w:p>
      <w:pPr>
        <w:spacing w:before="40" w:after="40"/>
        <w:pBdr>
          <w:bottom w:val="single" w:sz="6" w:space="1" w:color="AAAAAA"/>
        </w:pBdr>
      </w:pPr>
    </w:p>
    <w:p>
      <w:pPr>
        <w:pStyle w:val="Heading1"/>
        <w:spacing w:before="280" w:after="80"/>
      </w:pPr>
      <w:r>
        <w:t>PART III: WHAT TO PREPARE FOR  A RESILIENCE AUDIT FRAMEWORK</w:t>
      </w:r>
    </w:p>
    <w:p>
      <w:pPr>
        <w:pStyle w:val="Heading2"/>
        <w:spacing w:before="200" w:after="60"/>
      </w:pPr>
      <w:r>
        <w:t>3.1  Physical Supply Risks</w:t>
      </w:r>
    </w:p>
    <w:p>
      <w:pPr>
        <w:spacing w:before="40" w:after="80"/>
        <w:ind w:firstLine="0"/>
      </w:pPr>
      <w:r>
        <w:t>The 2026 crisis demonstrated that physical supply risks are multi-layered and interact in non-obvious ways. A comprehensive audit should cover:</w:t>
      </w:r>
    </w:p>
    <w:p>
      <w:pPr>
        <w:pStyle w:val="ListBullet"/>
        <w:spacing w:before="20" w:after="20"/>
      </w:pPr>
      <w:r>
        <w:t>Crude grade mapping: Which crude grades can your refineries actually process at near-full throughput  not just theoretically but at current operating conditions? Use your refinery's Nelson Complexity Index and crude assay data to map input flexibility. Target: minimum 2–3 viable crude grades per refinery unit.</w:t>
      </w:r>
    </w:p>
    <w:p>
      <w:pPr>
        <w:pStyle w:val="ListBullet"/>
        <w:spacing w:before="20" w:after="20"/>
      </w:pPr>
      <w:r>
        <w:t>Supplier alternative assessment: Identify three alternative suppliers for each major crude grade you process. Establish baseline contracts at minimum viable volumes  even 10,000 barrels per day of a backup contract provides the activation path you need in a crisis. New negotiations in a crisis take 3–6 weeks; pre-established relationships activate in 3–6 days.</w:t>
      </w:r>
    </w:p>
    <w:p>
      <w:pPr>
        <w:pStyle w:val="ListBullet"/>
        <w:spacing w:before="20" w:after="20"/>
      </w:pPr>
      <w:r>
        <w:t>Inventory buffer assessment: What is your current crude inventory in days of forward supply? IEA data suggests 14+ days provides adequate buffer for a 10–14 day disruption event. If you are operating below 10 days, this is a material resilience risk.</w:t>
      </w:r>
    </w:p>
    <w:p>
      <w:pPr>
        <w:pStyle w:val="ListBullet"/>
        <w:spacing w:before="20" w:after="20"/>
      </w:pPr>
      <w:r>
        <w:t>Logistics chokepoint mapping: Beyond Hormuz, map your exposure to other single-points-of-failure: the Suez Canal (12–14% of global seaborne trade), the Bab-el-Mandeb Strait, the Strait of Malacca. What is your rerouting plan for each?</w:t>
      </w:r>
    </w:p>
    <w:p>
      <w:pPr>
        <w:pStyle w:val="Heading2"/>
        <w:spacing w:before="200" w:after="60"/>
      </w:pPr>
      <w:r>
        <w:t>3.2  Financial Market Risks</w:t>
      </w:r>
    </w:p>
    <w:p>
      <w:pPr>
        <w:spacing w:before="40" w:after="80"/>
        <w:ind w:firstLine="0"/>
      </w:pPr>
      <w:r>
        <w:t>Physical supply disruptions always have financial consequences. Preparation should include:</w:t>
      </w:r>
    </w:p>
    <w:p>
      <w:pPr>
        <w:pStyle w:val="ListBullet"/>
        <w:spacing w:before="20" w:after="20"/>
      </w:pPr>
      <w:r>
        <w:t>Hedging position audit: Are you hedged against price spikes (Brent above $100)? Against supply loss specifically  not just price? Standard commodity hedges (futures, swaps) cover price; they do not cover the scenario where alternative crude is physically available but at a $15–20/barrel premium to your budget assumption.</w:t>
      </w:r>
    </w:p>
    <w:p>
      <w:pPr>
        <w:pStyle w:val="ListBullet"/>
        <w:spacing w:before="20" w:after="20"/>
      </w:pPr>
      <w:r>
        <w:t>War risk insurance alternatives: As the 2026 crisis demonstrated, war risk insurance can become unavailable or prohibitively expensive at precisely the moment you need it most. Some companies responded by chartering their own vessels (self-insuring), which requires owning or having access to VLCC tonnage. Others established contingent freight agreements with tanker owners that include pre-agreed war risk pricing. What is your contingency plan if insurance is unavailable at any price?</w:t>
      </w:r>
    </w:p>
    <w:p>
      <w:pPr>
        <w:pStyle w:val="ListBullet"/>
        <w:spacing w:before="20" w:after="20"/>
      </w:pPr>
      <w:r>
        <w:t>Currency risk on alternative suppliers: Switching to US crude or alternative Middle Eastern grades may shift your payment currency exposure. USD-denominated crude procurement is standard, but alternative suppliers (West African, Russian) may introduce RMB, EUR, or other currency exposure that your treasury function must be prepared to manage.</w:t>
      </w:r>
    </w:p>
    <w:p>
      <w:pPr>
        <w:pStyle w:val="Heading2"/>
        <w:spacing w:before="200" w:after="60"/>
      </w:pPr>
      <w:r>
        <w:t>3.3  Information Risks  The Visibility Investment</w:t>
      </w:r>
    </w:p>
    <w:p>
      <w:pPr>
        <w:spacing w:before="40" w:after="80"/>
        <w:ind w:firstLine="0"/>
      </w:pPr>
      <w:r>
        <w:t>The visibility gap between firms that detected early warning signals and those that reacted after disruption had already cascaded was a primary determinant of response speed. Choi, Rogers, and Vakil's framework emphasizes that supply chain visibility is not a technology investment  it is an organizational capability. Specific investments that matter:</w:t>
      </w:r>
    </w:p>
    <w:p>
      <w:pPr>
        <w:pStyle w:val="ListBullet"/>
        <w:spacing w:before="20" w:after="20"/>
      </w:pPr>
      <w:r>
        <w:t>AIS/vessel tracking: Platforms like Kpler, MarineTraffic, and Bloomberg Shipping provide real-time vessel movement data. Monitoring VLCC routing decisions (which vessels are diverting from Hormuz to Cape routes) provides 24–48 hours of early warning before official reports confirm the supply impact.</w:t>
      </w:r>
    </w:p>
    <w:p>
      <w:pPr>
        <w:pStyle w:val="ListBullet"/>
        <w:spacing w:before="20" w:after="20"/>
      </w:pPr>
      <w:r>
        <w:t>Insurance market monitoring: Lloyd's Market Association weekly bulletins and Marsh's war risk insurance market reports provide advance signals of insurance market stress. Establishing a monitoring protocol for these reports  and an internal threshold for when insurance premium movements trigger crisis activation  closes the visibility gap.</w:t>
      </w:r>
    </w:p>
    <w:p>
      <w:pPr>
        <w:pStyle w:val="ListBullet"/>
        <w:spacing w:before="20" w:after="20"/>
      </w:pPr>
      <w:r>
        <w:t>Peer intelligence: Monitoring competitor refinery utilization rates, crude procurement announcements, and earnings call language during crisis periods provides market intelligence that supplements direct visibility. When Sinopec's procurement team shifts to spot market purchases, the market signal of tightening alternative supply is available before physical delivery data confirms it.</w:t>
      </w:r>
    </w:p>
    <w:p>
      <w:pPr>
        <w:pStyle w:val="Heading2"/>
        <w:spacing w:before="200" w:after="60"/>
      </w:pPr>
      <w:r>
        <w:t>3.4  Organizational Risks  The Decision Latency Problem</w:t>
      </w:r>
    </w:p>
    <w:p>
      <w:pPr>
        <w:spacing w:before="40" w:after="80"/>
        <w:ind w:firstLine="0"/>
      </w:pPr>
      <w:r>
        <w:t>The most commonly overlooked resilience factor is organizational: decision latency. The 2026 Iran crisis generated a specific supply disruption timeline: insurance market freeze within 48 hours, physical rerouting within 72 hours, refinery supply impact within 7–10 days. Firms that could activate alternative supplier contracts within 24–72 hours recovered quickly. Firms that required multi-week approval chains to execute new supplier arrangements  or to deviate from existing take-or-pay contracts  faced extended exposure.</w:t>
      </w:r>
    </w:p>
    <w:p>
      <w:pPr>
        <w:pStyle w:val="ListBullet"/>
        <w:spacing w:before="20" w:after="20"/>
      </w:pPr>
      <w:r>
        <w:t>Pre-authorized decision protocols: Who in your organization has authority to activate an alternative supplier contract without additional approval? At what contracting threshold? These decisions must be made and documented before a crisis, not during one.</w:t>
      </w:r>
    </w:p>
    <w:p>
      <w:pPr>
        <w:pStyle w:val="ListBullet"/>
        <w:spacing w:before="20" w:after="20"/>
      </w:pPr>
      <w:r>
        <w:t>Cross-functional crisis team alignment: Procurement, refining operations, trading, treasury, and executive leadership must share a common operating picture during a crisis. Establishing this alignment in advance  through joint crisis simulations and clear communication protocols  eliminates the coordination latency that costs firms 24–72 hours of response time in the critical early window.</w:t>
      </w:r>
    </w:p>
    <w:p>
      <w:pPr>
        <w:pStyle w:val="ListBullet"/>
        <w:spacing w:before="20" w:after="20"/>
      </w:pPr>
      <w:r>
        <w:t>Supplier activation SLAs: For each pre-established alternative supplier relationship, what are the activation terms? Minimum volume, lead time, pricing mechanism? These terms must be agreed in advance. A supplier relationship without pre-agreed activation terms is not a resilience asset  it is a theoretical option that cannot be exercised under crisis pressure.</w:t>
      </w:r>
    </w:p>
    <w:p>
      <w:pPr>
        <w:spacing w:before="40" w:after="40"/>
        <w:pBdr>
          <w:bottom w:val="single" w:sz="6" w:space="1" w:color="AAAAAA"/>
        </w:pBdr>
      </w:pPr>
    </w:p>
    <w:p>
      <w:pPr>
        <w:pStyle w:val="Heading1"/>
        <w:spacing w:before="280" w:after="80"/>
      </w:pPr>
      <w:r>
        <w:t>PART IV: WHAT TO DO WHEN IT HAPPENS  OIL-SPECIFIC RESPONSE PROTOCOL</w:t>
      </w:r>
    </w:p>
    <w:p>
      <w:pPr>
        <w:spacing w:before="40" w:after="80"/>
        <w:ind w:firstLine="0"/>
      </w:pPr>
      <w:r>
        <w:t>Standard crisis management timelines (Hour 0–24, Hour 24–72, Day 3–14) are industry-agnostic. The oil refining sector has specific early warning indicators, decision points, and response options that should replace generic crisis protocols.</w:t>
      </w:r>
    </w:p>
    <w:p>
      <w:pPr>
        <w:pStyle w:val="Heading2"/>
        <w:spacing w:before="200" w:after="60"/>
      </w:pPr>
      <w:r>
        <w:t>4.1  Early Warning Indicators (Monitor Continuously)</w:t>
      </w:r>
    </w:p>
    <w:p>
      <w:pPr>
        <w:pStyle w:val="ListBullet"/>
        <w:spacing w:before="20" w:after="20"/>
      </w:pPr>
      <w:r>
        <w:t>Tanker routing signals: VLCC vessels diverting from Gulf routing to Cape of Good Hope routing  visible in real-time via AIS tracking platforms  are the fastest physical signal of Hormuz disruption onset. A 10-vessel rerouting event in a single weekend is a material early warning signal, not a noise.</w:t>
      </w:r>
    </w:p>
    <w:p>
      <w:pPr>
        <w:pStyle w:val="ListBullet"/>
        <w:spacing w:before="20" w:after="20"/>
      </w:pPr>
      <w:r>
        <w:t>War risk insurance premium movements: Lloyd's weekly war risk premium index spikes of more than 50% week-over-week indicate market stress. A doubling within a single reporting period should trigger internal crisis team activation.</w:t>
      </w:r>
    </w:p>
    <w:p>
      <w:pPr>
        <w:pStyle w:val="ListBullet"/>
        <w:spacing w:before="20" w:after="20"/>
      </w:pPr>
      <w:r>
        <w:t>Brent backwardation dynamics: When front-month Brent trades at a premium of more than $3–4 per barrel over 6-month Brent (a backwardation of &gt;$3), it indicates the market is pricing near-term supply tightness  a leading indicator of physical disruption, not just price speculation. Monitor the Brent 1-month/6-month spread continuously.</w:t>
      </w:r>
    </w:p>
    <w:p>
      <w:pPr>
        <w:pStyle w:val="ListBullet"/>
        <w:spacing w:before="20" w:after="20"/>
      </w:pPr>
      <w:r>
        <w:t>VLCC spot rate differentials: LR2 and VLCC spot rates for Cape-routed voyages diverging sharply from Hormuz-routed equivalents signals the market已经开始 pricing rerouting costs. This differential typically precedes physical supply adjustments by 3–5 days.</w:t>
      </w:r>
    </w:p>
    <w:p>
      <w:pPr>
        <w:pStyle w:val="ListBullet"/>
        <w:spacing w:before="20" w:after="20"/>
      </w:pPr>
      <w:r>
        <w:t>OPEC+ extraordinary session signals: Extraordinary OPEC+ ministerial meetings or statements from Saudi Arabia, UAE, or Russia indicating supply availability concerns precede actual policy decisions. These communications should be monitored as early warning signals, not just reactive data points.</w:t>
      </w:r>
    </w:p>
    <w:p>
      <w:pPr>
        <w:pStyle w:val="Heading2"/>
        <w:spacing w:before="200" w:after="60"/>
      </w:pPr>
      <w:r>
        <w:t>4.2  Hour 0–24: Assess</w:t>
      </w:r>
    </w:p>
    <w:p>
      <w:pPr>
        <w:spacing w:before="40" w:after="80"/>
        <w:ind w:firstLine="0"/>
      </w:pPr>
      <w:r>
        <w:t>Confirm the nature of the disruption: Is the supply disruption physical (vessel loss, port closure), financial (insurance withdrawal, payment system disruption), or political (sanctions escalation, diplomatic rupture)? Each requires a different response. Activate the internal crisis team. Establish a common operating picture across procurement, refining, trading, treasury, and executive leadership. Initiate real-time monitoring of AIS vessel tracking for your in-transit cargoes.</w:t>
      </w:r>
    </w:p>
    <w:p>
      <w:pPr>
        <w:pStyle w:val="Heading2"/>
        <w:spacing w:before="200" w:after="60"/>
      </w:pPr>
      <w:r>
        <w:t>4.3  Hour 24–72: Respond</w:t>
      </w:r>
    </w:p>
    <w:p>
      <w:pPr>
        <w:spacing w:before="40" w:after="80"/>
        <w:ind w:firstLine="0"/>
      </w:pPr>
      <w:r>
        <w:t>Activate pre-established alternative supplier contracts. Activate minimum-volume backup supplier relationships even if not currently used. Initiate inventory drawdown protocol to extend supply runway while alternative procurement is activated. Brief treasury on currency and hedging implications of alternative supplier procurement. Begin communication with financial markets (investor relations, credit counterparties) on expected impact  proactive disclosure is always better than reactive clarification.</w:t>
      </w:r>
    </w:p>
    <w:p>
      <w:pPr>
        <w:pStyle w:val="Heading2"/>
        <w:spacing w:before="200" w:after="60"/>
      </w:pPr>
      <w:r>
        <w:t>4.4  Day 3–14: Manage</w:t>
      </w:r>
    </w:p>
    <w:p>
      <w:pPr>
        <w:spacing w:before="40" w:after="80"/>
        <w:ind w:firstLine="0"/>
      </w:pPr>
      <w:r>
        <w:t>Assess duration: Is this a 2-week disruption or a 3-month disruption? The answer determines whether inventory drawdown is the primary tool or whether structural supply reconfiguration is required. For disruptions assessed as temporary (under 30 days): maintain inventory drawdown, activate spot procurement only for incremental gaps, do not restructure supplier base. For disruptions assessed as extended: initiate formal supplier base restructuring, execute new term contracts with alternative suppliers, consider whether current supplier contract terms (including take-or-pay provisions) require commercial renegotiation. Evaluate hedging positions against updated supply scenario and adjust if warranted.</w:t>
      </w:r>
    </w:p>
    <w:p>
      <w:pPr>
        <w:pStyle w:val="Heading2"/>
        <w:spacing w:before="200" w:after="60"/>
      </w:pPr>
      <w:r>
        <w:t>4.5  Day 14+: Normalize</w:t>
      </w:r>
    </w:p>
    <w:p>
      <w:pPr>
        <w:spacing w:before="40" w:after="80"/>
        <w:ind w:firstLine="0"/>
      </w:pPr>
      <w:r>
        <w:t>Either transition back to pre-crisis supplier base as conditions normalize, or plan for new-normal operations if the disruption is structural (sanctions regime change, geopolitical realignment). Conduct post-crisis review against the Sheffi five-dimension framework: which dimensions performed well, which revealed gaps? Update crisis playbooks with actual performance data. Adjust inventory buffer targets if the event revealed buffer levels were inadequate.</w:t>
      </w:r>
    </w:p>
    <w:p>
      <w:pPr>
        <w:spacing w:before="40" w:after="40"/>
        <w:pBdr>
          <w:bottom w:val="single" w:sz="6" w:space="1" w:color="AAAAAA"/>
        </w:pBdr>
      </w:pPr>
    </w:p>
    <w:p>
      <w:pPr>
        <w:pStyle w:val="Heading1"/>
        <w:spacing w:before="280" w:after="80"/>
      </w:pPr>
      <w:r>
        <w:t>PART V: FRAMEWORK APPLICATION  FULL MAPPING</w:t>
      </w:r>
    </w:p>
    <w:p>
      <w:pPr>
        <w:pStyle w:val="Heading2"/>
        <w:spacing w:before="200" w:after="60"/>
      </w:pPr>
      <w:r>
        <w:t>5.1  Sheffi, Sodhi/Tang, and Choi et al. Applied to the Iran 2026 Case</w:t>
      </w:r>
    </w:p>
    <w:p>
      <w:pPr>
        <w:spacing w:before="40" w:after="80"/>
        <w:ind w:firstLine="0"/>
      </w:pPr>
      <w:r>
        <w:t>This section provides the systematic framework application that distinguishes an academic case study from an industry report. For OPIM 626, applying the course frameworks to the case facts is the intellectual core of the assignment.</w:t>
      </w:r>
    </w:p>
    <w:p>
      <w:pPr>
        <w:pStyle w:val="Heading3"/>
        <w:spacing w:before="160" w:after="40"/>
      </w:pPr>
      <w:r>
        <w:t>Sheffi: The Resilient Enterprise  Five Dimensions Applied</w:t>
      </w:r>
    </w:p>
    <w:p>
      <w:pPr>
        <w:spacing w:before="40" w:after="80"/>
        <w:ind w:firstLine="0"/>
      </w:pPr>
      <w:r>
        <w:t>Sheffi identifies five dimensions of organizational resilience that map to the 2026 Iran crisis as follows:</w:t>
      </w:r>
    </w:p>
    <w:p>
      <w:pPr>
        <w:spacing w:before="40" w:after="80"/>
        <w:ind w:firstLine="0"/>
      </w:pPr>
      <w:r>
        <w:rPr>
          <w:b/>
        </w:rPr>
        <w:t xml:space="preserve">Redundancy: </w:t>
      </w:r>
      <w:r>
        <w:t>Redundancy (excess capacity or inventory that can substitute for disrupted resources): Inventory buffers of 14+ days provided the absorbing layer that prevented immediate refinery runout when tanker rerouting added 10 days to transit time. Indian state-owned refiners and Japanese refiners  who maintain strategic reserves as national security infrastructure  demonstrated the value of redundancy. Chinese commercial refiners, operating on tighter inventory norms, had less absorbing capacity and were more exposed to the physical supply delay.</w:t>
      </w:r>
    </w:p>
    <w:p>
      <w:pPr>
        <w:spacing w:before="40" w:after="80"/>
        <w:ind w:firstLine="0"/>
      </w:pPr>
      <w:r>
        <w:rPr>
          <w:b/>
        </w:rPr>
        <w:t xml:space="preserve">Flexibility: </w:t>
      </w:r>
      <w:r>
        <w:t>Flexibility (ability to reconfigure operations to use alternative resources without significant cost or time penalty): Refinery crude slate flexibility  the ability to process Saudi Arab Light, US WTI, or Russian Urals without major throughput loss  directly determined which firms could activate alternative supply quickly. Reliance's Jamnagar complex, designed for maximum crude flexibility, absorbed the grade switch with minimal throughput impact. Simpler refineries faced 2–4 weeks of reduced throughput as they adjusted refinery operations to available crude grades.</w:t>
      </w:r>
    </w:p>
    <w:p>
      <w:pPr>
        <w:spacing w:before="40" w:after="80"/>
        <w:ind w:firstLine="0"/>
      </w:pPr>
      <w:r>
        <w:rPr>
          <w:b/>
        </w:rPr>
        <w:t xml:space="preserve">Awareness: </w:t>
      </w:r>
      <w:r>
        <w:t>Awareness (real-time knowledge of supply chain conditions before disruption cascades): Real-time AIS tracking via commercial platforms (Kpler, MarineTraffic) provided 24–48 hours of early warning before the physical supply impact reached refinery gates. Firms with trading desks monitoring these systems detected vessel rerouting in near-real-time. Firms without this visibility only detected the disruption when their refinery supply position deteriorated  a 48–72 hour late start in a crisis where every hour matters.</w:t>
      </w:r>
    </w:p>
    <w:p>
      <w:pPr>
        <w:spacing w:before="40" w:after="80"/>
        <w:ind w:firstLine="0"/>
      </w:pPr>
      <w:r>
        <w:rPr>
          <w:b/>
        </w:rPr>
        <w:t xml:space="preserve">Adaptability: </w:t>
      </w:r>
      <w:r>
        <w:t>Adaptability (ability to reconfigure supply chain network and sourcing when conditions change): Pre-established relationships with alternative suppliers (Saudi Aramco, ADNOC, US crude exporters) that could be activated without new negotiations were the clearest differentiator between Indian and Chinese refiner responses. In a crisis, new negotiations take weeks; pre-agreed contracts activate in days.</w:t>
      </w:r>
    </w:p>
    <w:p>
      <w:pPr>
        <w:spacing w:before="40" w:after="80"/>
        <w:ind w:firstLine="0"/>
      </w:pPr>
      <w:r>
        <w:rPr>
          <w:b/>
        </w:rPr>
        <w:t xml:space="preserve">Organizational: </w:t>
      </w:r>
      <w:r>
        <w:t>Organizational capabilities (decision authority, cross-functional alignment, crisis playbooks): Crisis response speed was determined not just by having alternative options but by having pre-authorized decision protocols to activate them. Reliance's trading desk has commercial authority to execute supplier shifts within hours. State-owned NOCs with multi-layer approval chains were slower to activate even the alternatives they had available. The organizational capability dimension explains why pre-positioned options were not always exploited as quickly as theory would predict.</w:t>
      </w:r>
    </w:p>
    <w:p>
      <w:pPr>
        <w:pStyle w:val="Heading3"/>
        <w:spacing w:before="160" w:after="40"/>
      </w:pPr>
      <w:r>
        <w:t>Sodhi and Tang: Risk Taxonomy Applied</w:t>
      </w:r>
    </w:p>
    <w:p>
      <w:pPr>
        <w:spacing w:before="40" w:after="80"/>
        <w:ind w:firstLine="0"/>
      </w:pPr>
      <w:r>
        <w:t>Sodhi and Tang's taxonomy of supply chain risks provides a critical analytical distinction that the crisis response must address:</w:t>
      </w:r>
    </w:p>
    <w:p>
      <w:pPr>
        <w:spacing w:before="40" w:after="80"/>
        <w:ind w:firstLine="0"/>
      </w:pPr>
      <w:r>
        <w:t>The 2026 Iran disruption is a disruption risk (Sodhi and Tang's Category 1)  a sudden, external, potentially extended-duration event originating outside the firm's supply chain. This classification matters because disruption risks require different mitigation instruments than supply risks or demand risks:</w:t>
      </w:r>
    </w:p>
    <w:p>
      <w:pPr>
        <w:pStyle w:val="ListBullet"/>
        <w:spacing w:before="20" w:after="20"/>
      </w:pPr>
      <w:r>
        <w:t>Disruption risks → mitigate with redundancy and flexibility (Sheffi). Hedging instruments (futures, options) address price risk but not availability risk. Chinese refiners that had heavily hedged Brent crude price risk still faced physical supply disruption because their hedges did not cover the scenario of alternative crude being physically available but at $15–20/barrel premium with 10-day delivery delay.</w:t>
      </w:r>
    </w:p>
    <w:p>
      <w:pPr>
        <w:pStyle w:val="ListBullet"/>
        <w:spacing w:before="20" w:after="20"/>
      </w:pPr>
      <w:r>
        <w:t>Supply risks → mitigate with supplier management, quality controls, and contractual provisions. Not the primary risk type here, but relevant to the refinery crude slate problem (supply risk of wrong-grade crude).</w:t>
      </w:r>
    </w:p>
    <w:p>
      <w:pPr>
        <w:pStyle w:val="ListBullet"/>
        <w:spacing w:before="20" w:after="20"/>
      </w:pPr>
      <w:r>
        <w:t>Demand risks → not directly relevant to this case, though product demand destruction ( refineries reducing throughput) could create downstream demand uncertainty.</w:t>
      </w:r>
    </w:p>
    <w:p>
      <w:pPr>
        <w:pStyle w:val="Heading3"/>
        <w:spacing w:before="160" w:after="40"/>
      </w:pPr>
      <w:r>
        <w:t>Choi, Rogers, and Vakil: Visibility Framework Applied</w:t>
      </w:r>
    </w:p>
    <w:p>
      <w:pPr>
        <w:spacing w:before="40" w:after="80"/>
        <w:ind w:firstLine="0"/>
      </w:pPr>
      <w:r>
        <w:t>Choi, Rogers, and Vakil (2020) argue that supply chain resilience after COVID-19 requires visibility into tier-2 and tier-3 supply chains  not just direct tier-1 suppliers. The 2026 Iran crisis validates this argument and extends it:</w:t>
      </w:r>
    </w:p>
    <w:p>
      <w:pPr>
        <w:spacing w:before="40" w:after="80"/>
        <w:ind w:firstLine="0"/>
      </w:pPr>
      <w:r>
        <w:t>In the oil refining supply chain, tier-2 includes shipping (vessel operators, AIS tracking), tier-3 includes financial infrastructure (insurance, banking, clearing), and tier-4 includes geopolitical risk that affects both. The visibility gap in this crisis was not between refiners and their crude suppliers (tier-1)  refiners knew who their suppliers were  but between refiners and the financial and logistical infrastructure that determined whether crude could actually flow. Firms that had visibility into tier-2 (vessel movements) and tier-3 (insurance market conditions) had a 48-hour decision advantage over firms that lacked this visibility. This is precisely the dynamic Choi et al. describe in a different context (the COVID supply chain crisis), demonstrating the generalizability of their framework across disruption types.</w:t>
      </w:r>
    </w:p>
    <w:p>
      <w:pPr>
        <w:spacing w:before="40" w:after="40"/>
        <w:pBdr>
          <w:bottom w:val="single" w:sz="6" w:space="1" w:color="AAAAAA"/>
        </w:pBdr>
      </w:pPr>
    </w:p>
    <w:p>
      <w:pPr>
        <w:pStyle w:val="Heading1"/>
        <w:spacing w:before="280" w:after="80"/>
      </w:pPr>
      <w:r>
        <w:t>PART VI: IMPLICATIONS, LIMITATIONS, AND FUTURE RESEARCH</w:t>
      </w:r>
    </w:p>
    <w:p>
      <w:pPr>
        <w:pStyle w:val="Heading2"/>
        <w:spacing w:before="200" w:after="60"/>
      </w:pPr>
      <w:r>
        <w:t>6.1  Industry-Level Implications</w:t>
      </w:r>
    </w:p>
    <w:p>
      <w:pPr>
        <w:spacing w:before="40" w:after="80"/>
        <w:ind w:firstLine="0"/>
      </w:pPr>
      <w:r>
        <w:t>The 2026 Iran crisis has three significant implications for Asian refiner strategy. First, the crisis demonstrates that physical supply resilience requires multi-dimensional investment  not just supplier contracts but refinery flexibility, inventory policy, visibility infrastructure, and organizational decision protocols. Firms that invested in only one dimension (e.g., supplier diversification without refinery flexibility) are recovering but not as quickly as firms with compound resilience investments. Second, the crisis reveals that geopolitical risk has re-entered the strategic planning horizon for Asian energy companies in a way not seen since the 2012–2019 sanctions escalation. The assumption that globalized oil markets would always provide alternative supply is being challenged by the weaponization of supply chain chokepoints (insurance, banking, shipping) alongside physical chokepoints. Third, the insurance market freeze represents a new category of non-physical disruption that can create functional supply loss without any physical attack on infrastructure.</w:t>
      </w:r>
    </w:p>
    <w:p>
      <w:pPr>
        <w:pStyle w:val="Heading2"/>
        <w:spacing w:before="200" w:after="60"/>
      </w:pPr>
      <w:r>
        <w:t>6.2  Limitations of This Analysis</w:t>
      </w:r>
    </w:p>
    <w:p>
      <w:pPr>
        <w:spacing w:before="40" w:after="80"/>
        <w:ind w:firstLine="0"/>
      </w:pPr>
      <w:r>
        <w:t>Three significant limitations must be acknowledged. First, the crisis is ongoing as of April 20, 2026  all performance data (India at 80%, China at 60–70%) represents preliminary estimates, not final outcomes. The true test of resilience will be measured in months, not weeks, as the crisis either resolves or extends into a structural supply regime change. Second, firm-level performance data for Chinese NOCs is difficult to verify independently. CNPC and Sinopec disclosure standards differ from Western public companies, and some of the data in this paper is derived from industry reporting and inference rather than confirmed corporate disclosures. Third, the causal attribution problem: the India-China divergence reflects both pre-crisis positioning (which this paper emphasizes) and structural factors that are not fully reducible to firm-level resilience investment decisions. Political economy constraints, contract law differences, and sanctions history all contribute to the observed outcomes and complicate causal inference.</w:t>
      </w:r>
    </w:p>
    <w:p>
      <w:pPr>
        <w:pStyle w:val="Heading2"/>
        <w:spacing w:before="200" w:after="60"/>
      </w:pPr>
      <w:r>
        <w:t>6.3  Future Research Directions</w:t>
      </w:r>
    </w:p>
    <w:p>
      <w:pPr>
        <w:spacing w:before="40" w:after="80"/>
        <w:ind w:firstLine="0"/>
      </w:pPr>
      <w:r>
        <w:t>As the crisis resolves, several research questions become tractable. What is the total economic cost of the disruption to Asian refiners  in volume loss, spot premium costs, and margin compression  measured against the cost of pre-crisis resilience investments? This counterfactual analysis would allow a rigorous test of Sheffi's resilience investment thesis. How did South Korean refiners (SK Energy, GS Caltex) perform, given their similar geographic exposure but different geopolitical alignment from China? The South Korean response is a natural experiment that would help separate geopolitical alignment effects from pure firm-level resilience effects. What role did crude traders (Trafigura, Vitol, Mercuria) play as market intermediaries during the crisis, and did their presence increase or decrease market efficiency in allocating alternative supply?</w:t>
      </w:r>
    </w:p>
    <w:p>
      <w:pPr>
        <w:spacing w:before="40" w:after="40"/>
        <w:pBdr>
          <w:bottom w:val="single" w:sz="6" w:space="1" w:color="AAAAAA"/>
        </w:pBdr>
      </w:pPr>
    </w:p>
    <w:p>
      <w:pPr>
        <w:pStyle w:val="Heading1"/>
        <w:spacing w:before="280" w:after="80"/>
      </w:pPr>
      <w:r>
        <w:t>CONCLUSION: RESILIENCE IS NOT A PRICE STORY  IT IS A STRUCTURE STORY</w:t>
      </w:r>
    </w:p>
    <w:p>
      <w:pPr>
        <w:spacing w:before="40" w:after="80"/>
        <w:ind w:firstLine="0"/>
      </w:pPr>
      <w:r>
        <w:t>The 2026 Iran crisis has not concluded, but the divergence between Asian refiners already tells a clear story. Brent crude went to $100  every market participant saw the price shock. But:</w:t>
      </w:r>
    </w:p>
    <w:p>
      <w:pPr>
        <w:spacing w:before="40" w:after="80"/>
        <w:ind w:firstLine="0"/>
      </w:pPr>
      <w:r>
        <w:t>India's refiners  led by IOC and Reliance Industries  are recovering to approximately 75–80% of pre-crisis throughput in 2–3 weeks. China's refiners  Sinopec and CNPC  are recovering at approximately 60–70% in 4–6 weeks. Japanese refiners experienced minimal disruption. Same price shock. Materially different outcomes  determined by pre-crisis positioning across Sheffi's five resilience dimensions, not by trading acumen during the crisis.</w:t>
      </w:r>
    </w:p>
    <w:p>
      <w:pPr>
        <w:spacing w:before="40" w:after="80"/>
        <w:ind w:firstLine="0"/>
      </w:pPr>
      <w:r>
        <w:t>Indian refiners' minimal reliance on spot market purchases during the crisis reflects pre-established alternative supplier relationships that activated in days rather than weeks. Chinese refiners' substantial spot market exposure reflects the structural difficulty of activating alternatives when take-or-pay contracts create commercial lock-in and political constraints limit supplier reallocation options. The constraint was physical, organizational, and institutional  not just a price on a screen.</w:t>
      </w:r>
    </w:p>
    <w:p>
      <w:pPr>
        <w:spacing w:before="40" w:after="80"/>
        <w:ind w:firstLine="0"/>
      </w:pPr>
      <w:r>
        <w:t>Sheffi argues in The Resilient Enterprise that supply chain resilience is determined by what companies build before disruption, not by how fast they react during it. Sodhi and Tang provide the risk taxonomy that explains why this disruption required redundancy and flexibility instruments rather than hedging instruments. Choi, Rogers, and Vakil demonstrate that the visibility gap  not the physical chokepoint  is where the actual vulnerability materialized. This is a supply chain risk management story, not a commodity trading story. And it is a story that will repeat  with different geography, different asset classes, and different firms  until the profession internalizes its lesson: resilience is structure.</w:t>
      </w:r>
    </w:p>
    <w:p>
      <w:pPr>
        <w:spacing w:before="40" w:after="40"/>
        <w:pBdr>
          <w:bottom w:val="single" w:sz="6" w:space="1" w:color="AAAAAA"/>
        </w:pBdr>
      </w:pPr>
    </w:p>
    <w:p>
      <w:pPr>
        <w:pStyle w:val="Heading1"/>
        <w:spacing w:before="280" w:after="80"/>
      </w:pPr>
      <w:r>
        <w:t>REFERENCES</w:t>
      </w:r>
    </w:p>
    <w:p>
      <w:pPr>
        <w:pStyle w:val="Heading2"/>
        <w:spacing w:before="200" w:after="60"/>
      </w:pPr>
      <w:r>
        <w:t>Course Readings</w:t>
      </w:r>
    </w:p>
    <w:p>
      <w:pPr>
        <w:pStyle w:val="ListBullet"/>
        <w:spacing w:before="40" w:after="40"/>
      </w:pPr>
      <w:r>
        <w:t>Sheffi, Y. (2005). The Resilient Enterprise: Overcoming Vulnerability for Competitive Advantage. MIT Press.</w:t>
      </w:r>
    </w:p>
    <w:p>
      <w:pPr>
        <w:pStyle w:val="ListBullet"/>
        <w:spacing w:before="40" w:after="40"/>
      </w:pPr>
      <w:r>
        <w:t>Sodhi, M.S., &amp; Tang, C.S. (2012). Managing Supply Chain Risks. Springer.</w:t>
      </w:r>
    </w:p>
    <w:p>
      <w:pPr>
        <w:pStyle w:val="ListBullet"/>
        <w:spacing w:before="40" w:after="40"/>
      </w:pPr>
      <w:r>
        <w:t>Choi, T.Y., Rogers, D.S., &amp; Vakil, B. (2020). "Coronavirus is a Wake-Up Call for Supply Chain Management." Harvard Business Review, April 2020.</w:t>
      </w:r>
    </w:p>
    <w:p>
      <w:pPr>
        <w:pStyle w:val="Heading2"/>
        <w:spacing w:before="200" w:after="60"/>
      </w:pPr>
      <w:r>
        <w:t>Data Sources</w:t>
      </w:r>
    </w:p>
    <w:p>
      <w:pPr>
        <w:pStyle w:val="ListBullet"/>
        <w:spacing w:before="40" w:after="40"/>
      </w:pPr>
      <w:r>
        <w:t>U.S. Energy Information Administration (EIA). Oil Market Reports, March–April 2026. https://www.eia.gov/</w:t>
      </w:r>
    </w:p>
    <w:p>
      <w:pPr>
        <w:pStyle w:val="ListBullet"/>
        <w:spacing w:before="40" w:after="40"/>
      </w:pPr>
      <w:r>
        <w:t>International Energy Agency (IEA). Monthly Oil Market Reports, March–April 2026. https://www.iea.org/</w:t>
      </w:r>
    </w:p>
    <w:p>
      <w:pPr>
        <w:pStyle w:val="ListBullet"/>
        <w:spacing w:before="40" w:after="40"/>
      </w:pPr>
      <w:r>
        <w:t>Kpler &amp; MarineTraffic. Tanker tracking data, vessel AIS data, March–April 2026. Subscription data accessed April 2026.</w:t>
      </w:r>
    </w:p>
    <w:p>
      <w:pPr>
        <w:pStyle w:val="ListBullet"/>
        <w:spacing w:before="40" w:after="40"/>
      </w:pPr>
      <w:r>
        <w:t>Bloomberg L.P. Brent crude daily pricing, VLCC freight indices, war risk insurance premium data, Chinese crude import data, March–April 2026. Terminal subscription.</w:t>
      </w:r>
    </w:p>
    <w:p>
      <w:pPr>
        <w:pStyle w:val="ListBullet"/>
        <w:spacing w:before="40" w:after="40"/>
      </w:pPr>
      <w:r>
        <w:t>Reuters. "Asian Refiners Face Supply Disruption as Hormuz Tanker Insurance Spikes." April 3, 2026.</w:t>
      </w:r>
    </w:p>
    <w:p>
      <w:pPr>
        <w:pStyle w:val="ListBullet"/>
        <w:spacing w:before="40" w:after="40"/>
      </w:pPr>
      <w:r>
        <w:t>Lloyd's Market Association. War Risk Insurance Market Commentary. April 3, 2026. https://www.lloyds.com/</w:t>
      </w:r>
    </w:p>
    <w:p>
      <w:pPr>
        <w:pStyle w:val="ListBullet"/>
        <w:spacing w:before="40" w:after="40"/>
      </w:pPr>
      <w:r>
        <w:t>Marsh &amp; McLennan. War Risk Insurance Briefing Note. April 4, 2026.</w:t>
      </w:r>
    </w:p>
    <w:p>
      <w:pPr>
        <w:pStyle w:val="ListBullet"/>
        <w:spacing w:before="40" w:after="40"/>
      </w:pPr>
      <w:r>
        <w:t>OPEC. Monthly Oil Market Reports, February–March 2026. https://www.opec.org/</w:t>
      </w:r>
    </w:p>
    <w:p>
      <w:pPr>
        <w:pStyle w:val="ListBullet"/>
        <w:spacing w:before="40" w:after="40"/>
      </w:pPr>
      <w:r>
        <w:t>Earnings calls and investor disclosures: Indian Oil Corporation Q1 2026 Earnings Call, April 15, 2026; Sinopec Group Q1 2026 Earnings Guidance, April 2026. Publicly available via corporate investor relations.</w:t>
      </w:r>
    </w:p>
    <w:p>
      <w:pPr>
        <w:pStyle w:val="ListBullet"/>
        <w:spacing w:before="40" w:after="40"/>
      </w:pPr>
      <w:r>
        <w:t>The Baltic Exchange. VLCC freight rate assessments, March–April 2026. https://www.balticexchange.com/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