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22"/>
        </w:rPr>
        <w:t>SUPPLY CHAIN VULNERABILITY, RISK, AND RESILIENCE:</w:t>
        <w:br/>
        <w:t>A PLAYBOOK FROM THE 2026 IRAN-HORMUZ CRISIS</w:t>
      </w:r>
    </w:p>
    <w:p>
      <w:pPr>
        <w:spacing w:before="20" w:after="20"/>
        <w:jc w:val="center"/>
      </w:pPr>
      <w:r>
        <w:rPr>
          <w:rFonts w:ascii="Times New Roman" w:hAnsi="Times New Roman"/>
          <w:sz w:val="22"/>
        </w:rPr>
        <w:t>OPIM 626 — Risk Management in Global Supply Chains</w:t>
      </w:r>
    </w:p>
    <w:p>
      <w:pPr>
        <w:spacing w:before="20" w:after="20"/>
        <w:jc w:val="center"/>
      </w:pPr>
      <w:r>
        <w:rPr>
          <w:rFonts w:ascii="Times New Roman" w:hAnsi="Times New Roman"/>
          <w:sz w:val="22"/>
        </w:rPr>
        <w:t>SMU MBA 2026</w:t>
      </w:r>
    </w:p>
    <w:p>
      <w:pPr>
        <w:spacing w:before="20" w:after="20"/>
        <w:jc w:val="center"/>
      </w:pPr>
      <w:r>
        <w:rPr>
          <w:rFonts w:ascii="Times New Roman" w:hAnsi="Times New Roman"/>
          <w:sz w:val="22"/>
        </w:rPr>
        <w:t>Group 4</w:t>
      </w:r>
    </w:p>
    <w:p>
      <w:pPr>
        <w:spacing w:before="20" w:after="20"/>
        <w:jc w:val="center"/>
      </w:pPr>
      <w:r>
        <w:rPr>
          <w:rFonts w:ascii="Times New Roman" w:hAnsi="Times New Roman"/>
          <w:sz w:val="22"/>
        </w:rPr>
        <w:t>Word Count: 4,037</w:t>
      </w:r>
    </w:p>
    <w:p>
      <w:pPr>
        <w:spacing w:before="20" w:after="20"/>
        <w:jc w:val="center"/>
      </w:pPr>
      <w:r>
        <w:rPr>
          <w:rFonts w:ascii="Times New Roman" w:hAnsi="Times New Roman"/>
          <w:sz w:val="22"/>
        </w:rPr>
        <w:t>Date: April 26, 2026</w:t>
      </w:r>
    </w:p>
    <w:p>
      <w:pPr>
        <w:spacing w:before="40" w:after="40"/>
        <w:pBdr>
          <w:bottom w:val="single" w:sz="6" w:space="1" w:color="888888"/>
        </w:pBdr>
      </w:pPr>
      <w:r>
        <w:rPr>
          <w:rFonts w:ascii="Times New Roman" w:hAnsi="Times New Roman"/>
          <w:sz w:val="22"/>
        </w:rPr>
      </w:r>
    </w:p>
    <w:p>
      <w:r>
        <w:rPr>
          <w:rFonts w:ascii="Times New Roman" w:hAnsi="Times New Roman"/>
          <w:sz w:val="22"/>
        </w:rPr>
      </w:r>
    </w:p>
    <w:p>
      <w:pPr>
        <w:spacing w:before="80" w:after="80"/>
      </w:pPr>
      <w:r>
        <w:rPr>
          <w:rFonts w:ascii="Times New Roman" w:hAnsi="Times New Roman"/>
          <w:i/>
          <w:sz w:val="22"/>
        </w:rPr>
        <w:t>Note: This crisis is ongoing as of April 26, 2026. All firm-level performance data reflects preliminary estimates. Final outcomes will determine the validity of the observations made here. This paper frames itself as a playbook — a structured set of diagnostic and response frameworks derived from a live event — rather than a retrospective case study. The goal is to extract transferable lessons before the next disruption, not to declare premature conclusions.</w:t>
      </w:r>
    </w:p>
    <w:p>
      <w:pPr>
        <w:spacing w:before="40" w:after="40"/>
        <w:pBdr>
          <w:bottom w:val="single" w:sz="6" w:space="1" w:color="888888"/>
        </w:pBdr>
      </w:pPr>
      <w:r>
        <w:rPr>
          <w:rFonts w:ascii="Times New Roman" w:hAnsi="Times New Roman"/>
          <w:sz w:val="22"/>
        </w:rPr>
      </w:r>
    </w:p>
    <w:p>
      <w:r>
        <w:rPr>
          <w:rFonts w:ascii="Times New Roman" w:hAnsi="Times New Roman"/>
          <w:sz w:val="22"/>
        </w:rPr>
      </w:r>
    </w:p>
    <w:p>
      <w:pPr>
        <w:pStyle w:val="Heading1"/>
        <w:spacing w:before="240" w:after="80"/>
      </w:pPr>
      <w:r>
        <w:rPr>
          <w:rFonts w:ascii="Times New Roman" w:hAnsi="Times New Roman"/>
          <w:color w:val="000000"/>
          <w:sz w:val="22"/>
        </w:rPr>
        <w:t>EXECUTIVE SUMMARY</w:t>
      </w:r>
    </w:p>
    <w:p>
      <w:pPr>
        <w:spacing w:before="20" w:after="80"/>
      </w:pPr>
      <w:r>
        <w:rPr>
          <w:rFonts w:ascii="Times New Roman" w:hAnsi="Times New Roman"/>
          <w:sz w:val="22"/>
        </w:rPr>
        <w:t>The 2026 Iran-Hormuz crisis is, at its surface, a story about oil prices. Brent crude spiked from approximately $84 to over $100 per barrel within 72 hours in late March 2026. But the price spike is the least interesting thing that happened. The more important story is how supply chain structure — pre-established commercial relationships, refinery configuration, inventory buffers, decision protocols, and information systems — determined which firms absorbed the disruption quickly and which faced weeks of costly emergency reconfiguration.</w:t>
      </w:r>
    </w:p>
    <w:p>
      <w:pPr>
        <w:spacing w:before="20" w:after="80"/>
      </w:pPr>
      <w:r>
        <w:rPr>
          <w:rFonts w:ascii="Times New Roman" w:hAnsi="Times New Roman"/>
          <w:sz w:val="22"/>
        </w:rPr>
        <w:t>This paper examines the 2026 Iran-Hormuz crisis through three supply chain risk frameworks: Sheffi's five dimensions of organizational resilience, Sodhi and Tang's risk taxonomy, and Choi, Rogers, and Vakil's supply chain visibility model. It introduces the concept of the controlled transaction — a pre-negotiated, pre-authorized commercial arrangement with defined activation triggers — as the specific resilience instrument that separated fast recoverers from slow recoverers. It traces the cascade mechanism through which the disruption propagated: war risk insurance withdrawal, tanker rerouting, refinery input constraints, and visibility gaps. It analyzes the divergent responses of Indian, Chinese, and Japanese refiners. And it addresses the structural uncertainty that could reprice the entire analysis: the possibility of Saudi-Iran diplomatic normalization and the return of Iranian crude to global markets.</w:t>
      </w:r>
    </w:p>
    <w:p>
      <w:pPr>
        <w:spacing w:before="20" w:after="80"/>
      </w:pPr>
      <w:r>
        <w:rPr>
          <w:rFonts w:ascii="Times New Roman" w:hAnsi="Times New Roman"/>
          <w:sz w:val="22"/>
        </w:rPr>
        <w:t>The paper concludes with a playbook — structured diagnostic questions, preparation checklists, and response protocols — that practitioners can use before the next geopolitical supply chain disruption hits.</w:t>
      </w:r>
    </w:p>
    <w:p>
      <w:pPr>
        <w:pStyle w:val="Heading1"/>
        <w:spacing w:before="240" w:after="80"/>
      </w:pPr>
      <w:r>
        <w:rPr>
          <w:rFonts w:ascii="Times New Roman" w:hAnsi="Times New Roman"/>
          <w:color w:val="000000"/>
          <w:sz w:val="22"/>
        </w:rPr>
        <w:t>1. INTRODUCTION</w:t>
      </w:r>
    </w:p>
    <w:p>
      <w:pPr>
        <w:spacing w:before="20" w:after="80"/>
      </w:pPr>
      <w:r>
        <w:rPr>
          <w:rFonts w:ascii="Times New Roman" w:hAnsi="Times New Roman"/>
          <w:sz w:val="22"/>
        </w:rPr>
        <w:t>Supply chain disruptions are recurring features of global commerce, not anomalies. COVID-19 exposed the fragility of just-in-time inventory models. The 2021 Suez Canal blockage revealed the concentration risk in critical logistics chokepoints. The 2022 Ukraine conflict demonstrated how geopolitical events can reprice commodity flows at scale. Each event produces a similar pattern: prices spike, commentary follows, and the lesson drawn is typically 'build more inventory' or 'diversify suppliers' — generic prescriptions that fail to distinguish between the specific mechanisms through which disruptions propagate and the specific instruments that address each mechanism.</w:t>
      </w:r>
    </w:p>
    <w:p>
      <w:pPr>
        <w:spacing w:before="20" w:after="80"/>
      </w:pPr>
      <w:r>
        <w:rPr>
          <w:rFonts w:ascii="Times New Roman" w:hAnsi="Times New Roman"/>
          <w:sz w:val="22"/>
        </w:rPr>
        <w:t>The 2026 Iran-Hormuz crisis offers an opportunity to do better. This paper examines it not as an oil market story but as a supply chain architecture story: the disruption did not originate where most observers expected (the Strait of Hormuz itself), did not operate through the mechanism most anticipated (physical vessel blockage), and was not overcome by the firms with the most sophisticated trading desks — but by the firms whose pre-crisis commercial infrastructure was designed with disruption scenarios in mind.</w:t>
      </w:r>
    </w:p>
    <w:p>
      <w:pPr>
        <w:spacing w:before="20" w:after="80"/>
      </w:pPr>
      <w:r>
        <w:rPr>
          <w:rFonts w:ascii="Times New Roman" w:hAnsi="Times New Roman"/>
          <w:sz w:val="22"/>
        </w:rPr>
        <w:t>A critical dimension that standard SCRM analysis overlooks is the interaction between capital flow architecture and physical supply chain pre-positioning. Geopolitical disruption events operate on two simultaneous timescales: the immediate physical disruption and a pre-existing capital and trading network architecture that determines which firms are structurally positioned to respond. Firms embedded in US-dollar clearing systems and Western commodity trading networks had faster access to alternative supply chains during the 2026 crisis; firms operating primarily through Belt and Road corridors and non-dollar settlement networks faced longer activation times due to correspondent banking constraints, slower clearance infrastructure, and less interoperable cargo tracking systems. This is a supply chain infrastructure observation: correspondent banking relationships, settlement currency choice, cargo tracking interoperability, and insurance market membership all reflect pre-existing capital flow architecture that shapes crisis response speed. The four-layer disruption cascade is not random in its effects; its impact is filtered through the pre-existing capital and trading network architecture of each firm.</w:t>
      </w:r>
    </w:p>
    <w:p>
      <w:pPr>
        <w:spacing w:before="20" w:after="80"/>
      </w:pPr>
      <w:r>
        <w:rPr>
          <w:rFonts w:ascii="Times New Roman" w:hAnsi="Times New Roman"/>
          <w:sz w:val="22"/>
        </w:rPr>
        <w:t>The paper is structured as follows. Section 2 establishes the case background: the geopolitical context, the sanctions history that shaped pre-crisis supplier exposure, and the cascade mechanism through which the disruption propagated. Section 3 examines where vulnerability actually materialized across four layers: war risk insurance, tanker routing, refinery inputs, and information systems. Section 4 introduces the controlled transaction as the central resilience instrument and applies it to the observed firm-level responses. Section 5 applies the three academic frameworks systematically. Section 6 presents the playbook: diagnostic questions, preparation checklists, and response protocols. Section 7 addresses structural uncertainties, including the Saudi-Iran normalization scenario. Section 8 concludes.</w:t>
      </w:r>
    </w:p>
    <w:p>
      <w:pPr>
        <w:pStyle w:val="Heading1"/>
        <w:spacing w:before="240" w:after="80"/>
      </w:pPr>
      <w:r>
        <w:rPr>
          <w:rFonts w:ascii="Times New Roman" w:hAnsi="Times New Roman"/>
          <w:color w:val="000000"/>
          <w:sz w:val="22"/>
        </w:rPr>
        <w:t>2. CASE BACKGROUND</w:t>
      </w:r>
    </w:p>
    <w:p>
      <w:pPr>
        <w:pStyle w:val="Heading2"/>
        <w:spacing w:before="160" w:after="40"/>
      </w:pPr>
      <w:r>
        <w:rPr>
          <w:rFonts w:ascii="Times New Roman" w:hAnsi="Times New Roman"/>
          <w:color w:val="000000"/>
          <w:sz w:val="22"/>
        </w:rPr>
        <w:t>2.1  Geopolitical Context and the Sanctions Foundation</w:t>
      </w:r>
    </w:p>
    <w:p>
      <w:pPr>
        <w:spacing w:before="20" w:after="80"/>
      </w:pPr>
      <w:r>
        <w:rPr>
          <w:rFonts w:ascii="Times New Roman" w:hAnsi="Times New Roman"/>
          <w:sz w:val="22"/>
        </w:rPr>
        <w:t>The 2026 Iran-Hormuz crisis did not occur in a vacuum. Its character was shaped by five years of evolving US sanctions architecture. Following the US withdrawal from the Joint Comprehensive Plan of Action (JCPOA) in November 2018 and the subsequent reimposition of secondary sanctions, Iranian crude exports collapsed from approximately 2.5 million barrels per day (mb/d) to under 1 mb/d by 2019 (IEA Oil Market Reports). This collapse restructured Asian refiner exposure asymmetrically.</w:t>
      </w:r>
    </w:p>
    <w:p>
      <w:pPr>
        <w:spacing w:before="20" w:after="80"/>
      </w:pPr>
      <w:r>
        <w:rPr>
          <w:rFonts w:ascii="Times New Roman" w:hAnsi="Times New Roman"/>
          <w:sz w:val="22"/>
        </w:rPr>
        <w:t>Indian state-owned refiners — primarily Indian Oil Corporation (IOC) — systematically reduced Iranian crude intake from approximately 10% of total imports in 2018 to under 2% by 2025, replaced by Saudi Arab Light, Abu Dhabi (UAE) crudes, and US crude imports under long-term contracts. This was not a resilience-driven restructuring — it was a sanctions compliance response. But its effect was to pre-position Indian refiners closer to alternative supply networks before the 2026 disruption. Chinese state-owned refiners — primarily Sinopec and CNPC — maintained higher Iranian exposure through intermediary arrangements, with Iranian crude estimated at 5-7% of total Chinese crude imports in 2025 (Bloomberg data). Japanese refiners reduced Iranian imports after 2012 and maintained a broadly diversified supplier base anchored on Saudi Arabia, UAE, Kuwait, and growing US crude imports.</w:t>
      </w:r>
    </w:p>
    <w:p>
      <w:pPr>
        <w:pStyle w:val="Heading2"/>
        <w:spacing w:before="160" w:after="40"/>
      </w:pPr>
      <w:r>
        <w:rPr>
          <w:rFonts w:ascii="Times New Roman" w:hAnsi="Times New Roman"/>
          <w:color w:val="000000"/>
          <w:sz w:val="22"/>
        </w:rPr>
        <w:t>2.2  The March 2026 Escalation</w:t>
      </w:r>
    </w:p>
    <w:p>
      <w:pPr>
        <w:spacing w:before="20" w:after="80"/>
      </w:pPr>
      <w:r>
        <w:rPr>
          <w:rFonts w:ascii="Times New Roman" w:hAnsi="Times New Roman"/>
          <w:sz w:val="22"/>
        </w:rPr>
        <w:t>When geopolitical tensions escalated in late March 2026, commercial consequences began within 48-72 hours — faster than most observers anticipated. The Strait of Hormuz, at 33 kilometers at its narrowest point, carries approximately 20-21 mb/d of crude — roughly 20% of global seaborne crude trade (EIA, Hormuz Transit Factsheet). But as of late April 2026, the Strait itself has not been physically blocked. The disruption propagated through a cascade of financial and logistical mechanisms that this paper examines in detail.</w:t>
      </w:r>
    </w:p>
    <w:p>
      <w:pPr>
        <w:spacing w:before="20" w:after="80"/>
      </w:pPr>
      <w:r>
        <w:rPr>
          <w:rFonts w:ascii="Times New Roman" w:hAnsi="Times New Roman"/>
          <w:sz w:val="22"/>
        </w:rPr>
        <w:t>Global OPEC+ spare capacity entering the crisis was approximately 3-4 mb/d (OPEC Monthly Oil Market Reports, February-March 2026). This means alternative supply existed in principle. The crisis was not a physical shortfall — it was a logistics and financial architecture problem: getting alternative crude to refineries quickly enough to avoid runout required pre-positioned infrastructure that not all firms possessed.</w:t>
      </w:r>
    </w:p>
    <w:p>
      <w:pPr>
        <w:pStyle w:val="Heading1"/>
        <w:spacing w:before="240" w:after="80"/>
      </w:pPr>
      <w:r>
        <w:rPr>
          <w:rFonts w:ascii="Times New Roman" w:hAnsi="Times New Roman"/>
          <w:color w:val="000000"/>
          <w:sz w:val="22"/>
        </w:rPr>
        <w:t>3. WHERE VULNERABILITY ACTUALLY MATERIALIZED</w:t>
      </w:r>
    </w:p>
    <w:p>
      <w:pPr>
        <w:spacing w:before="20" w:after="80"/>
      </w:pPr>
      <w:r>
        <w:rPr>
          <w:rFonts w:ascii="Times New Roman" w:hAnsi="Times New Roman"/>
          <w:sz w:val="22"/>
        </w:rPr>
        <w:t>The disruption cascade in the 2026 Iran-Hormuz crisis operated across four distinct layers. Each layer represents a different type of supply chain vulnerability, and each was triggered at a different speed. Understanding which layer caused the most damage — and which firms were exposed to which layers — is the diagnostic foundation of the playbook that follows.</w:t>
      </w:r>
    </w:p>
    <w:p>
      <w:pPr>
        <w:pStyle w:val="Heading2"/>
        <w:spacing w:before="160" w:after="40"/>
      </w:pPr>
      <w:r>
        <w:rPr>
          <w:rFonts w:ascii="Times New Roman" w:hAnsi="Times New Roman"/>
          <w:color w:val="000000"/>
          <w:sz w:val="22"/>
        </w:rPr>
        <w:t>3.1  Layer One: War Risk Insurance Market Freeze</w:t>
      </w:r>
    </w:p>
    <w:p>
      <w:pPr>
        <w:spacing w:before="20" w:after="80"/>
      </w:pPr>
      <w:r>
        <w:rPr>
          <w:rFonts w:ascii="Times New Roman" w:hAnsi="Times New Roman"/>
          <w:sz w:val="22"/>
        </w:rPr>
        <w:t>The first constraint was not physical but financial. War risk insurance for tankers operating in or near the Gulf region seized within 48 hours of the escalation. War risk insurance is underwritten primarily through Lloyd's of London syndicates and the International Tanker Fuel Insurance Forum (ITFF). When geopolitical risk elevates, these underwriters reprice rapidly and capacity can withdraw from specific routing corridors.</w:t>
      </w:r>
    </w:p>
    <w:p>
      <w:pPr>
        <w:spacing w:before="20" w:after="80"/>
      </w:pPr>
      <w:r>
        <w:rPr>
          <w:rFonts w:ascii="Times New Roman" w:hAnsi="Times New Roman"/>
          <w:sz w:val="22"/>
        </w:rPr>
        <w:t>War risk insurance premiums for Gulf routing increased approximately threefold within the first week of the crisis, from roughly $0.10-0.15 per barrel to $0.30-0.45 per barrel (Lloyd's Market Association Commentary, April 3, 2026 and Marsh War Risk Insurance Briefing Note, April 4, 2026). For a VLCC carrying 500,000 barrels, this added approximately $150,000-$225,000 per voyage. Against a cargo value of approximately $50 million at $100/barrel, this represents a 0.3-0.45% cost increase — not catastrophic in isolation, but the more important effect was capacity withdrawal: for some vessel operators, no war risk insurance capacity was available at any price for Gulf routing within the first 7-10 days of the crisis.</w:t>
      </w:r>
    </w:p>
    <w:p>
      <w:pPr>
        <w:spacing w:before="20" w:after="80"/>
      </w:pPr>
      <w:r>
        <w:rPr>
          <w:rFonts w:ascii="Times New Roman" w:hAnsi="Times New Roman"/>
          <w:sz w:val="22"/>
        </w:rPr>
        <w:t>This created a functional supply disruption: crude oil was physically available in storage, but the financial infrastructure to transport it economically had withdrawn. The irony is that vessel losses in the Gulf remained low — the physical risk had not changed materially, but the market's pricing of geopolitical risk had repriced insurance to the point of effective withdrawal. This is a tier-3 supply chain vulnerability: an insurance market disruption that cascaded upstream into physical supply before most firms detected it.</w:t>
      </w:r>
    </w:p>
    <w:p>
      <w:pPr>
        <w:pStyle w:val="Heading2"/>
        <w:spacing w:before="160" w:after="40"/>
      </w:pPr>
      <w:r>
        <w:rPr>
          <w:rFonts w:ascii="Times New Roman" w:hAnsi="Times New Roman"/>
          <w:color w:val="000000"/>
          <w:sz w:val="22"/>
        </w:rPr>
        <w:t>3.2  Layer Two: Tanker Routing Constraints and the Cape Detour</w:t>
      </w:r>
    </w:p>
    <w:p>
      <w:pPr>
        <w:spacing w:before="20" w:after="80"/>
      </w:pPr>
      <w:r>
        <w:rPr>
          <w:rFonts w:ascii="Times New Roman" w:hAnsi="Times New Roman"/>
          <w:sz w:val="22"/>
        </w:rPr>
        <w:t>The second layer was physical. Vessels avoiding Gulf routing — either because insurance was unavailable or because operators chose to avoid the premium — rerouted via the Cape of Good Hope, adding 10-15 days of transit time to Asia-bound routes. VLCC freight rates for Cape-routed voyages increased by 35-50% compared to Hormuz-routed equivalents within the first two weeks (Bloomberg Shipping Intelligence, April 2-8, 2026; Baltic Exchange VLCC assessments, March-April 2026).</w:t>
      </w:r>
    </w:p>
    <w:p>
      <w:pPr>
        <w:spacing w:before="20" w:after="80"/>
      </w:pPr>
      <w:r>
        <w:rPr>
          <w:rFonts w:ascii="Times New Roman" w:hAnsi="Times New Roman"/>
          <w:sz w:val="22"/>
        </w:rPr>
        <w:t>The 10-day transit extension was operationally damaging because most Asian refineries operate with 5-10 days of crude inventory on hand. A 10-day delay exceeds the forward planning window of even well-managed refineries. Asian refinery crude inventory norms range from approximately 5 days for commercial just-in-time operators to 14+ days for refiners with strategic reserve access (IEA data on regional refining inventories). This means the rerouting delay was a physical supply threat — not a price problem — and it affected all Asian refiners regardless of their crude sourcing sophistication. Firms with inventory buffers absorbed the delay; those without faced throughput cuts.</w:t>
      </w:r>
    </w:p>
    <w:p>
      <w:pPr>
        <w:pStyle w:val="Heading2"/>
        <w:spacing w:before="160" w:after="40"/>
      </w:pPr>
      <w:r>
        <w:rPr>
          <w:rFonts w:ascii="Times New Roman" w:hAnsi="Times New Roman"/>
          <w:color w:val="000000"/>
          <w:sz w:val="22"/>
        </w:rPr>
        <w:t>3.3  Layer Three: Refinery Crude Slate Inflexibility</w:t>
      </w:r>
    </w:p>
    <w:p>
      <w:pPr>
        <w:spacing w:before="20" w:after="80"/>
      </w:pPr>
      <w:r>
        <w:rPr>
          <w:rFonts w:ascii="Times New Roman" w:hAnsi="Times New Roman"/>
          <w:sz w:val="22"/>
        </w:rPr>
        <w:t>The third layer was technical and widely underestimated. Not all crude is interchangeable across refinery configurations. A refinery's Nelson Complexity Index (NCI) determines its ability to process different crude grades efficiently. Simple refineries (NCI 4-6) are designed for specific crude types and require weeks of operational adjustment to process meaningfully different grades. Complex refineries (NCI 9-12), such as Reliance Industries' Jamnagar complex (NCI 13+), are designed to accept a wide slate including heavy, light, sweet, and sour crudes.</w:t>
      </w:r>
    </w:p>
    <w:p>
      <w:pPr>
        <w:spacing w:before="20" w:after="80"/>
      </w:pPr>
      <w:r>
        <w:rPr>
          <w:rFonts w:ascii="Times New Roman" w:hAnsi="Times New Roman"/>
          <w:sz w:val="22"/>
        </w:rPr>
        <w:t>Iranian light crude (33-36 degree API, low sulfur) is relatively straightforward for complex refineries but creates processing challenges for simpler configurations. Saudi Arab Light (36 degree API, low sulfur) is more interchangeable with Iranian crude than Russian Urals (32-36 degree API, higher sulfur), which requires specific desulfurization capacity. This matters because the observable disruption — 'refiners switching suppliers' — conceals a technical reality: some firms were switching to grades they could process efficiently; others were switching to grades that imposed 2-4 weeks of throughput loss even after securing the cargo. The firms that recovered faster were not simply those with alternative supplier relationships — they were those whose refinery configurations could absorb the grade shift without major operational disruption.</w:t>
      </w:r>
    </w:p>
    <w:p>
      <w:pPr>
        <w:pStyle w:val="Heading2"/>
        <w:spacing w:before="160" w:after="40"/>
      </w:pPr>
      <w:r>
        <w:rPr>
          <w:rFonts w:ascii="Times New Roman" w:hAnsi="Times New Roman"/>
          <w:color w:val="000000"/>
          <w:sz w:val="22"/>
        </w:rPr>
        <w:t>3.4  Layer Four: The Visibility Gap</w:t>
      </w:r>
    </w:p>
    <w:p>
      <w:pPr>
        <w:spacing w:before="20" w:after="80"/>
      </w:pPr>
      <w:r>
        <w:rPr>
          <w:rFonts w:ascii="Times New Roman" w:hAnsi="Times New Roman"/>
          <w:sz w:val="22"/>
        </w:rPr>
        <w:t>The fourth layer was informational. The most sophisticated refiners — led by Reliance Industries' trading desk — monitored real-time vessel movements via AIS (Automatic Identification System) tracking platforms (Kpler, MarineTraffic). These systems allow traders to see vessels diverting from Hormuz to Cape routing in near-real-time: typically 24-48 hours before official port or shipping reports confirm the shift.</w:t>
      </w:r>
    </w:p>
    <w:p>
      <w:pPr>
        <w:spacing w:before="20" w:after="80"/>
      </w:pPr>
      <w:r>
        <w:rPr>
          <w:rFonts w:ascii="Times New Roman" w:hAnsi="Times New Roman"/>
          <w:sz w:val="22"/>
        </w:rPr>
        <w:t>Indian Oil Corporation, as a state-owned enterprise with strategic inventory mandates, had access to government intelligence and logistics coordination channels that provided earlier warning than commercial data alone. Chinese state-owned refiners had access to similar state channels but faced decision latency from multi-layer NOC governance structures — the same approval chains that constrain commercial flexibility in normal times slowed crisis response even when early intelligence was available.</w:t>
      </w:r>
    </w:p>
    <w:p>
      <w:pPr>
        <w:spacing w:before="20" w:after="80"/>
      </w:pPr>
      <w:r>
        <w:rPr>
          <w:rFonts w:ascii="Times New Roman" w:hAnsi="Times New Roman"/>
          <w:sz w:val="22"/>
        </w:rPr>
        <w:t>Choi, Rogers, and Vakil (2020) argue that the fundamental supply chain vulnerability in modern commerce is opacity into tier-2 and tier-3 supply chains. The 2026 Iran crisis validates this. The visibility gap — which firms had real-time tier-2 (shipping) and tier-3 (insurance) intelligence and which did not — translated directly into a 24-72 hour decision advantage for firms with monitoring systems in place.</w:t>
      </w:r>
    </w:p>
    <w:p>
      <w:pPr>
        <w:pStyle w:val="Heading1"/>
        <w:spacing w:before="240" w:after="80"/>
      </w:pPr>
      <w:r>
        <w:rPr>
          <w:rFonts w:ascii="Times New Roman" w:hAnsi="Times New Roman"/>
          <w:color w:val="000000"/>
          <w:sz w:val="22"/>
        </w:rPr>
        <w:t>4. CONTROLLED TRANSACTIONS: THE RESILIENCE INSTRUMENT THAT MATTERED</w:t>
      </w:r>
    </w:p>
    <w:p>
      <w:pPr>
        <w:spacing w:before="20" w:after="80"/>
      </w:pPr>
      <w:r>
        <w:rPr>
          <w:rFonts w:ascii="Times New Roman" w:hAnsi="Times New Roman"/>
          <w:sz w:val="22"/>
        </w:rPr>
        <w:t>The empirical observation from the crisis is straightforward: firms with pre-established alternative supplier relationships recovered faster than firms that had to negotiate new arrangements under pressure. But this observation conceals an important distinction. Having an alternative supplier relationship is not the same as having a controlled transaction. This section defines the difference and argues that controlled transactions — not merely good supplier relationships — are the specific resilience instrument that explains the observed variation in recovery speed.</w:t>
      </w:r>
    </w:p>
    <w:p>
      <w:pPr>
        <w:pStyle w:val="Heading2"/>
        <w:spacing w:before="160" w:after="40"/>
      </w:pPr>
      <w:r>
        <w:rPr>
          <w:rFonts w:ascii="Times New Roman" w:hAnsi="Times New Roman"/>
          <w:color w:val="000000"/>
          <w:sz w:val="22"/>
        </w:rPr>
        <w:t>4.1  Definition: What a Controlled Transaction Is</w:t>
      </w:r>
    </w:p>
    <w:p>
      <w:pPr>
        <w:spacing w:before="20" w:after="80"/>
      </w:pPr>
      <w:r>
        <w:rPr>
          <w:rFonts w:ascii="Times New Roman" w:hAnsi="Times New Roman"/>
          <w:sz w:val="22"/>
        </w:rPr>
        <w:t>A controlled transaction is a pre-negotiated, pre-authorized commercial arrangement between counterparties that specifies: (1) defined activation triggers — the crisis conditions under which the arrangement will be activated; (2) agreed volumes — minimum and maximum quantities deliverable under activation; (3) pre-agreed pricing mechanics — a formula or price band that applies upon activation, negotiated before the crisis; (4) pre-authorized decision authority — specified individuals or roles with the commercial authority to activate the transaction without additional approval chains.</w:t>
      </w:r>
    </w:p>
    <w:p>
      <w:pPr>
        <w:spacing w:before="20" w:after="80"/>
      </w:pPr>
      <w:r>
        <w:rPr>
          <w:rFonts w:ascii="Times New Roman" w:hAnsi="Times New Roman"/>
          <w:sz w:val="22"/>
        </w:rPr>
        <w:t>The critical feature of a controlled transaction is that it eliminates the negotiation phase from the crisis response. Normal commercial relationships require re-negotiation under crisis conditions: volumes must be confirmed, prices must be agreed, terms must be documented, and approvals must be obtained — all while the disruption is already cascading. A controlled transaction pre-resolves these steps. The counterparties have agreed in advance: if X happens, we execute Y on these terms, and Z has the authority to trigger it.</w:t>
      </w:r>
    </w:p>
    <w:p>
      <w:pPr>
        <w:spacing w:before="20" w:after="80"/>
      </w:pPr>
      <w:r>
        <w:rPr>
          <w:rFonts w:ascii="Times New Roman" w:hAnsi="Times New Roman"/>
          <w:sz w:val="22"/>
        </w:rPr>
        <w:t>Sodhi and Tang (2012) provide the theoretical grounding: disruption risks require mitigation instruments that address availability, not just price. Standard commodity hedges — futures, options, swaps — are price instruments. They protect against the cost of a disruption but not against the physical unavailability of supply. Controlled transactions are availability instruments: they ensure that supply is physically accessible when needed, not merely that the price of that supply is predictable.</w:t>
      </w:r>
    </w:p>
    <w:p>
      <w:pPr>
        <w:pStyle w:val="Heading2"/>
        <w:spacing w:before="160" w:after="40"/>
      </w:pPr>
      <w:r>
        <w:rPr>
          <w:rFonts w:ascii="Times New Roman" w:hAnsi="Times New Roman"/>
          <w:color w:val="000000"/>
          <w:sz w:val="22"/>
        </w:rPr>
        <w:t>4.2  The India-China Divergence Through the Controlled Transaction Lens</w:t>
      </w:r>
    </w:p>
    <w:p>
      <w:pPr>
        <w:spacing w:before="20" w:after="80"/>
      </w:pPr>
      <w:r>
        <w:rPr>
          <w:rFonts w:ascii="Times New Roman" w:hAnsi="Times New Roman"/>
          <w:sz w:val="22"/>
        </w:rPr>
        <w:t>Indian Oil Corporation and Reliance Industries had pre-established term contracts with Saudi Aramco, Abu Dhabi National Oil Company (ADNOC), and US crude exporters. These were not emergency spot purchases negotiated in March 2026 — they were existing commercial arrangements that included minimum volume commitments, pre-agreed pricing formulas, and commercial decision authority that allowed trading teams to execute within hours of crisis activation. This is the controlled transaction in practice.</w:t>
      </w:r>
    </w:p>
    <w:p>
      <w:pPr>
        <w:spacing w:before="20" w:after="80"/>
      </w:pPr>
      <w:r>
        <w:rPr>
          <w:rFonts w:ascii="Times New Roman" w:hAnsi="Times New Roman"/>
          <w:sz w:val="22"/>
        </w:rPr>
        <w:t>Chinese NOCs — Sinopec and CNPC — had long-term Iranian supply agreements structured with take-or-pay provisions: payment obligations continued regardless of whether Chinese buyers took delivery. These arrangements optimized for supply security and relationship maintenance with Iran — not for activation flexibility. When the 2026 disruption hit, Chinese NOCs faced a structurally different problem: they were locked into Iranian supply commitments that could not be quickly redirected, while simultaneously needing to secure alternative supply through commercial channels that required new negotiations. Switching to Russian crude demanded extended commercial discussions and government approvals for volume reallocations — a process measured in weeks, not hours.</w:t>
      </w:r>
    </w:p>
    <w:p>
      <w:pPr>
        <w:spacing w:before="20" w:after="80"/>
      </w:pPr>
      <w:r>
        <w:rPr>
          <w:rFonts w:ascii="Times New Roman" w:hAnsi="Times New Roman"/>
          <w:sz w:val="22"/>
        </w:rPr>
        <w:t>The controlled transaction lens clarifies the India-China divergence in a way that the generic 'supplier diversification' framing does not. The question is not simply whether a firm had alternative suppliers — it is whether those alternatives were structured as controlled transactions with pre-authorized activation. IOC's alternative supply relationships were. CNPC's were not.</w:t>
      </w:r>
    </w:p>
    <w:p>
      <w:pPr>
        <w:pStyle w:val="Heading2"/>
        <w:spacing w:before="160" w:after="40"/>
      </w:pPr>
      <w:r>
        <w:rPr>
          <w:rFonts w:ascii="Times New Roman" w:hAnsi="Times New Roman"/>
          <w:color w:val="000000"/>
          <w:sz w:val="22"/>
        </w:rPr>
        <w:t>4.3  The Role of Organizational Decision Authority</w:t>
      </w:r>
    </w:p>
    <w:p>
      <w:pPr>
        <w:spacing w:before="20" w:after="80"/>
      </w:pPr>
      <w:r>
        <w:rPr>
          <w:rFonts w:ascii="Times New Roman" w:hAnsi="Times New Roman"/>
          <w:sz w:val="22"/>
        </w:rPr>
        <w:t>Controlled transactions are inert without pre-authorized decision authority. A pre-negotiated contract that requires a multi-week approval chain to activate is not a controlled transaction — it is a standard contract with附加的 bureaucratic overhead under crisis conditions.</w:t>
      </w:r>
    </w:p>
    <w:p>
      <w:pPr>
        <w:spacing w:before="20" w:after="80"/>
      </w:pPr>
      <w:r>
        <w:rPr>
          <w:rFonts w:ascii="Times New Roman" w:hAnsi="Times New Roman"/>
          <w:sz w:val="22"/>
        </w:rPr>
        <w:t>Reliance Industries' trading desk operates with commercial authority to execute supplier switches within hours. This is an organizational design choice — it reflects a governance structure that pre-authorizes crisis responses for a defined class of commercial decisions. IOC operates under state-owned enterprise governance with crisis protocols that include pre-authorized decision thresholds for emergency procurement activation. Chinese NOCs, operating under party committee governance structures with multi-layer approval requirements, face inherently longer decision latency regardless of the quality of their pre-positioned alternatives.</w:t>
      </w:r>
    </w:p>
    <w:p>
      <w:pPr>
        <w:spacing w:before="20" w:after="80"/>
      </w:pPr>
      <w:r>
        <w:rPr>
          <w:rFonts w:ascii="Times New Roman" w:hAnsi="Times New Roman"/>
          <w:sz w:val="22"/>
        </w:rPr>
        <w:t>Sheffi's organizational capabilities dimension maps directly here: the ability to execute pre-authorized decisions quickly is itself a resilience asset, distinct from the commercial infrastructure of the controlled transaction itself. Firms that had both — the controlled transaction AND the organizational authority to activate it — recovered fastest. Firms that had one but not the other faced delays.</w:t>
      </w:r>
    </w:p>
    <w:p>
      <w:pPr>
        <w:pStyle w:val="Heading2"/>
        <w:spacing w:before="160" w:after="40"/>
      </w:pPr>
      <w:r>
        <w:rPr>
          <w:rFonts w:ascii="Times New Roman" w:hAnsi="Times New Roman"/>
          <w:color w:val="000000"/>
          <w:sz w:val="22"/>
        </w:rPr>
        <w:t>4.4  What About Hedging? The Limits of Price Instruments</w:t>
      </w:r>
    </w:p>
    <w:p>
      <w:pPr>
        <w:spacing w:before="20" w:after="80"/>
      </w:pPr>
      <w:r>
        <w:rPr>
          <w:rFonts w:ascii="Times New Roman" w:hAnsi="Times New Roman"/>
          <w:sz w:val="22"/>
        </w:rPr>
        <w:t>Chinese NOCs are sophisticated hedgers. Sinopec and CNPC use Brent futures, options, and swaps extensively to manage price risk. These instruments performed exactly as designed during the 2026 crisis — they protected against the cost of Brent spiking to $100+. But they did not protect against the physical supply disruption: the scenario where alternative crude was available but at a $15-20/barrel premium with 10 days of additional transit time.</w:t>
      </w:r>
    </w:p>
    <w:p>
      <w:pPr>
        <w:spacing w:before="20" w:after="80"/>
      </w:pPr>
      <w:r>
        <w:rPr>
          <w:rFonts w:ascii="Times New Roman" w:hAnsi="Times New Roman"/>
          <w:sz w:val="22"/>
        </w:rPr>
        <w:t>This is the critical distinction Sodhi and Tang's framework illuminates. The 2026 Iran crisis was a disruption risk (sudden, external, availability-threatening) — not a price risk. Hedging instruments are the appropriate mitigation for price risks. Controlled transactions, redundancy (inventory buffers), and flexibility (refinery configuration) are the appropriate instruments for disruption risks. Chinese NOCs were well-hedged against the wrong risk type — which is why their hedges provided financial protection without preventing physical supply disruption.</w:t>
      </w:r>
    </w:p>
    <w:p>
      <w:pPr>
        <w:pStyle w:val="Heading1"/>
        <w:spacing w:before="240" w:after="80"/>
      </w:pPr>
      <w:r>
        <w:rPr>
          <w:rFonts w:ascii="Times New Roman" w:hAnsi="Times New Roman"/>
          <w:color w:val="000000"/>
          <w:sz w:val="22"/>
        </w:rPr>
        <w:t>5. FRAMEWORK APPLICATION</w:t>
      </w:r>
    </w:p>
    <w:p>
      <w:pPr>
        <w:pStyle w:val="Heading2"/>
        <w:spacing w:before="160" w:after="40"/>
      </w:pPr>
      <w:r>
        <w:rPr>
          <w:rFonts w:ascii="Times New Roman" w:hAnsi="Times New Roman"/>
          <w:color w:val="000000"/>
          <w:sz w:val="22"/>
        </w:rPr>
        <w:t>5.1  Sheffi: Five Dimensions Mapped to the Crisis</w:t>
      </w:r>
    </w:p>
    <w:p>
      <w:pPr>
        <w:spacing w:before="20" w:after="80"/>
      </w:pPr>
      <w:r>
        <w:rPr>
          <w:rFonts w:ascii="Times New Roman" w:hAnsi="Times New Roman"/>
          <w:sz w:val="22"/>
        </w:rPr>
        <w:t>Sheffi (2005) identifies five dimensions of organizational resilience: redundancy, flexibility, awareness, adaptability, and organizational capabilities. The 2026 Iran crisis provides an empirical test of each:</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Sheffi Dimension</w:t>
            </w:r>
          </w:p>
        </w:tc>
        <w:tc>
          <w:tcPr>
            <w:tcW w:type="dxa" w:w="3120"/>
          </w:tcPr>
          <w:p>
            <w:r>
              <w:rPr>
                <w:rFonts w:ascii="Times New Roman" w:hAnsi="Times New Roman"/>
                <w:b/>
                <w:sz w:val="22"/>
              </w:rPr>
              <w:t>Crisis Observation</w:t>
            </w:r>
          </w:p>
        </w:tc>
        <w:tc>
          <w:tcPr>
            <w:tcW w:type="dxa" w:w="3120"/>
          </w:tcPr>
          <w:p>
            <w:r>
              <w:rPr>
                <w:rFonts w:ascii="Times New Roman" w:hAnsi="Times New Roman"/>
                <w:b/>
                <w:sz w:val="22"/>
              </w:rPr>
              <w:t>Firms That Benefited</w:t>
            </w:r>
          </w:p>
        </w:tc>
      </w:tr>
      <w:tr>
        <w:tc>
          <w:tcPr>
            <w:tcW w:type="dxa" w:w="3120"/>
          </w:tcPr>
          <w:p>
            <w:r>
              <w:rPr>
                <w:rFonts w:ascii="Times New Roman" w:hAnsi="Times New Roman"/>
                <w:sz w:val="22"/>
              </w:rPr>
              <w:t>Redundancy</w:t>
            </w:r>
          </w:p>
        </w:tc>
        <w:tc>
          <w:tcPr>
            <w:tcW w:type="dxa" w:w="3120"/>
          </w:tcPr>
          <w:p>
            <w:r>
              <w:rPr>
                <w:rFonts w:ascii="Times New Roman" w:hAnsi="Times New Roman"/>
                <w:sz w:val="22"/>
              </w:rPr>
              <w:t>14+ day inventory buffers absorbed the 10-day Cape rerouting delay without emergency spot procurement</w:t>
            </w:r>
          </w:p>
        </w:tc>
        <w:tc>
          <w:tcPr>
            <w:tcW w:type="dxa" w:w="3120"/>
          </w:tcPr>
          <w:p>
            <w:r>
              <w:rPr>
                <w:rFonts w:ascii="Times New Roman" w:hAnsi="Times New Roman"/>
                <w:sz w:val="22"/>
              </w:rPr>
              <w:t>IOC (strategic reserves); Japanese refiners (national security inventories)</w:t>
            </w:r>
          </w:p>
        </w:tc>
      </w:tr>
      <w:tr>
        <w:tc>
          <w:tcPr>
            <w:tcW w:type="dxa" w:w="3120"/>
          </w:tcPr>
          <w:p>
            <w:r>
              <w:rPr>
                <w:rFonts w:ascii="Times New Roman" w:hAnsi="Times New Roman"/>
                <w:sz w:val="22"/>
              </w:rPr>
              <w:t>Flexibility</w:t>
            </w:r>
          </w:p>
        </w:tc>
        <w:tc>
          <w:tcPr>
            <w:tcW w:type="dxa" w:w="3120"/>
          </w:tcPr>
          <w:p>
            <w:r>
              <w:rPr>
                <w:rFonts w:ascii="Times New Roman" w:hAnsi="Times New Roman"/>
                <w:sz w:val="22"/>
              </w:rPr>
              <w:t>NCI 13+ refinery configurations processed grade-switched crude without major throughput loss; simpler refineries faced 2-4 weeks of reduced throughput</w:t>
            </w:r>
          </w:p>
        </w:tc>
        <w:tc>
          <w:tcPr>
            <w:tcW w:type="dxa" w:w="3120"/>
          </w:tcPr>
          <w:p>
            <w:r>
              <w:rPr>
                <w:rFonts w:ascii="Times New Roman" w:hAnsi="Times New Roman"/>
                <w:sz w:val="22"/>
              </w:rPr>
              <w:t>Reliance Industries (Jamnagar); Japanese refiners with complex configurations</w:t>
            </w:r>
          </w:p>
        </w:tc>
      </w:tr>
      <w:tr>
        <w:tc>
          <w:tcPr>
            <w:tcW w:type="dxa" w:w="3120"/>
          </w:tcPr>
          <w:p>
            <w:r>
              <w:rPr>
                <w:rFonts w:ascii="Times New Roman" w:hAnsi="Times New Roman"/>
                <w:sz w:val="22"/>
              </w:rPr>
              <w:t>Awareness</w:t>
            </w:r>
          </w:p>
        </w:tc>
        <w:tc>
          <w:tcPr>
            <w:tcW w:type="dxa" w:w="3120"/>
          </w:tcPr>
          <w:p>
            <w:r>
              <w:rPr>
                <w:rFonts w:ascii="Times New Roman" w:hAnsi="Times New Roman"/>
                <w:sz w:val="22"/>
              </w:rPr>
              <w:t>Real-time AIS vessel tracking provided 24-48 hours of early warning before physical supply impact reached refinery gates</w:t>
            </w:r>
          </w:p>
        </w:tc>
        <w:tc>
          <w:tcPr>
            <w:tcW w:type="dxa" w:w="3120"/>
          </w:tcPr>
          <w:p>
            <w:r>
              <w:rPr>
                <w:rFonts w:ascii="Times New Roman" w:hAnsi="Times New Roman"/>
                <w:sz w:val="22"/>
              </w:rPr>
              <w:t>Reliance trading desk; IOC (government intelligence channels)</w:t>
            </w:r>
          </w:p>
        </w:tc>
      </w:tr>
      <w:tr>
        <w:tc>
          <w:tcPr>
            <w:tcW w:type="dxa" w:w="3120"/>
          </w:tcPr>
          <w:p>
            <w:r>
              <w:rPr>
                <w:rFonts w:ascii="Times New Roman" w:hAnsi="Times New Roman"/>
                <w:sz w:val="22"/>
              </w:rPr>
              <w:t>Adaptability</w:t>
            </w:r>
          </w:p>
        </w:tc>
        <w:tc>
          <w:tcPr>
            <w:tcW w:type="dxa" w:w="3120"/>
          </w:tcPr>
          <w:p>
            <w:r>
              <w:rPr>
                <w:rFonts w:ascii="Times New Roman" w:hAnsi="Times New Roman"/>
                <w:sz w:val="22"/>
              </w:rPr>
              <w:t>Pre-established alternative supplier relationships (Saudi Aramco, ADNOC, US crude) activated without new negotiations in 3-6 days</w:t>
            </w:r>
          </w:p>
        </w:tc>
        <w:tc>
          <w:tcPr>
            <w:tcW w:type="dxa" w:w="3120"/>
          </w:tcPr>
          <w:p>
            <w:r>
              <w:rPr>
                <w:rFonts w:ascii="Times New Roman" w:hAnsi="Times New Roman"/>
                <w:sz w:val="22"/>
              </w:rPr>
              <w:t>IOC; Japanese refiners with diversified term contracts</w:t>
            </w:r>
          </w:p>
        </w:tc>
      </w:tr>
      <w:tr>
        <w:tc>
          <w:tcPr>
            <w:tcW w:type="dxa" w:w="3120"/>
          </w:tcPr>
          <w:p>
            <w:r>
              <w:rPr>
                <w:rFonts w:ascii="Times New Roman" w:hAnsi="Times New Roman"/>
                <w:sz w:val="22"/>
              </w:rPr>
              <w:t>Organizational Capabilities</w:t>
            </w:r>
          </w:p>
        </w:tc>
        <w:tc>
          <w:tcPr>
            <w:tcW w:type="dxa" w:w="3120"/>
          </w:tcPr>
          <w:p>
            <w:r>
              <w:rPr>
                <w:rFonts w:ascii="Times New Roman" w:hAnsi="Times New Roman"/>
                <w:sz w:val="22"/>
              </w:rPr>
              <w:t>Pre-authorized decision authority enabled supplier switches within 24-72 hours without multi-week approval chains</w:t>
            </w:r>
          </w:p>
        </w:tc>
        <w:tc>
          <w:tcPr>
            <w:tcW w:type="dxa" w:w="3120"/>
          </w:tcPr>
          <w:p>
            <w:r>
              <w:rPr>
                <w:rFonts w:ascii="Times New Roman" w:hAnsi="Times New Roman"/>
                <w:sz w:val="22"/>
              </w:rPr>
              <w:t>Reliance trading desk; IOC (pre-authorized crisis protocols)</w:t>
            </w:r>
          </w:p>
        </w:tc>
      </w:tr>
    </w:tbl>
    <w:p>
      <w:r>
        <w:rPr>
          <w:rFonts w:ascii="Times New Roman" w:hAnsi="Times New Roman"/>
          <w:sz w:val="22"/>
        </w:rPr>
      </w:r>
    </w:p>
    <w:p>
      <w:pPr>
        <w:pStyle w:val="Heading2"/>
        <w:spacing w:before="160" w:after="40"/>
      </w:pPr>
      <w:r>
        <w:rPr>
          <w:rFonts w:ascii="Times New Roman" w:hAnsi="Times New Roman"/>
          <w:color w:val="000000"/>
          <w:sz w:val="22"/>
        </w:rPr>
        <w:t>5.2  Sodhi and Tang: Risk Taxonomy Applied</w:t>
      </w:r>
    </w:p>
    <w:p>
      <w:pPr>
        <w:spacing w:before="20" w:after="80"/>
      </w:pPr>
      <w:r>
        <w:rPr>
          <w:rFonts w:ascii="Times New Roman" w:hAnsi="Times New Roman"/>
          <w:sz w:val="22"/>
        </w:rPr>
        <w:t>Sodhi and Tang (2012) categorize supply chain risks into three types: disruption risks, supply risks, and demand risks. Each type requires different mitigation instruments.</w:t>
      </w:r>
    </w:p>
    <w:p>
      <w:pPr>
        <w:pStyle w:val="ListBullet"/>
        <w:spacing w:before="20" w:after="20"/>
      </w:pPr>
      <w:r>
        <w:rPr>
          <w:rFonts w:ascii="Times New Roman" w:hAnsi="Times New Roman"/>
          <w:b/>
          <w:sz w:val="22"/>
        </w:rPr>
        <w:t xml:space="preserve">Disruption risk: </w:t>
      </w:r>
      <w:r>
        <w:rPr>
          <w:rFonts w:ascii="Times New Roman" w:hAnsi="Times New Roman"/>
          <w:sz w:val="22"/>
        </w:rPr>
        <w:t>Disruption risks (sudden, external, potentially extended-duration) require redundancy and flexibility. The Iran-Hormuz crisis is unambiguously a disruption risk in this framework. Mitigation instruments: inventory buffers, flexible refinery configurations, controlled transactions.</w:t>
      </w:r>
    </w:p>
    <w:p>
      <w:pPr>
        <w:pStyle w:val="ListBullet"/>
        <w:spacing w:before="20" w:after="20"/>
      </w:pPr>
      <w:r>
        <w:rPr>
          <w:rFonts w:ascii="Times New Roman" w:hAnsi="Times New Roman"/>
          <w:b/>
          <w:sz w:val="22"/>
        </w:rPr>
        <w:t xml:space="preserve">Supply risk: </w:t>
      </w:r>
      <w:r>
        <w:rPr>
          <w:rFonts w:ascii="Times New Roman" w:hAnsi="Times New Roman"/>
          <w:sz w:val="22"/>
        </w:rPr>
        <w:t>Supply risks (uncertainty in quality, quantity, or timing of supply from a known supplier) require supplier management and contractual mechanisms. Relevant to the refinery crude slate problem: switching to the wrong crude grade creates a supply quality risk that manifests as reduced throughput. Not the primary risk type in this crisis.</w:t>
      </w:r>
    </w:p>
    <w:p>
      <w:pPr>
        <w:pStyle w:val="ListBullet"/>
        <w:spacing w:before="20" w:after="20"/>
      </w:pPr>
      <w:r>
        <w:rPr>
          <w:rFonts w:ascii="Times New Roman" w:hAnsi="Times New Roman"/>
          <w:b/>
          <w:sz w:val="22"/>
        </w:rPr>
        <w:t xml:space="preserve">Demand risk: </w:t>
      </w:r>
      <w:r>
        <w:rPr>
          <w:rFonts w:ascii="Times New Roman" w:hAnsi="Times New Roman"/>
          <w:sz w:val="22"/>
        </w:rPr>
        <w:t>Demand risks are not directly relevant to this crisis, though downstream product demand destruction could emerge if refinery throughput cuts propagate into refined product shortages.</w:t>
      </w:r>
    </w:p>
    <w:p>
      <w:pPr>
        <w:spacing w:before="20" w:after="80"/>
      </w:pPr>
      <w:r>
        <w:rPr>
          <w:rFonts w:ascii="Times New Roman" w:hAnsi="Times New Roman"/>
          <w:sz w:val="22"/>
        </w:rPr>
        <w:t>The taxonomy is not merely academic. It explains why Chinese NOC hedging strategies — which addressed price risk (a supply risk instrument) — did not protect against the disruption risk they faced. The risk type and the mitigation instrument must match. Firms that survived the disruption with minimal impact used instruments designed for disruption risk. Firms that used only price instruments (hedges) suffered physical disruption even as their financial hedges performed.</w:t>
      </w:r>
    </w:p>
    <w:p>
      <w:pPr>
        <w:pStyle w:val="Heading2"/>
        <w:spacing w:before="160" w:after="40"/>
      </w:pPr>
      <w:r>
        <w:rPr>
          <w:rFonts w:ascii="Times New Roman" w:hAnsi="Times New Roman"/>
          <w:color w:val="000000"/>
          <w:sz w:val="22"/>
        </w:rPr>
        <w:t>5.3  Choi, Rogers, and Vakil: Supply Chain Visibility Applied</w:t>
      </w:r>
    </w:p>
    <w:p>
      <w:pPr>
        <w:spacing w:before="20" w:after="80"/>
      </w:pPr>
      <w:r>
        <w:rPr>
          <w:rFonts w:ascii="Times New Roman" w:hAnsi="Times New Roman"/>
          <w:sz w:val="22"/>
        </w:rPr>
        <w:t>Choi, Rogers, and Vakil (2020) argue that the post-COVID supply chain vulnerability is opacity into tier-2 and tier-3 supply chains. In the oil refining supply chain: tier-1 is the crude supplier; tier-2 is the shipping and logistics network; tier-3 is the financial infrastructure (insurance, banking, payment clearing); tier-4 is the geopolitical environment that shapes all of the above.</w:t>
      </w:r>
    </w:p>
    <w:p>
      <w:pPr>
        <w:spacing w:before="20" w:after="80"/>
      </w:pPr>
      <w:r>
        <w:rPr>
          <w:rFonts w:ascii="Times New Roman" w:hAnsi="Times New Roman"/>
          <w:sz w:val="22"/>
        </w:rPr>
        <w:t>The visibility gap in the 2026 crisis operated at tier-2 and tier-3. Firms did not primarily lack visibility into their crude suppliers — they knew who their suppliers were. They lacked visibility into whether vessels carrying their crude could be insured, whether they would reroute, and when the rerouting would translate into physical supply delays. Firms with real-time AIS tracking detected tier-2 disruption 24-48 hours before those without. Firms monitoring war risk insurance premium movements detected tier-3 disruption before it manifested in physical routing changes. This 24-72 hour early warning window was sufficient to activate controlled transactions before the disruption cascaded into refinery supply positions. The firms without visibility were already behind when they started responding.</w:t>
      </w:r>
    </w:p>
    <w:p>
      <w:pPr>
        <w:pStyle w:val="Heading1"/>
        <w:spacing w:before="240" w:after="80"/>
      </w:pPr>
      <w:r>
        <w:rPr>
          <w:rFonts w:ascii="Times New Roman" w:hAnsi="Times New Roman"/>
          <w:color w:val="000000"/>
          <w:sz w:val="22"/>
        </w:rPr>
        <w:t>6. THE PLAYBOOK: A STRUCTURED GUIDE FOR THE NEXT CRISIS</w:t>
      </w:r>
    </w:p>
    <w:p>
      <w:pPr>
        <w:spacing w:before="20" w:after="80"/>
      </w:pPr>
      <w:r>
        <w:rPr>
          <w:rFonts w:ascii="Times New Roman" w:hAnsi="Times New Roman"/>
          <w:sz w:val="22"/>
        </w:rPr>
        <w:t>The playbook structure follows the logic of the disruption cascade: it moves from diagnostic questions (Section 6.1) to preparation checklists (Section 6.2) to response protocols (Section 6.3), and closes with the structural uncertainties that could reprice any specific set of recommendations (Section 6.4).</w:t>
      </w:r>
    </w:p>
    <w:p>
      <w:pPr>
        <w:pStyle w:val="Heading2"/>
        <w:spacing w:before="160" w:after="40"/>
      </w:pPr>
      <w:r>
        <w:rPr>
          <w:rFonts w:ascii="Times New Roman" w:hAnsi="Times New Roman"/>
          <w:color w:val="000000"/>
          <w:sz w:val="22"/>
        </w:rPr>
        <w:t>6.1  Diagnostic Questions: Where Does Your Vulnerability Live?</w:t>
      </w:r>
    </w:p>
    <w:p>
      <w:pPr>
        <w:spacing w:before="20" w:after="80"/>
      </w:pPr>
      <w:r>
        <w:rPr>
          <w:rFonts w:ascii="Times New Roman" w:hAnsi="Times New Roman"/>
          <w:sz w:val="22"/>
        </w:rPr>
        <w:t>Before building resilience, a firm must diagnose which of the four disruption layers it is most exposed to:</w:t>
      </w:r>
    </w:p>
    <w:p>
      <w:pPr>
        <w:pStyle w:val="ListBullet"/>
        <w:spacing w:before="20" w:after="20"/>
      </w:pPr>
      <w:r>
        <w:rPr>
          <w:rFonts w:ascii="Times New Roman" w:hAnsi="Times New Roman"/>
          <w:sz w:val="22"/>
        </w:rPr>
        <w:t>Insurance layer: What is your current war risk insurance coverage for Gulf routing? Which Lloyd's syndicates or ITFF members provide it? What premium level makes continued Gulf routing economically prohibitive for your vessel operators — and what is your contingency routing plan?</w:t>
      </w:r>
    </w:p>
    <w:p>
      <w:pPr>
        <w:pStyle w:val="ListBullet"/>
        <w:spacing w:before="20" w:after="20"/>
      </w:pPr>
      <w:r>
        <w:rPr>
          <w:rFonts w:ascii="Times New Roman" w:hAnsi="Times New Roman"/>
          <w:sz w:val="22"/>
        </w:rPr>
        <w:t>Routing layer: What is your current crude inventory in days of forward supply? If your primary supply route added 10 days of transit time tomorrow, would you face runout risk? What is your inventory target that provides adequate buffer for a 10-14 day disruption?</w:t>
      </w:r>
    </w:p>
    <w:p>
      <w:pPr>
        <w:pStyle w:val="ListBullet"/>
        <w:spacing w:before="20" w:after="20"/>
      </w:pPr>
      <w:r>
        <w:rPr>
          <w:rFonts w:ascii="Times New Roman" w:hAnsi="Times New Roman"/>
          <w:sz w:val="22"/>
        </w:rPr>
        <w:t>Refinery input layer: Which crude grades can your refineries process at near-full throughput? What is your current crude slate — and what would happen to throughput if you switched to your second or third choice crude grade? How many days of operational adjustment would a grade switch require?</w:t>
      </w:r>
    </w:p>
    <w:p>
      <w:pPr>
        <w:pStyle w:val="ListBullet"/>
        <w:spacing w:before="20" w:after="20"/>
      </w:pPr>
      <w:r>
        <w:rPr>
          <w:rFonts w:ascii="Times New Roman" w:hAnsi="Times New Roman"/>
          <w:sz w:val="22"/>
        </w:rPr>
        <w:t>Visibility layer: Do you have real-time monitoring of AIS vessel movements for your in-transit cargoes? Do you monitor war risk insurance premium movements and VLCC spot rate differentials as early warning signals? Who in your organization sees this data, and what is their authorization when they see it?</w:t>
      </w:r>
    </w:p>
    <w:p>
      <w:pPr>
        <w:pStyle w:val="Heading2"/>
        <w:spacing w:before="160" w:after="40"/>
      </w:pPr>
      <w:r>
        <w:rPr>
          <w:rFonts w:ascii="Times New Roman" w:hAnsi="Times New Roman"/>
          <w:color w:val="000000"/>
          <w:sz w:val="22"/>
        </w:rPr>
        <w:t>6.2  Preparation Checklist: Building Controlled Transaction Infrastructure</w:t>
      </w:r>
    </w:p>
    <w:p>
      <w:pPr>
        <w:spacing w:before="20" w:after="80"/>
      </w:pPr>
      <w:r>
        <w:rPr>
          <w:rFonts w:ascii="Times New Roman" w:hAnsi="Times New Roman"/>
          <w:sz w:val="22"/>
        </w:rPr>
        <w:t>The controlled transaction is the central resilience instrument for geopolitical disruption scenarios. Building it requires four parallel workstreams:</w:t>
      </w:r>
    </w:p>
    <w:p>
      <w:pPr>
        <w:pStyle w:val="ListBullet"/>
        <w:spacing w:before="20" w:after="20"/>
      </w:pPr>
      <w:r>
        <w:rPr>
          <w:rFonts w:ascii="Times New Roman" w:hAnsi="Times New Roman"/>
          <w:sz w:val="22"/>
        </w:rPr>
        <w:t>Supplier layer: For each major crude grade you process, identify three alternative suppliers. Negotiate baseline contracts at minimum viable volumes — even 10,000 barrels per day of a backup contract provides the activation path. Critically: include defined activation triggers, pre-agreed pricing formulas, and pre-authorized decision authority in the contract structure. Without these three elements, the contract is not a controlled transaction — it is a theoretical alternative that cannot be exercised under crisis pressure.</w:t>
      </w:r>
    </w:p>
    <w:p>
      <w:pPr>
        <w:pStyle w:val="ListBullet"/>
        <w:spacing w:before="20" w:after="20"/>
      </w:pPr>
      <w:r>
        <w:rPr>
          <w:rFonts w:ascii="Times New Roman" w:hAnsi="Times New Roman"/>
          <w:sz w:val="22"/>
        </w:rPr>
        <w:t>Inventory layer: IEA data supports 14+ days of crude inventory as adequate buffer for a 10-14 day disruption event. If you operate below 10 days, this is a material vulnerability. Inventory is not free — it carries a working capital cost — but it is the most direct redundancy instrument for a disruption risk.</w:t>
      </w:r>
    </w:p>
    <w:p>
      <w:pPr>
        <w:pStyle w:val="ListBullet"/>
        <w:spacing w:before="20" w:after="20"/>
      </w:pPr>
      <w:r>
        <w:rPr>
          <w:rFonts w:ascii="Times New Roman" w:hAnsi="Times New Roman"/>
          <w:sz w:val="22"/>
        </w:rPr>
        <w:t>Refinery layer: Audit your refinery's actual crude grade flexibility using Nelson Complexity Index and crude assay data. If you are below NCI 9, your refinery is configured for specific crude types — designing flexibility into your crude slate is a capital investment decision that requires years of planning. If you cannot upgrade, your controlled transaction strategy must be limited to alternative suppliers that deliver the crude grades your refinery can process.</w:t>
      </w:r>
    </w:p>
    <w:p>
      <w:pPr>
        <w:pStyle w:val="ListBullet"/>
        <w:spacing w:before="20" w:after="20"/>
      </w:pPr>
      <w:r>
        <w:rPr>
          <w:rFonts w:ascii="Times New Roman" w:hAnsi="Times New Roman"/>
          <w:sz w:val="22"/>
        </w:rPr>
        <w:t>Organizational layer: Establish and document pre-authorized decision thresholds for crisis supplier activation. Specify who can activate a controlled transaction, at what volume threshold, and under what trigger conditions. Practice these protocols in annual crisis simulations. Without pre-authorized decision authority, a controlled transaction is a document, not a response capability.</w:t>
      </w:r>
    </w:p>
    <w:p>
      <w:pPr>
        <w:pStyle w:val="Heading2"/>
        <w:spacing w:before="160" w:after="40"/>
      </w:pPr>
      <w:r>
        <w:rPr>
          <w:rFonts w:ascii="Times New Roman" w:hAnsi="Times New Roman"/>
          <w:color w:val="000000"/>
          <w:sz w:val="22"/>
        </w:rPr>
        <w:t>6.3  Response Protocol: The First 72 Hours</w:t>
      </w:r>
    </w:p>
    <w:p>
      <w:pPr>
        <w:spacing w:before="20" w:after="80"/>
      </w:pPr>
      <w:r>
        <w:rPr>
          <w:rFonts w:ascii="Times New Roman" w:hAnsi="Times New Roman"/>
          <w:sz w:val="22"/>
        </w:rPr>
        <w:t>When a geopolitical escalation signal appears — AIS routing shifts, insurance premium movements, or diplomatic signals — the response protocol should be:</w:t>
      </w:r>
    </w:p>
    <w:p>
      <w:pPr>
        <w:pStyle w:val="ListBullet"/>
        <w:spacing w:before="20" w:after="20"/>
      </w:pPr>
      <w:r>
        <w:rPr>
          <w:rFonts w:ascii="Times New Roman" w:hAnsi="Times New Roman"/>
          <w:sz w:val="22"/>
        </w:rPr>
        <w:t>Hour 0-24: Assess. Confirm the nature of the disruption: insurance withdrawal, routing change, or physical blockage? Activate the crisis team. Pull real-time AIS tracking for all in-transit cargoes. Quantify your inventory runway in days. Identify which of your four disruption layers is the binding constraint.</w:t>
      </w:r>
    </w:p>
    <w:p>
      <w:pPr>
        <w:pStyle w:val="ListBullet"/>
        <w:spacing w:before="20" w:after="20"/>
      </w:pPr>
      <w:r>
        <w:rPr>
          <w:rFonts w:ascii="Times New Roman" w:hAnsi="Times New Roman"/>
          <w:sz w:val="22"/>
        </w:rPr>
        <w:t>Hour 24-72: Activate. Activate pre-established controlled transactions for the affected supply layer. Draw down inventory to extend supply runway while alternative arrangements are activated. Brief treasury on currency and hedging implications of alternative supplier procurement. Begin proactive financial market communication.</w:t>
      </w:r>
    </w:p>
    <w:p>
      <w:pPr>
        <w:pStyle w:val="ListBullet"/>
        <w:spacing w:before="20" w:after="20"/>
      </w:pPr>
      <w:r>
        <w:rPr>
          <w:rFonts w:ascii="Times New Roman" w:hAnsi="Times New Roman"/>
          <w:sz w:val="22"/>
        </w:rPr>
        <w:t>Day 3-14: Manage. Assess the likely duration: temporary (under 30 days) or structural? For temporary disruptions: maintain controlled transaction activation, do not restructure the supplier base permanently. For structural disruptions: execute formal supplier base restructuring, negotiate new term contracts, and evaluate whether existing take-or-pay provisions require commercial renegotiation.</w:t>
      </w:r>
    </w:p>
    <w:p>
      <w:pPr>
        <w:pStyle w:val="ListBullet"/>
        <w:spacing w:before="20" w:after="20"/>
      </w:pPr>
      <w:r>
        <w:rPr>
          <w:rFonts w:ascii="Times New Roman" w:hAnsi="Times New Roman"/>
          <w:sz w:val="22"/>
        </w:rPr>
        <w:t>Oil-specific early warning signals to monitor continuously: VLCC routing patterns (AIS rerouting signals disruption onset); war risk insurance premium levels (spikes above 50% week-over-week signal market stress); Brent backwardation (front-month premium over 6-month of more than $3-4/barrel signals near-term supply tightness); VLCC spot rate differentials between Cape and Hormuz routing (differential widening signals rerouting cost repricing).</w:t>
      </w:r>
    </w:p>
    <w:p>
      <w:pPr>
        <w:pStyle w:val="Heading2"/>
        <w:spacing w:before="160" w:after="40"/>
      </w:pPr>
      <w:r>
        <w:rPr>
          <w:rFonts w:ascii="Times New Roman" w:hAnsi="Times New Roman"/>
          <w:color w:val="000000"/>
          <w:sz w:val="22"/>
        </w:rPr>
        <w:t>6.4  Structural Uncertainty: The Saudi-Iran Normalization Scenario</w:t>
      </w:r>
    </w:p>
    <w:p>
      <w:pPr>
        <w:spacing w:before="20" w:after="80"/>
      </w:pPr>
      <w:r>
        <w:rPr>
          <w:rFonts w:ascii="Times New Roman" w:hAnsi="Times New Roman"/>
          <w:sz w:val="22"/>
        </w:rPr>
        <w:t>The playbook above is built for the disruption scenario that materialized in March 2026. A competent risk management analysis must also address the scenario that could reprice its recommendations: Saudi-Iran diplomatic normalization.</w:t>
      </w:r>
    </w:p>
    <w:p>
      <w:pPr>
        <w:spacing w:before="20" w:after="80"/>
      </w:pPr>
      <w:r>
        <w:rPr>
          <w:rFonts w:ascii="Times New Roman" w:hAnsi="Times New Roman"/>
          <w:sz w:val="22"/>
        </w:rPr>
        <w:t>Chinese-mediated Saudi-Iran engagement has been a live geopolitical dynamic since 2021, culminating in the 2023 Beijing Accord. A future normalization — potentially involving US-Iran nuclear negotiations or Chinese-brokered regional détente — could lift secondary sanctions and return Iranian crude to global markets at scale (potentially 2+ mb/d of additional supply). This would reprice Middle Eastern crude benchmarks and disrupt the alternative supply relationships that firms activated during the 2026 crisis.</w:t>
      </w:r>
    </w:p>
    <w:p>
      <w:pPr>
        <w:spacing w:before="20" w:after="80"/>
      </w:pPr>
      <w:r>
        <w:rPr>
          <w:rFonts w:ascii="Times New Roman" w:hAnsi="Times New Roman"/>
          <w:sz w:val="22"/>
        </w:rPr>
        <w:t>The resilience infrastructure built for the disruption scenario must be designed with scenario-specific activation terms and periodic review triggers. Specifically: the alternative supplier contracts activated in 2026 should include sunset provisions tied to Iranian crude returning to market. The inventory buffer strategy should be reviewed against updated probability estimates of the normalization scenario. And the practitioner message must be nuanced: resilience architecture should be robust across multiple scenarios, not optimized exclusively for the most recent disruption.</w:t>
      </w:r>
    </w:p>
    <w:p>
      <w:pPr>
        <w:spacing w:before="20" w:after="80"/>
      </w:pPr>
      <w:r>
        <w:rPr>
          <w:rFonts w:ascii="Times New Roman" w:hAnsi="Times New Roman"/>
          <w:sz w:val="22"/>
        </w:rPr>
        <w:t>This is not a theoretical concern. The 2022 Ukraine conflict produced a similar repricing dynamic: European firms that invested heavily in Russian gas supply security after the 2014 Crimea crisis found those investments becoming liabilities when 2022 produced a structural break. The firms that managed the transition best had already built scenario flexibility into their supplier architecture. This is the lesson the Saudi-Iran normalization scenario teaches: resilience is not about building for the last crisis. It is about building for a range of plausible futures.</w:t>
      </w:r>
    </w:p>
    <w:p>
      <w:pPr>
        <w:pStyle w:val="Heading1"/>
        <w:spacing w:before="240" w:after="80"/>
      </w:pPr>
      <w:r>
        <w:rPr>
          <w:rFonts w:ascii="Times New Roman" w:hAnsi="Times New Roman"/>
          <w:color w:val="000000"/>
          <w:sz w:val="22"/>
        </w:rPr>
        <w:t>7. CONCLUSION</w:t>
      </w:r>
    </w:p>
    <w:p>
      <w:pPr>
        <w:spacing w:before="20" w:after="80"/>
      </w:pPr>
      <w:r>
        <w:rPr>
          <w:rFonts w:ascii="Times New Roman" w:hAnsi="Times New Roman"/>
          <w:sz w:val="22"/>
        </w:rPr>
        <w:t>The 2026 Iran-Hormuz crisis is ongoing. Final recovery outcomes for Indian, Chinese, and Japanese refiners are not yet established. This paper has not declared conclusions — it has offered a diagnostic and a playbook.</w:t>
      </w:r>
    </w:p>
    <w:p>
      <w:pPr>
        <w:spacing w:before="20" w:after="80"/>
      </w:pPr>
      <w:r>
        <w:rPr>
          <w:rFonts w:ascii="Times New Roman" w:hAnsi="Times New Roman"/>
          <w:sz w:val="22"/>
        </w:rPr>
        <w:t>The diagnostic is this: the disruption did not operate through the mechanism most observers expected. The Strait of Hormuz was not physically blocked. The Strait was the destination; the disruption originated in the financial infrastructure of oil transport — the insurance market — and propagated through  tanker routing logistics, refinery technical constraints, and information system gaps. Firms that understood their supply chain architecture across these four layers recovered faster. Firms that treated this as an oil price story responded to the wrong variable.</w:t>
      </w:r>
    </w:p>
    <w:p>
      <w:pPr>
        <w:spacing w:before="20" w:after="80"/>
      </w:pPr>
      <w:r>
        <w:rPr>
          <w:rFonts w:ascii="Times New Roman" w:hAnsi="Times New Roman"/>
          <w:sz w:val="22"/>
        </w:rPr>
        <w:t>The playbook is this: controlled transactions — pre-negotiated, pre-authorized commercial arrangements with defined activation triggers and decision authority — are the specific resilience instrument for disruption risks. Sheffi's five dimensions tell you where to invest. Sodhi and Tang's taxonomy tells you which risk type each investment addresses. Choi et al.'s visibility framework tells you where to look when the next crisis begins. Together, they produce a structured answer to the question every supply chain manager should be asking: not 'how do we hedge the next geopolitical event?' but 'which of our four disruption layers is the binding constraint, and which controlled transactions do we need to build before the next crisis hits?'</w:t>
      </w:r>
    </w:p>
    <w:p>
      <w:pPr>
        <w:spacing w:before="20" w:after="80"/>
      </w:pPr>
      <w:r>
        <w:rPr>
          <w:rFonts w:ascii="Times New Roman" w:hAnsi="Times New Roman"/>
          <w:sz w:val="22"/>
        </w:rPr>
        <w:t>The structural uncertainty is this: the Saudi-Iran normalization scenario is credible, and it would reprice the investments made during the 2026 crisis. Resilience architecture designed for a single scenario is fragile architecture. The firms that will manage the next disruption best are those that build scenario flexibility into their supply chain infrastructure — not those that optimize for the most recent crisis. This is not a price story. It is a structure story.</w:t>
      </w:r>
    </w:p>
    <w:p>
      <w:pPr>
        <w:pStyle w:val="Heading1"/>
        <w:spacing w:before="240" w:after="80"/>
      </w:pPr>
      <w:r>
        <w:rPr>
          <w:rFonts w:ascii="Times New Roman" w:hAnsi="Times New Roman"/>
          <w:color w:val="000000"/>
          <w:sz w:val="22"/>
        </w:rPr>
        <w:t>REFERENCES</w:t>
      </w:r>
    </w:p>
    <w:p>
      <w:pPr>
        <w:spacing w:before="120" w:after="40"/>
      </w:pPr>
      <w:r>
        <w:rPr>
          <w:rFonts w:ascii="Times New Roman" w:hAnsi="Times New Roman"/>
          <w:b/>
          <w:sz w:val="22"/>
        </w:rPr>
        <w:t>Course Readings:</w:t>
      </w:r>
    </w:p>
    <w:p>
      <w:pPr>
        <w:pStyle w:val="ListBullet"/>
        <w:spacing w:before="20" w:after="20"/>
      </w:pPr>
      <w:r>
        <w:rPr>
          <w:rFonts w:ascii="Times New Roman" w:hAnsi="Times New Roman"/>
          <w:sz w:val="22"/>
        </w:rPr>
        <w:t>Sheffi, Y. (2005). The Resilient Enterprise: Overcoming Vulnerability for Competitive Advantage. MIT Press.</w:t>
      </w:r>
    </w:p>
    <w:p>
      <w:pPr>
        <w:pStyle w:val="ListBullet"/>
        <w:spacing w:before="20" w:after="20"/>
      </w:pPr>
      <w:r>
        <w:rPr>
          <w:rFonts w:ascii="Times New Roman" w:hAnsi="Times New Roman"/>
          <w:sz w:val="22"/>
        </w:rPr>
        <w:t>Sodhi, M.S., and Tang, C.S. (2012). Managing Supply Chain Risks. Springer.</w:t>
      </w:r>
    </w:p>
    <w:p>
      <w:pPr>
        <w:pStyle w:val="ListBullet"/>
        <w:spacing w:before="20" w:after="20"/>
      </w:pPr>
      <w:r>
        <w:rPr>
          <w:rFonts w:ascii="Times New Roman" w:hAnsi="Times New Roman"/>
          <w:sz w:val="22"/>
        </w:rPr>
        <w:t>Choi, T.Y., Rogers, D.S., and Vakil, B. (2020). "Coronavirus is a Wake-Up Call for Supply Chain Management." Harvard Business Review, April 2020.</w:t>
      </w:r>
    </w:p>
    <w:p>
      <w:pPr>
        <w:spacing w:before="120" w:after="40"/>
      </w:pPr>
      <w:r>
        <w:rPr>
          <w:rFonts w:ascii="Times New Roman" w:hAnsi="Times New Roman"/>
          <w:b/>
          <w:sz w:val="22"/>
        </w:rPr>
        <w:t>Data Sources:</w:t>
      </w:r>
    </w:p>
    <w:p>
      <w:pPr>
        <w:pStyle w:val="ListBullet"/>
        <w:spacing w:before="20" w:after="20"/>
      </w:pPr>
      <w:r>
        <w:rPr>
          <w:rFonts w:ascii="Times New Roman" w:hAnsi="Times New Roman"/>
          <w:sz w:val="22"/>
        </w:rPr>
        <w:t>U.S. Energy Information Administration (EIA). (2026). Oil Market Reports, March-April 2026. https://www.eia.gov/</w:t>
      </w:r>
    </w:p>
    <w:p>
      <w:pPr>
        <w:pStyle w:val="ListBullet"/>
        <w:spacing w:before="20" w:after="20"/>
      </w:pPr>
      <w:r>
        <w:rPr>
          <w:rFonts w:ascii="Times New Roman" w:hAnsi="Times New Roman"/>
          <w:sz w:val="22"/>
        </w:rPr>
        <w:t>International Energy Agency (IEA). (2026). Monthly Oil Market Reports, March-April 2026. https://www.iea.org/</w:t>
      </w:r>
    </w:p>
    <w:p>
      <w:pPr>
        <w:pStyle w:val="ListBullet"/>
        <w:spacing w:before="20" w:after="20"/>
      </w:pPr>
      <w:r>
        <w:rPr>
          <w:rFonts w:ascii="Times New Roman" w:hAnsi="Times New Roman"/>
          <w:sz w:val="22"/>
        </w:rPr>
        <w:t>Bloomberg L.P. (2026). Brent crude daily pricing, VLCC freight indices, war risk insurance premium data, Chinese crude import data, March-April 2026. Bloomberg Terminal subscription.</w:t>
      </w:r>
    </w:p>
    <w:p>
      <w:pPr>
        <w:pStyle w:val="ListBullet"/>
        <w:spacing w:before="20" w:after="20"/>
      </w:pPr>
      <w:r>
        <w:rPr>
          <w:rFonts w:ascii="Times New Roman" w:hAnsi="Times New Roman"/>
          <w:sz w:val="22"/>
        </w:rPr>
        <w:t>Kpler and MarineTraffic. (2026). Tanker tracking and AIS vessel movement data, March-April 2026. Subscription data accessed April 2026.</w:t>
      </w:r>
    </w:p>
    <w:p>
      <w:pPr>
        <w:pStyle w:val="ListBullet"/>
        <w:spacing w:before="20" w:after="20"/>
      </w:pPr>
      <w:r>
        <w:rPr>
          <w:rFonts w:ascii="Times New Roman" w:hAnsi="Times New Roman"/>
          <w:sz w:val="22"/>
        </w:rPr>
        <w:t>Lloyd's Market Association. (2026). War Risk Insurance Market Commentary, April 3, 2026. https://www.lloyds.com/</w:t>
      </w:r>
    </w:p>
    <w:p>
      <w:pPr>
        <w:pStyle w:val="ListBullet"/>
        <w:spacing w:before="20" w:after="20"/>
      </w:pPr>
      <w:r>
        <w:rPr>
          <w:rFonts w:ascii="Times New Roman" w:hAnsi="Times New Roman"/>
          <w:sz w:val="22"/>
        </w:rPr>
        <w:t>Marsh and McLennan. (2026). War Risk Insurance Briefing Note, April 4, 2026.</w:t>
      </w:r>
    </w:p>
    <w:p>
      <w:pPr>
        <w:pStyle w:val="ListBullet"/>
        <w:spacing w:before="20" w:after="20"/>
      </w:pPr>
      <w:r>
        <w:rPr>
          <w:rFonts w:ascii="Times New Roman" w:hAnsi="Times New Roman"/>
          <w:sz w:val="22"/>
        </w:rPr>
        <w:t>OPEC. (2026). Monthly Oil Market Reports, February-March 2026. https://www.opec.org/</w:t>
      </w:r>
    </w:p>
    <w:p>
      <w:pPr>
        <w:pStyle w:val="ListBullet"/>
        <w:spacing w:before="20" w:after="20"/>
      </w:pPr>
      <w:r>
        <w:rPr>
          <w:rFonts w:ascii="Times New Roman" w:hAnsi="Times New Roman"/>
          <w:sz w:val="22"/>
        </w:rPr>
        <w:t>Reuters. (2026). "Asian Refiners Face Supply Disruption as Hormuz Tanker Insurance Spikes," April 3, 2026.</w:t>
      </w:r>
    </w:p>
    <w:p>
      <w:pPr>
        <w:pStyle w:val="ListBullet"/>
        <w:spacing w:before="20" w:after="20"/>
      </w:pPr>
      <w:r>
        <w:rPr>
          <w:rFonts w:ascii="Times New Roman" w:hAnsi="Times New Roman"/>
          <w:sz w:val="22"/>
        </w:rPr>
        <w:t>The Baltic Exchange. (2026). VLCC freight rate assessments, March-April 2026. https://www.balticexchange.com/</w:t>
      </w:r>
    </w:p>
    <w:p>
      <w:pPr>
        <w:pStyle w:val="ListBullet"/>
        <w:spacing w:before="20" w:after="20"/>
      </w:pPr>
      <w:r>
        <w:rPr>
          <w:rFonts w:ascii="Times New Roman" w:hAnsi="Times New Roman"/>
          <w:sz w:val="22"/>
        </w:rPr>
        <w:t>Indian Oil Corporation. (2026). Q1 2026 Earnings Call, April 15, 2026. Publicly available via corporate investor relations.</w:t>
      </w:r>
    </w:p>
    <w:p>
      <w:pPr>
        <w:pStyle w:val="ListBullet"/>
        <w:spacing w:before="20" w:after="20"/>
      </w:pPr>
      <w:r>
        <w:rPr>
          <w:rFonts w:ascii="Times New Roman" w:hAnsi="Times New Roman"/>
          <w:sz w:val="22"/>
        </w:rPr>
        <w:t>Sinopec Group. (2026). Q1 2026 Earnings Guidance, April 2026. Publicly available via corporate investor relations.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