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2"/>
        </w:rPr>
        <w:t>FRAGILE FLOWS:</w:t>
        <w:br/>
        <w:t>THE 2026 HORMUZ OIL SHOCK</w:t>
      </w:r>
    </w:p>
    <w:p>
      <w:pPr>
        <w:spacing w:before="0" w:after="40"/>
        <w:jc w:val="center"/>
      </w:pPr>
      <w:r>
        <w:rPr>
          <w:rFonts w:ascii="Times New Roman" w:hAnsi="Times New Roman"/>
          <w:sz w:val="22"/>
        </w:rPr>
        <w:t>Supply Chain Vulnerability, Risk, and Resilience</w:t>
        <w:br/>
        <w:t>in the 2026 Iran-Hormuz Crisis</w:t>
      </w:r>
    </w:p>
    <w:p>
      <w:pPr>
        <w:spacing w:before="40" w:after="40"/>
        <w:pBdr>
          <w:bottom w:val="single" w:sz="6" w:space="1" w:color="888888"/>
        </w:pBdr>
      </w:pPr>
    </w:p>
    <w:p>
      <w:pPr>
        <w:spacing w:before="80" w:after="20"/>
        <w:jc w:val="center"/>
      </w:pPr>
      <w:r>
        <w:rPr>
          <w:rFonts w:ascii="Times New Roman" w:hAnsi="Times New Roman"/>
          <w:sz w:val="22"/>
        </w:rPr>
        <w:t>Group 4</w:t>
        <w:br/>
        <w:t>Abhishek Gupta  |  Almanie Khalid Waleed S  |  Kushagra Gupta</w:t>
        <w:br/>
        <w:t>Kaylea TAN Kai Qi  |  Nippun Aggarwal  |  Shivam Kumar</w:t>
        <w:br/>
        <w:t>Ujjwal Sancheti  |  Tejaswini Vivek</w:t>
      </w:r>
    </w:p>
    <w:p>
      <w:pPr>
        <w:spacing w:before="40" w:after="40"/>
        <w:jc w:val="center"/>
      </w:pPr>
      <w:r>
        <w:rPr>
          <w:rFonts w:ascii="Times New Roman" w:hAnsi="Times New Roman"/>
          <w:i/>
          <w:sz w:val="22"/>
        </w:rPr>
        <w:t>Word count: 1,512  |  Expandable to: 4,000 words</w:t>
      </w:r>
    </w:p>
    <w:p>
      <w:pPr>
        <w:spacing w:before="40" w:after="40"/>
        <w:pBdr>
          <w:bottom w:val="single" w:sz="6" w:space="1" w:color="888888"/>
        </w:pBdr>
      </w:pPr>
    </w:p>
    <w:p/>
    <w:p>
      <w:pPr>
        <w:spacing w:before="160" w:after="80"/>
      </w:pPr>
      <w:r>
        <w:rPr>
          <w:rFonts w:ascii="Times New Roman" w:hAnsi="Times New Roman"/>
          <w:b/>
          <w:sz w:val="22"/>
        </w:rPr>
        <w:t>1.  Background and Motivation</w:t>
      </w:r>
    </w:p>
    <w:p>
      <w:pPr>
        <w:spacing w:before="20" w:after="80"/>
      </w:pPr>
      <w:r>
        <w:rPr>
          <w:rFonts w:ascii="Times New Roman" w:hAnsi="Times New Roman"/>
          <w:sz w:val="22"/>
        </w:rPr>
        <w:t>On 28 February 2026, joint US-Israeli strikes on Iranian military infrastructure triggered one of the most consequential supply chain disruptions in modern history. Iran's retaliatory closure of the Strait of Hormuz sent Brent crude surging from approximately $84/bbl to an intraday peak of $119.50/bbl by 9 March — a 42% spike in under two weeks (BNN Bloomberg, March 2026). The Baltic Dirty Tanker Index reached a historical high of 3,723 points by 30 March, a 230% year-on-year surge, while GPS jamming attributed to Iranian electronic warfare disrupted navigation for over 1,100 vessels in the Persian Gulf (The Signal Group; Windward, March 2026). By 25 March, approximately 1,900 commercial vessels, including 211 crude oil tankers carrying an estimated 190 million barrels, remained stranded in or around the strait (Anadolu Agency, March 2026).</w:t>
      </w:r>
    </w:p>
    <w:p>
      <w:pPr>
        <w:spacing w:before="20" w:after="80"/>
      </w:pPr>
      <w:r>
        <w:rPr>
          <w:rFonts w:ascii="Times New Roman" w:hAnsi="Times New Roman"/>
          <w:sz w:val="22"/>
        </w:rPr>
        <w:t>The disruption's scale is without modern precedent. J.P. Morgan estimated potential supply losses of up to 4.7 million barrels per day from Iraq and Kuwait alone (Reuters, March 2026). The IEA responded with the largest emergency reserve release in its history — a unanimous 400-million-barrel drawdown across 32 member countries (IEA Executive Director Fatih Birol, CNBC, March 2026). By early April, prices partially stabilised in the $103-$111/bbl range, not because the crisis had resolved, but because the system adapted imperfectly, unevenly, and with residual fragility.</w:t>
      </w:r>
    </w:p>
    <w:p>
      <w:pPr>
        <w:spacing w:before="20" w:after="80"/>
      </w:pPr>
      <w:r>
        <w:rPr>
          <w:rFonts w:ascii="Times New Roman" w:hAnsi="Times New Roman"/>
          <w:sz w:val="22"/>
        </w:rPr>
        <w:t>Most commentary on the 2026 crisis stops at the price spike. This is insufficient for supply chain managers who must make sourcing, routing, and inventory decisions under real uncertainty. This paper argues that the crisis is not a price story — it is a supply chain architecture story. The disruption did not originate where most observers expected, did not operate through the mechanism most anticipated, and was not overcome by the firms with the most sophisticated trading desks. It was overcome by firms whose pre-crisis commercial infrastructure was designed with disruption scenarios in mind. This paper extracts the transferable lessons.</w:t>
      </w:r>
    </w:p>
    <w:p>
      <w:pPr>
        <w:spacing w:before="160" w:after="80"/>
      </w:pPr>
      <w:r>
        <w:rPr>
          <w:rFonts w:ascii="Times New Roman" w:hAnsi="Times New Roman"/>
          <w:b/>
          <w:sz w:val="22"/>
        </w:rPr>
        <w:t>2.  Scope and Research Questions</w:t>
      </w:r>
    </w:p>
    <w:p>
      <w:pPr>
        <w:spacing w:before="20" w:after="80"/>
      </w:pPr>
      <w:r>
        <w:rPr>
          <w:rFonts w:ascii="Times New Roman" w:hAnsi="Times New Roman"/>
          <w:sz w:val="22"/>
        </w:rPr>
        <w:t>The original proposal examined four questions across broad stakeholder groups. This paper narrows scope to one central argument with one overriding research question — the rest follow from it.</w:t>
      </w:r>
    </w:p>
    <w:p>
      <w:pPr>
        <w:spacing w:before="20" w:after="80"/>
      </w:pPr>
      <w:r>
        <w:rPr>
          <w:rFonts w:ascii="Times New Roman" w:hAnsi="Times New Roman"/>
          <w:sz w:val="22"/>
        </w:rPr>
        <w:t>Central argument: The 2026 crisis is not a price story. It is a story about which pre-crisis supply chain architecture decisions determined which firms recovered fast and which did not. The specific instrument that separated fast recoverers from slow was the controlled transaction — a pre-negotiated, pre-authorized commercial arrangement with defined activation triggers that eliminates the negotiation phase from the crisis response. Firms with controlled transactions recovered in days. Firms without them recovered in weeks.</w:t>
      </w:r>
    </w:p>
    <w:p>
      <w:pPr>
        <w:spacing w:before="20" w:after="80"/>
      </w:pPr>
      <w:r>
        <w:rPr>
          <w:rFonts w:ascii="Times New Roman" w:hAnsi="Times New Roman"/>
          <w:sz w:val="22"/>
        </w:rPr>
        <w:t>Supporting research questions:</w:t>
      </w:r>
    </w:p>
    <w:p>
      <w:pPr>
        <w:spacing w:before="20" w:after="80"/>
      </w:pPr>
      <w:r>
        <w:rPr>
          <w:rFonts w:ascii="Times New Roman" w:hAnsi="Times New Roman"/>
          <w:b/>
          <w:sz w:val="22"/>
        </w:rPr>
        <w:t xml:space="preserve">RQ1. </w:t>
      </w:r>
      <w:r>
        <w:rPr>
          <w:rFonts w:ascii="Times New Roman" w:hAnsi="Times New Roman"/>
          <w:sz w:val="22"/>
        </w:rPr>
        <w:t>Where did the disruption cascade originate and through which layers did it propagate? Beyond the Strait of Hormuz itself, the paper identifies four distinct vulnerability layers: war risk insurance, tanker routing, refinery crude slate inflexibility, and information asymmetry. Each operated at a different speed and affected different firms differently.</w:t>
      </w:r>
    </w:p>
    <w:p>
      <w:pPr>
        <w:spacing w:before="20" w:after="80"/>
      </w:pPr>
      <w:r>
        <w:rPr>
          <w:rFonts w:ascii="Times New Roman" w:hAnsi="Times New Roman"/>
          <w:b/>
          <w:sz w:val="22"/>
        </w:rPr>
        <w:t xml:space="preserve">RQ2. </w:t>
      </w:r>
      <w:r>
        <w:rPr>
          <w:rFonts w:ascii="Times New Roman" w:hAnsi="Times New Roman"/>
          <w:sz w:val="22"/>
        </w:rPr>
        <w:t>What is a controlled transaction and why did it separate fast recoverers from slow? The paper introduces the controlled transaction as the central resilience instrument, distinguishes it from hedging (a price instrument) and from political relationships (a strategic access instrument), and traces how it operated differently for Indian and Chinese refiners.</w:t>
      </w:r>
    </w:p>
    <w:p>
      <w:pPr>
        <w:spacing w:before="20" w:after="80"/>
      </w:pPr>
      <w:r>
        <w:rPr>
          <w:rFonts w:ascii="Times New Roman" w:hAnsi="Times New Roman"/>
          <w:b/>
          <w:sz w:val="22"/>
        </w:rPr>
        <w:t xml:space="preserve">RQ3. </w:t>
      </w:r>
      <w:r>
        <w:rPr>
          <w:rFonts w:ascii="Times New Roman" w:hAnsi="Times New Roman"/>
          <w:sz w:val="22"/>
        </w:rPr>
        <w:t>What structural changes should an oil-dependent refiner make before the next geopolitical crisis? The paper delivers a practitioner playbook: a structured set of diagnostic questions, preparation checklists, and response protocols anchored in the controlled transaction framework and validated against the 2026 observations.</w:t>
      </w:r>
    </w:p>
    <w:p>
      <w:pPr>
        <w:spacing w:before="160" w:after="80"/>
      </w:pPr>
      <w:r>
        <w:rPr>
          <w:rFonts w:ascii="Times New Roman" w:hAnsi="Times New Roman"/>
          <w:b/>
          <w:sz w:val="22"/>
        </w:rPr>
        <w:t>3.  Analytical Approach</w:t>
      </w:r>
    </w:p>
    <w:p>
      <w:pPr>
        <w:spacing w:before="20" w:after="80"/>
      </w:pPr>
      <w:r>
        <w:rPr>
          <w:rFonts w:ascii="Times New Roman" w:hAnsi="Times New Roman"/>
          <w:b/>
          <w:sz w:val="22"/>
        </w:rPr>
        <w:t xml:space="preserve">Stage 1 — Vulnerability Cascade Mapping (RQ1): </w:t>
      </w:r>
      <w:r>
        <w:rPr>
          <w:rFonts w:ascii="Times New Roman" w:hAnsi="Times New Roman"/>
          <w:sz w:val="22"/>
        </w:rPr>
        <w:t>The analysis proceeds in three stages, each corresponding to one research question.</w:t>
      </w:r>
    </w:p>
    <w:p>
      <w:pPr>
        <w:spacing w:before="20" w:after="80"/>
      </w:pPr>
      <w:r>
        <w:rPr>
          <w:rFonts w:ascii="Times New Roman" w:hAnsi="Times New Roman"/>
          <w:sz w:val="22"/>
        </w:rPr>
        <w:t>The supply network is mapped across three layers: upstream production (Iran, Saudi Arabia, UAE), seaborne transport (VLCC routes via Hormuz, Suez Canal, and Cape of Good Hope), and downstream refining hubs in India, China, and Japan. The analysis identifies the four disruption layers beyond the Strait itself: war risk insurance concentration, tanker fleet availability, refinery crude slate inflexibility, and tier-2/tier-3 visibility gaps. The cascade mechanism — how disruption propagated from insurance withdrawal through routing constraints, to refinery inputs, to decision latency — is traced chronologically using AIS tracking data, Lloyd's insurance market reports, and VLCC freight rate data.</w:t>
      </w:r>
    </w:p>
    <w:p>
      <w:pPr>
        <w:spacing w:before="20" w:after="80"/>
      </w:pPr>
      <w:r>
        <w:rPr>
          <w:rFonts w:ascii="Times New Roman" w:hAnsi="Times New Roman"/>
          <w:b/>
          <w:sz w:val="22"/>
        </w:rPr>
        <w:t xml:space="preserve">Capital Flow Architecture: </w:t>
      </w:r>
      <w:r>
        <w:rPr>
          <w:rFonts w:ascii="Times New Roman" w:hAnsi="Times New Roman"/>
          <w:sz w:val="22"/>
        </w:rPr>
        <w:t>A critical dimension that standard SCRM analysis overlooks is the interaction between capital flow architecture and physical supply chain pre-positioning. Geopolitical disruption events operate on two simultaneous timescales: the immediate physical disruption and a pre-existing capital and trading network architecture that determines which firms are structurally positioned to respond. Firms embedded in US-dollar clearing systems and Western commodity trading networks had faster access to alternative supply chains during the 2026 crisis; firms operating primarily through Belt and Road corridors and non-dollar settlement networks faced longer activation times due to correspondent banking constraints, slower clearance infrastructure, and less interoperable cargo tracking systems. This is a supply chain infrastructure observation: correspondent banking relationships, settlement currency choice, cargo tracking interoperability, and insurance market membership all reflect pre-existing capital flow architecture that shapes crisis response speed. The four-layer cascade is not random in its effects; its impact is filtered through the pre-existing capital and trading network architecture of each firm.</w:t>
      </w:r>
    </w:p>
    <w:p>
      <w:pPr>
        <w:spacing w:before="20" w:after="80"/>
      </w:pPr>
      <w:r>
        <w:rPr>
          <w:rFonts w:ascii="Times New Roman" w:hAnsi="Times New Roman"/>
          <w:b/>
          <w:sz w:val="22"/>
        </w:rPr>
        <w:t xml:space="preserve">Stage 2 — Controlled Transaction Analysis (RQ2): </w:t>
      </w:r>
      <w:r>
        <w:rPr>
          <w:rFonts w:ascii="Times New Roman" w:hAnsi="Times New Roman"/>
          <w:sz w:val="22"/>
        </w:rPr>
        <w:t>The risk type is classified using Sodhi and Tang's taxonomy: the 2026 Iran-Hormuz crisis is unambiguously a disruption risk (sudden, external, availability-threatening) rather than a supply risk or demand risk. This classification drives the instrument analysis in Stage 2.</w:t>
      </w:r>
    </w:p>
    <w:p>
      <w:pPr>
        <w:spacing w:before="20" w:after="80"/>
      </w:pPr>
      <w:r>
        <w:rPr>
          <w:rFonts w:ascii="Times New Roman" w:hAnsi="Times New Roman"/>
          <w:sz w:val="22"/>
        </w:rPr>
        <w:t>The paper introduces the controlled transaction as the central analytical construct: a pre-negotiated, pre-authorized commercial arrangement specifying (1) defined activation triggers, (2) agreed volumes, (3) pre-agreed pricing mechanics, and (4) pre-authorized decision authority. This stage applies the construct to the divergent responses of Indian Oil Corporation and Reliance Industries (which had controlled transactions with Saudi Aramco, ADNOC, and US crude suppliers) versus Sinopec and CNPC (which had long-term Iranian supply agreements structured as take-or-pay arrangements, the inverse of a controlled transaction for a disruption scenario). The analysis distinguishes controlled transactions from hedging instruments using Sodhi and Tang's framework: hedges address price risk; controlled transactions address availability risk.</w:t>
      </w:r>
    </w:p>
    <w:p>
      <w:pPr>
        <w:spacing w:before="20" w:after="80"/>
      </w:pPr>
      <w:r>
        <w:rPr>
          <w:rFonts w:ascii="Times New Roman" w:hAnsi="Times New Roman"/>
          <w:b/>
          <w:sz w:val="22"/>
        </w:rPr>
        <w:t xml:space="preserve">Stage 3 — Practitioner Playbook (RQ3): </w:t>
      </w:r>
      <w:r>
        <w:rPr>
          <w:rFonts w:ascii="Times New Roman" w:hAnsi="Times New Roman"/>
          <w:sz w:val="22"/>
        </w:rPr>
        <w:t>Sheffi's five resilience dimensions (redundancy, flexibility, awareness, adaptability, organizational capabilities) are mapped to the crisis observations and the controlled transaction framework. Choi, Rogers, and Vakil's visibility model is applied to explain which firms had 24-48 hours of early warning and which did not.</w:t>
      </w:r>
    </w:p>
    <w:p>
      <w:pPr>
        <w:spacing w:before="20" w:after="80"/>
      </w:pPr>
      <w:r>
        <w:rPr>
          <w:rFonts w:ascii="Times New Roman" w:hAnsi="Times New Roman"/>
          <w:sz w:val="22"/>
        </w:rPr>
        <w:t>The final stage synthesises the analytical findings into a structured practitioner playbook: (a) diagnostic questions identifying which of the four disruption layers is the binding constraint for a given firm; (b) a preparation checklist structured around the controlled transaction framework; (c) a 72-hour crisis response protocol with oil-specific early warning indicators; and (d) a structural uncertainty discussion addressing the Saudi-Iran diplomatic normalisation scenario as a repricing risk for any resilience investments made during the 2026 crisis. The playbook is validated against the observed responses of Indian, Chinese, and Japanese refiners.</w:t>
      </w:r>
    </w:p>
    <w:p>
      <w:pPr>
        <w:spacing w:before="160" w:after="80"/>
      </w:pPr>
      <w:r>
        <w:rPr>
          <w:rFonts w:ascii="Times New Roman" w:hAnsi="Times New Roman"/>
          <w:b/>
          <w:sz w:val="22"/>
        </w:rPr>
        <w:t>4.  Data Sources</w:t>
      </w:r>
    </w:p>
    <w:p>
      <w:pPr>
        <w:spacing w:before="20" w:after="80"/>
      </w:pPr>
      <w:r>
        <w:rPr>
          <w:rFonts w:ascii="Times New Roman" w:hAnsi="Times New Roman"/>
          <w:b/>
          <w:sz w:val="22"/>
        </w:rPr>
        <w:t xml:space="preserve">Shipping and logistics: </w:t>
      </w:r>
      <w:r>
        <w:rPr>
          <w:rFonts w:ascii="Times New Roman" w:hAnsi="Times New Roman"/>
          <w:sz w:val="22"/>
        </w:rPr>
        <w:t>Physical flows and shipping data: Kpler, MarineTraffic, Baltic Exchange (BDTI, VLCC charter rates), March-April 2026.</w:t>
      </w:r>
    </w:p>
    <w:p>
      <w:pPr>
        <w:spacing w:before="20" w:after="80"/>
      </w:pPr>
      <w:r>
        <w:rPr>
          <w:rFonts w:ascii="Times New Roman" w:hAnsi="Times New Roman"/>
          <w:b/>
          <w:sz w:val="22"/>
        </w:rPr>
        <w:t xml:space="preserve">Market and pricing: </w:t>
      </w:r>
      <w:r>
        <w:rPr>
          <w:rFonts w:ascii="Times New Roman" w:hAnsi="Times New Roman"/>
          <w:sz w:val="22"/>
        </w:rPr>
        <w:t>Market and pricing data: Bloomberg L.P. (Brent crude daily pricing, VLCC freight indices, war risk insurance premium data), Refinitiv Eikon, US EIA Weekly Petroleum Status Reports, IEA Oil Market Reports, OPEC Monthly Reports, March-April 2026.</w:t>
      </w:r>
    </w:p>
    <w:p>
      <w:pPr>
        <w:spacing w:before="20" w:after="80"/>
      </w:pPr>
      <w:r>
        <w:rPr>
          <w:rFonts w:ascii="Times New Roman" w:hAnsi="Times New Roman"/>
          <w:b/>
          <w:sz w:val="22"/>
        </w:rPr>
        <w:t xml:space="preserve">Insurance: </w:t>
      </w:r>
      <w:r>
        <w:rPr>
          <w:rFonts w:ascii="Times New Roman" w:hAnsi="Times New Roman"/>
          <w:sz w:val="22"/>
        </w:rPr>
        <w:t>Insurance data: Lloyd's Market Association War Risk Insurance Commentary (April 3, 2026), Marsh &amp; McLennan War Risk Insurance Briefing Note (April 4, 2026).</w:t>
      </w:r>
    </w:p>
    <w:p>
      <w:pPr>
        <w:spacing w:before="20" w:after="80"/>
      </w:pPr>
      <w:r>
        <w:rPr>
          <w:rFonts w:ascii="Times New Roman" w:hAnsi="Times New Roman"/>
          <w:b/>
          <w:sz w:val="22"/>
        </w:rPr>
        <w:t xml:space="preserve">Corporate disclosures: </w:t>
      </w:r>
      <w:r>
        <w:rPr>
          <w:rFonts w:ascii="Times New Roman" w:hAnsi="Times New Roman"/>
          <w:sz w:val="22"/>
        </w:rPr>
        <w:t>Company-level responses: Indian Oil Corporation Q1 2026 Earnings Call (April 15, 2026), Sinopec Group Q1 2026 Earnings Guidance (April 2026), Reuters reporting on Refinitiv and Bloomberg-sourced crude procurement data (March 2026).</w:t>
      </w:r>
    </w:p>
    <w:p>
      <w:pPr>
        <w:spacing w:before="20" w:after="80"/>
      </w:pPr>
      <w:r>
        <w:rPr>
          <w:rFonts w:ascii="Times New Roman" w:hAnsi="Times New Roman"/>
          <w:b/>
          <w:sz w:val="22"/>
        </w:rPr>
        <w:t xml:space="preserve">Capital flow analysis: </w:t>
      </w:r>
      <w:r>
        <w:rPr>
          <w:rFonts w:ascii="Times New Roman" w:hAnsi="Times New Roman"/>
          <w:sz w:val="22"/>
        </w:rPr>
        <w:t>Capital flow and network architecture analysis: supply chain pre-positioning context derived from the capital flow architecture discussion above, synthesised from publicly available analysis of correspondent banking patterns, dollar and non-dollar settlement corridors, and commodity trading network structure.</w:t>
      </w:r>
    </w:p>
    <w:p>
      <w:pPr>
        <w:spacing w:before="20" w:after="80"/>
      </w:pPr>
      <w:r>
        <w:rPr>
          <w:rFonts w:ascii="Times New Roman" w:hAnsi="Times New Roman"/>
          <w:b/>
          <w:sz w:val="22"/>
        </w:rPr>
        <w:t xml:space="preserve">Policy: </w:t>
      </w:r>
      <w:r>
        <w:rPr>
          <w:rFonts w:ascii="Times New Roman" w:hAnsi="Times New Roman"/>
          <w:sz w:val="22"/>
        </w:rPr>
        <w:t>Policy responses: IEA and OPEC statements, March-April 2026; government communications from India, China, and the United States.</w:t>
      </w:r>
    </w:p>
    <w:p>
      <w:pPr>
        <w:spacing w:before="160" w:after="80"/>
      </w:pPr>
      <w:r>
        <w:rPr>
          <w:rFonts w:ascii="Times New Roman" w:hAnsi="Times New Roman"/>
          <w:b/>
          <w:sz w:val="22"/>
        </w:rPr>
        <w:t>5.  Expected Contribution</w:t>
      </w:r>
    </w:p>
    <w:p>
      <w:pPr>
        <w:spacing w:before="20" w:after="80"/>
      </w:pPr>
      <w:r>
        <w:rPr>
          <w:rFonts w:ascii="Times New Roman" w:hAnsi="Times New Roman"/>
          <w:sz w:val="22"/>
        </w:rPr>
        <w:t>This paper makes three contributions to SCRM literature and practice.</w:t>
      </w:r>
    </w:p>
    <w:p>
      <w:pPr>
        <w:spacing w:before="20" w:after="80"/>
      </w:pPr>
      <w:r>
        <w:rPr>
          <w:rFonts w:ascii="Times New Roman" w:hAnsi="Times New Roman"/>
          <w:b/>
          <w:sz w:val="22"/>
        </w:rPr>
        <w:t xml:space="preserve">Theoretical: </w:t>
      </w:r>
      <w:r>
        <w:rPr>
          <w:rFonts w:ascii="Times New Roman" w:hAnsi="Times New Roman"/>
          <w:sz w:val="22"/>
        </w:rPr>
        <w:t>First, it introduces the controlled transaction as a named resilience instrument for disruption risks, grounded in Sodhi and Tang's risk taxonomy and operationalised through the 2026 Iran-Hormuz observations. This fills a gap between the academic framework (which identifies risk types) and the practitioner toolkit (which needs specific instruments for each risk type).</w:t>
      </w:r>
    </w:p>
    <w:p>
      <w:pPr>
        <w:spacing w:before="20" w:after="80"/>
      </w:pPr>
      <w:r>
        <w:rPr>
          <w:rFonts w:ascii="Times New Roman" w:hAnsi="Times New Roman"/>
          <w:b/>
          <w:sz w:val="22"/>
        </w:rPr>
        <w:t xml:space="preserve">Empirical: </w:t>
      </w:r>
      <w:r>
        <w:rPr>
          <w:rFonts w:ascii="Times New Roman" w:hAnsi="Times New Roman"/>
          <w:sz w:val="22"/>
        </w:rPr>
        <w:t>Second, it traces a four-layer disruption cascade — war risk insurance, tanker routing, refinery crude slate, and information asymmetry — in a single crisis event, demonstrating how these layers interact non-linearly and how firm-level architecture determines which layers become binding constraints.</w:t>
      </w:r>
    </w:p>
    <w:p>
      <w:pPr>
        <w:spacing w:before="20" w:after="80"/>
      </w:pPr>
      <w:r>
        <w:rPr>
          <w:rFonts w:ascii="Times New Roman" w:hAnsi="Times New Roman"/>
          <w:b/>
          <w:sz w:val="22"/>
        </w:rPr>
        <w:t xml:space="preserve">Practitioner: </w:t>
      </w:r>
      <w:r>
        <w:rPr>
          <w:rFonts w:ascii="Times New Roman" w:hAnsi="Times New Roman"/>
          <w:sz w:val="22"/>
        </w:rPr>
        <w:t>Third, it produces a practitioner-relevant playbook — diagnostic questions, preparation checklists, and response protocols — validated against real operational decisions. The playbook is designed for procurement executives and risk officers at oil-dependent firms, applicable to the next geopolitical supply shock regardless of geography or asset class.</w:t>
      </w:r>
    </w:p>
    <w:p>
      <w:pPr>
        <w:spacing w:before="20" w:after="80"/>
      </w:pPr>
      <w:r>
        <w:rPr>
          <w:rFonts w:ascii="Times New Roman" w:hAnsi="Times New Roman"/>
          <w:sz w:val="22"/>
        </w:rPr>
        <w:t>The paper also addresses the Saudi-Iran diplomatic normalisation scenario as a structural uncertainty that could reprice resilience investments made during the 2026 crisis — extending the practitioner message beyond 'prepare for the last crisis' to 'prepare for a range of plausible futures.'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