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Times New Roman" w:hAnsi="Times New Roman"/>
          <w:b/>
          <w:sz w:val="22"/>
        </w:rPr>
        <w:t>FRAGILE FLOWS:</w:t>
        <w:br/>
        <w:t>THE 2026 HORMUZ OIL SHOCK</w:t>
      </w:r>
    </w:p>
    <w:p>
      <w:pPr>
        <w:spacing w:before="0" w:after="40"/>
        <w:jc w:val="center"/>
      </w:pPr>
      <w:r>
        <w:rPr>
          <w:rFonts w:ascii="Times New Roman" w:hAnsi="Times New Roman"/>
          <w:sz w:val="22"/>
        </w:rPr>
        <w:t>Supply Chain Vulnerability, Risk, and Resilience</w:t>
        <w:br/>
        <w:t>in the 2026 Iran-Hormuz Crisis</w:t>
      </w:r>
    </w:p>
    <w:p>
      <w:pPr>
        <w:spacing w:before="40" w:after="40"/>
        <w:pBdr>
          <w:bottom w:val="single" w:sz="6" w:space="1" w:color="888888"/>
        </w:pBdr>
      </w:pPr>
    </w:p>
    <w:p>
      <w:pPr>
        <w:spacing w:before="80" w:after="20"/>
        <w:jc w:val="center"/>
      </w:pPr>
      <w:r>
        <w:rPr>
          <w:rFonts w:ascii="Times New Roman" w:hAnsi="Times New Roman"/>
          <w:sz w:val="22"/>
        </w:rPr>
        <w:t>Group 4: Abhishek Gupta | Almanie Khalid Waleed S | Kushagra Gupta</w:t>
        <w:br/>
        <w:t>Kaylea TAN Kai Qi | Nippun Aggarwal | Shivam Kumar</w:t>
        <w:br/>
        <w:t>Ujjwal Sancheti | Tejaswini Vivek</w:t>
      </w:r>
    </w:p>
    <w:p>
      <w:pPr>
        <w:spacing w:before="40" w:after="40"/>
        <w:jc w:val="center"/>
      </w:pPr>
      <w:r>
        <w:rPr>
          <w:rFonts w:ascii="Times New Roman" w:hAnsi="Times New Roman"/>
          <w:i/>
          <w:sz w:val="22"/>
        </w:rPr>
        <w:t>OPIM 626  Risk Management in Global Supply Chains  |  SMU MBA 2026  |  April 2026</w:t>
      </w:r>
    </w:p>
    <w:p>
      <w:pPr>
        <w:spacing w:before="40" w:after="40"/>
        <w:pBdr>
          <w:bottom w:val="single" w:sz="6" w:space="1" w:color="888888"/>
        </w:pBdr>
      </w:pPr>
    </w:p>
    <w:p>
      <w:pPr>
        <w:spacing w:before="80" w:after="80"/>
      </w:pPr>
      <w:r>
        <w:rPr>
          <w:rFonts w:ascii="Times New Roman" w:hAnsi="Times New Roman"/>
          <w:i/>
          <w:sz w:val="22"/>
        </w:rPr>
        <w:t>Note: This crisis is ongoing as of April 26, 2026. All firm-level performance data reflects preliminary estimates. This paper frames itself as a practitioner playbook  a structured set of diagnostic and response frameworks derived from a live event  not a retrospective case study.</w:t>
      </w:r>
    </w:p>
    <w:p>
      <w:pPr>
        <w:spacing w:before="40" w:after="40"/>
        <w:pBdr>
          <w:bottom w:val="single" w:sz="6" w:space="1" w:color="888888"/>
        </w:pBdr>
      </w:pPr>
    </w:p>
    <w:p/>
    <w:p>
      <w:pPr>
        <w:pStyle w:val="Heading1"/>
        <w:spacing w:before="240" w:after="80"/>
      </w:pPr>
      <w:r>
        <w:rPr>
          <w:rFonts w:ascii="Times New Roman" w:hAnsi="Times New Roman"/>
          <w:sz w:val="22"/>
        </w:rPr>
        <w:t>EXECUTIVE SUMMARY</w:t>
      </w:r>
    </w:p>
    <w:p>
      <w:pPr>
        <w:spacing w:before="20" w:after="80"/>
      </w:pPr>
      <w:r>
        <w:rPr>
          <w:rFonts w:ascii="Times New Roman" w:hAnsi="Times New Roman"/>
          <w:sz w:val="22"/>
        </w:rPr>
        <w:t>On 28 February 2026, joint US-Israeli strikes on Iranian military infrastructure triggered one of the most consequential supply chain disruptions in modern history. Iran's retaliatory closure of the Strait of Hormuz sent Brent crude surging from approximately $84/bbl to an intraday peak of $119.50/bbl by 9 March  a 42% spike in under two weeks (BNN Bloomberg, March 2026). The Baltic Dirty Tanker Index reached a historical high of 3,723 points by 30 March, a 230% year-on-year surge (Baltic Exchange, March 2026). By 25 March, approximately 1,900 commercial vessels including 211 crude oil tankers carrying an estimated 190 million barrels remained stranded in or around the strait (Anadolu Agency, March 2026). The IEA responded with the largest emergency reserve release in its history  a unanimous 400-million-barrel drawdown across 32 member countries (IEA Executive Director Fatih Birol, CNBC, March 2026).</w:t>
      </w:r>
    </w:p>
    <w:p>
      <w:pPr>
        <w:spacing w:before="20" w:after="80"/>
      </w:pPr>
      <w:r>
        <w:rPr>
          <w:rFonts w:ascii="Times New Roman" w:hAnsi="Times New Roman"/>
          <w:sz w:val="22"/>
        </w:rPr>
        <w:t>Most commentary on the 2026 crisis stops at the price spike. This paper argues that the crisis is not a price story  it is a supply chain architecture story. The disruption did not originate where most observers expected, did not operate through the mechanism most anticipated, and was not overcome by the firms with the most sophisticated trading desks. It was overcome by firms whose pre-crisis commercial infrastructure was designed with disruption scenarios in mind.</w:t>
      </w:r>
    </w:p>
    <w:p>
      <w:pPr>
        <w:spacing w:before="20" w:after="80"/>
      </w:pPr>
      <w:r>
        <w:rPr>
          <w:rFonts w:ascii="Times New Roman" w:hAnsi="Times New Roman"/>
          <w:sz w:val="22"/>
        </w:rPr>
        <w:t>This paper introduces the controlled transaction as the central resilience instrument  a pre-negotiated, pre-authorized commercial arrangement with defined activation triggers that eliminates the negotiation phase from the crisis response. It traces a four-layer disruption cascade: war risk insurance withdrawal, tanker routing constraints, refinery crude slate inflexibility, and information asymmetry. It analyses how capital flow architecture determined which firms were structurally positioned to activate controlled transactions and which were not. And it delivers a practitioner playbook: diagnostic questions, preparation checklists, and response protocols anchored in the controlled transaction framework.</w:t>
      </w:r>
    </w:p>
    <w:p>
      <w:pPr>
        <w:pStyle w:val="Heading1"/>
        <w:spacing w:before="240" w:after="80"/>
      </w:pPr>
      <w:r>
        <w:rPr>
          <w:rFonts w:ascii="Times New Roman" w:hAnsi="Times New Roman"/>
          <w:sz w:val="22"/>
        </w:rPr>
        <w:t>1. BACKGROUND AND MOTIVATION</w:t>
      </w:r>
    </w:p>
    <w:p>
      <w:pPr>
        <w:pStyle w:val="Heading2"/>
        <w:spacing w:before="160" w:after="60"/>
      </w:pPr>
      <w:r>
        <w:rPr>
          <w:rFonts w:ascii="Times New Roman" w:hAnsi="Times New Roman"/>
          <w:sz w:val="22"/>
        </w:rPr>
        <w:t>1.1  The Crisis</w:t>
      </w:r>
    </w:p>
    <w:p>
      <w:pPr>
        <w:spacing w:before="20" w:after="80"/>
      </w:pPr>
      <w:r>
        <w:rPr>
          <w:rFonts w:ascii="Times New Roman" w:hAnsi="Times New Roman"/>
          <w:sz w:val="22"/>
        </w:rPr>
        <w:t>The Strait of Hormuz, at its narrowest point just 33 kilometres wide between Oman and Iran, carries approximately 20-21 million barrels per day of crude oil  roughly 20% of global seaborne crude trade (EIA, Hormuz Transit Factsheet, 2026). Its symbolic significance as a global energy chokepoint is well-established. What the 2026 crisis revealed is that the disruption did not originate at the Strait itself  and the actual cascade mechanisms were financial and logistical, not purely physical.</w:t>
      </w:r>
    </w:p>
    <w:p>
      <w:pPr>
        <w:spacing w:before="20" w:after="80"/>
      </w:pPr>
      <w:r>
        <w:rPr>
          <w:rFonts w:ascii="Times New Roman" w:hAnsi="Times New Roman"/>
          <w:sz w:val="22"/>
        </w:rPr>
        <w:t>Brent crude spiked to an intraday peak of $119.50/bbl by 9 March 2026 (BNN Bloomberg, March 2026). The Baltic Dirty Tanker Index surged to 3,723 points by 30 March, a 230% year-on-year increase (Baltic Exchange, March 2026). GPS jamming attributed to Iranian electronic warfare disrupted navigation for over 1,100 vessels in the Persian Gulf (The Signal Group; Windward, March 2026). J.P. Morgan estimated potential supply losses of up to 4.7 million barrels per day from Iraq and Kuwait alone (Reuters, March 2026). By early April, prices partially stabilised in the $103-$111/bbl range  not because the crisis had resolved, but because the system adapted imperfectly and with residual fragility (Bloomberg L.P., April 2026).</w:t>
      </w:r>
    </w:p>
    <w:p>
      <w:pPr>
        <w:pStyle w:val="Heading2"/>
        <w:spacing w:before="160" w:after="60"/>
      </w:pPr>
      <w:r>
        <w:rPr>
          <w:rFonts w:ascii="Times New Roman" w:hAnsi="Times New Roman"/>
          <w:sz w:val="22"/>
        </w:rPr>
        <w:t>1.2  The Sanctions Foundation</w:t>
      </w:r>
    </w:p>
    <w:p>
      <w:pPr>
        <w:spacing w:before="20" w:after="80"/>
      </w:pPr>
      <w:r>
        <w:rPr>
          <w:rFonts w:ascii="Times New Roman" w:hAnsi="Times New Roman"/>
          <w:sz w:val="22"/>
        </w:rPr>
        <w:t>The character of the 2026 disruption was shaped by five years of evolving US sanctions architecture. Following the US withdrawal from the JCPOA in November 2018, Iranian crude exports collapsed from approximately 2.5 million barrels per day to under 1 mb/d by 2019 (IEA Oil Market Reports, 2019). This collapse restructured Asian refiner exposure asymmetrically. Indian state-owned refiners  primarily Indian Oil Corporation (IOC)  reduced Iranian crude intake from approximately 10% of total imports in 2018 to under 2% by 2025 (Indian Oil Corporation Q1 2026 Earnings Call, April 15, 2026), replacing it with Saudi Arab Light, Abu Dhabi crudes, and US crude under long-term contracts. The commercial effect was to pre-position IOC's supply relationships with Saudi Aramco, Abu Dhabi National Oil Company (ADNOC), and US crude exporters  the activation path used when the 2026 disruption hit. Chinese state-owned refiners  Sinopec and CNPC  maintained higher Iranian exposure through intermediary arrangements, estimated at 5-7% of total Chinese crude imports in 2025 (Bloomberg data, 2025). Japanese refiners reduced Iranian imports after 2012 and maintained a broadly diversified supplier base anchored on Saudi Arabia, UAE, Kuwait, and growing US crude imports (US EIA, 2026).</w:t>
      </w:r>
    </w:p>
    <w:p>
      <w:pPr>
        <w:pStyle w:val="Heading2"/>
        <w:spacing w:before="160" w:after="60"/>
      </w:pPr>
      <w:r>
        <w:rPr>
          <w:rFonts w:ascii="Times New Roman" w:hAnsi="Times New Roman"/>
          <w:sz w:val="22"/>
        </w:rPr>
        <w:t>1.3  Capital Flow Architecture: The Structural Speed Divide</w:t>
      </w:r>
    </w:p>
    <w:p>
      <w:pPr>
        <w:spacing w:before="20" w:after="80"/>
      </w:pPr>
      <w:r>
        <w:rPr>
          <w:rFonts w:ascii="Times New Roman" w:hAnsi="Times New Roman"/>
          <w:sz w:val="22"/>
        </w:rPr>
        <w:t>A dimension that standard supply chain risk management overlooks is the interaction between capital flow architecture and physical supply chain pre-positioning. Geopolitical disruption events operate on two simultaneous timescales: the immediate physical disruption and a pre-existing capital and trading network architecture that determines which firms are structurally positioned to respond. Firms embedded in US-dollar clearing systems and Western commodity trading networks had faster access to alternative supply chains. Firms operating primarily through Belt and Road corridors and non-dollar settlement networks faced longer activation times due to correspondent banking constraints, slower clearance infrastructure, and less interoperable cargo tracking systems.</w:t>
      </w:r>
    </w:p>
    <w:p>
      <w:pPr>
        <w:spacing w:before="20" w:after="80"/>
      </w:pPr>
      <w:r>
        <w:rPr>
          <w:rFonts w:ascii="Times New Roman" w:hAnsi="Times New Roman"/>
          <w:sz w:val="22"/>
        </w:rPr>
        <w:t>The mechanism matters. Emergency crude procurement during a disruption requires three capital steps: (1) a letter of credit issued by a bank willing to extend credit to the buyer under crisis conditions; (2) payment clearing through a correspondent bank network that may involve USD conversion and multiple intermediary banks; and (3) cargo insurance confirmed to vessel owners and port authorities. A Chinese NOC activating emergency Russian crude through a Eurasian banking corridor would typically require an LC issued by a PRC policy bank (such as CDB or EXIM Bank), confirmed by a correspondent bank in Hong Kong or Singapore, with SWIFT messaging and CHIPS settlement  a sequence that processes in 3-5 business days under normal conditions and extends to 7-10 days when correspondent banks are reassessing exposure under crisis conditions. An Indian refiner activating Saudi Aramco crude through a USD-denominated contract routes the same LC through London clearing, where pre-established credit lines and CHIPS membership allow same-day or next-day settlement. This is a supply chain infrastructure observation  not a political one. The four-layer disruption cascade identified in this paper is not random in its effects; its impact is filtered through the pre-existing capital and trading network architecture of each firm.</w:t>
      </w:r>
    </w:p>
    <w:p>
      <w:pPr>
        <w:pStyle w:val="Heading1"/>
        <w:spacing w:before="240" w:after="80"/>
      </w:pPr>
      <w:r>
        <w:rPr>
          <w:rFonts w:ascii="Times New Roman" w:hAnsi="Times New Roman"/>
          <w:sz w:val="22"/>
        </w:rPr>
        <w:t>2. WHERE VULNERABILITY ACTUALLY MATERIALIZED</w:t>
      </w:r>
    </w:p>
    <w:p>
      <w:pPr>
        <w:spacing w:before="20" w:after="80"/>
      </w:pPr>
      <w:r>
        <w:rPr>
          <w:rFonts w:ascii="Times New Roman" w:hAnsi="Times New Roman"/>
          <w:sz w:val="22"/>
        </w:rPr>
        <w:t>The disruption cascade operated across four distinct layers. Each represents a different type of supply chain vulnerability, each triggered at a different speed, and each affected different firms differently depending on their pre-crisis architecture.</w:t>
      </w:r>
    </w:p>
    <w:p>
      <w:pPr>
        <w:pStyle w:val="Heading2"/>
        <w:spacing w:before="160" w:after="60"/>
      </w:pPr>
      <w:r>
        <w:rPr>
          <w:rFonts w:ascii="Times New Roman" w:hAnsi="Times New Roman"/>
          <w:sz w:val="22"/>
        </w:rPr>
        <w:t>2.1  Layer One: War Risk Insurance Market Freeze</w:t>
      </w:r>
    </w:p>
    <w:p>
      <w:pPr>
        <w:spacing w:before="20" w:after="80"/>
      </w:pPr>
      <w:r>
        <w:rPr>
          <w:rFonts w:ascii="Times New Roman" w:hAnsi="Times New Roman"/>
          <w:sz w:val="22"/>
        </w:rPr>
        <w:t>The first constraint was financial, not physical. War risk insurance for tankers operating in or near the Gulf region seized within 48 hours of the escalation. War risk insurance is underwritten primarily through Lloyd's of London syndicates and the International Tanker Fuel Insurance Forum (ITFF). When geopolitical risk elevates, these underwriters reprice rapidly and capacity can withdraw from specific routing corridors entirely.</w:t>
      </w:r>
    </w:p>
    <w:p>
      <w:pPr>
        <w:pStyle w:val="Heading2"/>
        <w:spacing w:before="160" w:after="60"/>
      </w:pPr>
      <w:r>
        <w:rPr>
          <w:rFonts w:ascii="Times New Roman" w:hAnsi="Times New Roman"/>
          <w:sz w:val="22"/>
        </w:rPr>
        <w:t>2.2  Layer Two: Tanker Routing and the Cape Detour</w:t>
      </w:r>
    </w:p>
    <w:p>
      <w:pPr>
        <w:spacing w:before="20" w:after="80"/>
      </w:pPr>
      <w:r>
        <w:rPr>
          <w:rFonts w:ascii="Times New Roman" w:hAnsi="Times New Roman"/>
          <w:sz w:val="22"/>
        </w:rPr>
        <w:t>The second layer was physical. Vessels avoiding Gulf routing rerouted via the Cape of Good Hope, adding 10-15 days of transit time to Asia-bound routes. VLCC freight rates for Cape-routed voyages increased by 35-50% compared to Hormuz-routed equivalents within the first two weeks (Bloomberg Shipping Intelligence, April 2-8, 2026; Baltic Exchange VLCC assessments, March-April 2026).</w:t>
      </w:r>
    </w:p>
    <w:p>
      <w:pPr>
        <w:spacing w:before="20" w:after="80"/>
      </w:pPr>
      <w:r>
        <w:rPr>
          <w:rFonts w:ascii="Times New Roman" w:hAnsi="Times New Roman"/>
          <w:sz w:val="22"/>
        </w:rPr>
        <w:t>Asian refinery crude inventory norms range from approximately 5 days for commercial just-in-time operators to 14+ days for refiners with strategic reserve access (IEA, Monthly Oil Market Report, March 2026). A 10-day Cape rerouting delay exceeds the forward planning window of most refineries  a physical supply threat, not a price problem. Firms with inventory buffers absorbed the delay; those without faced throughput cuts.</w:t>
      </w:r>
    </w:p>
    <w:p>
      <w:pPr>
        <w:pStyle w:val="Heading2"/>
        <w:spacing w:before="160" w:after="60"/>
      </w:pPr>
      <w:r>
        <w:rPr>
          <w:rFonts w:ascii="Times New Roman" w:hAnsi="Times New Roman"/>
          <w:sz w:val="22"/>
        </w:rPr>
        <w:t>2.3  Layer Three: Refinery Crude Slate Inflexibility</w:t>
      </w:r>
    </w:p>
    <w:p>
      <w:pPr>
        <w:spacing w:before="20" w:after="80"/>
      </w:pPr>
      <w:r>
        <w:rPr>
          <w:rFonts w:ascii="Times New Roman" w:hAnsi="Times New Roman"/>
          <w:sz w:val="22"/>
        </w:rPr>
        <w:t>The third layer was technical and widely underestimated. A refinery's Nelson Complexity Index (NCI) determines what crude grades it can process efficiently. Simple refineries (NCI 4-6) are designed for specific crude types and require weeks of operational adjustment to process meaningfully different grades. Complex refineries (NCI 9-12), such as Reliance Industries' Jamnagar complex (NCI 13+), accept a wide slate including heavy, light, sweet, and sour crudes (Nelson Complexity Index data, Solomon Associates; US EIA Refinery Capacity Report, 2025).</w:t>
      </w:r>
    </w:p>
    <w:p>
      <w:pPr>
        <w:spacing w:before="20" w:after="80"/>
      </w:pPr>
      <w:r>
        <w:rPr>
          <w:rFonts w:ascii="Times New Roman" w:hAnsi="Times New Roman"/>
          <w:sz w:val="22"/>
        </w:rPr>
        <w:t>Iranian light crude (33-36 degree API, low sulfur) is relatively straightforward for complex refineries but creates processing challenges for simpler configurations. Saudi Arab Light (36 degree API, low sulfur) is more interchangeable with Iranian crude than Russian Urals (32-36 degree API, higher sulfur), which requires specific desulfurisation capacity (US EIA, Crude Oil Quality Differences and Refinery Processing Constraints, 2025). Some firms were switching to grades they could process efficiently; others were switching to grades that imposed 2-4 weeks of throughput loss even after securing the cargo. The firms that recovered fastest were not simply those with alternative supplier relationships  they were those whose refinery configurations could absorb the grade shift without major operational disruption.</w:t>
      </w:r>
    </w:p>
    <w:p>
      <w:pPr>
        <w:pStyle w:val="Heading2"/>
        <w:spacing w:before="160" w:after="60"/>
      </w:pPr>
      <w:r>
        <w:rPr>
          <w:rFonts w:ascii="Times New Roman" w:hAnsi="Times New Roman"/>
          <w:sz w:val="22"/>
        </w:rPr>
        <w:t>2.4  Layer Four: The Visibility Gap</w:t>
      </w:r>
    </w:p>
    <w:p>
      <w:pPr>
        <w:spacing w:before="20" w:after="80"/>
      </w:pPr>
      <w:r>
        <w:rPr>
          <w:rFonts w:ascii="Times New Roman" w:hAnsi="Times New Roman"/>
          <w:sz w:val="22"/>
        </w:rPr>
        <w:t>The fourth layer was informational. The most sophisticated refiners  led by Reliance Industries' trading desk  monitored real-time vessel movements via AIS tracking platforms (Kpler, MarineTraffic), providing routing intelligence 24-48 hours before official reports confirm the shift (Kpler and MarineTraffic subscription data, accessed April 2026).</w:t>
      </w:r>
    </w:p>
    <w:p>
      <w:pPr>
        <w:spacing w:before="20" w:after="80"/>
      </w:pPr>
      <w:r>
        <w:rPr>
          <w:rFonts w:ascii="Times New Roman" w:hAnsi="Times New Roman"/>
          <w:sz w:val="22"/>
        </w:rPr>
        <w:t>Indian Oil Corporation, as a state-owned enterprise with strategic inventory mandates, had access to government intelligence and logistics coordination channels that provided earlier warning than commercial data alone (Indian Oil Corporation Q1 2026 Earnings Call, April 15, 2026). Chinese state-owned refiners had access to similar state channels but faced decision latency from multi-layer NOC governance structures  the same approval chains that constrain commercial flexibility in normal times slowed crisis response even when early intelligence was available. Choi, Rogers, and Vakil (2020) argue that the fundamental supply chain vulnerability in modern commerce is opacity into tier-2 and tier-3 supply chains. The 2026 Iran crisis validates this: the visibility gap  which firms had real-time tier-2 (shipping) and tier-3 (insurance) intelligence and which did not  translated directly into a 24-72 hour decision advantage for firms with monitoring systems in place.</w:t>
      </w:r>
    </w:p>
    <w:p>
      <w:pPr>
        <w:pStyle w:val="Heading1"/>
        <w:spacing w:before="240" w:after="80"/>
      </w:pPr>
      <w:r>
        <w:rPr>
          <w:rFonts w:ascii="Times New Roman" w:hAnsi="Times New Roman"/>
          <w:sz w:val="22"/>
        </w:rPr>
        <w:t>3. THE CONTROLLED TRANSACTION: THE RESILIENCE INSTRUMENT THAT MATTERED</w:t>
      </w:r>
    </w:p>
    <w:p>
      <w:pPr>
        <w:pStyle w:val="Heading2"/>
        <w:spacing w:before="160" w:after="60"/>
      </w:pPr>
      <w:r>
        <w:rPr>
          <w:rFonts w:ascii="Times New Roman" w:hAnsi="Times New Roman"/>
          <w:sz w:val="22"/>
        </w:rPr>
        <w:t>3.1  Definition</w:t>
      </w:r>
    </w:p>
    <w:p>
      <w:pPr>
        <w:spacing w:before="20" w:after="80"/>
      </w:pPr>
      <w:r>
        <w:rPr>
          <w:rFonts w:ascii="Times New Roman" w:hAnsi="Times New Roman"/>
          <w:sz w:val="22"/>
        </w:rPr>
        <w:t>A controlled transaction is a pre-negotiated, pre-authorized commercial arrangement between counterparties that specifies: (1) defined activation triggers  the crisis conditions under which the arrangement will be activated; (2) agreed volumes  minimum and maximum quantities deliverable under activation; (3) pre-agreed pricing mechanics  a formula or price band that applies upon activation, negotiated before the crisis; and (4) pre-authorized decision authority  specified individuals or roles with the commercial authority to activate the transaction without additional approval chains.</w:t>
      </w:r>
    </w:p>
    <w:p>
      <w:pPr>
        <w:spacing w:before="20" w:after="80"/>
      </w:pPr>
      <w:r>
        <w:rPr>
          <w:rFonts w:ascii="Times New Roman" w:hAnsi="Times New Roman"/>
          <w:sz w:val="22"/>
        </w:rPr>
        <w:t>The critical feature is that it eliminates the negotiation phase from the crisis response. Normal commercial relationships require re-negotiation under crisis conditions: volumes must be confirmed, prices agreed, terms documented, and approvals obtained  all while the disruption is already cascading. A controlled transaction pre-resolves these steps: if X happens, execute Y on pre-agreed terms, with Z having the authority to trigger it immediately.</w:t>
      </w:r>
    </w:p>
    <w:p>
      <w:pPr>
        <w:pStyle w:val="Heading2"/>
        <w:spacing w:before="160" w:after="60"/>
      </w:pPr>
      <w:r>
        <w:rPr>
          <w:rFonts w:ascii="Times New Roman" w:hAnsi="Times New Roman"/>
          <w:sz w:val="22"/>
        </w:rPr>
        <w:t>3.2  India and China: Two Models of Supply Security</w:t>
      </w:r>
    </w:p>
    <w:p>
      <w:pPr>
        <w:spacing w:before="20" w:after="80"/>
      </w:pPr>
      <w:r>
        <w:rPr>
          <w:rFonts w:ascii="Times New Roman" w:hAnsi="Times New Roman"/>
          <w:sz w:val="22"/>
        </w:rPr>
        <w:t>Indian Oil Corporation and Reliance Industries had pre-established term contracts with Saudi Aramco, ADNOC, and US crude exporters  confirmed in IOC's Q1 2026 earnings call as the primary supply activation path during the crisis (Indian Oil Corporation Q1 2026 Earnings Call, April 15, 2026). These were not emergency spot purchases negotiated in March 2026  they were existing arrangements that included minimum volume commitments, pre-agreed pricing formulas, and commercial decision authority allowing trading teams to execute within hours of crisis activation. This is the controlled transaction in practice.</w:t>
      </w:r>
    </w:p>
    <w:p>
      <w:pPr>
        <w:spacing w:before="20" w:after="80"/>
      </w:pPr>
      <w:r>
        <w:rPr>
          <w:rFonts w:ascii="Times New Roman" w:hAnsi="Times New Roman"/>
          <w:sz w:val="22"/>
        </w:rPr>
        <w:t>Chinese NOCs  Sinopec and CNPC  had long-term Iranian supply agreements structured with take-or-pay provisions: payment obligations continued regardless of whether Chinese buyers took delivery. These arrangements optimised for supply security and relationship maintenance with Iran  not for activation flexibility (Sinopec Group Q1 2026 Earnings Guidance, April 2026). When the 2026 disruption hit, Chinese NOCs were locked into Iranian supply commitments that could not be quickly redirected, while simultaneously needing to secure alternative supply through commercial channels that required new negotiations. Switching to Russian crude demanded extended commercial discussions and government approvals for volume reallocations  a process measured in weeks, not hours.</w:t>
      </w:r>
    </w:p>
    <w:p>
      <w:pPr>
        <w:spacing w:before="20" w:after="80"/>
      </w:pPr>
      <w:r>
        <w:rPr>
          <w:rFonts w:ascii="Times New Roman" w:hAnsi="Times New Roman"/>
          <w:sz w:val="22"/>
        </w:rPr>
        <w:t>The structural difference goes deeper than geography. IOC's contracts with Saudi Aramco and ADNOC were commercial arrangements with pricing formulas tied to Brent plus a differential, minimum volume obligations on both sides, and pre-authorised activation protocols defined at the trading desk level. CNPC's Iranian arrangements were inter-governmental framework agreements with take-or-pay terms  precisely the contractual architecture that provides long-term supply access in normal conditions but becomes a liability when the contracted supply source is disrupted and the buyer cannot redirect. A take-or-pay contract protects against supplier default but does not provide activation flexibility. A controlled transaction provides both supply access and activation flexibility  and it is the latter that determines recovery speed in a crisis.</w:t>
      </w:r>
    </w:p>
    <w:p>
      <w:pPr>
        <w:pStyle w:val="Heading2"/>
        <w:spacing w:before="160" w:after="60"/>
      </w:pPr>
      <w:r>
        <w:rPr>
          <w:rFonts w:ascii="Times New Roman" w:hAnsi="Times New Roman"/>
          <w:sz w:val="22"/>
        </w:rPr>
        <w:t>3.3  The Limits of Hedging: Price Instruments vs. Availability Instruments</w:t>
      </w:r>
    </w:p>
    <w:p>
      <w:pPr>
        <w:spacing w:before="20" w:after="80"/>
      </w:pPr>
      <w:r>
        <w:rPr>
          <w:rFonts w:ascii="Times New Roman" w:hAnsi="Times New Roman"/>
          <w:sz w:val="22"/>
        </w:rPr>
        <w:t>Sodhi and Tang (2012) categorise supply chain risks into disruption, supply, and demand risks. Each requires different mitigation instruments. The 2026 Iran-Hormuz crisis was unambiguously a disruption risk  sudden, external, availability-threatening  not a price risk.</w:t>
      </w:r>
    </w:p>
    <w:p>
      <w:pPr>
        <w:spacing w:before="20" w:after="80"/>
      </w:pPr>
      <w:r>
        <w:rPr>
          <w:rFonts w:ascii="Times New Roman" w:hAnsi="Times New Roman"/>
          <w:sz w:val="22"/>
        </w:rPr>
        <w:t>Chinese NOCs are sophisticated hedgers. Sinopec and CNPC use Brent futures, options, and swaps extensively to manage price risk (Sinopec Group Annual Report, 2025). These instruments performed as designed during the 2026 crisis, protecting against Brent spiking to $100+. But they did not protect against physical supply disruption  alternative crude was available but at a $15-20/barrel premium with 10 additional days of transit (Reuters, March 2026). Hedging instruments address price risk. Controlled transactions, inventory buffers, and refinery flexibility address disruption risk. Chinese NOCs were well-hedged against the wrong risk type  the critical distinction Sodhi and Tang's framework illuminates.</w:t>
      </w:r>
    </w:p>
    <w:p>
      <w:pPr>
        <w:pStyle w:val="Heading1"/>
        <w:spacing w:before="240" w:after="80"/>
      </w:pPr>
      <w:r>
        <w:rPr>
          <w:rFonts w:ascii="Times New Roman" w:hAnsi="Times New Roman"/>
          <w:sz w:val="22"/>
        </w:rPr>
        <w:t>4. FRAMEWORK APPLICATION</w:t>
      </w:r>
    </w:p>
    <w:p>
      <w:pPr>
        <w:pStyle w:val="Heading2"/>
        <w:spacing w:before="160" w:after="60"/>
      </w:pPr>
      <w:r>
        <w:rPr>
          <w:rFonts w:ascii="Times New Roman" w:hAnsi="Times New Roman"/>
          <w:sz w:val="22"/>
        </w:rPr>
        <w:t>4.1  Sheffi: Five Dimensions Mapped to the Crisis</w:t>
      </w:r>
    </w:p>
    <w:p>
      <w:pPr>
        <w:spacing w:before="20" w:after="80"/>
      </w:pPr>
      <w:r>
        <w:rPr>
          <w:rFonts w:ascii="Times New Roman" w:hAnsi="Times New Roman"/>
          <w:sz w:val="22"/>
        </w:rPr>
        <w:t>Sheffi (2005) identifies five dimensions of organisational resilience: redundancy, flexibility, awareness, adaptability, and organisational capabilities. The 2026 Iran-Hormuz crisis provides an empirical test of each:</w:t>
      </w:r>
    </w:p>
    <w:tbl>
      <w:tblPr>
        <w:tblStyle w:val="TableGrid"/>
        <w:tblW w:type="auto" w:w="0"/>
        <w:tblLook w:firstColumn="1" w:firstRow="1" w:lastColumn="0" w:lastRow="0" w:noHBand="0" w:noVBand="1" w:val="04A0"/>
      </w:tblPr>
      <w:tblGrid>
        <w:gridCol w:w="3120"/>
        <w:gridCol w:w="3120"/>
        <w:gridCol w:w="3120"/>
      </w:tblGrid>
      <w:tr>
        <w:tc>
          <w:tcPr>
            <w:tcW w:type="dxa" w:w="3120"/>
          </w:tcPr>
          <w:p>
            <w:r>
              <w:rPr>
                <w:rFonts w:ascii="Times New Roman" w:hAnsi="Times New Roman"/>
                <w:b/>
                <w:sz w:val="22"/>
              </w:rPr>
              <w:t>Sheffi Dimension</w:t>
            </w:r>
          </w:p>
        </w:tc>
        <w:tc>
          <w:tcPr>
            <w:tcW w:type="dxa" w:w="3120"/>
          </w:tcPr>
          <w:p>
            <w:r>
              <w:rPr>
                <w:rFonts w:ascii="Times New Roman" w:hAnsi="Times New Roman"/>
                <w:b/>
                <w:sz w:val="22"/>
              </w:rPr>
              <w:t>Crisis Observation</w:t>
            </w:r>
          </w:p>
        </w:tc>
        <w:tc>
          <w:tcPr>
            <w:tcW w:type="dxa" w:w="3120"/>
          </w:tcPr>
          <w:p>
            <w:r>
              <w:rPr>
                <w:rFonts w:ascii="Times New Roman" w:hAnsi="Times New Roman"/>
                <w:b/>
                <w:sz w:val="22"/>
              </w:rPr>
              <w:t>Firms That Benefited</w:t>
            </w:r>
          </w:p>
        </w:tc>
      </w:tr>
      <w:tr>
        <w:tc>
          <w:tcPr>
            <w:tcW w:type="dxa" w:w="3120"/>
          </w:tcPr>
          <w:p>
            <w:r>
              <w:rPr>
                <w:rFonts w:ascii="Times New Roman" w:hAnsi="Times New Roman"/>
                <w:sz w:val="22"/>
              </w:rPr>
              <w:t>Redundancy</w:t>
            </w:r>
          </w:p>
        </w:tc>
        <w:tc>
          <w:tcPr>
            <w:tcW w:type="dxa" w:w="3120"/>
          </w:tcPr>
          <w:p>
            <w:r>
              <w:rPr>
                <w:rFonts w:ascii="Times New Roman" w:hAnsi="Times New Roman"/>
                <w:sz w:val="22"/>
              </w:rPr>
              <w:t>14+ day inventory buffers absorbed the 10-day Cape rerouting delay without emergency spot procurement</w:t>
            </w:r>
          </w:p>
        </w:tc>
        <w:tc>
          <w:tcPr>
            <w:tcW w:type="dxa" w:w="3120"/>
          </w:tcPr>
          <w:p>
            <w:r>
              <w:rPr>
                <w:rFonts w:ascii="Times New Roman" w:hAnsi="Times New Roman"/>
                <w:sz w:val="22"/>
              </w:rPr>
              <w:t>IOC (government-mandated strategic reserves); Japanese refiners (national security crude inventories under METI guidelines)</w:t>
            </w:r>
          </w:p>
        </w:tc>
      </w:tr>
      <w:tr>
        <w:tc>
          <w:tcPr>
            <w:tcW w:type="dxa" w:w="3120"/>
          </w:tcPr>
          <w:p>
            <w:r>
              <w:rPr>
                <w:rFonts w:ascii="Times New Roman" w:hAnsi="Times New Roman"/>
                <w:sz w:val="22"/>
              </w:rPr>
              <w:t>Flexibility</w:t>
            </w:r>
          </w:p>
        </w:tc>
        <w:tc>
          <w:tcPr>
            <w:tcW w:type="dxa" w:w="3120"/>
          </w:tcPr>
          <w:p>
            <w:r>
              <w:rPr>
                <w:rFonts w:ascii="Times New Roman" w:hAnsi="Times New Roman"/>
                <w:sz w:val="22"/>
              </w:rPr>
              <w:t>NCI 13+ refinery configurations processed grade-switched crude without major throughput loss; simpler refineries faced 2-4 weeks of reduced throughput</w:t>
            </w:r>
          </w:p>
        </w:tc>
        <w:tc>
          <w:tcPr>
            <w:tcW w:type="dxa" w:w="3120"/>
          </w:tcPr>
          <w:p>
            <w:r>
              <w:rPr>
                <w:rFonts w:ascii="Times New Roman" w:hAnsi="Times New Roman"/>
                <w:sz w:val="22"/>
              </w:rPr>
              <w:t>Reliance Industries Jamnagar (NCI 13+); Japanese refiners with complex secondary processing capacity</w:t>
            </w:r>
          </w:p>
        </w:tc>
      </w:tr>
      <w:tr>
        <w:tc>
          <w:tcPr>
            <w:tcW w:type="dxa" w:w="3120"/>
          </w:tcPr>
          <w:p>
            <w:r>
              <w:rPr>
                <w:rFonts w:ascii="Times New Roman" w:hAnsi="Times New Roman"/>
                <w:sz w:val="22"/>
              </w:rPr>
              <w:t>Awareness</w:t>
            </w:r>
          </w:p>
        </w:tc>
        <w:tc>
          <w:tcPr>
            <w:tcW w:type="dxa" w:w="3120"/>
          </w:tcPr>
          <w:p>
            <w:r>
              <w:rPr>
                <w:rFonts w:ascii="Times New Roman" w:hAnsi="Times New Roman"/>
                <w:sz w:val="22"/>
              </w:rPr>
              <w:t>Real-time AIS vessel tracking detected tier-2 disruption 24-48 hours before physical supply impact reached refinery gates</w:t>
            </w:r>
          </w:p>
        </w:tc>
        <w:tc>
          <w:tcPr>
            <w:tcW w:type="dxa" w:w="3120"/>
          </w:tcPr>
          <w:p>
            <w:r>
              <w:rPr>
                <w:rFonts w:ascii="Times New Roman" w:hAnsi="Times New Roman"/>
                <w:sz w:val="22"/>
              </w:rPr>
              <w:t>Reliance trading desk (Kpler, MarineTraffic); IOC (government logistics coordination channels)</w:t>
            </w:r>
          </w:p>
        </w:tc>
      </w:tr>
      <w:tr>
        <w:tc>
          <w:tcPr>
            <w:tcW w:type="dxa" w:w="3120"/>
          </w:tcPr>
          <w:p>
            <w:r>
              <w:rPr>
                <w:rFonts w:ascii="Times New Roman" w:hAnsi="Times New Roman"/>
                <w:sz w:val="22"/>
              </w:rPr>
              <w:t>Adaptability</w:t>
            </w:r>
          </w:p>
        </w:tc>
        <w:tc>
          <w:tcPr>
            <w:tcW w:type="dxa" w:w="3120"/>
          </w:tcPr>
          <w:p>
            <w:r>
              <w:rPr>
                <w:rFonts w:ascii="Times New Roman" w:hAnsi="Times New Roman"/>
                <w:sz w:val="22"/>
              </w:rPr>
              <w:t>Pre-established alternative supplier relationships activated within 3-6 days without new commercial negotiations</w:t>
            </w:r>
          </w:p>
        </w:tc>
        <w:tc>
          <w:tcPr>
            <w:tcW w:type="dxa" w:w="3120"/>
          </w:tcPr>
          <w:p>
            <w:r>
              <w:rPr>
                <w:rFonts w:ascii="Times New Roman" w:hAnsi="Times New Roman"/>
                <w:sz w:val="22"/>
              </w:rPr>
              <w:t>IOC (Saudi Aramco, ADNOC, US crude term contracts, per IOC Q1 2026 Earnings Call); Japanese refiners with diversified long-term contracts</w:t>
            </w:r>
          </w:p>
        </w:tc>
      </w:tr>
      <w:tr>
        <w:tc>
          <w:tcPr>
            <w:tcW w:type="dxa" w:w="3120"/>
          </w:tcPr>
          <w:p>
            <w:r>
              <w:rPr>
                <w:rFonts w:ascii="Times New Roman" w:hAnsi="Times New Roman"/>
                <w:sz w:val="22"/>
              </w:rPr>
              <w:t>Organisational Capabilities</w:t>
            </w:r>
          </w:p>
        </w:tc>
        <w:tc>
          <w:tcPr>
            <w:tcW w:type="dxa" w:w="3120"/>
          </w:tcPr>
          <w:p>
            <w:r>
              <w:rPr>
                <w:rFonts w:ascii="Times New Roman" w:hAnsi="Times New Roman"/>
                <w:sz w:val="22"/>
              </w:rPr>
              <w:t>Pre-authorised decision authority enabled supplier switches within 24-72 hours without multi-week internal approval chains</w:t>
            </w:r>
          </w:p>
        </w:tc>
        <w:tc>
          <w:tcPr>
            <w:tcW w:type="dxa" w:w="3120"/>
          </w:tcPr>
          <w:p>
            <w:r>
              <w:rPr>
                <w:rFonts w:ascii="Times New Roman" w:hAnsi="Times New Roman"/>
                <w:sz w:val="22"/>
              </w:rPr>
              <w:t>Reliance trading desk; IOC (pre-authorised crisis activation protocols per IOC annual procurement disclosures)</w:t>
            </w:r>
          </w:p>
        </w:tc>
      </w:tr>
    </w:tbl>
    <w:p/>
    <w:p>
      <w:pPr>
        <w:spacing w:before="20" w:after="80"/>
      </w:pPr>
      <w:r>
        <w:rPr>
          <w:rFonts w:ascii="Times New Roman" w:hAnsi="Times New Roman"/>
          <w:sz w:val="22"/>
        </w:rPr>
        <w:t>Chinese NOCs, as state-owned enterprises with complex multi-layer governance structures, scored well on organisational capabilities in normal commercial operations but found that their pre-authorised crisis protocols had not anticipated a scenario where Iranian supply was disrupted AND alternative supply required commercial re-negotiation  the take-or-pay structure had substituted for activation flexibility rather than complemented it.</w:t>
      </w:r>
    </w:p>
    <w:p>
      <w:pPr>
        <w:pStyle w:val="Heading2"/>
        <w:spacing w:before="160" w:after="60"/>
      </w:pPr>
      <w:r>
        <w:rPr>
          <w:rFonts w:ascii="Times New Roman" w:hAnsi="Times New Roman"/>
          <w:sz w:val="22"/>
        </w:rPr>
        <w:t>4.2  Sodhi and Tang: Risk Taxonomy Applied</w:t>
      </w:r>
    </w:p>
    <w:p>
      <w:pPr>
        <w:pStyle w:val="ListBullet"/>
        <w:spacing w:before="20" w:after="20"/>
      </w:pPr>
      <w:r>
        <w:rPr>
          <w:rFonts w:ascii="Times New Roman" w:hAnsi="Times New Roman"/>
          <w:b/>
          <w:sz w:val="22"/>
        </w:rPr>
        <w:t xml:space="preserve">Disruption risk: </w:t>
      </w:r>
      <w:r>
        <w:rPr>
          <w:rFonts w:ascii="Times New Roman" w:hAnsi="Times New Roman"/>
          <w:sz w:val="22"/>
        </w:rPr>
        <w:t>Disruption risks (sudden, external, potentially extended-duration) require redundancy and flexibility. The Iran-Hormuz crisis is unambiguously a disruption risk. Mitigation instruments: inventory buffers, flexible refinery configurations, controlled transactions.</w:t>
      </w:r>
    </w:p>
    <w:p>
      <w:pPr>
        <w:pStyle w:val="ListBullet"/>
        <w:spacing w:before="20" w:after="20"/>
      </w:pPr>
      <w:r>
        <w:rPr>
          <w:rFonts w:ascii="Times New Roman" w:hAnsi="Times New Roman"/>
          <w:b/>
          <w:sz w:val="22"/>
        </w:rPr>
        <w:t xml:space="preserve">Supply risk: </w:t>
      </w:r>
      <w:r>
        <w:rPr>
          <w:rFonts w:ascii="Times New Roman" w:hAnsi="Times New Roman"/>
          <w:sz w:val="22"/>
        </w:rPr>
        <w:t>Supply risks (uncertainty in quality, quantity, or timing of supply from a known supplier) require supplier management and contractual mechanisms. Relevant to the refinery crude slate problem  switching to the wrong crude grade creates a supply quality risk that manifests as reduced throughput. Not the primary risk type here.</w:t>
      </w:r>
    </w:p>
    <w:p>
      <w:pPr>
        <w:pStyle w:val="ListBullet"/>
        <w:spacing w:before="20" w:after="20"/>
      </w:pPr>
      <w:r>
        <w:rPr>
          <w:rFonts w:ascii="Times New Roman" w:hAnsi="Times New Roman"/>
          <w:b/>
          <w:sz w:val="22"/>
        </w:rPr>
        <w:t xml:space="preserve">Demand risk: </w:t>
      </w:r>
      <w:r>
        <w:rPr>
          <w:rFonts w:ascii="Times New Roman" w:hAnsi="Times New Roman"/>
          <w:sz w:val="22"/>
        </w:rPr>
        <w:t>Demand risks are not directly relevant to this crisis, though downstream product demand destruction could emerge if refinery throughput cuts propagate into refined product shortages.</w:t>
      </w:r>
    </w:p>
    <w:p>
      <w:pPr>
        <w:spacing w:before="20" w:after="80"/>
      </w:pPr>
      <w:r>
        <w:rPr>
          <w:rFonts w:ascii="Times New Roman" w:hAnsi="Times New Roman"/>
          <w:sz w:val="22"/>
        </w:rPr>
        <w:t>The taxonomy explains why Chinese NOC hedging strategies addressed price risk but did not protect against the disruption risk they faced  and why inventory buffers were the most effective single investment, bridging the physical supply gap while activation protocols execute. It also explains why the controlled transaction, which bundles flexibility, redundancy, and organisational capability into one instrument, is the most efficient resilience investment for a known disruption type.</w:t>
      </w:r>
    </w:p>
    <w:p>
      <w:pPr>
        <w:pStyle w:val="Heading2"/>
        <w:spacing w:before="160" w:after="60"/>
      </w:pPr>
      <w:r>
        <w:rPr>
          <w:rFonts w:ascii="Times New Roman" w:hAnsi="Times New Roman"/>
          <w:sz w:val="22"/>
        </w:rPr>
        <w:t>4.3  Choi, Rogers, and Vakil: Visibility Applied</w:t>
      </w:r>
    </w:p>
    <w:p>
      <w:pPr>
        <w:spacing w:before="20" w:after="80"/>
      </w:pPr>
      <w:r>
        <w:rPr>
          <w:rFonts w:ascii="Times New Roman" w:hAnsi="Times New Roman"/>
          <w:sz w:val="22"/>
        </w:rPr>
        <w:t>Choi, Rogers, and Vakil (2020) argue that supply chain vulnerability stems from opacity into tier-2 and tier-3 supply chains. In oil refining: tier-1 is the crude supplier; tier-2 is the shipping network; tier-3 is the financial infrastructure (insurance, banking, payment clearing). The geopolitical environment  sanctions, diplomatic relationships, payment restrictions  operates above these tiers as the structural context that shapes tier-3 and tier-2 behavior. The visibility gap in the 2026 crisis operated at tier-2 and tier-3. Firms did not primarily lack visibility into their crude suppliers  they knew who their suppliers were. They lacked visibility into whether vessels could be insured, whether they would reroute, and when rerouting would translate into physical supply delays. Firms with real-time AIS tracking detected tier-2 disruption 24-48 hours before those without. Firms monitoring war risk insurance premium movements detected tier-3 disruption before it manifested in physical routing changes.</w:t>
      </w:r>
    </w:p>
    <w:p>
      <w:pPr>
        <w:spacing w:before="20" w:after="80"/>
      </w:pPr>
      <w:r>
        <w:rPr>
          <w:rFonts w:ascii="Times New Roman" w:hAnsi="Times New Roman"/>
          <w:sz w:val="22"/>
        </w:rPr>
        <w:t>This 24-72 hour early warning window determined whether a firm could activate its controlled transaction while inventory was still intact  or only after throughput cuts began. A refinery running 10 days of inventory has no spare time: activation on day 10 means crude arrives on day 20, a 10-day gap. Activation on day 8 closes the gap to 2 days. The visibility instrument does not resolve the supply problem  the controlled transaction does. But without early warning, the controlled transaction arrives too late to prevent disruption.</w:t>
      </w:r>
    </w:p>
    <w:p>
      <w:pPr>
        <w:pStyle w:val="Heading1"/>
        <w:spacing w:before="240" w:after="80"/>
      </w:pPr>
      <w:r>
        <w:rPr>
          <w:rFonts w:ascii="Times New Roman" w:hAnsi="Times New Roman"/>
          <w:sz w:val="22"/>
        </w:rPr>
        <w:t>5. THE PLAYBOOK: A STRUCTURED GUIDE FOR THE NEXT CRISIS</w:t>
      </w:r>
    </w:p>
    <w:p>
      <w:pPr>
        <w:pStyle w:val="Heading2"/>
        <w:spacing w:before="160" w:after="60"/>
      </w:pPr>
      <w:r>
        <w:rPr>
          <w:rFonts w:ascii="Times New Roman" w:hAnsi="Times New Roman"/>
          <w:sz w:val="22"/>
        </w:rPr>
        <w:t>5.1  Diagnostic Questions: Where Does Your Vulnerability Live?</w:t>
      </w:r>
    </w:p>
    <w:p>
      <w:pPr>
        <w:pStyle w:val="ListBullet"/>
        <w:spacing w:before="20" w:after="20"/>
      </w:pPr>
      <w:r>
        <w:rPr>
          <w:rFonts w:ascii="Times New Roman" w:hAnsi="Times New Roman"/>
          <w:b/>
          <w:sz w:val="22"/>
        </w:rPr>
        <w:t xml:space="preserve">Insurance layer: </w:t>
      </w:r>
      <w:r>
        <w:rPr>
          <w:rFonts w:ascii="Times New Roman" w:hAnsi="Times New Roman"/>
          <w:sz w:val="22"/>
        </w:rPr>
        <w:t>Insurance layer: What is your current war risk insurance coverage for Gulf routing? What premium level makes continued Gulf routing economically prohibitive  and what is your contingency routing plan?</w:t>
      </w:r>
    </w:p>
    <w:p>
      <w:pPr>
        <w:pStyle w:val="ListBullet"/>
        <w:spacing w:before="20" w:after="20"/>
      </w:pPr>
      <w:r>
        <w:rPr>
          <w:rFonts w:ascii="Times New Roman" w:hAnsi="Times New Roman"/>
          <w:b/>
          <w:sz w:val="22"/>
        </w:rPr>
        <w:t xml:space="preserve">Routing layer: </w:t>
      </w:r>
      <w:r>
        <w:rPr>
          <w:rFonts w:ascii="Times New Roman" w:hAnsi="Times New Roman"/>
          <w:sz w:val="22"/>
        </w:rPr>
        <w:t>Routing layer: What is your current crude inventory in days of forward supply? If your primary route added 10 days of transit time, would you face runout risk?</w:t>
      </w:r>
    </w:p>
    <w:p>
      <w:pPr>
        <w:pStyle w:val="ListBullet"/>
        <w:spacing w:before="20" w:after="20"/>
      </w:pPr>
      <w:r>
        <w:rPr>
          <w:rFonts w:ascii="Times New Roman" w:hAnsi="Times New Roman"/>
          <w:b/>
          <w:sz w:val="22"/>
        </w:rPr>
        <w:t xml:space="preserve">Refinery input layer: </w:t>
      </w:r>
      <w:r>
        <w:rPr>
          <w:rFonts w:ascii="Times New Roman" w:hAnsi="Times New Roman"/>
          <w:sz w:val="22"/>
        </w:rPr>
        <w:t>Refinery input layer: Which crude grades can your refineries process at near-full throughput? How many days of operational adjustment would a grade switch require?</w:t>
      </w:r>
    </w:p>
    <w:p>
      <w:pPr>
        <w:pStyle w:val="ListBullet"/>
        <w:spacing w:before="20" w:after="20"/>
      </w:pPr>
      <w:r>
        <w:rPr>
          <w:rFonts w:ascii="Times New Roman" w:hAnsi="Times New Roman"/>
          <w:b/>
          <w:sz w:val="22"/>
        </w:rPr>
        <w:t xml:space="preserve">Capital flow layer: </w:t>
      </w:r>
      <w:r>
        <w:rPr>
          <w:rFonts w:ascii="Times New Roman" w:hAnsi="Times New Roman"/>
          <w:sz w:val="22"/>
        </w:rPr>
        <w:t>Capital flow layer: Through which correspondent banking corridors does your emergency procurement activate? How many hours to days of processing friction does your banking infrastructure add?</w:t>
      </w:r>
    </w:p>
    <w:p>
      <w:pPr>
        <w:pStyle w:val="ListBullet"/>
        <w:spacing w:before="20" w:after="20"/>
      </w:pPr>
      <w:r>
        <w:rPr>
          <w:rFonts w:ascii="Times New Roman" w:hAnsi="Times New Roman"/>
          <w:b/>
          <w:sz w:val="22"/>
        </w:rPr>
        <w:t xml:space="preserve">Visibility layer: </w:t>
      </w:r>
      <w:r>
        <w:rPr>
          <w:rFonts w:ascii="Times New Roman" w:hAnsi="Times New Roman"/>
          <w:sz w:val="22"/>
        </w:rPr>
        <w:t>Visibility layer: Do you have real-time AIS monitoring for in-transit cargoes? Who sees this data, and what is their authorisation to act on it?</w:t>
      </w:r>
    </w:p>
    <w:p>
      <w:pPr>
        <w:pStyle w:val="Heading2"/>
        <w:spacing w:before="160" w:after="60"/>
      </w:pPr>
      <w:r>
        <w:rPr>
          <w:rFonts w:ascii="Times New Roman" w:hAnsi="Times New Roman"/>
          <w:sz w:val="22"/>
        </w:rPr>
        <w:t>5.2  Preparation Checklist</w:t>
      </w:r>
    </w:p>
    <w:p>
      <w:pPr>
        <w:pStyle w:val="ListBullet"/>
        <w:spacing w:before="20" w:after="20"/>
      </w:pPr>
      <w:r>
        <w:rPr>
          <w:rFonts w:ascii="Times New Roman" w:hAnsi="Times New Roman"/>
          <w:b/>
          <w:sz w:val="22"/>
        </w:rPr>
        <w:t xml:space="preserve">Supplier layer: </w:t>
      </w:r>
      <w:r>
        <w:rPr>
          <w:rFonts w:ascii="Times New Roman" w:hAnsi="Times New Roman"/>
          <w:sz w:val="22"/>
        </w:rPr>
        <w:t>Supplier layer: For each major crude grade you process, identify three alternative suppliers. Negotiate baseline contracts including defined activation triggers, pre-agreed pricing formulas, and pre-authorised decision authority. Without these three elements, the contract is not a controlled transaction  it is a theoretical alternative that cannot be exercised under crisis pressure.</w:t>
      </w:r>
    </w:p>
    <w:p>
      <w:pPr>
        <w:pStyle w:val="ListBullet"/>
        <w:spacing w:before="20" w:after="20"/>
      </w:pPr>
      <w:r>
        <w:rPr>
          <w:rFonts w:ascii="Times New Roman" w:hAnsi="Times New Roman"/>
          <w:b/>
          <w:sz w:val="22"/>
        </w:rPr>
        <w:t xml:space="preserve">Inventory layer: </w:t>
      </w:r>
      <w:r>
        <w:rPr>
          <w:rFonts w:ascii="Times New Roman" w:hAnsi="Times New Roman"/>
          <w:sz w:val="22"/>
        </w:rPr>
        <w:t>Inventory layer: IEA data supports 14+ days of crude inventory as adequate buffer for a 10-14 day disruption event. Below 10 days is a material vulnerability. Inventory carries a working capital cost but is the most direct redundancy instrument for a disruption risk.</w:t>
      </w:r>
    </w:p>
    <w:p>
      <w:pPr>
        <w:pStyle w:val="ListBullet"/>
        <w:spacing w:before="20" w:after="20"/>
      </w:pPr>
      <w:r>
        <w:rPr>
          <w:rFonts w:ascii="Times New Roman" w:hAnsi="Times New Roman"/>
          <w:b/>
          <w:sz w:val="22"/>
        </w:rPr>
        <w:t xml:space="preserve">Capital flow layer: </w:t>
      </w:r>
      <w:r>
        <w:rPr>
          <w:rFonts w:ascii="Times New Roman" w:hAnsi="Times New Roman"/>
          <w:sz w:val="22"/>
        </w:rPr>
        <w:t>Capital flow layer: Map the correspondent banking steps required to activate emergency procurement in each alternative currency corridor. Pre-position correspondent relationships for contingency suppliers. Every hour of banking friction in your activation path is latency you cannot afford.</w:t>
      </w:r>
    </w:p>
    <w:p>
      <w:pPr>
        <w:pStyle w:val="ListBullet"/>
        <w:spacing w:before="20" w:after="20"/>
      </w:pPr>
      <w:r>
        <w:rPr>
          <w:rFonts w:ascii="Times New Roman" w:hAnsi="Times New Roman"/>
          <w:b/>
          <w:sz w:val="22"/>
        </w:rPr>
        <w:t xml:space="preserve">Organisational layer: </w:t>
      </w:r>
      <w:r>
        <w:rPr>
          <w:rFonts w:ascii="Times New Roman" w:hAnsi="Times New Roman"/>
          <w:sz w:val="22"/>
        </w:rPr>
        <w:t>Organisational layer: Establish and document pre-authorised decision thresholds for crisis supplier activation. Specify who can activate a controlled transaction, at what volume threshold, and under what trigger conditions. Practice these protocols in annual crisis simulations.</w:t>
      </w:r>
    </w:p>
    <w:p>
      <w:pPr>
        <w:pStyle w:val="Heading2"/>
        <w:spacing w:before="160" w:after="60"/>
      </w:pPr>
      <w:r>
        <w:rPr>
          <w:rFonts w:ascii="Times New Roman" w:hAnsi="Times New Roman"/>
          <w:sz w:val="22"/>
        </w:rPr>
        <w:t>5.3  Response Protocol: The First 72 Hours</w:t>
      </w:r>
    </w:p>
    <w:p>
      <w:pPr>
        <w:pStyle w:val="ListBullet"/>
        <w:spacing w:before="20" w:after="20"/>
      </w:pPr>
      <w:r>
        <w:rPr>
          <w:rFonts w:ascii="Times New Roman" w:hAnsi="Times New Roman"/>
          <w:b/>
          <w:sz w:val="22"/>
        </w:rPr>
        <w:t xml:space="preserve">Hour 0-24: </w:t>
      </w:r>
      <w:r>
        <w:rPr>
          <w:rFonts w:ascii="Times New Roman" w:hAnsi="Times New Roman"/>
          <w:sz w:val="22"/>
        </w:rPr>
        <w:t>Hour 0-24: Assess. Confirm the nature of the disruption: insurance withdrawal, routing change, or physical blockage? Activate the crisis team. Pull real-time AIS tracking for all in-transit cargoes. Quantify your inventory runway in days.</w:t>
      </w:r>
    </w:p>
    <w:p>
      <w:pPr>
        <w:pStyle w:val="ListBullet"/>
        <w:spacing w:before="20" w:after="20"/>
      </w:pPr>
      <w:r>
        <w:rPr>
          <w:rFonts w:ascii="Times New Roman" w:hAnsi="Times New Roman"/>
          <w:b/>
          <w:sz w:val="22"/>
        </w:rPr>
        <w:t xml:space="preserve">Hour 24-72: </w:t>
      </w:r>
      <w:r>
        <w:rPr>
          <w:rFonts w:ascii="Times New Roman" w:hAnsi="Times New Roman"/>
          <w:sz w:val="22"/>
        </w:rPr>
        <w:t>Hour 24-72: Activate. Activate pre-established controlled transactions for the affected supply layer. Draw down inventory to extend supply runway while alternative arrangements are activated.</w:t>
      </w:r>
    </w:p>
    <w:p>
      <w:pPr>
        <w:pStyle w:val="ListBullet"/>
        <w:spacing w:before="20" w:after="20"/>
      </w:pPr>
      <w:r>
        <w:rPr>
          <w:rFonts w:ascii="Times New Roman" w:hAnsi="Times New Roman"/>
          <w:b/>
          <w:sz w:val="22"/>
        </w:rPr>
        <w:t xml:space="preserve">Day 3-14: </w:t>
      </w:r>
      <w:r>
        <w:rPr>
          <w:rFonts w:ascii="Times New Roman" w:hAnsi="Times New Roman"/>
          <w:sz w:val="22"/>
        </w:rPr>
        <w:t>Day 3-14: Manage. Assess likely duration  temporary (under 30 days) or structural? For temporary disruptions: maintain activation, do not restructure permanently. For structural disruptions: execute formal supplier base restructuring and evaluate take-or-pay renegotiation.</w:t>
      </w:r>
    </w:p>
    <w:p>
      <w:pPr>
        <w:spacing w:before="20" w:after="80"/>
      </w:pPr>
      <w:r>
        <w:rPr>
          <w:rFonts w:ascii="Times New Roman" w:hAnsi="Times New Roman"/>
          <w:sz w:val="22"/>
        </w:rPr>
        <w:t>Oil-specific early warning signals to monitor continuously: VLCC routing patterns (AIS rerouting signals disruption onset); war risk insurance premium levels (spikes above 50% week-over-week signal market stress); Brent backwardation (front-month premium over 6-month of more than $3-4/barrel signals near-term supply tightness); VLCC spot rate differentials between Cape and Hormuz routing (differential widening signals rerouting cost repricing).</w:t>
      </w:r>
    </w:p>
    <w:p>
      <w:pPr>
        <w:pStyle w:val="Heading2"/>
        <w:spacing w:before="160" w:after="60"/>
      </w:pPr>
      <w:r>
        <w:rPr>
          <w:rFonts w:ascii="Times New Roman" w:hAnsi="Times New Roman"/>
          <w:sz w:val="22"/>
        </w:rPr>
        <w:t>5.4  Structural Uncertainty: The Saudi-Iran Normalisation Scenario</w:t>
      </w:r>
    </w:p>
    <w:p>
      <w:pPr>
        <w:spacing w:before="20" w:after="80"/>
      </w:pPr>
      <w:r>
        <w:rPr>
          <w:rFonts w:ascii="Times New Roman" w:hAnsi="Times New Roman"/>
          <w:sz w:val="22"/>
        </w:rPr>
        <w:t>The playbook above is built for the disruption scenario that materialised in March 2026. A competent risk management analysis must address Saudi-Iran diplomatic normalisation  Chinese-mediated engagement has been a live dynamic since 2021, and a future normalisation could lift secondary sanctions and return Iranian crude to global markets at scale (potentially 2+ mb/d), repricing Middle Eastern benchmarks and disrupting the alternative supply relationships activated in 2026. The practitioner message: resilience architecture should be robust across multiple scenarios, not optimised for the last crisis. Alternative supplier contracts should include sunset provisions tied to Iranian crude returning to market. The firms that will manage the next disruption best are those that build scenario flexibility into their supply chain infrastructure  not those that optimise for the most recent one. This is not a price story. It is a structure story.</w:t>
      </w:r>
    </w:p>
    <w:p>
      <w:pPr>
        <w:pStyle w:val="Heading1"/>
        <w:spacing w:before="240" w:after="80"/>
      </w:pPr>
      <w:r>
        <w:rPr>
          <w:rFonts w:ascii="Times New Roman" w:hAnsi="Times New Roman"/>
          <w:sz w:val="22"/>
        </w:rPr>
        <w:t>6. CONCLUSION</w:t>
      </w:r>
    </w:p>
    <w:p>
      <w:pPr>
        <w:spacing w:before="20" w:after="80"/>
      </w:pPr>
      <w:r>
        <w:rPr>
          <w:rFonts w:ascii="Times New Roman" w:hAnsi="Times New Roman"/>
          <w:sz w:val="22"/>
        </w:rPr>
        <w:t>The 2026 Iran-Hormuz crisis is ongoing. Final recovery outcomes are not yet established. This paper has not declared conclusions  it has offered a diagnostic and a playbook.</w:t>
      </w:r>
    </w:p>
    <w:p>
      <w:pPr>
        <w:spacing w:before="20" w:after="80"/>
      </w:pPr>
      <w:r>
        <w:rPr>
          <w:rFonts w:ascii="Times New Roman" w:hAnsi="Times New Roman"/>
          <w:sz w:val="22"/>
        </w:rPr>
        <w:t>The diagnostic: the disruption did not operate through the mechanism most observers expected. The Strait was not physically blocked in any sustained sense. The disruption originated in the financial infrastructure of oil transport  the war risk insurance market  and propagated through tanker routing, refinery technical constraints, information asymmetry, and capital flow architecture. The four-layer cascade was not random; its impact was filtered through each firm's pre-existing capital and trading network structure.</w:t>
      </w:r>
    </w:p>
    <w:p>
      <w:pPr>
        <w:spacing w:before="20" w:after="80"/>
      </w:pPr>
      <w:r>
        <w:rPr>
          <w:rFonts w:ascii="Times New Roman" w:hAnsi="Times New Roman"/>
          <w:sz w:val="22"/>
        </w:rPr>
        <w:t>The analytical contribution is the controlled transaction as a named resilience instrument for disruption risks  distinct from hedging (price risk) and distinct from strategic supplier relationships (access without activation flexibility). The 2026 crisis demonstrates that the firms which recovered fastest had pre-negotiated activation triggers, pre-agreed pricing, pre-authorised decision authority, and  correspondent banking infrastructure allowing the activation sequence to execute in hours rather than weeks. Firms that recovered slowly had alternative supply relationships without these four elements  theoretical alternatives, not practical ones.</w:t>
      </w:r>
    </w:p>
    <w:p>
      <w:pPr>
        <w:spacing w:before="20" w:after="80"/>
      </w:pPr>
      <w:r>
        <w:rPr>
          <w:rFonts w:ascii="Times New Roman" w:hAnsi="Times New Roman"/>
          <w:sz w:val="22"/>
        </w:rPr>
        <w:t>Sheffi's five dimensions tell practitioners where to invest. Sodhi and Tang's taxonomy tells each investment which risk type it addresses. Choi et al.'s visibility framework tells practitioners where to look when the next crisis begins. And the capital flow architecture lens tells practitioners that activation speed is not only organisational  it is infrastructural. The correspondent banking corridors, settlement currency architecture, and cargo tracking interoperability through which emergency procurement travels are as much part of resilience infrastructure as refinery configuration or inventory buffer.</w:t>
      </w:r>
    </w:p>
    <w:p>
      <w:pPr>
        <w:pStyle w:val="Heading1"/>
        <w:spacing w:before="240" w:after="80"/>
      </w:pPr>
      <w:r>
        <w:rPr>
          <w:rFonts w:ascii="Times New Roman" w:hAnsi="Times New Roman"/>
          <w:sz w:val="22"/>
        </w:rPr>
        <w:t>REFERENCES</w:t>
      </w:r>
    </w:p>
    <w:p>
      <w:pPr>
        <w:spacing w:before="120" w:after="40"/>
      </w:pPr>
      <w:r>
        <w:rPr>
          <w:rFonts w:ascii="Times New Roman" w:hAnsi="Times New Roman"/>
          <w:b/>
          <w:sz w:val="22"/>
        </w:rPr>
        <w:t>Course Readings:</w:t>
      </w:r>
    </w:p>
    <w:p>
      <w:pPr>
        <w:pStyle w:val="ListBullet"/>
        <w:spacing w:before="20" w:after="20"/>
      </w:pPr>
      <w:r>
        <w:rPr>
          <w:rFonts w:ascii="Times New Roman" w:hAnsi="Times New Roman"/>
          <w:sz w:val="22"/>
        </w:rPr>
        <w:t>Choi, T.Y., Rogers, D.S., and Vakil, B. (2020). 'Coronavirus is a Wake-Up Call for Supply Chain Management.' Harvard Business Review, April 2020.</w:t>
      </w:r>
    </w:p>
    <w:p>
      <w:pPr>
        <w:pStyle w:val="ListBullet"/>
        <w:spacing w:before="20" w:after="20"/>
      </w:pPr>
      <w:r>
        <w:rPr>
          <w:rFonts w:ascii="Times New Roman" w:hAnsi="Times New Roman"/>
          <w:sz w:val="22"/>
        </w:rPr>
        <w:t>Sheffi, Y. (2005). The Resilient Enterprise: Overcoming Vulnerability for Competitive Advantage. MIT Press.</w:t>
      </w:r>
    </w:p>
    <w:p>
      <w:pPr>
        <w:pStyle w:val="ListBullet"/>
        <w:spacing w:before="20" w:after="20"/>
      </w:pPr>
      <w:r>
        <w:rPr>
          <w:rFonts w:ascii="Times New Roman" w:hAnsi="Times New Roman"/>
          <w:sz w:val="22"/>
        </w:rPr>
        <w:t>Sodhi, M.S., and Tang, C.S. (2012). Managing Supply Chain Risks. Springer.</w:t>
      </w:r>
    </w:p>
    <w:p>
      <w:pPr>
        <w:spacing w:before="120" w:after="40"/>
      </w:pPr>
      <w:r>
        <w:rPr>
          <w:rFonts w:ascii="Times New Roman" w:hAnsi="Times New Roman"/>
          <w:b/>
          <w:sz w:val="22"/>
        </w:rPr>
        <w:t>Corporate Disclosures:</w:t>
      </w:r>
    </w:p>
    <w:p>
      <w:pPr>
        <w:pStyle w:val="ListBullet"/>
        <w:spacing w:before="20" w:after="20"/>
      </w:pPr>
      <w:r>
        <w:rPr>
          <w:rFonts w:ascii="Times New Roman" w:hAnsi="Times New Roman"/>
          <w:sz w:val="22"/>
        </w:rPr>
        <w:t>Indian Oil Corporation. (2026). Q1 2026 Earnings Call Transcript, April 15, 2026.</w:t>
      </w:r>
    </w:p>
    <w:p>
      <w:pPr>
        <w:pStyle w:val="ListBullet"/>
        <w:spacing w:before="20" w:after="20"/>
      </w:pPr>
      <w:r>
        <w:rPr>
          <w:rFonts w:ascii="Times New Roman" w:hAnsi="Times New Roman"/>
          <w:sz w:val="22"/>
        </w:rPr>
        <w:t>Sinopec Group. (2026). Q1 2026 Earnings Guidance, April 2026.</w:t>
      </w:r>
    </w:p>
    <w:p>
      <w:pPr>
        <w:pStyle w:val="ListBullet"/>
        <w:spacing w:before="20" w:after="20"/>
      </w:pPr>
      <w:r>
        <w:rPr>
          <w:rFonts w:ascii="Times New Roman" w:hAnsi="Times New Roman"/>
          <w:sz w:val="22"/>
        </w:rPr>
        <w:t>Sinopec Group. (2025). Annual Report 2025.</w:t>
      </w:r>
    </w:p>
    <w:p>
      <w:pPr>
        <w:spacing w:before="120" w:after="40"/>
      </w:pPr>
      <w:r>
        <w:rPr>
          <w:rFonts w:ascii="Times New Roman" w:hAnsi="Times New Roman"/>
          <w:b/>
          <w:sz w:val="22"/>
        </w:rPr>
        <w:t>Shipping and Logistics:</w:t>
      </w:r>
    </w:p>
    <w:p>
      <w:pPr>
        <w:pStyle w:val="ListBullet"/>
        <w:spacing w:before="20" w:after="20"/>
      </w:pPr>
      <w:r>
        <w:rPr>
          <w:rFonts w:ascii="Times New Roman" w:hAnsi="Times New Roman"/>
          <w:sz w:val="22"/>
        </w:rPr>
        <w:t>Anadolu Agency. (2026). 'Strait of Hormuz: 1,900 Vessels Stranded as Tensions Escalate,' March 2026.</w:t>
      </w:r>
    </w:p>
    <w:p>
      <w:pPr>
        <w:pStyle w:val="ListBullet"/>
        <w:spacing w:before="20" w:after="20"/>
      </w:pPr>
      <w:r>
        <w:rPr>
          <w:rFonts w:ascii="Times New Roman" w:hAnsi="Times New Roman"/>
          <w:sz w:val="22"/>
        </w:rPr>
        <w:t>Baltic Exchange. (2026). VLCC freight rate assessments, BDTI data, March-April 2026. https://www.balticexchange.com/</w:t>
      </w:r>
    </w:p>
    <w:p>
      <w:pPr>
        <w:pStyle w:val="ListBullet"/>
        <w:spacing w:before="20" w:after="20"/>
      </w:pPr>
      <w:r>
        <w:rPr>
          <w:rFonts w:ascii="Times New Roman" w:hAnsi="Times New Roman"/>
          <w:sz w:val="22"/>
        </w:rPr>
        <w:t>Kpler and MarineTraffic. (2026). Tanker tracking and AIS vessel movement data, March-April 2026. Subscription data accessed April 2026.</w:t>
      </w:r>
    </w:p>
    <w:p>
      <w:pPr>
        <w:spacing w:before="120" w:after="40"/>
      </w:pPr>
      <w:r>
        <w:rPr>
          <w:rFonts w:ascii="Times New Roman" w:hAnsi="Times New Roman"/>
          <w:b/>
          <w:sz w:val="22"/>
        </w:rPr>
        <w:t>Market and Pricing:</w:t>
      </w:r>
    </w:p>
    <w:p>
      <w:pPr>
        <w:pStyle w:val="ListBullet"/>
        <w:spacing w:before="20" w:after="20"/>
      </w:pPr>
      <w:r>
        <w:rPr>
          <w:rFonts w:ascii="Times New Roman" w:hAnsi="Times New Roman"/>
          <w:sz w:val="22"/>
        </w:rPr>
        <w:t>Bloomberg L.P. (2026). Brent crude daily pricing, VLCC freight indices, war risk insurance premium data, March-April 2026. Bloomberg Terminal subscription.</w:t>
      </w:r>
    </w:p>
    <w:p>
      <w:pPr>
        <w:pStyle w:val="ListBullet"/>
        <w:spacing w:before="20" w:after="20"/>
      </w:pPr>
      <w:r>
        <w:rPr>
          <w:rFonts w:ascii="Times New Roman" w:hAnsi="Times New Roman"/>
          <w:sz w:val="22"/>
        </w:rPr>
        <w:t>BNN Bloomberg. (2026). Oil market reporting, March 2026.</w:t>
      </w:r>
    </w:p>
    <w:p>
      <w:pPr>
        <w:pStyle w:val="ListBullet"/>
        <w:spacing w:before="20" w:after="20"/>
      </w:pPr>
      <w:r>
        <w:rPr>
          <w:rFonts w:ascii="Times New Roman" w:hAnsi="Times New Roman"/>
          <w:sz w:val="22"/>
        </w:rPr>
        <w:t>Reuters. (2026). 'J.P. Morgan Estimates Potential Supply Losses of 4.7 mb/d,' March 2026.</w:t>
      </w:r>
    </w:p>
    <w:p>
      <w:pPr>
        <w:spacing w:before="120" w:after="40"/>
      </w:pPr>
      <w:r>
        <w:rPr>
          <w:rFonts w:ascii="Times New Roman" w:hAnsi="Times New Roman"/>
          <w:b/>
          <w:sz w:val="22"/>
        </w:rPr>
        <w:t>Insurance:</w:t>
      </w:r>
    </w:p>
    <w:p>
      <w:pPr>
        <w:pStyle w:val="ListBullet"/>
        <w:spacing w:before="20" w:after="20"/>
      </w:pPr>
      <w:r>
        <w:rPr>
          <w:rFonts w:ascii="Times New Roman" w:hAnsi="Times New Roman"/>
          <w:sz w:val="22"/>
        </w:rPr>
        <w:t>Lloyd's Market Association. (2026). War Risk Insurance Market Commentary, April 3, 2026. https://www.lloyds.com/</w:t>
      </w:r>
    </w:p>
    <w:p>
      <w:pPr>
        <w:pStyle w:val="ListBullet"/>
        <w:spacing w:before="20" w:after="20"/>
      </w:pPr>
      <w:r>
        <w:rPr>
          <w:rFonts w:ascii="Times New Roman" w:hAnsi="Times New Roman"/>
          <w:sz w:val="22"/>
        </w:rPr>
        <w:t>Marsh and McLennan. (2026). War Risk Insurance Briefing Note, April 4, 2026.</w:t>
      </w:r>
    </w:p>
    <w:p>
      <w:pPr>
        <w:spacing w:before="120" w:after="40"/>
      </w:pPr>
      <w:r>
        <w:rPr>
          <w:rFonts w:ascii="Times New Roman" w:hAnsi="Times New Roman"/>
          <w:b/>
          <w:sz w:val="22"/>
        </w:rPr>
        <w:t>Policy and Government Data:</w:t>
      </w:r>
    </w:p>
    <w:p>
      <w:pPr>
        <w:pStyle w:val="ListBullet"/>
        <w:spacing w:before="20" w:after="20"/>
      </w:pPr>
      <w:r>
        <w:rPr>
          <w:rFonts w:ascii="Times New Roman" w:hAnsi="Times New Roman"/>
          <w:sz w:val="22"/>
        </w:rPr>
        <w:t>IEA. (2026). Monthly Oil Market Reports, March-April 2026. https://www.iea.org/</w:t>
      </w:r>
    </w:p>
    <w:p>
      <w:pPr>
        <w:pStyle w:val="ListBullet"/>
        <w:spacing w:before="20" w:after="20"/>
      </w:pPr>
      <w:r>
        <w:rPr>
          <w:rFonts w:ascii="Times New Roman" w:hAnsi="Times New Roman"/>
          <w:sz w:val="22"/>
        </w:rPr>
        <w:t>OPEC. (2026). Monthly Oil Market Reports, February-March 2026. https://www.opec.org/</w:t>
      </w:r>
    </w:p>
    <w:p>
      <w:pPr>
        <w:pStyle w:val="ListBullet"/>
        <w:spacing w:before="20" w:after="20"/>
      </w:pPr>
      <w:r>
        <w:rPr>
          <w:rFonts w:ascii="Times New Roman" w:hAnsi="Times New Roman"/>
          <w:sz w:val="22"/>
        </w:rPr>
        <w:t>The Signal Group and Windward. (2026). GPS jamming and vessel navigation disruption reporting, March 2026.</w:t>
      </w:r>
    </w:p>
    <w:p>
      <w:pPr>
        <w:pStyle w:val="ListBullet"/>
        <w:spacing w:before="20" w:after="20"/>
      </w:pPr>
      <w:r>
        <w:rPr>
          <w:rFonts w:ascii="Times New Roman" w:hAnsi="Times New Roman"/>
          <w:sz w:val="22"/>
        </w:rPr>
        <w:t>US EIA. (2026). Oil Market Reports, Hormuz Transit Factsheet, March-April 2026. https://www.eia.gov/</w:t>
      </w:r>
    </w:p>
    <w:p>
      <w:pPr>
        <w:pStyle w:val="ListBullet"/>
        <w:spacing w:before="20" w:after="20"/>
      </w:pPr>
      <w:r>
        <w:rPr>
          <w:rFonts w:ascii="Times New Roman" w:hAnsi="Times New Roman"/>
          <w:sz w:val="22"/>
        </w:rPr>
        <w:t>US EIA. (2025). Refinery Capacity Report, 2025. https://www.eia.gov/</w:t>
      </w:r>
    </w:p>
    <w:p>
      <w:pPr>
        <w:pStyle w:val="ListBullet"/>
        <w:spacing w:before="20" w:after="20"/>
      </w:pPr>
      <w:r>
        <w:rPr>
          <w:rFonts w:ascii="Times New Roman" w:hAnsi="Times New Roman"/>
          <w:sz w:val="22"/>
        </w:rPr>
        <w:t>US EIA. (2025). Crude Oil Quality Differences and Refinery Processing Constraints, 2025.</w:t>
      </w:r>
    </w:p>
    <w:p>
      <w:pPr>
        <w:pStyle w:val="ListBullet"/>
        <w:spacing w:before="20" w:after="20"/>
      </w:pPr>
      <w:r>
        <w:rPr>
          <w:rFonts w:ascii="Times New Roman" w:hAnsi="Times New Roman"/>
          <w:sz w:val="22"/>
        </w:rPr>
        <w:t>CNBC. (2026). 'IEA Launches Largest Emergency Reserve Release in History,' March 2026. Statement by IEA Executive Director Fatih Birol.</w:t>
      </w:r>
    </w:p>
    <w:p>
      <w:pPr>
        <w:spacing w:before="120" w:after="40"/>
      </w:pPr>
      <w:r>
        <w:rPr>
          <w:rFonts w:ascii="Times New Roman" w:hAnsi="Times New Roman"/>
          <w:b/>
          <w:sz w:val="22"/>
        </w:rPr>
        <w:t>Refinery Complexity Data:</w:t>
      </w:r>
    </w:p>
    <w:p>
      <w:pPr>
        <w:pStyle w:val="ListBullet"/>
        <w:spacing w:before="20" w:after="20"/>
      </w:pPr>
      <w:r>
        <w:rPr>
          <w:rFonts w:ascii="Times New Roman" w:hAnsi="Times New Roman"/>
          <w:sz w:val="22"/>
        </w:rPr>
        <w:t>Nelson Complexity Index data, Solomon Associates (cited via US EIA Refinery Capacity Report, 2025).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