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32"/>
        </w:rPr>
        <w:t>[COMPANY NAME]</w:t>
      </w:r>
    </w:p>
    <w:p>
      <w:pPr>
        <w:spacing w:before="0" w:after="240"/>
        <w:jc w:val="center"/>
      </w:pPr>
      <w:r>
        <w:rPr>
          <w:b/>
          <w:color w:val="800000"/>
          <w:sz w:val="20"/>
        </w:rPr>
        <w:t>INTERNAL MEMORANDUM — CONFIDENTIAL</w:t>
      </w:r>
    </w:p>
    <w:p>
      <w:pPr>
        <w:spacing w:before="0" w:after="200"/>
        <w:pBdr>
          <w:bottom w:val="single" w:sz="6" w:space="1" w:color="333333"/>
        </w:pBdr>
      </w:pPr>
    </w:p>
    <w:tbl>
      <w:tblPr>
        <w:tblStyle w:val="TableGrid"/>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1814"/>
            <w:shd w:val="clear" w:color="auto" w:fill="E8E8E8"/>
          </w:tcPr>
          <w:p>
            <w:pPr>
              <w:spacing w:before="40" w:after="40"/>
            </w:pPr>
            <w:r>
              <w:rPr>
                <w:b/>
                <w:sz w:val="20"/>
              </w:rPr>
              <w:t>TO:</w:t>
            </w:r>
          </w:p>
        </w:tc>
        <w:tc>
          <w:tcPr>
            <w:tcW w:type="dxa" w:w="7370"/>
          </w:tcPr>
          <w:p>
            <w:pPr>
              <w:spacing w:before="40" w:after="40"/>
            </w:pPr>
            <w:r>
              <w:rPr>
                <w:sz w:val="20"/>
              </w:rPr>
              <w:t>[Manager Name], General Manager</w:t>
            </w:r>
          </w:p>
        </w:tc>
      </w:tr>
      <w:tr>
        <w:tc>
          <w:tcPr>
            <w:tcW w:type="dxa" w:w="1814"/>
            <w:shd w:val="clear" w:color="auto" w:fill="E8E8E8"/>
          </w:tcPr>
          <w:p>
            <w:pPr>
              <w:spacing w:before="40" w:after="40"/>
            </w:pPr>
            <w:r>
              <w:rPr>
                <w:b/>
                <w:sz w:val="20"/>
              </w:rPr>
              <w:t>FROM:</w:t>
            </w:r>
          </w:p>
        </w:tc>
        <w:tc>
          <w:tcPr>
            <w:tcW w:type="dxa" w:w="7370"/>
          </w:tcPr>
          <w:p>
            <w:pPr>
              <w:spacing w:before="40" w:after="40"/>
            </w:pPr>
            <w:r>
              <w:rPr>
                <w:sz w:val="20"/>
              </w:rPr>
              <w:t>[Your Name], Saudi Arabia Operations</w:t>
            </w:r>
          </w:p>
        </w:tc>
      </w:tr>
      <w:tr>
        <w:tc>
          <w:tcPr>
            <w:tcW w:type="dxa" w:w="1814"/>
            <w:shd w:val="clear" w:color="auto" w:fill="E8E8E8"/>
          </w:tcPr>
          <w:p>
            <w:pPr>
              <w:spacing w:before="40" w:after="40"/>
            </w:pPr>
            <w:r>
              <w:rPr>
                <w:b/>
                <w:sz w:val="20"/>
              </w:rPr>
              <w:t>DATE:</w:t>
            </w:r>
          </w:p>
        </w:tc>
        <w:tc>
          <w:tcPr>
            <w:tcW w:type="dxa" w:w="7370"/>
          </w:tcPr>
          <w:p>
            <w:pPr>
              <w:spacing w:before="40" w:after="40"/>
            </w:pPr>
            <w:r>
              <w:rPr>
                <w:sz w:val="20"/>
              </w:rPr>
              <w:t>10 May 2026</w:t>
            </w:r>
          </w:p>
        </w:tc>
      </w:tr>
      <w:tr>
        <w:tc>
          <w:tcPr>
            <w:tcW w:type="dxa" w:w="1814"/>
            <w:shd w:val="clear" w:color="auto" w:fill="E8E8E8"/>
          </w:tcPr>
          <w:p>
            <w:pPr>
              <w:spacing w:before="40" w:after="40"/>
            </w:pPr>
            <w:r>
              <w:rPr>
                <w:b/>
                <w:sz w:val="20"/>
              </w:rPr>
              <w:t>RE:</w:t>
            </w:r>
          </w:p>
        </w:tc>
        <w:tc>
          <w:tcPr>
            <w:tcW w:type="dxa" w:w="7370"/>
          </w:tcPr>
          <w:p>
            <w:pPr>
              <w:spacing w:before="40" w:after="40"/>
            </w:pPr>
            <w:r>
              <w:rPr>
                <w:b/>
                <w:sz w:val="20"/>
              </w:rPr>
              <w:t>Strategic Opportunity — Saudi Mining Construction Tender Under Vision 2030</w:t>
            </w:r>
          </w:p>
        </w:tc>
      </w:tr>
      <w:tr>
        <w:tc>
          <w:tcPr>
            <w:tcW w:type="dxa" w:w="1814"/>
            <w:shd w:val="clear" w:color="auto" w:fill="E8E8E8"/>
          </w:tcPr>
          <w:p>
            <w:pPr>
              <w:spacing w:before="40" w:after="40"/>
            </w:pPr>
            <w:r>
              <w:rPr>
                <w:b/>
                <w:sz w:val="20"/>
              </w:rPr>
              <w:t>CLASSIFICATION:</w:t>
            </w:r>
          </w:p>
        </w:tc>
        <w:tc>
          <w:tcPr>
            <w:tcW w:type="dxa" w:w="7370"/>
          </w:tcPr>
          <w:p>
            <w:pPr>
              <w:spacing w:before="40" w:after="40"/>
            </w:pPr>
            <w:r>
              <w:rPr>
                <w:sz w:val="20"/>
              </w:rPr>
              <w:t>Internal — Restricted</w:t>
            </w:r>
          </w:p>
        </w:tc>
      </w:tr>
    </w:tbl>
    <w:p/>
    <w:p>
      <w:pPr>
        <w:spacing w:before="240" w:after="80"/>
        <w:pBdr>
          <w:bottom w:val="single" w:sz="4" w:space="1" w:color="1F497D"/>
        </w:pBdr>
      </w:pPr>
      <w:r>
        <w:rPr>
          <w:b/>
          <w:color w:val="1F497D"/>
          <w:sz w:val="22"/>
        </w:rPr>
        <w:t>1 — THE OPPORTUNITY</w:t>
      </w:r>
    </w:p>
    <w:p>
      <w:pPr>
        <w:spacing w:before="80" w:after="120"/>
      </w:pPr>
      <w:r>
        <w:t>Saudi Arabia is opening one of the world's largest infrastructure pipelines under Vision 2030, and the mining sector is at the centre of it. The Kingdom is actively seeking international partners with construction capacity and project financing.</w:t>
      </w:r>
    </w:p>
    <w:p>
      <w:pPr>
        <w:pStyle w:val="ListBullet"/>
        <w:spacing w:before="40" w:after="40"/>
        <w:ind w:left="283"/>
      </w:pPr>
      <w:r>
        <w:rPr>
          <w:sz w:val="20"/>
        </w:rPr>
        <w:t>Saudi Arabia's mining sector is the "third pillar" of Vision 2030, targeting USD 426 billion in mining GDP by 2035.</w:t>
      </w:r>
    </w:p>
    <w:p>
      <w:pPr>
        <w:pStyle w:val="ListBullet"/>
        <w:spacing w:before="40" w:after="40"/>
        <w:ind w:left="283"/>
      </w:pPr>
      <w:r>
        <w:rPr>
          <w:sz w:val="20"/>
        </w:rPr>
        <w:t>The construction contract wave of 2026–2028 is the first-mover opportunity. The window closes in approximately 18–24 months.</w:t>
      </w:r>
    </w:p>
    <w:p>
      <w:pPr>
        <w:pStyle w:val="ListBullet"/>
        <w:spacing w:before="40" w:after="40"/>
        <w:ind w:left="283"/>
      </w:pPr>
      <w:r>
        <w:rPr>
          <w:sz w:val="20"/>
        </w:rPr>
        <w:t>Chinese companies have already secured USD 5 billion+ in Saudi EPC contracts — the market is open and Chinese firms are winning.</w:t>
      </w:r>
    </w:p>
    <w:p>
      <w:pPr>
        <w:spacing w:before="240" w:after="80"/>
        <w:pBdr>
          <w:bottom w:val="single" w:sz="4" w:space="1" w:color="1F497D"/>
        </w:pBdr>
      </w:pPr>
      <w:r>
        <w:rPr>
          <w:b/>
          <w:color w:val="1F497D"/>
          <w:sz w:val="22"/>
        </w:rPr>
        <w:t>2 — WHAT I OFFER: A CLEAN, LEGAL BRIDGE</w:t>
      </w:r>
    </w:p>
    <w:p>
      <w:pPr>
        <w:spacing w:before="80" w:after="160"/>
      </w:pPr>
      <w:r>
        <w:rPr>
          <w:sz w:val="20"/>
        </w:rPr>
        <w:t>I have a personal relationship with an official in the Saudi Ministry of Industry and Mineral Resources (MIMR). I want to be clear: I am not offering shortcuts or corruption. I am offering legitimate market navigation that every international company operating in Saudi Arabia uses through local networks.</w:t>
      </w:r>
    </w:p>
    <w:tbl>
      <w:tblPr>
        <w:tblStyle w:val="TableGrid"/>
        <w:tblW w:type="auto" w:w="0"/>
        <w:jc w:val="left"/>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703"/>
        <w:gridCol w:w="4703"/>
      </w:tblGrid>
      <w:tr>
        <w:tc>
          <w:tcPr>
            <w:tcW w:type="dxa" w:w="4819"/>
            <w:shd w:val="clear" w:color="auto" w:fill="D0D8E8"/>
          </w:tcPr>
          <w:p>
            <w:pPr>
              <w:spacing w:before="40" w:after="40"/>
            </w:pPr>
            <w:r>
              <w:rPr>
                <w:b/>
                <w:sz w:val="20"/>
              </w:rPr>
              <w:t>What the Contact Provides</w:t>
            </w:r>
          </w:p>
        </w:tc>
        <w:tc>
          <w:tcPr>
            <w:tcW w:type="dxa" w:w="4365"/>
            <w:shd w:val="clear" w:color="auto" w:fill="D0D8E8"/>
          </w:tcPr>
          <w:p>
            <w:pPr>
              <w:spacing w:before="40" w:after="40"/>
            </w:pPr>
            <w:r>
              <w:rPr>
                <w:b/>
                <w:sz w:val="20"/>
              </w:rPr>
              <w:t>Legal Status</w:t>
            </w:r>
          </w:p>
        </w:tc>
      </w:tr>
      <w:tr>
        <w:tc>
          <w:tcPr>
            <w:tcW w:type="dxa" w:w="4819"/>
          </w:tcPr>
          <w:p>
            <w:pPr>
              <w:spacing w:before="40" w:after="40"/>
            </w:pPr>
            <w:r>
              <w:rPr>
                <w:sz w:val="20"/>
              </w:rPr>
              <w:t>Direction to public tender schedules</w:t>
            </w:r>
          </w:p>
        </w:tc>
        <w:tc>
          <w:tcPr>
            <w:tcW w:type="dxa" w:w="4365"/>
          </w:tcPr>
          <w:p>
            <w:pPr>
              <w:spacing w:before="40" w:after="40"/>
            </w:pPr>
            <w:r>
              <w:rPr>
                <w:color w:val="007000"/>
                <w:sz w:val="20"/>
              </w:rPr>
              <w:t>✅ Public information</w:t>
            </w:r>
          </w:p>
        </w:tc>
      </w:tr>
      <w:tr>
        <w:tc>
          <w:tcPr>
            <w:tcW w:type="dxa" w:w="4819"/>
          </w:tcPr>
          <w:p>
            <w:pPr>
              <w:spacing w:before="40" w:after="40"/>
            </w:pPr>
            <w:r>
              <w:rPr>
                <w:sz w:val="20"/>
              </w:rPr>
              <w:t>Clarification of registration requirements</w:t>
            </w:r>
          </w:p>
        </w:tc>
        <w:tc>
          <w:tcPr>
            <w:tcW w:type="dxa" w:w="4365"/>
          </w:tcPr>
          <w:p>
            <w:pPr>
              <w:spacing w:before="40" w:after="40"/>
            </w:pPr>
            <w:r>
              <w:rPr>
                <w:color w:val="007000"/>
                <w:sz w:val="20"/>
              </w:rPr>
              <w:t>✅ Official channel guidance</w:t>
            </w:r>
          </w:p>
        </w:tc>
      </w:tr>
      <w:tr>
        <w:tc>
          <w:tcPr>
            <w:tcW w:type="dxa" w:w="4819"/>
          </w:tcPr>
          <w:p>
            <w:pPr>
              <w:spacing w:before="40" w:after="40"/>
            </w:pPr>
            <w:r>
              <w:rPr>
                <w:sz w:val="20"/>
              </w:rPr>
              <w:t>Proper introduction to MIMR officials</w:t>
            </w:r>
          </w:p>
        </w:tc>
        <w:tc>
          <w:tcPr>
            <w:tcW w:type="dxa" w:w="4365"/>
          </w:tcPr>
          <w:p>
            <w:pPr>
              <w:spacing w:before="40" w:after="40"/>
            </w:pPr>
            <w:r>
              <w:rPr>
                <w:color w:val="007000"/>
                <w:sz w:val="20"/>
              </w:rPr>
              <w:t>✅ Standard business practice</w:t>
            </w:r>
          </w:p>
        </w:tc>
      </w:tr>
      <w:tr>
        <w:tc>
          <w:tcPr>
            <w:tcW w:type="dxa" w:w="4819"/>
          </w:tcPr>
          <w:p>
            <w:pPr>
              <w:spacing w:before="40" w:after="40"/>
            </w:pPr>
            <w:r>
              <w:rPr>
                <w:sz w:val="20"/>
              </w:rPr>
              <w:t>Confirmation of pre-qualification criteria</w:t>
            </w:r>
          </w:p>
        </w:tc>
        <w:tc>
          <w:tcPr>
            <w:tcW w:type="dxa" w:w="4365"/>
          </w:tcPr>
          <w:p>
            <w:pPr>
              <w:spacing w:before="40" w:after="40"/>
            </w:pPr>
            <w:r>
              <w:rPr>
                <w:color w:val="007000"/>
                <w:sz w:val="20"/>
              </w:rPr>
              <w:t>✅ Publicly available criteria</w:t>
            </w:r>
          </w:p>
        </w:tc>
      </w:tr>
      <w:tr>
        <w:tc>
          <w:tcPr>
            <w:tcW w:type="dxa" w:w="4819"/>
          </w:tcPr>
          <w:p>
            <w:pPr>
              <w:spacing w:before="40" w:after="40"/>
            </w:pPr>
            <w:r>
              <w:rPr>
                <w:sz w:val="20"/>
              </w:rPr>
              <w:t>Introduction to Saudi JV candidates</w:t>
            </w:r>
          </w:p>
        </w:tc>
        <w:tc>
          <w:tcPr>
            <w:tcW w:type="dxa" w:w="4365"/>
          </w:tcPr>
          <w:p>
            <w:pPr>
              <w:spacing w:before="40" w:after="40"/>
            </w:pPr>
            <w:r>
              <w:rPr>
                <w:color w:val="007000"/>
                <w:sz w:val="20"/>
              </w:rPr>
              <w:t>✅ Normal business networking</w:t>
            </w:r>
          </w:p>
        </w:tc>
      </w:tr>
    </w:tbl>
    <w:p>
      <w:pPr>
        <w:spacing w:before="120" w:after="80"/>
      </w:pPr>
      <w:r>
        <w:rPr>
          <w:i/>
          <w:color w:val="800000"/>
          <w:sz w:val="18"/>
        </w:rPr>
        <w:t>What I will NOT do: provide non-public tender details, evaluation scores, other bidders' pricing, or any unfair procurement advantage.</w:t>
      </w:r>
    </w:p>
    <w:p>
      <w:pPr>
        <w:spacing w:before="240" w:after="80"/>
        <w:pBdr>
          <w:bottom w:val="single" w:sz="4" w:space="1" w:color="1F497D"/>
        </w:pBdr>
      </w:pPr>
      <w:r>
        <w:rPr>
          <w:b/>
          <w:color w:val="1F497D"/>
          <w:sz w:val="22"/>
        </w:rPr>
        <w:t>3 — COMPLIANCE WITH SAUDI AND CHINESE LAW</w:t>
      </w:r>
    </w:p>
    <w:tbl>
      <w:tblPr>
        <w:tblStyle w:val="TableGrid"/>
        <w:tblW w:type="auto" w:w="0"/>
        <w:jc w:val="left"/>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703"/>
        <w:gridCol w:w="4703"/>
      </w:tblGrid>
      <w:tr>
        <w:tc>
          <w:tcPr>
            <w:tcW w:type="dxa" w:w="4535"/>
            <w:shd w:val="clear" w:color="auto" w:fill="D0D8E8"/>
          </w:tcPr>
          <w:p>
            <w:pPr>
              <w:spacing w:before="40" w:after="40"/>
            </w:pPr>
            <w:r>
              <w:rPr>
                <w:b/>
                <w:color w:val="1F497D"/>
                <w:sz w:val="20"/>
              </w:rPr>
              <w:t>Law</w:t>
            </w:r>
          </w:p>
        </w:tc>
        <w:tc>
          <w:tcPr>
            <w:tcW w:type="dxa" w:w="4649"/>
            <w:shd w:val="clear" w:color="auto" w:fill="D0D8E8"/>
          </w:tcPr>
          <w:p>
            <w:pPr>
              <w:spacing w:before="40" w:after="40"/>
            </w:pPr>
            <w:r>
              <w:rPr>
                <w:b/>
                <w:sz w:val="20"/>
              </w:rPr>
              <w:t>How We Stay Compliant</w:t>
            </w:r>
          </w:p>
        </w:tc>
      </w:tr>
      <w:tr>
        <w:tc>
          <w:tcPr>
            <w:tcW w:type="dxa" w:w="4535"/>
          </w:tcPr>
          <w:p>
            <w:pPr>
              <w:spacing w:before="40" w:after="40"/>
            </w:pPr>
            <w:r>
              <w:rPr>
                <w:color w:val="1F497D"/>
                <w:sz w:val="20"/>
              </w:rPr>
              <w:t>Saudi Royal Decree on Combating Bribery (1975)</w:t>
            </w:r>
          </w:p>
        </w:tc>
        <w:tc>
          <w:tcPr>
            <w:tcW w:type="dxa" w:w="4649"/>
          </w:tcPr>
          <w:p>
            <w:pPr>
              <w:spacing w:before="40" w:after="40"/>
            </w:pPr>
            <w:r>
              <w:rPr>
                <w:sz w:val="20"/>
              </w:rPr>
              <w:t>No payments, gifts, or promises to any government official</w:t>
            </w:r>
          </w:p>
        </w:tc>
      </w:tr>
      <w:tr>
        <w:tc>
          <w:tcPr>
            <w:tcW w:type="dxa" w:w="4535"/>
          </w:tcPr>
          <w:p>
            <w:pPr>
              <w:spacing w:before="40" w:after="40"/>
            </w:pPr>
            <w:r>
              <w:rPr>
                <w:color w:val="1F497D"/>
                <w:sz w:val="20"/>
              </w:rPr>
              <w:t>Saudi Tenders and Procurement Law (M/128, 2019)</w:t>
            </w:r>
          </w:p>
        </w:tc>
        <w:tc>
          <w:tcPr>
            <w:tcW w:type="dxa" w:w="4649"/>
          </w:tcPr>
          <w:p>
            <w:pPr>
              <w:spacing w:before="40" w:after="40"/>
            </w:pPr>
            <w:r>
              <w:rPr>
                <w:sz w:val="20"/>
              </w:rPr>
              <w:t>All participation through official Etimad platform only</w:t>
            </w:r>
          </w:p>
        </w:tc>
      </w:tr>
      <w:tr>
        <w:tc>
          <w:tcPr>
            <w:tcW w:type="dxa" w:w="4535"/>
          </w:tcPr>
          <w:p>
            <w:pPr>
              <w:spacing w:before="40" w:after="40"/>
            </w:pPr>
            <w:r>
              <w:rPr>
                <w:color w:val="1F497D"/>
                <w:sz w:val="20"/>
              </w:rPr>
              <w:t>China Criminal Law Article 391</w:t>
            </w:r>
          </w:p>
        </w:tc>
        <w:tc>
          <w:tcPr>
            <w:tcW w:type="dxa" w:w="4649"/>
          </w:tcPr>
          <w:p>
            <w:pPr>
              <w:spacing w:before="40" w:after="40"/>
            </w:pPr>
            <w:r>
              <w:rPr>
                <w:sz w:val="20"/>
              </w:rPr>
              <w:t>Zero impropriety in any government interaction</w:t>
            </w:r>
          </w:p>
        </w:tc>
      </w:tr>
      <w:tr>
        <w:tc>
          <w:tcPr>
            <w:tcW w:type="dxa" w:w="4535"/>
          </w:tcPr>
          <w:p>
            <w:pPr>
              <w:spacing w:before="40" w:after="40"/>
            </w:pPr>
            <w:r>
              <w:rPr>
                <w:color w:val="1F497D"/>
                <w:sz w:val="20"/>
              </w:rPr>
              <w:t>China Anti-Foreign Bribery Law (2021)</w:t>
            </w:r>
          </w:p>
        </w:tc>
        <w:tc>
          <w:tcPr>
            <w:tcW w:type="dxa" w:w="4649"/>
          </w:tcPr>
          <w:p>
            <w:pPr>
              <w:spacing w:before="40" w:after="40"/>
            </w:pPr>
            <w:r>
              <w:rPr>
                <w:sz w:val="20"/>
              </w:rPr>
              <w:t>All interactions logged and reviewed by legal counsel</w:t>
            </w:r>
          </w:p>
        </w:tc>
      </w:tr>
    </w:tbl>
    <w:p>
      <w:pPr>
        <w:spacing w:before="240" w:after="80"/>
        <w:pBdr>
          <w:bottom w:val="single" w:sz="4" w:space="1" w:color="1F497D"/>
        </w:pBdr>
      </w:pPr>
      <w:r>
        <w:rPr>
          <w:b/>
          <w:color w:val="1F497D"/>
          <w:sz w:val="22"/>
        </w:rPr>
        <w:t>4 — STEP-BY-STEP STRATEGY</w:t>
      </w:r>
    </w:p>
    <w:p>
      <w:pPr>
        <w:pStyle w:val="ListNumber"/>
        <w:spacing w:before="60" w:after="60"/>
      </w:pPr>
      <w:r>
        <w:rPr>
          <w:b/>
          <w:sz w:val="20"/>
        </w:rPr>
        <w:t xml:space="preserve">Introduction (Week 1): </w:t>
      </w:r>
      <w:r>
        <w:rPr>
          <w:sz w:val="20"/>
        </w:rPr>
        <w:t>Manager introduces Chinese construction company contact. NDA signed.</w:t>
      </w:r>
    </w:p>
    <w:p>
      <w:pPr>
        <w:pStyle w:val="ListNumber"/>
        <w:spacing w:before="60" w:after="60"/>
      </w:pPr>
      <w:r>
        <w:rPr>
          <w:b/>
          <w:sz w:val="20"/>
        </w:rPr>
        <w:t xml:space="preserve">Official Market Entry (Week 2–4): </w:t>
      </w:r>
      <w:r>
        <w:rPr>
          <w:sz w:val="20"/>
        </w:rPr>
        <w:t>Register on Etimad. Apply for MOMRA classification. Retain Saudi legal counsel.</w:t>
      </w:r>
    </w:p>
    <w:p>
      <w:pPr>
        <w:pStyle w:val="ListNumber"/>
        <w:spacing w:before="60" w:after="60"/>
      </w:pPr>
      <w:r>
        <w:rPr>
          <w:b/>
          <w:sz w:val="20"/>
        </w:rPr>
        <w:t xml:space="preserve">Ministry Engagement (Week 3–5): </w:t>
      </w:r>
      <w:r>
        <w:rPr>
          <w:sz w:val="20"/>
        </w:rPr>
        <w:t>Official MIMR meeting through proper channels, with legal counsel present.</w:t>
      </w:r>
    </w:p>
    <w:p>
      <w:pPr>
        <w:pStyle w:val="ListNumber"/>
        <w:spacing w:before="60" w:after="60"/>
      </w:pPr>
      <w:r>
        <w:rPr>
          <w:b/>
          <w:sz w:val="20"/>
        </w:rPr>
        <w:t xml:space="preserve">JV Formation (Month 2–4): </w:t>
      </w:r>
      <w:r>
        <w:rPr>
          <w:sz w:val="20"/>
        </w:rPr>
        <w:t>Identify 2–3 Saudi partners (SBG, Al Mabani, Al Rashid). Conduct due diligence. Form JV.</w:t>
      </w:r>
    </w:p>
    <w:p>
      <w:pPr>
        <w:pStyle w:val="ListNumber"/>
        <w:spacing w:before="60" w:after="60"/>
      </w:pPr>
      <w:r>
        <w:rPr>
          <w:b/>
          <w:sz w:val="20"/>
        </w:rPr>
        <w:t xml:space="preserve">Bid Submission (Month 4–9): </w:t>
      </w:r>
      <w:r>
        <w:rPr>
          <w:sz w:val="20"/>
        </w:rPr>
        <w:t>Develop competitive bid with Chinese financing + local JV. Submit through Etimad.</w:t>
      </w:r>
    </w:p>
    <w:p>
      <w:pPr>
        <w:spacing w:before="240" w:after="80"/>
        <w:pBdr>
          <w:bottom w:val="single" w:sz="4" w:space="1" w:color="1F497D"/>
        </w:pBdr>
      </w:pPr>
      <w:r>
        <w:rPr>
          <w:b/>
          <w:color w:val="1F497D"/>
          <w:sz w:val="22"/>
        </w:rPr>
        <w:t>5 — ACTION TABLE</w:t>
      </w:r>
    </w:p>
    <w:tbl>
      <w:tblPr>
        <w:tblStyle w:val="TableGrid"/>
        <w:tblW w:type="auto" w:w="0"/>
        <w:jc w:val="left"/>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881"/>
        <w:gridCol w:w="1881"/>
        <w:gridCol w:w="1881"/>
        <w:gridCol w:w="1881"/>
        <w:gridCol w:w="1881"/>
      </w:tblGrid>
      <w:tr>
        <w:tc>
          <w:tcPr>
            <w:tcW w:type="dxa" w:w="3402"/>
            <w:shd w:val="clear" w:color="auto" w:fill="1F497D"/>
          </w:tcPr>
          <w:p>
            <w:pPr>
              <w:spacing w:before="40" w:after="40"/>
            </w:pPr>
            <w:r>
              <w:rPr>
                <w:b/>
                <w:color w:val="FFFFFF"/>
                <w:sz w:val="18"/>
              </w:rPr>
              <w:t>Action</w:t>
            </w:r>
          </w:p>
        </w:tc>
        <w:tc>
          <w:tcPr>
            <w:tcW w:type="dxa" w:w="1701"/>
            <w:shd w:val="clear" w:color="auto" w:fill="1F497D"/>
          </w:tcPr>
          <w:p>
            <w:pPr>
              <w:spacing w:before="40" w:after="40"/>
            </w:pPr>
            <w:r>
              <w:rPr>
                <w:b/>
                <w:color w:val="FFFFFF"/>
                <w:sz w:val="18"/>
              </w:rPr>
              <w:t>Responsible</w:t>
            </w:r>
          </w:p>
        </w:tc>
        <w:tc>
          <w:tcPr>
            <w:tcW w:type="dxa" w:w="1587"/>
            <w:shd w:val="clear" w:color="auto" w:fill="1F497D"/>
          </w:tcPr>
          <w:p>
            <w:pPr>
              <w:spacing w:before="40" w:after="40"/>
            </w:pPr>
            <w:r>
              <w:rPr>
                <w:b/>
                <w:color w:val="FFFFFF"/>
                <w:sz w:val="18"/>
              </w:rPr>
              <w:t>Timeline</w:t>
            </w:r>
          </w:p>
        </w:tc>
        <w:tc>
          <w:tcPr>
            <w:tcW w:type="dxa" w:w="1587"/>
            <w:shd w:val="clear" w:color="auto" w:fill="1F497D"/>
          </w:tcPr>
          <w:p>
            <w:pPr>
              <w:spacing w:before="40" w:after="40"/>
            </w:pPr>
            <w:r>
              <w:rPr>
                <w:b/>
                <w:color w:val="FFFFFF"/>
                <w:sz w:val="18"/>
              </w:rPr>
              <w:t>Cost</w:t>
            </w:r>
          </w:p>
        </w:tc>
        <w:tc>
          <w:tcPr>
            <w:tcW w:type="dxa" w:w="907"/>
            <w:shd w:val="clear" w:color="auto" w:fill="1F497D"/>
          </w:tcPr>
          <w:p>
            <w:pPr>
              <w:spacing w:before="40" w:after="40"/>
            </w:pPr>
            <w:r>
              <w:rPr>
                <w:b/>
                <w:color w:val="FFFFFF"/>
                <w:sz w:val="18"/>
              </w:rPr>
              <w:t>Risk</w:t>
            </w:r>
          </w:p>
        </w:tc>
      </w:tr>
      <w:tr>
        <w:tc>
          <w:tcPr>
            <w:tcW w:type="dxa" w:w="3402"/>
          </w:tcPr>
          <w:p>
            <w:pPr>
              <w:spacing w:before="40" w:after="40"/>
            </w:pPr>
            <w:r>
              <w:rPr>
                <w:sz w:val="18"/>
              </w:rPr>
              <w:t>Manager introduces Chinese construction company</w:t>
            </w:r>
          </w:p>
        </w:tc>
        <w:tc>
          <w:tcPr>
            <w:tcW w:type="dxa" w:w="1701"/>
          </w:tcPr>
          <w:p>
            <w:pPr>
              <w:spacing w:before="40" w:after="40"/>
            </w:pPr>
            <w:r>
              <w:rPr>
                <w:sz w:val="18"/>
              </w:rPr>
              <w:t>Manager</w:t>
            </w:r>
          </w:p>
        </w:tc>
        <w:tc>
          <w:tcPr>
            <w:tcW w:type="dxa" w:w="1587"/>
          </w:tcPr>
          <w:p>
            <w:pPr>
              <w:spacing w:before="40" w:after="40"/>
            </w:pPr>
            <w:r>
              <w:rPr>
                <w:sz w:val="18"/>
              </w:rPr>
              <w:t>Week 1</w:t>
            </w:r>
          </w:p>
        </w:tc>
        <w:tc>
          <w:tcPr>
            <w:tcW w:type="dxa" w:w="1587"/>
          </w:tcPr>
          <w:p>
            <w:pPr>
              <w:spacing w:before="40" w:after="40"/>
            </w:pPr>
            <w:r>
              <w:rPr>
                <w:sz w:val="18"/>
              </w:rPr>
              <w:t>None</w:t>
            </w:r>
          </w:p>
        </w:tc>
        <w:tc>
          <w:tcPr>
            <w:tcW w:type="dxa" w:w="907"/>
          </w:tcPr>
          <w:p>
            <w:pPr>
              <w:spacing w:before="40" w:after="40"/>
            </w:pPr>
            <w:r>
              <w:rPr>
                <w:sz w:val="18"/>
              </w:rPr>
              <w:t>Low</w:t>
            </w:r>
          </w:p>
        </w:tc>
      </w:tr>
      <w:tr>
        <w:tc>
          <w:tcPr>
            <w:tcW w:type="dxa" w:w="3402"/>
          </w:tcPr>
          <w:p>
            <w:pPr>
              <w:spacing w:before="40" w:after="40"/>
            </w:pPr>
            <w:r>
              <w:rPr>
                <w:sz w:val="18"/>
              </w:rPr>
              <w:t>Internal compliance briefing</w:t>
            </w:r>
          </w:p>
        </w:tc>
        <w:tc>
          <w:tcPr>
            <w:tcW w:type="dxa" w:w="1701"/>
          </w:tcPr>
          <w:p>
            <w:pPr>
              <w:spacing w:before="40" w:after="40"/>
            </w:pPr>
            <w:r>
              <w:rPr>
                <w:sz w:val="18"/>
              </w:rPr>
              <w:t>Manager + You</w:t>
            </w:r>
          </w:p>
        </w:tc>
        <w:tc>
          <w:tcPr>
            <w:tcW w:type="dxa" w:w="1587"/>
          </w:tcPr>
          <w:p>
            <w:pPr>
              <w:spacing w:before="40" w:after="40"/>
            </w:pPr>
            <w:r>
              <w:rPr>
                <w:sz w:val="18"/>
              </w:rPr>
              <w:t>Week 1</w:t>
            </w:r>
          </w:p>
        </w:tc>
        <w:tc>
          <w:tcPr>
            <w:tcW w:type="dxa" w:w="1587"/>
          </w:tcPr>
          <w:p>
            <w:pPr>
              <w:spacing w:before="40" w:after="40"/>
            </w:pPr>
            <w:r>
              <w:rPr>
                <w:sz w:val="18"/>
              </w:rPr>
              <w:t>None</w:t>
            </w:r>
          </w:p>
        </w:tc>
        <w:tc>
          <w:tcPr>
            <w:tcW w:type="dxa" w:w="907"/>
          </w:tcPr>
          <w:p>
            <w:pPr>
              <w:spacing w:before="40" w:after="40"/>
            </w:pPr>
            <w:r>
              <w:rPr>
                <w:sz w:val="18"/>
              </w:rPr>
              <w:t>Low</w:t>
            </w:r>
          </w:p>
        </w:tc>
      </w:tr>
      <w:tr>
        <w:tc>
          <w:tcPr>
            <w:tcW w:type="dxa" w:w="3402"/>
          </w:tcPr>
          <w:p>
            <w:pPr>
              <w:spacing w:before="40" w:after="40"/>
            </w:pPr>
            <w:r>
              <w:rPr>
                <w:sz w:val="18"/>
              </w:rPr>
              <w:t>Sign NDA with Chinese company</w:t>
            </w:r>
          </w:p>
        </w:tc>
        <w:tc>
          <w:tcPr>
            <w:tcW w:type="dxa" w:w="1701"/>
          </w:tcPr>
          <w:p>
            <w:pPr>
              <w:spacing w:before="40" w:after="40"/>
            </w:pPr>
            <w:r>
              <w:rPr>
                <w:sz w:val="18"/>
              </w:rPr>
              <w:t>Legal</w:t>
            </w:r>
          </w:p>
        </w:tc>
        <w:tc>
          <w:tcPr>
            <w:tcW w:type="dxa" w:w="1587"/>
          </w:tcPr>
          <w:p>
            <w:pPr>
              <w:spacing w:before="40" w:after="40"/>
            </w:pPr>
            <w:r>
              <w:rPr>
                <w:sz w:val="18"/>
              </w:rPr>
              <w:t>Week 1–2</w:t>
            </w:r>
          </w:p>
        </w:tc>
        <w:tc>
          <w:tcPr>
            <w:tcW w:type="dxa" w:w="1587"/>
          </w:tcPr>
          <w:p>
            <w:pPr>
              <w:spacing w:before="40" w:after="40"/>
            </w:pPr>
            <w:r>
              <w:rPr>
                <w:sz w:val="18"/>
              </w:rPr>
              <w:t>Low</w:t>
            </w:r>
          </w:p>
        </w:tc>
        <w:tc>
          <w:tcPr>
            <w:tcW w:type="dxa" w:w="907"/>
          </w:tcPr>
          <w:p>
            <w:pPr>
              <w:spacing w:before="40" w:after="40"/>
            </w:pPr>
            <w:r>
              <w:rPr>
                <w:sz w:val="18"/>
              </w:rPr>
              <w:t>Low</w:t>
            </w:r>
          </w:p>
        </w:tc>
      </w:tr>
      <w:tr>
        <w:tc>
          <w:tcPr>
            <w:tcW w:type="dxa" w:w="3402"/>
          </w:tcPr>
          <w:p>
            <w:pPr>
              <w:spacing w:before="40" w:after="40"/>
            </w:pPr>
            <w:r>
              <w:rPr>
                <w:sz w:val="18"/>
              </w:rPr>
              <w:t>Register on Etimad (etimad.sa)</w:t>
            </w:r>
          </w:p>
        </w:tc>
        <w:tc>
          <w:tcPr>
            <w:tcW w:type="dxa" w:w="1701"/>
          </w:tcPr>
          <w:p>
            <w:pPr>
              <w:spacing w:before="40" w:after="40"/>
            </w:pPr>
            <w:r>
              <w:rPr>
                <w:sz w:val="18"/>
              </w:rPr>
              <w:t>You / Chinese company</w:t>
            </w:r>
          </w:p>
        </w:tc>
        <w:tc>
          <w:tcPr>
            <w:tcW w:type="dxa" w:w="1587"/>
          </w:tcPr>
          <w:p>
            <w:pPr>
              <w:spacing w:before="40" w:after="40"/>
            </w:pPr>
            <w:r>
              <w:rPr>
                <w:sz w:val="18"/>
              </w:rPr>
              <w:t>Week 2–4</w:t>
            </w:r>
          </w:p>
        </w:tc>
        <w:tc>
          <w:tcPr>
            <w:tcW w:type="dxa" w:w="1587"/>
          </w:tcPr>
          <w:p>
            <w:pPr>
              <w:spacing w:before="40" w:after="40"/>
            </w:pPr>
            <w:r>
              <w:rPr>
                <w:sz w:val="18"/>
              </w:rPr>
              <w:t>~RMB 5,000</w:t>
            </w:r>
          </w:p>
        </w:tc>
        <w:tc>
          <w:tcPr>
            <w:tcW w:type="dxa" w:w="907"/>
          </w:tcPr>
          <w:p>
            <w:pPr>
              <w:spacing w:before="40" w:after="40"/>
            </w:pPr>
            <w:r>
              <w:rPr>
                <w:sz w:val="18"/>
              </w:rPr>
              <w:t>Very Low</w:t>
            </w:r>
          </w:p>
        </w:tc>
      </w:tr>
      <w:tr>
        <w:tc>
          <w:tcPr>
            <w:tcW w:type="dxa" w:w="3402"/>
          </w:tcPr>
          <w:p>
            <w:pPr>
              <w:spacing w:before="40" w:after="40"/>
            </w:pPr>
            <w:r>
              <w:rPr>
                <w:sz w:val="18"/>
              </w:rPr>
              <w:t>Apply for MOMRA classification</w:t>
            </w:r>
          </w:p>
        </w:tc>
        <w:tc>
          <w:tcPr>
            <w:tcW w:type="dxa" w:w="1701"/>
          </w:tcPr>
          <w:p>
            <w:pPr>
              <w:spacing w:before="40" w:after="40"/>
            </w:pPr>
            <w:r>
              <w:rPr>
                <w:sz w:val="18"/>
              </w:rPr>
              <w:t>You / Chinese company</w:t>
            </w:r>
          </w:p>
        </w:tc>
        <w:tc>
          <w:tcPr>
            <w:tcW w:type="dxa" w:w="1587"/>
          </w:tcPr>
          <w:p>
            <w:pPr>
              <w:spacing w:before="40" w:after="40"/>
            </w:pPr>
            <w:r>
              <w:rPr>
                <w:sz w:val="18"/>
              </w:rPr>
              <w:t>Week 2–4</w:t>
            </w:r>
          </w:p>
        </w:tc>
        <w:tc>
          <w:tcPr>
            <w:tcW w:type="dxa" w:w="1587"/>
          </w:tcPr>
          <w:p>
            <w:pPr>
              <w:spacing w:before="40" w:after="40"/>
            </w:pPr>
            <w:r>
              <w:rPr>
                <w:sz w:val="18"/>
              </w:rPr>
              <w:t>~RMB 3,000</w:t>
            </w:r>
          </w:p>
        </w:tc>
        <w:tc>
          <w:tcPr>
            <w:tcW w:type="dxa" w:w="907"/>
          </w:tcPr>
          <w:p>
            <w:pPr>
              <w:spacing w:before="40" w:after="40"/>
            </w:pPr>
            <w:r>
              <w:rPr>
                <w:sz w:val="18"/>
              </w:rPr>
              <w:t>Very Low</w:t>
            </w:r>
          </w:p>
        </w:tc>
      </w:tr>
      <w:tr>
        <w:tc>
          <w:tcPr>
            <w:tcW w:type="dxa" w:w="3402"/>
          </w:tcPr>
          <w:p>
            <w:pPr>
              <w:spacing w:before="40" w:after="40"/>
            </w:pPr>
            <w:r>
              <w:rPr>
                <w:sz w:val="18"/>
              </w:rPr>
              <w:t>Retain Saudi legal counsel</w:t>
            </w:r>
          </w:p>
        </w:tc>
        <w:tc>
          <w:tcPr>
            <w:tcW w:type="dxa" w:w="1701"/>
          </w:tcPr>
          <w:p>
            <w:pPr>
              <w:spacing w:before="40" w:after="40"/>
            </w:pPr>
            <w:r>
              <w:rPr>
                <w:sz w:val="18"/>
              </w:rPr>
              <w:t>You</w:t>
            </w:r>
          </w:p>
        </w:tc>
        <w:tc>
          <w:tcPr>
            <w:tcW w:type="dxa" w:w="1587"/>
          </w:tcPr>
          <w:p>
            <w:pPr>
              <w:spacing w:before="40" w:after="40"/>
            </w:pPr>
            <w:r>
              <w:rPr>
                <w:sz w:val="18"/>
              </w:rPr>
              <w:t>Week 2</w:t>
            </w:r>
          </w:p>
        </w:tc>
        <w:tc>
          <w:tcPr>
            <w:tcW w:type="dxa" w:w="1587"/>
          </w:tcPr>
          <w:p>
            <w:pPr>
              <w:spacing w:before="40" w:after="40"/>
            </w:pPr>
            <w:r>
              <w:rPr>
                <w:sz w:val="18"/>
              </w:rPr>
              <w:t>~RMB 30,000</w:t>
            </w:r>
          </w:p>
        </w:tc>
        <w:tc>
          <w:tcPr>
            <w:tcW w:type="dxa" w:w="907"/>
          </w:tcPr>
          <w:p>
            <w:pPr>
              <w:spacing w:before="40" w:after="40"/>
            </w:pPr>
            <w:r>
              <w:rPr>
                <w:sz w:val="18"/>
              </w:rPr>
              <w:t>Low</w:t>
            </w:r>
          </w:p>
        </w:tc>
      </w:tr>
      <w:tr>
        <w:tc>
          <w:tcPr>
            <w:tcW w:type="dxa" w:w="3402"/>
          </w:tcPr>
          <w:p>
            <w:pPr>
              <w:spacing w:before="40" w:after="40"/>
            </w:pPr>
            <w:r>
              <w:rPr>
                <w:sz w:val="18"/>
              </w:rPr>
              <w:t>Official MIMR meeting</w:t>
            </w:r>
          </w:p>
        </w:tc>
        <w:tc>
          <w:tcPr>
            <w:tcW w:type="dxa" w:w="1701"/>
          </w:tcPr>
          <w:p>
            <w:pPr>
              <w:spacing w:before="40" w:after="40"/>
            </w:pPr>
            <w:r>
              <w:rPr>
                <w:sz w:val="18"/>
              </w:rPr>
              <w:t>You</w:t>
            </w:r>
          </w:p>
        </w:tc>
        <w:tc>
          <w:tcPr>
            <w:tcW w:type="dxa" w:w="1587"/>
          </w:tcPr>
          <w:p>
            <w:pPr>
              <w:spacing w:before="40" w:after="40"/>
            </w:pPr>
            <w:r>
              <w:rPr>
                <w:sz w:val="18"/>
              </w:rPr>
              <w:t>Week 3</w:t>
            </w:r>
          </w:p>
        </w:tc>
        <w:tc>
          <w:tcPr>
            <w:tcW w:type="dxa" w:w="1587"/>
          </w:tcPr>
          <w:p>
            <w:pPr>
              <w:spacing w:before="40" w:after="40"/>
            </w:pPr>
            <w:r>
              <w:rPr>
                <w:sz w:val="18"/>
              </w:rPr>
              <w:t>None</w:t>
            </w:r>
          </w:p>
        </w:tc>
        <w:tc>
          <w:tcPr>
            <w:tcW w:type="dxa" w:w="907"/>
          </w:tcPr>
          <w:p>
            <w:pPr>
              <w:spacing w:before="40" w:after="40"/>
            </w:pPr>
            <w:r>
              <w:rPr>
                <w:sz w:val="18"/>
              </w:rPr>
              <w:t>Low</w:t>
            </w:r>
          </w:p>
        </w:tc>
      </w:tr>
      <w:tr>
        <w:tc>
          <w:tcPr>
            <w:tcW w:type="dxa" w:w="3402"/>
          </w:tcPr>
          <w:p>
            <w:pPr>
              <w:spacing w:before="40" w:after="40"/>
            </w:pPr>
            <w:r>
              <w:rPr>
                <w:sz w:val="18"/>
              </w:rPr>
              <w:t>Saudi JV candidate identification</w:t>
            </w:r>
          </w:p>
        </w:tc>
        <w:tc>
          <w:tcPr>
            <w:tcW w:type="dxa" w:w="1701"/>
          </w:tcPr>
          <w:p>
            <w:pPr>
              <w:spacing w:before="40" w:after="40"/>
            </w:pPr>
            <w:r>
              <w:rPr>
                <w:sz w:val="18"/>
              </w:rPr>
              <w:t>You</w:t>
            </w:r>
          </w:p>
        </w:tc>
        <w:tc>
          <w:tcPr>
            <w:tcW w:type="dxa" w:w="1587"/>
          </w:tcPr>
          <w:p>
            <w:pPr>
              <w:spacing w:before="40" w:after="40"/>
            </w:pPr>
            <w:r>
              <w:rPr>
                <w:sz w:val="18"/>
              </w:rPr>
              <w:t>Month 2</w:t>
            </w:r>
          </w:p>
        </w:tc>
        <w:tc>
          <w:tcPr>
            <w:tcW w:type="dxa" w:w="1587"/>
          </w:tcPr>
          <w:p>
            <w:pPr>
              <w:spacing w:before="40" w:after="40"/>
            </w:pPr>
            <w:r>
              <w:rPr>
                <w:sz w:val="18"/>
              </w:rPr>
              <w:t>None</w:t>
            </w:r>
          </w:p>
        </w:tc>
        <w:tc>
          <w:tcPr>
            <w:tcW w:type="dxa" w:w="907"/>
          </w:tcPr>
          <w:p>
            <w:pPr>
              <w:spacing w:before="40" w:after="40"/>
            </w:pPr>
            <w:r>
              <w:rPr>
                <w:sz w:val="18"/>
              </w:rPr>
              <w:t>Medium</w:t>
            </w:r>
          </w:p>
        </w:tc>
      </w:tr>
      <w:tr>
        <w:tc>
          <w:tcPr>
            <w:tcW w:type="dxa" w:w="3402"/>
          </w:tcPr>
          <w:p>
            <w:pPr>
              <w:spacing w:before="40" w:after="40"/>
            </w:pPr>
            <w:r>
              <w:rPr>
                <w:sz w:val="18"/>
              </w:rPr>
              <w:t>JV formation</w:t>
            </w:r>
          </w:p>
        </w:tc>
        <w:tc>
          <w:tcPr>
            <w:tcW w:type="dxa" w:w="1701"/>
          </w:tcPr>
          <w:p>
            <w:pPr>
              <w:spacing w:before="40" w:after="40"/>
            </w:pPr>
            <w:r>
              <w:rPr>
                <w:sz w:val="18"/>
              </w:rPr>
              <w:t>Legal + You</w:t>
            </w:r>
          </w:p>
        </w:tc>
        <w:tc>
          <w:tcPr>
            <w:tcW w:type="dxa" w:w="1587"/>
          </w:tcPr>
          <w:p>
            <w:pPr>
              <w:spacing w:before="40" w:after="40"/>
            </w:pPr>
            <w:r>
              <w:rPr>
                <w:sz w:val="18"/>
              </w:rPr>
              <w:t>Month 2–4</w:t>
            </w:r>
          </w:p>
        </w:tc>
        <w:tc>
          <w:tcPr>
            <w:tcW w:type="dxa" w:w="1587"/>
          </w:tcPr>
          <w:p>
            <w:pPr>
              <w:spacing w:before="40" w:after="40"/>
            </w:pPr>
            <w:r>
              <w:rPr>
                <w:sz w:val="18"/>
              </w:rPr>
              <w:t>~RMB 80,000</w:t>
            </w:r>
          </w:p>
        </w:tc>
        <w:tc>
          <w:tcPr>
            <w:tcW w:type="dxa" w:w="907"/>
          </w:tcPr>
          <w:p>
            <w:pPr>
              <w:spacing w:before="40" w:after="40"/>
            </w:pPr>
            <w:r>
              <w:rPr>
                <w:sz w:val="18"/>
              </w:rPr>
              <w:t>Medium</w:t>
            </w:r>
          </w:p>
        </w:tc>
      </w:tr>
      <w:tr>
        <w:tc>
          <w:tcPr>
            <w:tcW w:type="dxa" w:w="3402"/>
          </w:tcPr>
          <w:p>
            <w:pPr>
              <w:spacing w:before="40" w:after="40"/>
            </w:pPr>
            <w:r>
              <w:rPr>
                <w:sz w:val="18"/>
              </w:rPr>
              <w:t>Pre-qualification + tender submission</w:t>
            </w:r>
          </w:p>
        </w:tc>
        <w:tc>
          <w:tcPr>
            <w:tcW w:type="dxa" w:w="1701"/>
          </w:tcPr>
          <w:p>
            <w:pPr>
              <w:spacing w:before="40" w:after="40"/>
            </w:pPr>
            <w:r>
              <w:rPr>
                <w:sz w:val="18"/>
              </w:rPr>
              <w:t>JV Entity</w:t>
            </w:r>
          </w:p>
        </w:tc>
        <w:tc>
          <w:tcPr>
            <w:tcW w:type="dxa" w:w="1587"/>
          </w:tcPr>
          <w:p>
            <w:pPr>
              <w:spacing w:before="40" w:after="40"/>
            </w:pPr>
            <w:r>
              <w:rPr>
                <w:sz w:val="18"/>
              </w:rPr>
              <w:t>Month 3–9</w:t>
            </w:r>
          </w:p>
        </w:tc>
        <w:tc>
          <w:tcPr>
            <w:tcW w:type="dxa" w:w="1587"/>
          </w:tcPr>
          <w:p>
            <w:pPr>
              <w:spacing w:before="40" w:after="40"/>
            </w:pPr>
            <w:r>
              <w:rPr>
                <w:sz w:val="18"/>
              </w:rPr>
              <w:t>~RMB 170,000</w:t>
            </w:r>
          </w:p>
        </w:tc>
        <w:tc>
          <w:tcPr>
            <w:tcW w:type="dxa" w:w="907"/>
          </w:tcPr>
          <w:p>
            <w:pPr>
              <w:spacing w:before="40" w:after="40"/>
            </w:pPr>
            <w:r>
              <w:rPr>
                <w:sz w:val="18"/>
              </w:rPr>
              <w:t>High</w:t>
            </w:r>
          </w:p>
        </w:tc>
      </w:tr>
    </w:tbl>
    <w:p/>
    <w:tbl>
      <w:tblPr>
        <w:tblStyle w:val="TableGrid"/>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81"/>
        <w:gridCol w:w="1881"/>
        <w:gridCol w:w="1881"/>
        <w:gridCol w:w="1881"/>
        <w:gridCol w:w="1881"/>
      </w:tblGrid>
      <w:tr>
        <w:tc>
          <w:tcPr>
            <w:tcW w:type="dxa" w:w="1881"/>
            <w:shd w:val="clear" w:color="auto" w:fill="EAF2FF"/>
          </w:tcPr>
          <w:p>
            <w:pPr>
              <w:spacing w:before="60" w:after="60"/>
            </w:pPr>
            <w:r>
              <w:rPr>
                <w:b/>
                <w:sz w:val="18"/>
              </w:rPr>
              <w:t>Phase 1 Total (Steps 1–7)</w:t>
            </w:r>
          </w:p>
        </w:tc>
        <w:tc>
          <w:tcPr>
            <w:tcW w:type="dxa" w:w="1881"/>
            <w:shd w:val="clear" w:color="auto" w:fill="EAF2FF"/>
          </w:tcPr>
          <w:p>
            <w:pPr>
              <w:spacing w:before="60" w:after="60"/>
            </w:pPr>
            <w:r>
              <w:rPr>
                <w:b/>
                <w:sz w:val="18"/>
              </w:rPr>
            </w:r>
          </w:p>
        </w:tc>
        <w:tc>
          <w:tcPr>
            <w:tcW w:type="dxa" w:w="1881"/>
            <w:shd w:val="clear" w:color="auto" w:fill="EAF2FF"/>
          </w:tcPr>
          <w:p>
            <w:pPr>
              <w:spacing w:before="60" w:after="60"/>
            </w:pPr>
            <w:r>
              <w:rPr>
                <w:b/>
                <w:sz w:val="18"/>
              </w:rPr>
            </w:r>
          </w:p>
        </w:tc>
        <w:tc>
          <w:tcPr>
            <w:tcW w:type="dxa" w:w="1881"/>
          </w:tcPr>
          <w:p>
            <w:pPr>
              <w:spacing w:before="60" w:after="60"/>
            </w:pPr>
            <w:r>
              <w:rPr>
                <w:b/>
                <w:color w:val="1F497D"/>
                <w:sz w:val="18"/>
              </w:rPr>
              <w:t>~RMB 50,000</w:t>
            </w:r>
          </w:p>
        </w:tc>
        <w:tc>
          <w:tcPr>
            <w:tcW w:type="dxa" w:w="1881"/>
            <w:shd w:val="clear" w:color="auto" w:fill="EAF2FF"/>
          </w:tcPr>
          <w:p>
            <w:pPr>
              <w:spacing w:before="60" w:after="60"/>
            </w:pPr>
            <w:r>
              <w:rPr>
                <w:b/>
                <w:sz w:val="18"/>
              </w:rPr>
            </w:r>
          </w:p>
        </w:tc>
      </w:tr>
    </w:tbl>
    <w:tbl>
      <w:tblPr>
        <w:tblStyle w:val="TableGrid"/>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81"/>
        <w:gridCol w:w="1881"/>
        <w:gridCol w:w="1881"/>
        <w:gridCol w:w="1881"/>
        <w:gridCol w:w="1881"/>
      </w:tblGrid>
      <w:tr>
        <w:tc>
          <w:tcPr>
            <w:tcW w:type="dxa" w:w="1881"/>
            <w:shd w:val="clear" w:color="auto" w:fill="FFF3E0"/>
          </w:tcPr>
          <w:p>
            <w:pPr>
              <w:spacing w:before="60" w:after="60"/>
            </w:pPr>
            <w:r>
              <w:rPr>
                <w:b/>
                <w:sz w:val="18"/>
              </w:rPr>
              <w:t>Phase 2 Total (Steps 8–10)</w:t>
            </w:r>
          </w:p>
        </w:tc>
        <w:tc>
          <w:tcPr>
            <w:tcW w:type="dxa" w:w="1881"/>
            <w:shd w:val="clear" w:color="auto" w:fill="FFF3E0"/>
          </w:tcPr>
          <w:p>
            <w:pPr>
              <w:spacing w:before="60" w:after="60"/>
            </w:pPr>
            <w:r>
              <w:rPr>
                <w:b/>
                <w:sz w:val="18"/>
              </w:rPr>
            </w:r>
          </w:p>
        </w:tc>
        <w:tc>
          <w:tcPr>
            <w:tcW w:type="dxa" w:w="1881"/>
            <w:shd w:val="clear" w:color="auto" w:fill="FFF3E0"/>
          </w:tcPr>
          <w:p>
            <w:pPr>
              <w:spacing w:before="60" w:after="60"/>
            </w:pPr>
            <w:r>
              <w:rPr>
                <w:b/>
                <w:sz w:val="18"/>
              </w:rPr>
            </w:r>
          </w:p>
        </w:tc>
        <w:tc>
          <w:tcPr>
            <w:tcW w:type="dxa" w:w="1881"/>
          </w:tcPr>
          <w:p>
            <w:pPr>
              <w:spacing w:before="60" w:after="60"/>
            </w:pPr>
            <w:r>
              <w:rPr>
                <w:b/>
                <w:color w:val="1F497D"/>
                <w:sz w:val="18"/>
              </w:rPr>
              <w:t>~RMB 250,000</w:t>
            </w:r>
          </w:p>
        </w:tc>
        <w:tc>
          <w:tcPr>
            <w:tcW w:type="dxa" w:w="1881"/>
            <w:shd w:val="clear" w:color="auto" w:fill="FFF3E0"/>
          </w:tcPr>
          <w:p>
            <w:pPr>
              <w:spacing w:before="60" w:after="60"/>
            </w:pPr>
            <w:r>
              <w:rPr>
                <w:b/>
                <w:sz w:val="18"/>
              </w:rPr>
            </w:r>
          </w:p>
        </w:tc>
      </w:tr>
    </w:tbl>
    <w:p>
      <w:pPr>
        <w:spacing w:before="240" w:after="80"/>
        <w:pBdr>
          <w:bottom w:val="single" w:sz="4" w:space="1" w:color="1F497D"/>
        </w:pBdr>
      </w:pPr>
      <w:r>
        <w:rPr>
          <w:b/>
          <w:color w:val="1F497D"/>
          <w:sz w:val="22"/>
        </w:rPr>
        <w:t>6 — MY REQUEST</w:t>
      </w:r>
    </w:p>
    <w:p>
      <w:pPr>
        <w:spacing w:before="80" w:after="120"/>
      </w:pPr>
      <w:r>
        <w:rPr>
          <w:sz w:val="20"/>
        </w:rPr>
        <w:t>I am asking for two things from you:</w:t>
      </w:r>
    </w:p>
    <w:p>
      <w:pPr>
        <w:pStyle w:val="ListNumber"/>
        <w:spacing w:before="60" w:after="100"/>
      </w:pPr>
      <w:r>
        <w:rPr>
          <w:sz w:val="20"/>
        </w:rPr>
        <w:t>Introduce your Chinese construction company contact to this opportunity. I manage the Saudi side — the Ministry relationship, registration, and JV coordination. They bring the construction capability and Chinese financing. Together we form a complete offering.</w:t>
      </w:r>
    </w:p>
    <w:p>
      <w:pPr>
        <w:pStyle w:val="ListNumber"/>
        <w:spacing w:before="60" w:after="100"/>
      </w:pPr>
      <w:r>
        <w:rPr>
          <w:sz w:val="20"/>
        </w:rPr>
        <w:t>Approve Phase 1 budget of RMB 50,000. This covers registration, legal counsel, and the delegation visit. Phase 1 is not a commitment — it is an option to find out if the opportunity is real within 30 days.</w:t>
      </w:r>
    </w:p>
    <w:p/>
    <w:p>
      <w:pPr>
        <w:spacing w:before="160" w:after="160"/>
      </w:pPr>
      <w:r>
        <w:rPr>
          <w:b/>
          <w:i/>
          <w:color w:val="1F497D"/>
          <w:sz w:val="20"/>
        </w:rPr>
        <w:t>I am personally confident in this opportunity and in my ability to navigate it legally and without compromise. I would not stake my professional reputation in Saudi Arabia on anything less. Please respond within 48 hours with your Phase 1 decision.</w:t>
      </w:r>
    </w:p>
    <w:p/>
    <w:p>
      <w:pPr>
        <w:spacing w:before="40" w:after="40"/>
      </w:pPr>
      <w:r>
        <w:rPr>
          <w:sz w:val="20"/>
        </w:rPr>
        <w:t>Respectfully,</w:t>
      </w:r>
    </w:p>
    <w:p>
      <w:pPr>
        <w:spacing w:before="40" w:after="40"/>
      </w:pPr>
      <w:r>
        <w:rPr>
          <w:b/>
          <w:sz w:val="20"/>
        </w:rPr>
        <w:t>[Your Name]</w:t>
      </w:r>
    </w:p>
    <w:p>
      <w:pPr>
        <w:spacing w:before="40" w:after="40"/>
      </w:pPr>
      <w:r>
        <w:rPr>
          <w:b/>
          <w:sz w:val="20"/>
        </w:rPr>
        <w:t>Saudi Arabia Operations</w:t>
      </w:r>
    </w:p>
    <w:p>
      <w:pPr>
        <w:spacing w:before="40" w:after="40"/>
      </w:pPr>
      <w:r>
        <w:rPr>
          <w:b/>
          <w:sz w:val="20"/>
        </w:rPr>
        <w:t>[Company Name]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