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spacing w:after="0" w:before="240" w:line="259" w:lineRule="auto"/>
        <w:jc w:val="center"/>
        <w:rPr>
          <w:rFonts w:ascii="Georgia" w:cs="Georgia" w:eastAsia="Georgia" w:hAnsi="Georgia"/>
          <w:color w:val="2e75b5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e75b5"/>
          <w:sz w:val="32"/>
          <w:szCs w:val="32"/>
          <w:rtl w:val="0"/>
        </w:rPr>
        <w:t xml:space="preserve">Second Meeting Minutes - [Team Name Here] 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Date and Time: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 August 2024 4:30pm - 6:30pm</w:t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5210 Computer Systems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Adji Ilhamhafiz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Sarie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Hakim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Yuen Kei Foong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Arielle Ocampo Dela Cruz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Mohanad Al-Mansoob </w:t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Absentees: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Facilitator: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Minute Taker and Time Keeper: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1 : Discuss project’s vision and finalising roles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after="160" w:line="259" w:lineRule="auto"/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Project’s vision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collaboratively define the project’s vision that will guide us and align our strategies moving forward.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Finalised roles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Finalise the roles and responsibilities for each team member, ensuring tasks are assigned based on individual strengths.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Project Vision :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Our vision is to create a universally accessible educational platform that empowers students from all corners of the globe with free, high-quality educational resources.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Team Members and Roles :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Teh Ming Dong - Lead Developer, Backend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Adji Ilhamhafiz Sarie Hakim - Quality Assurance (QA)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Charmaine Chee Hing Yi - Documentation, Backend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Yuen Kei Foong - UI/UX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Arielle Ocampo Dela Cruz - Product Owner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Mohanad Al-Mansoob - Scrum Master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2 : Meeting with client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Discussed key project details, including their expectations and specific requirements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Took the opportunity to clarify any uncertainties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During the meeting, the client provided specific requirements for their project management software. The key points discussed are as follows: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Creation and Management: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Kanban Board: Utilize a Kanban board for task management.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Product Backlog: Create and manage tasks within a product backlog.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Stories: Maintain a list of user stories.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Naming: Clearly define the names of tasks.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Types: Two types of tasks to be managed: user stories and bugs.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Story Points: Assign story points to tasks to indicate complexity.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Tags: Use tags for categorizing and filtering tasks.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Priority: Set task priorities to manage workflow effectively.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Assignment: Assign one person to handle each task.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 Field: Include a space for task descriptions.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Status: Track task status with categories like 'Not Started,' etc.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History: Maintain a history of who has edited the task.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Sorting: Enable sorting of tasks based on priority.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Platform: The software will be online for now.</w:t>
            </w:r>
          </w:p>
          <w:p w:rsidR="00000000" w:rsidDel="00000000" w:rsidP="00000000" w:rsidRDefault="00000000" w:rsidRPr="00000000" w14:paraId="000000A1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Color Scheme and Design: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Dim Colors: The client prefers a dim color palette, specifically blue.</w:t>
            </w:r>
          </w:p>
          <w:p w:rsidR="00000000" w:rsidDel="00000000" w:rsidP="00000000" w:rsidRDefault="00000000" w:rsidRPr="00000000" w14:paraId="000000A5">
            <w:pPr>
              <w:ind w:left="72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Access from Different Devices: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software should be accessible from both office PCs and personal laptops.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Create prototype for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developers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13/8/2024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Start delegating tasks among team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team 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7/8/2024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0" w:before="40" w:line="360" w:lineRule="auto"/>
        <w:rPr/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TBA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