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B3A2F"/>
          <w:sz w:val="32"/>
          <w:szCs w:val="32"/>
        </w:rPr>
        <w:t xml:space="preserve">Metodología de investigación</w:t>
      </w:r>
    </w:p>
    <w:p>
      <w:pPr>
        <w:spacing w:after="360"/>
      </w:pPr>
      <w:r>
        <w:rPr>
          <w:i/>
          <w:iCs/>
          <w:color w:val="555555"/>
          <w:sz w:val="22"/>
          <w:szCs w:val="22"/>
        </w:rPr>
        <w:t xml:space="preserve">«Con el vaivén de las corrientes: cartografías sonoras del Atlántico Negro» — documento de sustentación para reconocimiento como producto de apropiación social del conocimiento</w:t>
      </w:r>
    </w:p>
    <w:p>
      <w:pPr>
        <w:spacing w:after="200" w:line="276"/>
        <w:rPr>
          <w:b/>
          <w:bCs/>
        </w:rPr>
      </w:pPr>
      <w:r>
        <w:rPr>
          <w:b/>
          <w:bCs/>
        </w:rPr>
        <w:t xml:space="preserve">Grupo de investigación Pensamiento Caribe — Universidad del Magdalena</w:t>
      </w:r>
    </w:p>
    <w:p>
      <w:pPr>
        <w:spacing w:after="400"/>
      </w:pPr>
      <w:r>
        <w:t xml:space="preserve">Director: Roberto Almanza</w:t>
      </w:r>
    </w:p>
    <w:p>
      <w:pPr>
        <w:pStyle w:val="Heading1"/>
        <w:spacing w:after="200" w:before="360"/>
      </w:pPr>
      <w:r>
        <w:rPr>
          <w:b/>
          <w:bCs/>
          <w:color w:val="1B3A2F"/>
        </w:rPr>
        <w:t xml:space="preserve">1. Naturaleza del producto</w:t>
      </w:r>
    </w:p>
    <w:p>
      <w:pPr>
        <w:spacing w:after="200" w:line="276"/>
      </w:pPr>
      <w:r>
        <w:t xml:space="preserve">«Con el vaivén de las corrientes» es un mapa interactivo publicado en pensamientocaribe.org que traza, mediante veintitrés nodos y veinte rutas transatlánticas distribuidas en cuatro épocas históricas, la circulación musical entre el Caribe y África occidental desde finales del siglo XVIII hasta el presente. No es una ilustración decorativa de un argumento escrito en otra parte: el mapa es el argumento, construido con la cartografía como forma de razonamiento histórico. Cada arco entre dos puertos condensa una investigación bibliográfica específica —quién viajó, qué llevó, qué escuchó al llegar— y cada nodo reúne los hechos, personajes y géneros musicales que hacen de esa ciudad un punto de inflexión en la historia sonora del Atlántico Negro.</w:t>
      </w:r>
    </w:p>
    <w:p>
      <w:pPr>
        <w:spacing w:after="200" w:line="276"/>
      </w:pPr>
      <w:r>
        <w:t xml:space="preserve">Dentro de la tipología de productos de Minciencias, el mapa corresponde a un contenido multiformato de divulgación pública de la ciencia, dentro de la categoría de apropiación social del conocimiento: un producto que traduce investigación validada en un formato accesible —portal web interactivo— sin renunciar al rigor de sus fuentes.</w:t>
      </w:r>
    </w:p>
    <w:p>
      <w:pPr>
        <w:pStyle w:val="Heading1"/>
        <w:spacing w:after="200" w:before="360"/>
      </w:pPr>
      <w:r>
        <w:rPr>
          <w:b/>
          <w:bCs/>
          <w:color w:val="1B3A2F"/>
        </w:rPr>
        <w:t xml:space="preserve">2. Hipótesis de trabajo: el vaivén como categoría analítica</w:t>
      </w:r>
    </w:p>
    <w:p>
      <w:pPr>
        <w:spacing w:after="200" w:line="276"/>
      </w:pPr>
      <w:r>
        <w:t xml:space="preserve">El proyecto parte de una hipótesis que no es propia sino heredada y puesta a prueba: la que Errol L. Montes Pizarro desarrolla en su programa radial Rumba Africana (Radio Universidad de Puerto Rico, desde 2001) y en su libro de 2018, según la cual la relación musical entre el Caribe y África no es de origen único ni de préstamo unidireccional, sino de vaivén —de ida y de vuelta, de escucha y de reescritura en ambas orillas. El son cubano que llega a Kinshasa en discos de 78 revoluciones no permanece cubano: se vuelve rumba congoleña, y esa rumba regresa después a las Antillas con la Ry-Co Jazz. El calipso trinitario que cantan los soldados del West Indian Regiment en Sierra Leona se cruza con el gumbé cimarrón y produce la maringa. El mapa no ilustra esa tesis: la pone a prueba ruta por ruta, exigiendo para cada una un soporte documental que confirme el movimiento en las dos direcciones, no solo en una.</w:t>
      </w:r>
    </w:p>
    <w:p>
      <w:pPr>
        <w:spacing w:after="200" w:line="276"/>
      </w:pPr>
      <w:r>
        <w:t xml:space="preserve">Esa hipótesis se inscribe además en un campo historiográfico más amplio —el panafricanismo organizado que documenta Hakim Adi, el Atlántico Negro de Paul Gilroy, el «estereomodernismo» de Tsitsi Jaji— con el que dialoga y frente al cual se distingue: donde esa bibliografía suele centrarse en la circulación de ideas políticas e intelectuales, este mapa sigue el rastro más difícil de fijar en el archivo, que es el sonido.</w:t>
      </w:r>
    </w:p>
    <w:p>
      <w:pPr>
        <w:pStyle w:val="Heading1"/>
        <w:spacing w:after="200" w:before="360"/>
      </w:pPr>
      <w:r>
        <w:rPr>
          <w:b/>
          <w:bCs/>
          <w:color w:val="1B3A2F"/>
        </w:rPr>
        <w:t xml:space="preserve">3. Reglas fijas de corroboración</w:t>
      </w:r>
    </w:p>
    <w:p>
      <w:pPr>
        <w:spacing w:after="200" w:line="276"/>
      </w:pPr>
      <w:r>
        <w:t xml:space="preserve">La construcción del mapa sigue cuatro reglas que no se han modificado desde el inicio del proyecto y que constituyen su control de calidad interno.</w:t>
      </w:r>
    </w:p>
    <w:p>
      <w:pPr>
        <w:spacing w:after="200" w:line="276"/>
      </w:pPr>
      <w:r>
        <w:t xml:space="preserve">Primera: toda ruta nueva incluye un campo de fuente visible en el panel informativo, de manera que quien consulte el mapa pueda verificar de dónde proviene cada afirmación histórica. Esa fuente se corrobora contra la bibliografía especializada del proyecto —veintiún referencias, listadas en la sección 6 de este documento— o contra fuentes primarias citadas explícitamente cuando la bibliografía secundaria no basta.</w:t>
      </w:r>
    </w:p>
    <w:p>
      <w:pPr>
        <w:spacing w:after="200" w:line="276"/>
      </w:pPr>
      <w:r>
        <w:t xml:space="preserve">Segunda: las rutas siguen orden cronológico dentro de cada época, porque el mapa ofrece una travesía guiada que reconstruye la secuencia real de los acontecimientos, no un orden temático ni alfabético.</w:t>
      </w:r>
    </w:p>
    <w:p>
      <w:pPr>
        <w:spacing w:after="200" w:line="276"/>
      </w:pPr>
      <w:r>
        <w:t xml:space="preserve">Tercera: cada canción asociada a un nodo o ruta se verifica mediante herramientas de comprobación de disponibilidad antes de incorporarla, y se presenta como miniatura enlazada —no como reproductor activo por defecto— para no comprometer el rendimiento del sitio ni dar por sentada una disponibilidad que puede cambiar.</w:t>
      </w:r>
    </w:p>
    <w:p>
      <w:pPr>
        <w:spacing w:after="200" w:line="276"/>
      </w:pPr>
      <w:r>
        <w:t xml:space="preserve">Cuarta: el vocabulario del mapa distingue con cuidado entre lo documentado y lo probable. Donde la bibliografía ofrece certeza —una fecha, un nombre, una cita textual— el texto del panel lo afirma sin cobertura retórica. Donde la conexión es plausible pero no está saldada en la historiografía, el texto lo señala como tal.</w:t>
      </w:r>
    </w:p>
    <w:p>
      <w:pPr>
        <w:pStyle w:val="Heading1"/>
        <w:spacing w:after="200" w:before="360"/>
      </w:pPr>
      <w:r>
        <w:rPr>
          <w:b/>
          <w:bCs/>
          <w:color w:val="1B3A2F"/>
        </w:rPr>
        <w:t xml:space="preserve">4. Arquitectura de la investigación: épocas, nodos y rutas</w:t>
      </w:r>
    </w:p>
    <w:p>
      <w:pPr>
        <w:spacing w:after="200" w:line="276"/>
      </w:pPr>
      <w:r>
        <w:t xml:space="preserve">El mapa organiza su material en cuatro épocas que no son divisiones arbitrarias del tiempo sino puntos de inflexión en la relación Caribe-África: Travesías fundacionales (1795–1900), que cubre el regreso del tambor gumbé con los cimarrones deportados; Puertos y despertar panafricano (1900–1945), que recoge el nacimiento del panafricanismo organizado y la llegada del son cubano en disco; Independencias y modernidades alternas (1945–1980), centrada en la música como política de Estado durante las independencias africanas; y Retornos y contemporaneidad (1960–hoy), que llega hasta la champeta colombiana y el diálogo actual entre afrobeats y dancehall.</w:t>
      </w:r>
    </w:p>
    <w:p>
      <w:pPr>
        <w:spacing w:after="200" w:line="276"/>
      </w:pPr>
      <w:r>
        <w:t xml:space="preserve">Veintitrés nodos —de Kingston a Johannesburgo, de Cartagena de Indias a Kinshasa— reúnen los hechos que hacen de cada ciudad un punto necesario del recorrido, y veinte rutas conectan esos nodos con arcos que documentan un movimiento verificado: quién viajó, qué llevó, cuándo, y qué produjo ese encuentro en la orilla receptora. Ningún nodo ni ninguna ruta se incluye por completar el mapa geográficamente: cada uno responde a una investigación específica y queda fuera si esa investigación no puede sostenerse con fuente.</w:t>
      </w:r>
    </w:p>
    <w:p>
      <w:pPr>
        <w:pStyle w:val="Heading1"/>
        <w:spacing w:after="200" w:before="360"/>
      </w:pPr>
      <w:r>
        <w:rPr>
          <w:b/>
          <w:bCs/>
          <w:color w:val="1B3A2F"/>
        </w:rPr>
        <w:t xml:space="preserve">5. Autoría, dirección del grupo y afiliación institucional</w:t>
      </w:r>
    </w:p>
    <w:p>
      <w:pPr>
        <w:spacing w:after="200" w:line="276"/>
      </w:pPr>
      <w:r>
        <w:t xml:space="preserve">El proyecto se desarrolla bajo la dirección de Roberto Almanza, director del grupo de investigación Pensamiento Caribe, adscrito a la Universidad del Magdalena. Se inscribe en la línea de investigación del grupo dedicada a la filosofía y la antropología del Caribe, y en particular a las cartografías de la negrura y del Atlántico Negro que el grupo ha desarrollado en otros productos del mismo portal, entre ellos «Cartografías negras» y «Negrura y blanquitud monumental».</w:t>
      </w:r>
    </w:p>
    <w:p>
      <w:pPr>
        <w:pStyle w:val="Heading1"/>
        <w:spacing w:after="200" w:before="360"/>
      </w:pPr>
      <w:r>
        <w:rPr>
          <w:b/>
          <w:bCs/>
          <w:color w:val="1B3A2F"/>
        </w:rPr>
        <w:t xml:space="preserve">6. Bibliografía de corroboración</w:t>
      </w:r>
    </w:p>
    <w:p>
      <w:pPr>
        <w:spacing w:after="200" w:line="276"/>
      </w:pPr>
      <w:r>
        <w:t xml:space="preserve">Fuentes secundarias contra las que se verifica cada ruta y cada nodo del mapa, además de la hipótesis de trabajo de Montes Pizarro que origina el proyecto:</w:t>
      </w:r>
    </w:p>
    <w:p>
      <w:pPr>
        <w:pStyle w:val="ListParagraph"/>
        <w:numPr>
          <w:ilvl w:val="0"/>
          <w:numId w:val="2"/>
        </w:numPr>
        <w:spacing w:after="120"/>
      </w:pPr>
      <w:r>
        <w:t xml:space="preserve">Adi, Hakim (2018). Pan-Africanism: A History.</w:t>
      </w:r>
    </w:p>
    <w:p>
      <w:pPr>
        <w:pStyle w:val="ListParagraph"/>
        <w:numPr>
          <w:ilvl w:val="0"/>
          <w:numId w:val="2"/>
        </w:numPr>
        <w:spacing w:after="120"/>
      </w:pPr>
      <w:r>
        <w:t xml:space="preserve">Bilby, Kenneth (2011). Vindicating Tradition: Cultural Continuity and Invention in Jamaican Maroon Music.</w:t>
      </w:r>
    </w:p>
    <w:p>
      <w:pPr>
        <w:pStyle w:val="ListParagraph"/>
        <w:numPr>
          <w:ilvl w:val="0"/>
          <w:numId w:val="2"/>
        </w:numPr>
        <w:spacing w:after="120"/>
      </w:pPr>
      <w:r>
        <w:t xml:space="preserve">Bonacci, Giulia (2015). Exodus! Heirs and Pioneers, Rastafari Return to Ethiopia.</w:t>
      </w:r>
    </w:p>
    <w:p>
      <w:pPr>
        <w:pStyle w:val="ListParagraph"/>
        <w:numPr>
          <w:ilvl w:val="0"/>
          <w:numId w:val="2"/>
        </w:numPr>
        <w:spacing w:after="120"/>
      </w:pPr>
      <w:r>
        <w:t xml:space="preserve">Collins, John (1994). Highlife Time.</w:t>
      </w:r>
    </w:p>
    <w:p>
      <w:pPr>
        <w:pStyle w:val="ListParagraph"/>
        <w:numPr>
          <w:ilvl w:val="0"/>
          <w:numId w:val="2"/>
        </w:numPr>
        <w:spacing w:after="120"/>
      </w:pPr>
      <w:r>
        <w:t xml:space="preserve">Cunin, Elizabeth (2003). Identidades a flor de piel: lo negro entre apariencias y pertenencias.</w:t>
      </w:r>
    </w:p>
    <w:p>
      <w:pPr>
        <w:pStyle w:val="ListParagraph"/>
        <w:numPr>
          <w:ilvl w:val="0"/>
          <w:numId w:val="2"/>
        </w:numPr>
        <w:spacing w:after="120"/>
      </w:pPr>
      <w:r>
        <w:t xml:space="preserve">Cunin, Elizabeth (2006). Escuchar y bailar la champeta en Cartagena de Indias.</w:t>
      </w:r>
    </w:p>
    <w:p>
      <w:pPr>
        <w:pStyle w:val="ListParagraph"/>
        <w:numPr>
          <w:ilvl w:val="0"/>
          <w:numId w:val="2"/>
        </w:numPr>
        <w:spacing w:after="120"/>
      </w:pPr>
      <w:r>
        <w:t xml:space="preserve">Denning, David (2015). Noise Uprising: The Audiopolitics of a World Musical Revolution.</w:t>
      </w:r>
    </w:p>
    <w:p>
      <w:pPr>
        <w:pStyle w:val="ListParagraph"/>
        <w:numPr>
          <w:ilvl w:val="0"/>
          <w:numId w:val="2"/>
        </w:numPr>
        <w:spacing w:after="120"/>
      </w:pPr>
      <w:r>
        <w:t xml:space="preserve">Erlmann, Veit (1991). African Stars: Studies in Black South African Performance.</w:t>
      </w:r>
    </w:p>
    <w:p>
      <w:pPr>
        <w:pStyle w:val="ListParagraph"/>
        <w:numPr>
          <w:ilvl w:val="0"/>
          <w:numId w:val="2"/>
        </w:numPr>
        <w:spacing w:after="120"/>
      </w:pPr>
      <w:r>
        <w:t xml:space="preserve">Ewens, Graham (1991). Africa O-Ye! A Celebration of African Music.</w:t>
      </w:r>
    </w:p>
    <w:p>
      <w:pPr>
        <w:pStyle w:val="ListParagraph"/>
        <w:numPr>
          <w:ilvl w:val="0"/>
          <w:numId w:val="2"/>
        </w:numPr>
        <w:spacing w:after="120"/>
      </w:pPr>
      <w:r>
        <w:t xml:space="preserve">Gilroy, Paul (1993). The Black Atlantic: Modernity and Double Consciousness.</w:t>
      </w:r>
    </w:p>
    <w:p>
      <w:pPr>
        <w:pStyle w:val="ListParagraph"/>
        <w:numPr>
          <w:ilvl w:val="0"/>
          <w:numId w:val="2"/>
        </w:numPr>
        <w:spacing w:after="120"/>
      </w:pPr>
      <w:r>
        <w:t xml:space="preserve">Giraldo Barbosa, Wilson (2016). Los picós de Barranquilla y el consumo de música africana.</w:t>
      </w:r>
    </w:p>
    <w:p>
      <w:pPr>
        <w:pStyle w:val="ListParagraph"/>
        <w:numPr>
          <w:ilvl w:val="0"/>
          <w:numId w:val="2"/>
        </w:numPr>
        <w:spacing w:after="120"/>
      </w:pPr>
      <w:r>
        <w:t xml:space="preserve">Guilbault, Jocelyne (1993). Zouk: World Music in the West Indies.</w:t>
      </w:r>
    </w:p>
    <w:p>
      <w:pPr>
        <w:pStyle w:val="ListParagraph"/>
        <w:numPr>
          <w:ilvl w:val="0"/>
          <w:numId w:val="2"/>
        </w:numPr>
        <w:spacing w:after="120"/>
      </w:pPr>
      <w:r>
        <w:t xml:space="preserve">Jaji, Tsitsi (2014). Africa in Stereo: Modernism, Music, and Pan-African Solidarity.</w:t>
      </w:r>
    </w:p>
    <w:p>
      <w:pPr>
        <w:pStyle w:val="ListParagraph"/>
        <w:numPr>
          <w:ilvl w:val="0"/>
          <w:numId w:val="2"/>
        </w:numPr>
        <w:spacing w:after="120"/>
      </w:pPr>
      <w:r>
        <w:t xml:space="preserve">Manuel, Peter (1995). Caribbean Currents: Caribbean Music from Rumba to Reggae.</w:t>
      </w:r>
    </w:p>
    <w:p>
      <w:pPr>
        <w:pStyle w:val="ListParagraph"/>
        <w:numPr>
          <w:ilvl w:val="0"/>
          <w:numId w:val="2"/>
        </w:numPr>
        <w:spacing w:after="120"/>
      </w:pPr>
      <w:r>
        <w:t xml:space="preserve">Matory, J. Lorand (2005). Black Atlantic Religion: Tradition, Transnationalism, and Matriarchy in the Afro-Brazilian Candomblé.</w:t>
      </w:r>
    </w:p>
    <w:p>
      <w:pPr>
        <w:pStyle w:val="ListParagraph"/>
        <w:numPr>
          <w:ilvl w:val="0"/>
          <w:numId w:val="2"/>
        </w:numPr>
        <w:spacing w:after="120"/>
      </w:pPr>
      <w:r>
        <w:t xml:space="preserve">Montes Pizarro, Errol L. (2018). Rumba Africana: música afrocaribeña y africana en diálogo transatlántico.</w:t>
      </w:r>
    </w:p>
    <w:p>
      <w:pPr>
        <w:pStyle w:val="ListParagraph"/>
        <w:numPr>
          <w:ilvl w:val="0"/>
          <w:numId w:val="2"/>
        </w:numPr>
        <w:spacing w:after="120"/>
      </w:pPr>
      <w:r>
        <w:t xml:space="preserve">Quintero Rivera, Ángel (1998). Salsa, sabor y control: sociología de la música tropical.</w:t>
      </w:r>
    </w:p>
    <w:p>
      <w:pPr>
        <w:pStyle w:val="ListParagraph"/>
        <w:numPr>
          <w:ilvl w:val="0"/>
          <w:numId w:val="2"/>
        </w:numPr>
        <w:spacing w:after="120"/>
      </w:pPr>
      <w:r>
        <w:t xml:space="preserve">Rohlehr, Gordon (1990). Calypso and Society in Pre-Independence Trinidad.</w:t>
      </w:r>
    </w:p>
    <w:p>
      <w:pPr>
        <w:pStyle w:val="ListParagraph"/>
        <w:numPr>
          <w:ilvl w:val="0"/>
          <w:numId w:val="2"/>
        </w:numPr>
        <w:spacing w:after="120"/>
      </w:pPr>
      <w:r>
        <w:t xml:space="preserve">Shain, Richard (2018). Roots in Reverse: Senegalese Afro-Cuban Music and Tropical Cosmopolitanism.</w:t>
      </w:r>
    </w:p>
    <w:p>
      <w:pPr>
        <w:pStyle w:val="ListParagraph"/>
        <w:numPr>
          <w:ilvl w:val="0"/>
          <w:numId w:val="2"/>
        </w:numPr>
        <w:spacing w:after="120"/>
      </w:pPr>
      <w:r>
        <w:t xml:space="preserve">Stewart, Jean (2000). Migration and the Making of Caribbean Popular Music.</w:t>
      </w:r>
    </w:p>
    <w:p>
      <w:pPr>
        <w:pStyle w:val="ListParagraph"/>
        <w:numPr>
          <w:ilvl w:val="0"/>
          <w:numId w:val="2"/>
        </w:numPr>
        <w:spacing w:after="120"/>
      </w:pPr>
      <w:r>
        <w:t xml:space="preserve">Von Eschen, Penny (2004). Satchmo Blows Up the World: Jazz Ambassadors Play the Cold War.</w:t>
      </w:r>
    </w:p>
    <w:p>
      <w:pPr>
        <w:pStyle w:val="Heading1"/>
        <w:spacing w:after="200" w:before="360"/>
      </w:pPr>
      <w:r>
        <w:rPr>
          <w:b/>
          <w:bCs/>
          <w:color w:val="1B3A2F"/>
        </w:rPr>
        <w:t xml:space="preserve">7. Estado de publicación y proyección</w:t>
      </w:r>
    </w:p>
    <w:p>
      <w:pPr>
        <w:spacing w:after="200" w:line="276"/>
      </w:pPr>
      <w:r>
        <w:t xml:space="preserve">El mapa se publicó el 17 de julio de 2026 en pensamientocaribe.org/proyectos/mas-ramas-que-raices.html, dentro del repositorio institucional del grupo en GitHub (almanzarob-jpg/pensamientocaribe). Es un producto en expansión activa: cada ruta o nodo nuevo que se incorpore seguirá las mismas cuatro reglas de corroboración descritas en este documento, y las versiones sucesivas quedarán registradas mediante control de versiones en el repositorio, lo que permite trazar en cualquier momento el estado del producto en la fecha de su evaluación.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2026-07-18T18:22:23.965Z</dcterms:created>
  <dcterms:modified xsi:type="dcterms:W3CDTF">2026-07-18T18:22:23.965Z</dcterms:modified>
</cp:coreProperties>
</file>

<file path=docProps/custom.xml><?xml version="1.0" encoding="utf-8"?>
<Properties xmlns="http://schemas.openxmlformats.org/officeDocument/2006/custom-properties" xmlns:vt="http://schemas.openxmlformats.org/officeDocument/2006/docPropsVTypes"/>
</file>