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2026-11</w:t>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26" w:name="aviso-importante"/>
    <w:p>
      <w:pPr>
        <w:pStyle w:val="Heading1"/>
      </w:pPr>
      <w:r>
        <w:t xml:space="preserve">Aviso importante</w:t>
      </w:r>
    </w:p>
    <w:bookmarkStart w:id="20" w:name="no-sustituye-al-consejo-médico"/>
    <w:p>
      <w:pPr>
        <w:pStyle w:val="Heading3"/>
      </w:pPr>
      <w:r>
        <w:t xml:space="preserve">No sustituye al consejo médico</w:t>
      </w:r>
    </w:p>
    <w:p>
      <w:pPr>
        <w:pStyle w:val="FirstParagraph"/>
      </w:pPr>
      <w:r>
        <w:t xml:space="preserve">Este libro tiene una finalidad exclusivamente informativa y educativa de carácter general. No sustituye al asesoramiento, el diagnóstico ni el tratamiento médicos. Antes de tomar decisiones sobre su salud o de empezar, suspender o modificar un medicamento, hable con un médico o una médica, o con un farmacéutico o una farmacéutica. Ante síntomas agudos, acuda a un servicio de urgencias o llame al número de emergencias.</w:t>
      </w:r>
    </w:p>
    <w:bookmarkEnd w:id="20"/>
    <w:bookmarkStart w:id="21" w:name="ninguna-recomendación-de-uso"/>
    <w:p>
      <w:pPr>
        <w:pStyle w:val="Heading3"/>
      </w:pPr>
      <w:r>
        <w:t xml:space="preserve">Ninguna recomendación de uso</w:t>
      </w:r>
    </w:p>
    <w:p>
      <w:pPr>
        <w:pStyle w:val="FirstParagraph"/>
      </w:pPr>
      <w:r>
        <w:t xml:space="preserve">Este libro no contiene, de forma deliberada, recomendaciones sobre el uso de péptidos, ni dosis, ni instrucciones de toma o de inyección, ni ciclos de uso, ni recomendaciones de combinación. Cuando en el texto se menciona una dosis, describe únicamente lo que se investigó en un estudio concreto. No es una recomendación y no puede trasladarse a su situación personal. En el caso de los medicamentos autorizados, lo determinante son la ficha técnica, el prospecto y el seguimiento médico.</w:t>
      </w:r>
    </w:p>
    <w:bookmarkEnd w:id="21"/>
    <w:bookmarkStart w:id="22" w:name="muchas-sustancias-no-están-autorizadas"/>
    <w:p>
      <w:pPr>
        <w:pStyle w:val="Heading3"/>
      </w:pPr>
      <w:r>
        <w:t xml:space="preserve">Muchas sustancias no están autorizadas</w:t>
      </w:r>
    </w:p>
    <w:p>
      <w:pPr>
        <w:pStyle w:val="FirstParagraph"/>
      </w:pPr>
      <w:r>
        <w:t xml:space="preserve">Numerosos péptidos descritos en este libro</w:t>
      </w:r>
      <w:r>
        <w:t xml:space="preserve"> </w:t>
      </w:r>
      <w:r>
        <w:rPr>
          <w:bCs/>
          <w:b/>
        </w:rPr>
        <w:t xml:space="preserve">no</w:t>
      </w:r>
      <w:r>
        <w:t xml:space="preserve"> </w:t>
      </w:r>
      <w:r>
        <w:t xml:space="preserve">están autorizados como medicamentos en la Unión Europea, en Austria, en Alemania ni en Estados Unidos. Para muchos de ellos solo existen estudios en animales o de laboratorio. La presentación de estas sustancias en este libro no constituye ninguna afirmación sobre su eficacia o seguridad en el ser humano ni una invitación a utilizarlas. Los productos que se ofrecen en internet como «Research Peptides» o «solo para fines de investigación» pueden estar mal dosificados, contaminados o falsificados. Su uso puede tener consecuencias graves para la salud y consecuencias jurídicas.</w:t>
      </w:r>
    </w:p>
    <w:bookmarkEnd w:id="22"/>
    <w:bookmarkStart w:id="23" w:name="dopaje"/>
    <w:p>
      <w:pPr>
        <w:pStyle w:val="Heading3"/>
      </w:pPr>
      <w:r>
        <w:t xml:space="preserve">Dopaje</w:t>
      </w:r>
    </w:p>
    <w:p>
      <w:pPr>
        <w:pStyle w:val="FirstParagraph"/>
      </w:pPr>
      <w:r>
        <w:t xml:space="preserve">Muchos de los péptidos descritos figuran en la Lista de Prohibiciones de la Agencia Mundial Antidopaje (WADA). Su uso puede conllevar sanciones para los deportistas sometidos a controles antidopaje. En Austria y Alemania, el comercio, la cesión y, en determinados casos, también la posesión de sustancias dopantes pueden ser constitutivos de delito.</w:t>
      </w:r>
    </w:p>
    <w:bookmarkEnd w:id="23"/>
    <w:bookmarkStart w:id="24" w:name="actualidad-y-garantía"/>
    <w:p>
      <w:pPr>
        <w:pStyle w:val="Heading3"/>
      </w:pPr>
      <w:r>
        <w:t xml:space="preserve">Actualidad y garantía</w:t>
      </w:r>
    </w:p>
    <w:p>
      <w:pPr>
        <w:pStyle w:val="FirstParagraph"/>
      </w:pPr>
      <w:r>
        <w:t xml:space="preserve">La información de este libro corresponde al</w:t>
      </w:r>
      <w:r>
        <w:t xml:space="preserve"> </w:t>
      </w:r>
      <w:r>
        <w:rPr>
          <w:bCs/>
          <w:b/>
        </w:rPr>
        <w:t xml:space="preserve">estado de noviembre de 2026</w:t>
      </w:r>
      <w:r>
        <w:t xml:space="preserve">. La búsqueda en las bases de datos se realizó en octubre de 2026. Los conocimientos médicos, las autorizaciones, las leyes y las normas antidopaje cambian constantemente. Todos los datos se han recopilado según el leal saber y entender del autor y con gran cuidado, pero sin garantía de exactitud, integridad ni actualidad. Queda excluida, en la medida en que la ley lo permita, la responsabilidad del autor por daños derivados del uso de la información contenida en este libro. La exposición de la situación jurídica no constituye asesoramiento jurídico.</w:t>
      </w:r>
    </w:p>
    <w:bookmarkEnd w:id="24"/>
    <w:bookmarkStart w:id="25" w:name="X689541d2a022fc3318fc9c11a01400bb95a8e88"/>
    <w:p>
      <w:pPr>
        <w:pStyle w:val="Heading3"/>
      </w:pPr>
      <w:r>
        <w:t xml:space="preserve">Transparencia: cómo se ha elaborado este libro</w:t>
      </w:r>
    </w:p>
    <w:p>
      <w:pPr>
        <w:pStyle w:val="FirstParagraph"/>
      </w:pPr>
      <w:r>
        <w:t xml:space="preserve">Este libro se investigó y redactó con ayuda de inteligencia artificial (IA) y, a continuación, fue revisado por el autor. La IA se utilizó para buscar estudios en las bases de datos PubMed y ClinicalTrials.gov, analizar resúmenes de estudios y elaborar borradores de texto.</w:t>
      </w:r>
    </w:p>
    <w:p>
      <w:pPr>
        <w:pStyle w:val="BodyText"/>
      </w:pPr>
      <w:r>
        <w:t xml:space="preserve">Para evitar errores, se aplican reglas estrictas: cada estudio mencionado se cita con su número de PubMed (PMID) o con su número de registro en ClinicalTrials.gov (número NCT). Cada cifra procede del resumen de la publicación correspondiente o del registro del estudio. Además, todos los números citados se cotejaron automáticamente con las bases de datos. Así, usted puede consultar cada fuente por sí mismo y comprobar los datos. Cómo hacerlo se explica en el apartado siguiente; encontrará más detalles sobre la búsqueda bibliográfica en el anexo «Metodología».</w:t>
      </w:r>
    </w:p>
    <w:bookmarkEnd w:id="25"/>
    <w:bookmarkEnd w:id="26"/>
    <w:bookmarkStart w:id="35" w:name="sobre-este-libro"/>
    <w:p>
      <w:pPr>
        <w:pStyle w:val="Heading1"/>
      </w:pPr>
      <w:r>
        <w:t xml:space="preserve">Sobre este libro</w:t>
      </w:r>
    </w:p>
    <w:bookmarkStart w:id="27" w:name="para-qué-sirve-este-libro"/>
    <w:p>
      <w:pPr>
        <w:pStyle w:val="Heading3"/>
      </w:pPr>
      <w:r>
        <w:t xml:space="preserve">Para qué sirve este libro</w:t>
      </w:r>
    </w:p>
    <w:p>
      <w:pPr>
        <w:pStyle w:val="FirstParagraph"/>
      </w:pPr>
      <w:r>
        <w:t xml:space="preserve">Los péptidos están en boca de todos. Las inyecciones para adelgazar como la semaglutida y la tirzepatida han cambiado el tratamiento del exceso de peso, y en internet se ofrecen decenas de péptidos más: para una curación más rápida, más músculo, una piel mejor, más energía o una vida más larga. Entre las promesas de foros, redes sociales y tiendas en línea y lo que realmente se ha investigado en el ser humano suele abrirse una gran brecha.</w:t>
      </w:r>
    </w:p>
    <w:p>
      <w:pPr>
        <w:pStyle w:val="BodyText"/>
      </w:pPr>
      <w:r>
        <w:t xml:space="preserve">Este libro pretende hacer visible esa brecha. Para cada péptido tratado expone con sobriedad qué estudios en seres humanos existen, qué muestran y qué no, qué riesgos se conocen y cuál es la situación jurídica. Compara los péptidos entre sí y valora la solidez de las pruebas en cada caso. Su objetivo es ayudarle a examinar críticamente las afirmaciones y a mantener conversaciones informadas con médicos y farmacias.</w:t>
      </w:r>
    </w:p>
    <w:bookmarkEnd w:id="27"/>
    <w:bookmarkStart w:id="28" w:name="para-quién-está-escrito-este-libro"/>
    <w:p>
      <w:pPr>
        <w:pStyle w:val="Heading3"/>
      </w:pPr>
      <w:r>
        <w:t xml:space="preserve">Para quién está escrito este libro</w:t>
      </w:r>
    </w:p>
    <w:p>
      <w:pPr>
        <w:numPr>
          <w:ilvl w:val="0"/>
          <w:numId w:val="1001"/>
        </w:numPr>
        <w:pStyle w:val="Compact"/>
      </w:pPr>
      <w:r>
        <w:t xml:space="preserve">Para</w:t>
      </w:r>
      <w:r>
        <w:t xml:space="preserve"> </w:t>
      </w:r>
      <w:r>
        <w:rPr>
          <w:bCs/>
          <w:b/>
        </w:rPr>
        <w:t xml:space="preserve">lectores no especialistas interesados</w:t>
      </w:r>
      <w:r>
        <w:t xml:space="preserve"> </w:t>
      </w:r>
      <w:r>
        <w:t xml:space="preserve">que quieren saber qué hay detrás del auge de los péptidos.</w:t>
      </w:r>
    </w:p>
    <w:p>
      <w:pPr>
        <w:numPr>
          <w:ilvl w:val="0"/>
          <w:numId w:val="1001"/>
        </w:numPr>
        <w:pStyle w:val="Compact"/>
      </w:pPr>
      <w:r>
        <w:t xml:space="preserve">Para personas a las que se ha recetado un</w:t>
      </w:r>
      <w:r>
        <w:t xml:space="preserve"> </w:t>
      </w:r>
      <w:r>
        <w:rPr>
          <w:bCs/>
          <w:b/>
        </w:rPr>
        <w:t xml:space="preserve">medicamento peptídico autorizado</w:t>
      </w:r>
      <w:r>
        <w:t xml:space="preserve"> </w:t>
      </w:r>
      <w:r>
        <w:t xml:space="preserve">o que se lo están planteando y quieren entender los datos de los estudios.</w:t>
      </w:r>
    </w:p>
    <w:p>
      <w:pPr>
        <w:numPr>
          <w:ilvl w:val="0"/>
          <w:numId w:val="1001"/>
        </w:numPr>
        <w:pStyle w:val="Compact"/>
      </w:pPr>
      <w:r>
        <w:t xml:space="preserve">Para</w:t>
      </w:r>
      <w:r>
        <w:t xml:space="preserve"> </w:t>
      </w:r>
      <w:r>
        <w:rPr>
          <w:bCs/>
          <w:b/>
        </w:rPr>
        <w:t xml:space="preserve">deportistas</w:t>
      </w:r>
      <w:r>
        <w:t xml:space="preserve"> </w:t>
      </w:r>
      <w:r>
        <w:t xml:space="preserve">y entrenadores que quieren evaluar las promesas publicitarias y los riesgos de dopaje.</w:t>
      </w:r>
    </w:p>
    <w:p>
      <w:pPr>
        <w:numPr>
          <w:ilvl w:val="0"/>
          <w:numId w:val="1001"/>
        </w:numPr>
        <w:pStyle w:val="Compact"/>
      </w:pPr>
      <w:r>
        <w:t xml:space="preserve">Para</w:t>
      </w:r>
      <w:r>
        <w:t xml:space="preserve"> </w:t>
      </w:r>
      <w:r>
        <w:rPr>
          <w:bCs/>
          <w:b/>
        </w:rPr>
        <w:t xml:space="preserve">profesionales</w:t>
      </w:r>
      <w:r>
        <w:t xml:space="preserve"> </w:t>
      </w:r>
      <w:r>
        <w:t xml:space="preserve">de la farmacia, la medicina, la nutrición, la cosmética y el periodismo que buscan una visión de conjunto rápida y basada en fuentes.</w:t>
      </w:r>
    </w:p>
    <w:p>
      <w:pPr>
        <w:pStyle w:val="FirstParagraph"/>
      </w:pPr>
      <w:r>
        <w:t xml:space="preserve">No se necesitan conocimientos previos. Los términos técnicos se explican la primera vez que aparecen y figuran además en el glosario.</w:t>
      </w:r>
    </w:p>
    <w:bookmarkEnd w:id="28"/>
    <w:bookmarkStart w:id="29" w:name="cómo-está-estructurado-el-libro"/>
    <w:p>
      <w:pPr>
        <w:pStyle w:val="Heading3"/>
      </w:pPr>
      <w:r>
        <w:t xml:space="preserve">Cómo está estructurado el libro</w:t>
      </w:r>
    </w:p>
    <w:p>
      <w:pPr>
        <w:pStyle w:val="FirstParagraph"/>
      </w:pPr>
      <w:r>
        <w:rPr>
          <w:bCs/>
          <w:b/>
        </w:rPr>
        <w:t xml:space="preserve">Parte I – Fundamentos</w:t>
      </w:r>
      <w:r>
        <w:t xml:space="preserve"> </w:t>
      </w:r>
      <w:r>
        <w:t xml:space="preserve">explica qué son los péptidos, cómo ha evolucionado la medicina peptídica, cómo llegan los péptidos al organismo, cómo se leen los estudios, qué ocurre en el mercado gris y qué marco jurídico se aplica. Si no está familiarizado con estos temas, conviene empezar por aquí.</w:t>
      </w:r>
    </w:p>
    <w:p>
      <w:pPr>
        <w:pStyle w:val="BodyText"/>
      </w:pPr>
      <w:r>
        <w:rPr>
          <w:bCs/>
          <w:b/>
        </w:rPr>
        <w:t xml:space="preserve">Parte II – Los péptidos</w:t>
      </w:r>
      <w:r>
        <w:t xml:space="preserve"> </w:t>
      </w:r>
      <w:r>
        <w:t xml:space="preserve">presenta los distintos principios activos en seis grupos: metabolismo y peso; curación, regeneración y sistema inmunitario; eje de la hormona del crecimiento; cerebro, sueño y longevidad; hormonas, sexualidad y pigmentación; colágeno, nutrición y cosmética. Cada capítulo sigue la misma estructura: ficha, principio de acción, estudios en seres humanos, estudios en animales y de laboratorio, riesgos y efectos adversos, situación jurídica, estudios en curso y perspectivas, conclusión. Así podrá comparar fácilmente los péptidos entre sí y consultar de forma específica.</w:t>
      </w:r>
    </w:p>
    <w:p>
      <w:pPr>
        <w:pStyle w:val="BodyText"/>
      </w:pPr>
      <w:r>
        <w:rPr>
          <w:bCs/>
          <w:b/>
        </w:rPr>
        <w:t xml:space="preserve">Parte III – La gran comparación</w:t>
      </w:r>
      <w:r>
        <w:t xml:space="preserve"> </w:t>
      </w:r>
      <w:r>
        <w:t xml:space="preserve">sitúa todos los péptidos uno junto a otro y compara directamente los medicamentos GLP-1.</w:t>
      </w:r>
    </w:p>
    <w:p>
      <w:pPr>
        <w:pStyle w:val="BodyText"/>
      </w:pPr>
      <w:r>
        <w:rPr>
          <w:bCs/>
          <w:b/>
        </w:rPr>
        <w:t xml:space="preserve">Parte IV – Riesgos</w:t>
      </w:r>
      <w:r>
        <w:t xml:space="preserve"> </w:t>
      </w:r>
      <w:r>
        <w:t xml:space="preserve">resume los efectos adversos, los riesgos de cáncer e inmunitarios, los problemas de los productos del mercado gris y los grupos de riesgo especiales.</w:t>
      </w:r>
    </w:p>
    <w:p>
      <w:pPr>
        <w:pStyle w:val="BodyText"/>
      </w:pPr>
      <w:r>
        <w:rPr>
          <w:bCs/>
          <w:b/>
        </w:rPr>
        <w:t xml:space="preserve">Parte V – Futuro</w:t>
      </w:r>
      <w:r>
        <w:t xml:space="preserve"> </w:t>
      </w:r>
      <w:r>
        <w:t xml:space="preserve">examina la cartera de desarrollo, las nuevas formas de administración, el vencimiento de patentes y los precios. Se distinguen claramente los hechos confirmados de las valoraciones.</w:t>
      </w:r>
    </w:p>
    <w:p>
      <w:pPr>
        <w:pStyle w:val="BodyText"/>
      </w:pPr>
      <w:r>
        <w:t xml:space="preserve">En el</w:t>
      </w:r>
      <w:r>
        <w:t xml:space="preserve"> </w:t>
      </w:r>
      <w:r>
        <w:rPr>
          <w:bCs/>
          <w:b/>
        </w:rPr>
        <w:t xml:space="preserve">anexo</w:t>
      </w:r>
      <w:r>
        <w:t xml:space="preserve"> </w:t>
      </w:r>
      <w:r>
        <w:t xml:space="preserve">encontrará el glosario, la metodología de la búsqueda y el índice de los estudios analizados.</w:t>
      </w:r>
    </w:p>
    <w:bookmarkEnd w:id="29"/>
    <w:bookmarkStart w:id="30" w:name="los-niveles-de-evidencia"/>
    <w:p>
      <w:pPr>
        <w:pStyle w:val="Heading3"/>
      </w:pPr>
      <w:r>
        <w:t xml:space="preserve">Los niveles de evidencia</w:t>
      </w:r>
    </w:p>
    <w:p>
      <w:pPr>
        <w:pStyle w:val="FirstParagraph"/>
      </w:pPr>
      <w:r>
        <w:t xml:space="preserve">Cada péptido recibe en su ficha un nivel de evidencia. Este describe la calidad de los datos disponibles</w:t>
      </w:r>
      <w:r>
        <w:t xml:space="preserve"> </w:t>
      </w:r>
      <w:r>
        <w:rPr>
          <w:bCs/>
          <w:b/>
        </w:rPr>
        <w:t xml:space="preserve">en el ser humano</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Nivel</w:t>
            </w:r>
          </w:p>
        </w:tc>
        <w:tc>
          <w:tcPr/>
          <w:p>
            <w:pPr>
              <w:pStyle w:val="Compact"/>
              <w:jc w:val="left"/>
            </w:pPr>
            <w:r>
              <w:t xml:space="preserve">Significado</w:t>
            </w:r>
          </w:p>
        </w:tc>
      </w:tr>
      <w:tr>
        <w:tc>
          <w:tcPr/>
          <w:p>
            <w:pPr>
              <w:pStyle w:val="Compact"/>
              <w:jc w:val="left"/>
            </w:pPr>
            <w:r>
              <w:t xml:space="preserve">A</w:t>
            </w:r>
          </w:p>
        </w:tc>
        <w:tc>
          <w:tcPr/>
          <w:p>
            <w:pPr>
              <w:pStyle w:val="Compact"/>
              <w:jc w:val="left"/>
            </w:pPr>
            <w:r>
              <w:t xml:space="preserve">varios estudios aleatorizados grandes en seres humanos, autorización como medicamento</w:t>
            </w:r>
          </w:p>
        </w:tc>
      </w:tr>
      <w:tr>
        <w:tc>
          <w:tcPr/>
          <w:p>
            <w:pPr>
              <w:pStyle w:val="Compact"/>
              <w:jc w:val="left"/>
            </w:pPr>
            <w:r>
              <w:t xml:space="preserve">B</w:t>
            </w:r>
          </w:p>
        </w:tc>
        <w:tc>
          <w:tcPr/>
          <w:p>
            <w:pPr>
              <w:pStyle w:val="Compact"/>
              <w:jc w:val="left"/>
            </w:pPr>
            <w:r>
              <w:t xml:space="preserve">estudios aleatorizados aislados en seres humanos</w:t>
            </w:r>
          </w:p>
        </w:tc>
      </w:tr>
      <w:tr>
        <w:tc>
          <w:tcPr/>
          <w:p>
            <w:pPr>
              <w:pStyle w:val="Compact"/>
              <w:jc w:val="left"/>
            </w:pPr>
            <w:r>
              <w:t xml:space="preserve">C</w:t>
            </w:r>
          </w:p>
        </w:tc>
        <w:tc>
          <w:tcPr/>
          <w:p>
            <w:pPr>
              <w:pStyle w:val="Compact"/>
              <w:jc w:val="left"/>
            </w:pPr>
            <w:r>
              <w:t xml:space="preserve">solo estudios pequeños o no controlados en seres humanos</w:t>
            </w:r>
          </w:p>
        </w:tc>
      </w:tr>
      <w:tr>
        <w:tc>
          <w:tcPr/>
          <w:p>
            <w:pPr>
              <w:pStyle w:val="Compact"/>
              <w:jc w:val="left"/>
            </w:pPr>
            <w:r>
              <w:t xml:space="preserve">D</w:t>
            </w:r>
          </w:p>
        </w:tc>
        <w:tc>
          <w:tcPr/>
          <w:p>
            <w:pPr>
              <w:pStyle w:val="Compact"/>
              <w:jc w:val="left"/>
            </w:pPr>
            <w:r>
              <w:t xml:space="preserve">solo estudios en animales y de laboratorio</w:t>
            </w:r>
          </w:p>
        </w:tc>
      </w:tr>
    </w:tbl>
    <w:p>
      <w:pPr>
        <w:pStyle w:val="BodyText"/>
      </w:pPr>
      <w:r>
        <w:t xml:space="preserve">El nivel de evidencia no es una recomendación ni una afirmación sobre la seguridad de una sustancia. También un principio activo de nivel A tiene efectos adversos, y una sustancia de nivel D no es necesariamente ineficaz: simplemente aún no se ha estudiado lo suficiente en el ser humano. Qué significan los términos «aleatorizado», «controlado» o «variable subrogada» se explica en el capítulo «Cómo leer correctamente los estudios».</w:t>
      </w:r>
    </w:p>
    <w:bookmarkEnd w:id="30"/>
    <w:bookmarkStart w:id="31" w:name="cómo-se-citan-las-fuentes"/>
    <w:p>
      <w:pPr>
        <w:pStyle w:val="Heading3"/>
      </w:pPr>
      <w:r>
        <w:t xml:space="preserve">Cómo se citan las fuentes</w:t>
      </w:r>
    </w:p>
    <w:p>
      <w:pPr>
        <w:pStyle w:val="FirstParagraph"/>
      </w:pPr>
      <w:r>
        <w:t xml:space="preserve">Cada estudio se cita en el texto con el primer autor o la primera autora, el año de publicación y el número de PubMed, por ejemplo:</w:t>
      </w:r>
    </w:p>
    <w:p>
      <w:pPr>
        <w:pStyle w:val="BodyText"/>
      </w:pPr>
      <w:r>
        <w:t xml:space="preserve">(Wilding 2021, PMID 33567185)</w:t>
      </w:r>
    </w:p>
    <w:p>
      <w:pPr>
        <w:pStyle w:val="BodyText"/>
      </w:pPr>
      <w:r>
        <w:t xml:space="preserve">Los estudios registrados, en particular los que están en curso, se citan con su número en el registro estadounidense de estudios ClinicalTrials.gov, por ejemplo:</w:t>
      </w:r>
    </w:p>
    <w:p>
      <w:pPr>
        <w:pStyle w:val="BodyText"/>
      </w:pPr>
      <w:r>
        <w:t xml:space="preserve">(NCT03548935)</w:t>
      </w:r>
    </w:p>
    <w:p>
      <w:pPr>
        <w:pStyle w:val="BodyText"/>
      </w:pPr>
      <w:r>
        <w:t xml:space="preserve">No hay notas al pie ni una bibliografía separada al final de cada capítulo; el índice completo de estudios se encuentra en el anexo.</w:t>
      </w:r>
    </w:p>
    <w:bookmarkEnd w:id="31"/>
    <w:bookmarkStart w:id="32" w:name="cómo-consultar-una-fuente"/>
    <w:p>
      <w:pPr>
        <w:pStyle w:val="Heading3"/>
      </w:pPr>
      <w:r>
        <w:t xml:space="preserve">Cómo consultar una fuente</w:t>
      </w:r>
    </w:p>
    <w:p>
      <w:pPr>
        <w:pStyle w:val="FirstParagraph"/>
      </w:pPr>
      <w:r>
        <w:rPr>
          <w:bCs/>
          <w:b/>
        </w:rPr>
        <w:t xml:space="preserve">PMID</w:t>
      </w:r>
      <w:r>
        <w:t xml:space="preserve">: el número de identificación de PubMed es un número único para cada entrada de PubMed, la base de datos bibliográfica de libre acceso de la National Library of Medicine de Estados Unidos.</w:t>
      </w:r>
    </w:p>
    <w:p>
      <w:pPr>
        <w:numPr>
          <w:ilvl w:val="0"/>
          <w:numId w:val="1002"/>
        </w:numPr>
        <w:pStyle w:val="Compact"/>
      </w:pPr>
      <w:r>
        <w:t xml:space="preserve">Abra en su navegador la página pubmed.ncbi.nlm.nih.gov.</w:t>
      </w:r>
    </w:p>
    <w:p>
      <w:pPr>
        <w:numPr>
          <w:ilvl w:val="0"/>
          <w:numId w:val="1002"/>
        </w:numPr>
        <w:pStyle w:val="Compact"/>
      </w:pPr>
      <w:r>
        <w:t xml:space="preserve">Introduzca el número en el campo de búsqueda, por ejemplo 33567185, e inicie la búsqueda.</w:t>
      </w:r>
    </w:p>
    <w:p>
      <w:pPr>
        <w:numPr>
          <w:ilvl w:val="0"/>
          <w:numId w:val="1002"/>
        </w:numPr>
        <w:pStyle w:val="Compact"/>
      </w:pPr>
      <w:r>
        <w:t xml:space="preserve">Llegará directamente a la entrada con el título, los autores, la revista y, por lo general, un resumen (abstract).</w:t>
      </w:r>
    </w:p>
    <w:p>
      <w:pPr>
        <w:pStyle w:val="FirstParagraph"/>
      </w:pPr>
      <w:r>
        <w:t xml:space="preserve">También puede añadir el número directamente a la dirección: pubmed.ncbi.nlm.nih.gov/33567185. Muchas entradas contienen un enlace al texto completo, que en parte es de acceso libre y en parte solo está disponible previo pago.</w:t>
      </w:r>
    </w:p>
    <w:p>
      <w:pPr>
        <w:pStyle w:val="BodyText"/>
      </w:pPr>
      <w:r>
        <w:rPr>
          <w:bCs/>
          <w:b/>
        </w:rPr>
        <w:t xml:space="preserve">Número NCT</w:t>
      </w:r>
      <w:r>
        <w:t xml:space="preserve">: los estudios registrados se encuentran en la página clinicaltrials.gov introduciendo el número en el campo de búsqueda o añadiéndolo a la dirección clinicaltrials.gov/study/, por ejemplo clinicaltrials.gov/study/NCT03548935. Allí verá el diseño del estudio, el número de participantes, las variables de valoración y el estado actual.</w:t>
      </w:r>
    </w:p>
    <w:bookmarkEnd w:id="32"/>
    <w:bookmarkStart w:id="33" w:name="Xe31bb433385f6b1e6f72c2f3b5a3cdf9a317868"/>
    <w:p>
      <w:pPr>
        <w:pStyle w:val="Heading3"/>
      </w:pPr>
      <w:r>
        <w:t xml:space="preserve">Lo que este libro deliberadamente no contiene</w:t>
      </w:r>
    </w:p>
    <w:p>
      <w:pPr>
        <w:numPr>
          <w:ilvl w:val="0"/>
          <w:numId w:val="1003"/>
        </w:numPr>
        <w:pStyle w:val="Compact"/>
      </w:pPr>
      <w:r>
        <w:rPr>
          <w:bCs/>
          <w:b/>
        </w:rPr>
        <w:t xml:space="preserve">Ni dosis ni instrucciones de uso.</w:t>
      </w:r>
      <w:r>
        <w:t xml:space="preserve"> </w:t>
      </w:r>
      <w:r>
        <w:t xml:space="preserve">No se indica cuánto, con qué frecuencia ni durante cuánto tiempo debe utilizarse un péptido, no hay instrucciones para disolverlo o inyectarlo ni combinaciones de varias sustancias. En el caso de los medicamentos autorizados, el libro remite a la ficha técnica y al seguimiento médico.</w:t>
      </w:r>
    </w:p>
    <w:p>
      <w:pPr>
        <w:numPr>
          <w:ilvl w:val="0"/>
          <w:numId w:val="1003"/>
        </w:numPr>
        <w:pStyle w:val="Compact"/>
      </w:pPr>
      <w:r>
        <w:rPr>
          <w:bCs/>
          <w:b/>
        </w:rPr>
        <w:t xml:space="preserve">Ni fuentes de suministro.</w:t>
      </w:r>
      <w:r>
        <w:t xml:space="preserve"> </w:t>
      </w:r>
      <w:r>
        <w:t xml:space="preserve">No se mencionan tiendas, fabricantes, farmacias ni países en los que puedan adquirirse péptidos, ni se dan indicaciones sobre cómo eludir los controles.</w:t>
      </w:r>
    </w:p>
    <w:p>
      <w:pPr>
        <w:numPr>
          <w:ilvl w:val="0"/>
          <w:numId w:val="1003"/>
        </w:numPr>
        <w:pStyle w:val="Compact"/>
      </w:pPr>
      <w:r>
        <w:rPr>
          <w:bCs/>
          <w:b/>
        </w:rPr>
        <w:t xml:space="preserve">Ni promesas de curación.</w:t>
      </w:r>
      <w:r>
        <w:t xml:space="preserve"> </w:t>
      </w:r>
      <w:r>
        <w:t xml:space="preserve">El libro informa de lo que se ha observado en los estudios, no de lo que una sustancia hará en su caso.</w:t>
      </w:r>
    </w:p>
    <w:p>
      <w:pPr>
        <w:numPr>
          <w:ilvl w:val="0"/>
          <w:numId w:val="1003"/>
        </w:numPr>
        <w:pStyle w:val="Compact"/>
      </w:pPr>
      <w:r>
        <w:rPr>
          <w:bCs/>
          <w:b/>
        </w:rPr>
        <w:t xml:space="preserve">Ni recomendaciones de productos.</w:t>
      </w:r>
      <w:r>
        <w:t xml:space="preserve"> </w:t>
      </w:r>
      <w:r>
        <w:t xml:space="preserve">No se recomiendan marcas ni proveedores. Los nombres comerciales de medicamentos autorizados solo se mencionan cuando son necesarios para la comprensión.</w:t>
      </w:r>
    </w:p>
    <w:bookmarkEnd w:id="33"/>
    <w:bookmarkStart w:id="34" w:name="una-última-palabra"/>
    <w:p>
      <w:pPr>
        <w:pStyle w:val="Heading3"/>
      </w:pPr>
      <w:r>
        <w:t xml:space="preserve">Una última palabra</w:t>
      </w:r>
    </w:p>
    <w:p>
      <w:pPr>
        <w:pStyle w:val="FirstParagraph"/>
      </w:pPr>
      <w:r>
        <w:t xml:space="preserve">Este libro es una herramienta para reflexionar, no una guía de automedicación. Si después de leerlo tiene más preguntas que antes, no es mala señal: a menudo la respuesta más honesta a la pregunta «¿Funciona este péptido?» es «Todavía nadie lo sabe».</w:t>
      </w:r>
    </w:p>
    <w:bookmarkEnd w:id="34"/>
    <w:bookmarkEnd w:id="35"/>
    <w:bookmarkStart w:id="36" w:name="créditos"/>
    <w:p>
      <w:pPr>
        <w:pStyle w:val="Heading1"/>
      </w:pPr>
      <w:r>
        <w:t xml:space="preserve">Créditos</w:t>
      </w:r>
    </w:p>
    <w:p>
      <w:pPr>
        <w:pStyle w:val="FirstParagraph"/>
      </w:pPr>
      <w:r>
        <w:rPr>
          <w:bCs/>
          <w:b/>
        </w:rPr>
        <w:t xml:space="preserve">El manual de los péptidos</w:t>
      </w:r>
      <w:r>
        <w:t xml:space="preserve"> </w:t>
      </w:r>
      <w:r>
        <w:t xml:space="preserve">Todos los estudios en humanos comparados – efectos, riesgos, situación legal y perspectivas</w:t>
      </w:r>
    </w:p>
    <w:p>
      <w:pPr>
        <w:pStyle w:val="BodyText"/>
      </w:pPr>
      <w:r>
        <w:t xml:space="preserve">© 2026 Josef Gallab. Todos los derechos reservados.</w:t>
      </w:r>
    </w:p>
    <w:p>
      <w:pPr>
        <w:pStyle w:val="BodyText"/>
      </w:pPr>
      <w:r>
        <w:t xml:space="preserve">Primera edición. Estado de la investigación: octubre/noviembre de 2026. Traducido del original alemán.</w:t>
      </w:r>
    </w:p>
    <w:p>
      <w:pPr>
        <w:pStyle w:val="BodyText"/>
      </w:pPr>
      <w:r>
        <w:t xml:space="preserve">Este libro tiene fines exclusivamente informativos. No sustituye el consejo, el diagnóstico ni el tratamiento médico</w:t>
      </w:r>
      <w:r>
        <w:t xml:space="preserve"> </w:t>
      </w:r>
      <w:r>
        <w:t xml:space="preserve">y no contiene recomendaciones de uso. Muchas de las sustancias descritas no están autorizadas como medicamentos.</w:t>
      </w:r>
    </w:p>
    <w:p>
      <w:pPr>
        <w:pStyle w:val="BodyText"/>
      </w:pPr>
      <w:r>
        <w:t xml:space="preserve">Cubierta: Josef Gallab</w:t>
      </w:r>
    </w:p>
    <w:p>
      <w:pPr>
        <w:pStyle w:val="BodyText"/>
      </w:pPr>
      <w:r>
        <w:t xml:space="preserve">Queda prohibida la reproducción o distribución total o parcial sin la autorización escrita del autor.</w:t>
      </w:r>
    </w:p>
    <w:bookmarkEnd w:id="36"/>
    <w:bookmarkStart w:id="129" w:name="parte-i-fundamentos"/>
    <w:p>
      <w:pPr>
        <w:pStyle w:val="Heading1"/>
      </w:pPr>
      <w:r>
        <w:t xml:space="preserve">Parte I – Fundamentos</w:t>
      </w:r>
    </w:p>
    <w:p>
      <w:pPr>
        <w:pStyle w:val="FirstParagraph"/>
      </w:pPr>
      <w:r>
        <w:t xml:space="preserve">Antes de que la Parte II se ocupe de los distintos principios activos, esta parte sienta las bases. Descubrirá qué es químicamente un péptido, cómo un extracto de páncreas de perro se convirtió en el plazo de un siglo en uno de los grupos de medicamentos con mayor volumen de ventas del mundo, por qué la mayoría de los péptidos deben inyectarse, cómo leer un estudio sin dejarse engañar por los titulares, qué contienen realmente los viales del mercado gris y qué normas jurídicas se aplican.</w:t>
      </w:r>
    </w:p>
    <w:p>
      <w:pPr>
        <w:pStyle w:val="BodyText"/>
      </w:pPr>
      <w:r>
        <w:t xml:space="preserve">Quien solo quiera consultar un péptido concreto puede saltar directamente a la Parte II. No obstante, los capítulos de esta parte explican los conceptos y criterios que se emplean allí constantemente, como «aleatorizado», «variable subrogada», «nivel de evidencia B» o «Research Peptide». Por eso merece la pena echarles un vistazo, incluso si tiene prisa.</w:t>
      </w:r>
    </w:p>
    <w:bookmarkStart w:id="48" w:name="qué-son-los-péptidos-y-qué-no-son"/>
    <w:p>
      <w:pPr>
        <w:pStyle w:val="Heading2"/>
      </w:pPr>
      <w:r>
        <w:t xml:space="preserve">Qué son los péptidos y qué no son</w:t>
      </w:r>
    </w:p>
    <w:p>
      <w:pPr>
        <w:pStyle w:val="FirstParagraph"/>
      </w:pPr>
      <w:r>
        <w:t xml:space="preserve">La palabra «péptido» ha hecho una carrera asombrosa en los últimos años. Aparece en cremas para la piel y en proteínas en polvo, en anuncios de inyecciones para adelgazar y en foros de internet en los que se debate sobre «péptidos curativos». Sin embargo, el término designa en principio solo un determinado tipo de estructura química, ni más ni menos. No dice nada sobre si una sustancia es eficaz, si es segura o si llega siquiera al organismo. Este capítulo aclara los conceptos básicos y desmonta algunos malentendidos muy extendidos.</w:t>
      </w:r>
    </w:p>
    <w:bookmarkStart w:id="37" w:name="aminoácidos-los-componentes-básicos"/>
    <w:p>
      <w:pPr>
        <w:pStyle w:val="Heading3"/>
      </w:pPr>
      <w:r>
        <w:t xml:space="preserve">Aminoácidos: los componentes básicos</w:t>
      </w:r>
    </w:p>
    <w:p>
      <w:pPr>
        <w:pStyle w:val="FirstParagraph"/>
      </w:pPr>
      <w:r>
        <w:t xml:space="preserve">Todos los péptidos y proteínas están formados por aminoácidos. Un aminoácido es una molécula pequeña con dos componentes característicos: un grupo amino (que contiene nitrógeno) y un grupo ácido (grupo carboxilo). Entre ambos se sitúa un átomo de carbono central del que cuelga una llamada cadena lateral. Esta cadena lateral es lo que distingue a los aminoácidos entre sí: puede ser pequeña y discreta, como en la glicina; oleosa e hidrófoba, como en la leucina; con carga eléctrica, como en la lisina; o con azufre, como en la cisteína.</w:t>
      </w:r>
    </w:p>
    <w:p>
      <w:pPr>
        <w:pStyle w:val="BodyText"/>
      </w:pPr>
      <w:r>
        <w:t xml:space="preserve">El cuerpo humano construye sus proteínas esencialmente a partir de 20 aminoácidos estándar. Algunos puede fabricarlos por sí mismo; otros, los aminoácidos «esenciales», debe obtenerlos de la alimentación. Además, existen cientos de aminoácidos más que se encuentran en la naturaleza o se fabrican en el laboratorio. Para el desarrollo de medicamentos, estos aminoácidos «no naturales» son importantes porque pueden hacer que un péptido sea más estable. Encontrará un ejemplo más abajo, en el caso de la semaglutida.</w:t>
      </w:r>
    </w:p>
    <w:p>
      <w:pPr>
        <w:pStyle w:val="BodyText"/>
      </w:pPr>
      <w:r>
        <w:t xml:space="preserve">Algo importante para entender muchas promesas publicitarias: los aminoácidos sueltos no son péptidos. Un complemento alimenticio con arginina, glutamina o «BCAA» contiene aminoácidos libres, es decir, componentes sueltos, no un péptido.</w:t>
      </w:r>
    </w:p>
    <w:bookmarkEnd w:id="37"/>
    <w:bookmarkStart w:id="38" w:name="el-enlace-peptídico"/>
    <w:p>
      <w:pPr>
        <w:pStyle w:val="Heading3"/>
      </w:pPr>
      <w:r>
        <w:t xml:space="preserve">El enlace peptídico</w:t>
      </w:r>
    </w:p>
    <w:p>
      <w:pPr>
        <w:pStyle w:val="FirstParagraph"/>
      </w:pPr>
      <w:r>
        <w:t xml:space="preserve">Cuando dos aminoácidos se unen, el grupo ácido de uno reacciona con el grupo amino del otro. En el proceso se libera una molécula de agua y se forma una unión estable: el enlace peptídico. El resultado se llama dipéptido. Si se añade otro aminoácido, se obtiene un tripéptido, luego un tetrapéptido, y así sucesivamente. Una cadena de este tipo siempre tiene una dirección: comienza con un grupo amino libre (el «extremo N-terminal») y termina con un grupo ácido libre (el «extremo C-terminal»). Por eso, en los artículos científicos los aminoácidos se escriben siempre de izquierda a derecha, del extremo N al extremo C, a menudo con abreviaturas de una letra. El tripéptido «GHK», por ejemplo, significa glicina–histidina–lisina.</w:t>
      </w:r>
    </w:p>
    <w:p>
      <w:pPr>
        <w:pStyle w:val="BodyText"/>
      </w:pPr>
      <w:r>
        <w:t xml:space="preserve">El orden de los aminoácidos se denomina secuencia o estructura primaria. Es decisivo: dos péptidos formados por los mismos componentes en distinto orden son sustancias diferentes con propiedades distintas, del mismo modo que «Roma» y «amor» están formadas por las mismas letras.</w:t>
      </w:r>
    </w:p>
    <w:bookmarkEnd w:id="38"/>
    <w:bookmarkStart w:id="39" w:name="Xe44d307d0333c36214a18f17d6dddfc95618f72"/>
    <w:p>
      <w:pPr>
        <w:pStyle w:val="Heading3"/>
      </w:pPr>
      <w:r>
        <w:t xml:space="preserve">¿Péptido o proteína? Una cuestión de longitud</w:t>
      </w:r>
    </w:p>
    <w:p>
      <w:pPr>
        <w:pStyle w:val="FirstParagraph"/>
      </w:pPr>
      <w:r>
        <w:t xml:space="preserve">Entre péptidos y proteínas no existe un límite científico nítido, sino una convención. A grandes rasgos:</w:t>
      </w:r>
    </w:p>
    <w:p>
      <w:pPr>
        <w:numPr>
          <w:ilvl w:val="0"/>
          <w:numId w:val="1004"/>
        </w:numPr>
        <w:pStyle w:val="Compact"/>
      </w:pPr>
      <w:r>
        <w:rPr>
          <w:bCs/>
          <w:b/>
        </w:rPr>
        <w:t xml:space="preserve">Oligopéptidos</w:t>
      </w:r>
      <w:r>
        <w:t xml:space="preserve">: aproximadamente de 2 a 10 aminoácidos, por ejemplo el tripéptido glutatión o el dipéptido carnosina.</w:t>
      </w:r>
    </w:p>
    <w:p>
      <w:pPr>
        <w:numPr>
          <w:ilvl w:val="0"/>
          <w:numId w:val="1004"/>
        </w:numPr>
        <w:pStyle w:val="Compact"/>
      </w:pPr>
      <w:r>
        <w:rPr>
          <w:bCs/>
          <w:b/>
        </w:rPr>
        <w:t xml:space="preserve">Polipéptidos</w:t>
      </w:r>
      <w:r>
        <w:t xml:space="preserve">: cadenas más largas, hasta unos 50 aminoácidos.</w:t>
      </w:r>
    </w:p>
    <w:p>
      <w:pPr>
        <w:numPr>
          <w:ilvl w:val="0"/>
          <w:numId w:val="1004"/>
        </w:numPr>
        <w:pStyle w:val="Compact"/>
      </w:pPr>
      <w:r>
        <w:rPr>
          <w:bCs/>
          <w:b/>
        </w:rPr>
        <w:t xml:space="preserve">Proteínas</w:t>
      </w:r>
      <w:r>
        <w:t xml:space="preserve">: moléculas más grandes, por lo general con más de 50 aminoácidos y un plegamiento espacial definido.</w:t>
      </w:r>
    </w:p>
    <w:p>
      <w:pPr>
        <w:pStyle w:val="FirstParagraph"/>
      </w:pPr>
      <w:r>
        <w:t xml:space="preserve">La insulina, con 51 aminoácidos, se sitúa justo en ese límite. Está formada por dos cadenas unidas por puentes de azufre y, según el manual, se la denomina péptido o proteína pequeña. La hormona del crecimiento humana, en cambio, es claramente una proteína: su forma más frecuente consta de 191 aminoácidos y pesa unos 22.000 dalton (Krug 2018, PMID 29864719). El dalton es la unidad de masa de las moléculas; un aminoácido medio dentro de una cadena pesa algo más de 100 dalton.</w:t>
      </w:r>
    </w:p>
    <w:p>
      <w:pPr>
        <w:pStyle w:val="BodyText"/>
      </w:pPr>
      <w:r>
        <w:t xml:space="preserve">Algunos ejemplos de este libro a modo de orientación: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Sustancia</w:t>
            </w:r>
          </w:p>
        </w:tc>
        <w:tc>
          <w:tcPr/>
          <w:p>
            <w:pPr>
              <w:pStyle w:val="Compact"/>
              <w:jc w:val="left"/>
            </w:pPr>
            <w:r>
              <w:t xml:space="preserve">Longitud</w:t>
            </w:r>
          </w:p>
        </w:tc>
        <w:tc>
          <w:tcPr/>
          <w:p>
            <w:pPr>
              <w:pStyle w:val="Compact"/>
              <w:jc w:val="left"/>
            </w:pPr>
            <w:r>
              <w:t xml:space="preserve">Observación</w:t>
            </w:r>
          </w:p>
        </w:tc>
      </w:tr>
      <w:tr>
        <w:tc>
          <w:tcPr/>
          <w:p>
            <w:pPr>
              <w:pStyle w:val="Compact"/>
              <w:jc w:val="left"/>
            </w:pPr>
            <w:r>
              <w:t xml:space="preserve">Carnosina</w:t>
            </w:r>
          </w:p>
        </w:tc>
        <w:tc>
          <w:tcPr/>
          <w:p>
            <w:pPr>
              <w:pStyle w:val="Compact"/>
              <w:jc w:val="left"/>
            </w:pPr>
            <w:r>
              <w:t xml:space="preserve">2 aminoácidos</w:t>
            </w:r>
          </w:p>
        </w:tc>
        <w:tc>
          <w:tcPr/>
          <w:p>
            <w:pPr>
              <w:pStyle w:val="Compact"/>
              <w:jc w:val="left"/>
            </w:pPr>
            <w:r>
              <w:t xml:space="preserve">presente en los músculos</w:t>
            </w:r>
          </w:p>
        </w:tc>
      </w:tr>
      <w:tr>
        <w:tc>
          <w:tcPr/>
          <w:p>
            <w:pPr>
              <w:pStyle w:val="Compact"/>
              <w:jc w:val="left"/>
            </w:pPr>
            <w:r>
              <w:t xml:space="preserve">Glutatión</w:t>
            </w:r>
          </w:p>
        </w:tc>
        <w:tc>
          <w:tcPr/>
          <w:p>
            <w:pPr>
              <w:pStyle w:val="Compact"/>
              <w:jc w:val="left"/>
            </w:pPr>
            <w:r>
              <w:t xml:space="preserve">3 aminoácidos</w:t>
            </w:r>
          </w:p>
        </w:tc>
        <w:tc>
          <w:tcPr/>
          <w:p>
            <w:pPr>
              <w:pStyle w:val="Compact"/>
              <w:jc w:val="left"/>
            </w:pPr>
            <w:r>
              <w:t xml:space="preserve">molécula protectora endógena</w:t>
            </w:r>
          </w:p>
        </w:tc>
      </w:tr>
      <w:tr>
        <w:tc>
          <w:tcPr/>
          <w:p>
            <w:pPr>
              <w:pStyle w:val="Compact"/>
              <w:jc w:val="left"/>
            </w:pPr>
            <w:r>
              <w:t xml:space="preserve">Oxitocina</w:t>
            </w:r>
          </w:p>
        </w:tc>
        <w:tc>
          <w:tcPr/>
          <w:p>
            <w:pPr>
              <w:pStyle w:val="Compact"/>
              <w:jc w:val="left"/>
            </w:pPr>
            <w:r>
              <w:t xml:space="preserve">9 aminoácidos</w:t>
            </w:r>
          </w:p>
        </w:tc>
        <w:tc>
          <w:tcPr/>
          <w:p>
            <w:pPr>
              <w:pStyle w:val="Compact"/>
              <w:jc w:val="left"/>
            </w:pPr>
            <w:r>
              <w:t xml:space="preserve">hormona de estructura cíclica</w:t>
            </w:r>
          </w:p>
        </w:tc>
      </w:tr>
      <w:tr>
        <w:tc>
          <w:tcPr/>
          <w:p>
            <w:pPr>
              <w:pStyle w:val="Compact"/>
              <w:jc w:val="left"/>
            </w:pPr>
            <w:r>
              <w:t xml:space="preserve">GLP-1 (forma activa)</w:t>
            </w:r>
          </w:p>
        </w:tc>
        <w:tc>
          <w:tcPr/>
          <w:p>
            <w:pPr>
              <w:pStyle w:val="Compact"/>
              <w:jc w:val="left"/>
            </w:pPr>
            <w:r>
              <w:t xml:space="preserve">30 aminoácidos</w:t>
            </w:r>
          </w:p>
        </w:tc>
        <w:tc>
          <w:tcPr/>
          <w:p>
            <w:pPr>
              <w:pStyle w:val="Compact"/>
              <w:jc w:val="left"/>
            </w:pPr>
            <w:r>
              <w:t xml:space="preserve">hormona intestinal</w:t>
            </w:r>
          </w:p>
        </w:tc>
      </w:tr>
      <w:tr>
        <w:tc>
          <w:tcPr/>
          <w:p>
            <w:pPr>
              <w:pStyle w:val="Compact"/>
              <w:jc w:val="left"/>
            </w:pPr>
            <w:r>
              <w:t xml:space="preserve">Exendina-4 (exenatida)</w:t>
            </w:r>
          </w:p>
        </w:tc>
        <w:tc>
          <w:tcPr/>
          <w:p>
            <w:pPr>
              <w:pStyle w:val="Compact"/>
              <w:jc w:val="left"/>
            </w:pPr>
            <w:r>
              <w:t xml:space="preserve">39 aminoácidos</w:t>
            </w:r>
          </w:p>
        </w:tc>
        <w:tc>
          <w:tcPr/>
          <w:p>
            <w:pPr>
              <w:pStyle w:val="Compact"/>
              <w:jc w:val="left"/>
            </w:pPr>
            <w:r>
              <w:t xml:space="preserve">procedente del veneno de un lagarto</w:t>
            </w:r>
          </w:p>
        </w:tc>
      </w:tr>
      <w:tr>
        <w:tc>
          <w:tcPr/>
          <w:p>
            <w:pPr>
              <w:pStyle w:val="Compact"/>
              <w:jc w:val="left"/>
            </w:pPr>
            <w:r>
              <w:t xml:space="preserve">Insulina</w:t>
            </w:r>
          </w:p>
        </w:tc>
        <w:tc>
          <w:tcPr/>
          <w:p>
            <w:pPr>
              <w:pStyle w:val="Compact"/>
              <w:jc w:val="left"/>
            </w:pPr>
            <w:r>
              <w:t xml:space="preserve">51 aminoácidos</w:t>
            </w:r>
          </w:p>
        </w:tc>
        <w:tc>
          <w:tcPr/>
          <w:p>
            <w:pPr>
              <w:pStyle w:val="Compact"/>
              <w:jc w:val="left"/>
            </w:pPr>
            <w:r>
              <w:t xml:space="preserve">dos cadenas</w:t>
            </w:r>
          </w:p>
        </w:tc>
      </w:tr>
      <w:tr>
        <w:tc>
          <w:tcPr/>
          <w:p>
            <w:pPr>
              <w:pStyle w:val="Compact"/>
              <w:jc w:val="left"/>
            </w:pPr>
            <w:r>
              <w:t xml:space="preserve">Hormona del crecimiento</w:t>
            </w:r>
          </w:p>
        </w:tc>
        <w:tc>
          <w:tcPr/>
          <w:p>
            <w:pPr>
              <w:pStyle w:val="Compact"/>
              <w:jc w:val="left"/>
            </w:pPr>
            <w:r>
              <w:t xml:space="preserve">191 aminoácidos</w:t>
            </w:r>
          </w:p>
        </w:tc>
        <w:tc>
          <w:tcPr/>
          <w:p>
            <w:pPr>
              <w:pStyle w:val="Compact"/>
              <w:jc w:val="left"/>
            </w:pPr>
            <w:r>
              <w:t xml:space="preserve">proteína</w:t>
            </w:r>
          </w:p>
        </w:tc>
      </w:tr>
    </w:tbl>
    <w:p>
      <w:pPr>
        <w:pStyle w:val="BodyText"/>
      </w:pPr>
      <w:r>
        <w:t xml:space="preserve">La longitud de la exendina-4 figura en su primera descripción (Eng 1992, PMID 1313797); los demás datos corresponden a conocimientos de manual.</w:t>
      </w:r>
    </w:p>
    <w:p>
      <w:pPr>
        <w:pStyle w:val="BodyText"/>
      </w:pPr>
      <w:r>
        <w:t xml:space="preserve">En la práctica, la longitud es importante por varias razones. Los péptidos cortos se fabrican químicamente de forma más sencilla y barata. Las cadenas largas se pliegan en formas complejas que pueden ser imprescindibles para su efecto. Y cuanto más grande es una molécula, más difícil le resulta atravesar la piel o la pared intestinal; se hablará de ello en el capítulo sobre las formas de administración.</w:t>
      </w:r>
    </w:p>
    <w:bookmarkEnd w:id="39"/>
    <w:bookmarkStart w:id="40" w:name="cómo-actúan-los-péptidos-en-el-organismo"/>
    <w:p>
      <w:pPr>
        <w:pStyle w:val="Heading3"/>
      </w:pPr>
      <w:r>
        <w:t xml:space="preserve">Cómo actúan los péptidos en el organismo</w:t>
      </w:r>
    </w:p>
    <w:p>
      <w:pPr>
        <w:pStyle w:val="FirstParagraph"/>
      </w:pPr>
      <w:r>
        <w:t xml:space="preserve">El cuerpo humano utiliza los péptidos sobre todo como mensajeros. Una hormona peptídica se produce en una célula, se libera a la sangre o a los tejidos y se acopla en otra célula a un receptor adecuado. Los receptores son moléculas proteicas de la membrana celular que funcionan como una cerradura: solo la llave adecuada desencadena una señal en el interior de la célula.</w:t>
      </w:r>
    </w:p>
    <w:p>
      <w:pPr>
        <w:pStyle w:val="BodyText"/>
      </w:pPr>
      <w:r>
        <w:t xml:space="preserve">Como los péptidos suelen ser demasiado grandes y demasiado hidrosolubles para atravesar la membrana celular, de naturaleza grasa, la mayoría actúa a través de receptores situados en la superficie celular. Muchos de ellos pertenecen a la gran familia de los receptores acoplados a proteínas G. El receptor de GLP-1, a través del cual actúan la semaglutida o la liraglutida, es uno de ellos. No solo se encuentra en el páncreas, sino también en el tubo digestivo, el corazón, los pulmones, los riñones y el cerebro (Knudsen 2019, PMID 31031702), lo que explica por qué estos principios activos tienen efectos tan diversos.</w:t>
      </w:r>
    </w:p>
    <w:p>
      <w:pPr>
        <w:pStyle w:val="BodyText"/>
      </w:pPr>
      <w:r>
        <w:t xml:space="preserve">Los péptidos desempeñan funciones muy distintas en el organismo:</w:t>
      </w:r>
    </w:p>
    <w:p>
      <w:pPr>
        <w:numPr>
          <w:ilvl w:val="0"/>
          <w:numId w:val="1005"/>
        </w:numPr>
        <w:pStyle w:val="Compact"/>
      </w:pPr>
      <w:r>
        <w:rPr>
          <w:bCs/>
          <w:b/>
        </w:rPr>
        <w:t xml:space="preserve">Hormonas</w:t>
      </w:r>
      <w:r>
        <w:t xml:space="preserve"> </w:t>
      </w:r>
      <w:r>
        <w:t xml:space="preserve">como la insulina, el glucagón, el GLP-1, la oxitocina o la vasopresina regulan el metabolismo, el equilibrio hídrico y la reproducción.</w:t>
      </w:r>
    </w:p>
    <w:p>
      <w:pPr>
        <w:numPr>
          <w:ilvl w:val="0"/>
          <w:numId w:val="1005"/>
        </w:numPr>
        <w:pStyle w:val="Compact"/>
      </w:pPr>
      <w:r>
        <w:rPr>
          <w:bCs/>
          <w:b/>
        </w:rPr>
        <w:t xml:space="preserve">Factores liberadores</w:t>
      </w:r>
      <w:r>
        <w:t xml:space="preserve"> </w:t>
      </w:r>
      <w:r>
        <w:t xml:space="preserve">del hipotálamo, como la hormona liberadora de gonadotropinas (GnRH), dan órdenes a la hipófisis.</w:t>
      </w:r>
    </w:p>
    <w:p>
      <w:pPr>
        <w:numPr>
          <w:ilvl w:val="0"/>
          <w:numId w:val="1005"/>
        </w:numPr>
        <w:pStyle w:val="Compact"/>
      </w:pPr>
      <w:r>
        <w:rPr>
          <w:bCs/>
          <w:b/>
        </w:rPr>
        <w:t xml:space="preserve">Neuropéptidos</w:t>
      </w:r>
      <w:r>
        <w:t xml:space="preserve"> </w:t>
      </w:r>
      <w:r>
        <w:t xml:space="preserve">como las endorfinas actúan como señales en el sistema nervioso.</w:t>
      </w:r>
    </w:p>
    <w:p>
      <w:pPr>
        <w:numPr>
          <w:ilvl w:val="0"/>
          <w:numId w:val="1005"/>
        </w:numPr>
        <w:pStyle w:val="Compact"/>
      </w:pPr>
      <w:r>
        <w:rPr>
          <w:bCs/>
          <w:b/>
        </w:rPr>
        <w:t xml:space="preserve">Péptidos antimicrobianos</w:t>
      </w:r>
      <w:r>
        <w:t xml:space="preserve"> </w:t>
      </w:r>
      <w:r>
        <w:t xml:space="preserve">como el LL-37 forman parte de la defensa inmunitaria innata.</w:t>
      </w:r>
    </w:p>
    <w:p>
      <w:pPr>
        <w:numPr>
          <w:ilvl w:val="0"/>
          <w:numId w:val="1005"/>
        </w:numPr>
        <w:pStyle w:val="Compact"/>
      </w:pPr>
      <w:r>
        <w:rPr>
          <w:bCs/>
          <w:b/>
        </w:rPr>
        <w:t xml:space="preserve">Componentes estructurales y productos de degradación</w:t>
      </w:r>
      <w:r>
        <w:t xml:space="preserve">: cuando se digieren el colágeno o las proteínas de la leche se forman péptidos cortos, algunos de los cuales son detectables en la sangre.</w:t>
      </w:r>
    </w:p>
    <w:p>
      <w:pPr>
        <w:pStyle w:val="FirstParagraph"/>
      </w:pPr>
      <w:r>
        <w:t xml:space="preserve">Esta diversidad explica por qué bajo el término «péptido» se agrupan sustancias tan dispares: tanto un medicamento para la diabetes muy potente y sujeto a prescripción médica como un colágeno en polvo del supermercado.</w:t>
      </w:r>
    </w:p>
    <w:bookmarkEnd w:id="40"/>
    <w:bookmarkStart w:id="41" w:name="Xc7360c936e00ae16c031ee0c26b6018abf90b13"/>
    <w:p>
      <w:pPr>
        <w:pStyle w:val="Heading3"/>
      </w:pPr>
      <w:r>
        <w:t xml:space="preserve">Vida breve: el problema fundamental de los péptidos naturales</w:t>
      </w:r>
    </w:p>
    <w:p>
      <w:pPr>
        <w:pStyle w:val="FirstParagraph"/>
      </w:pPr>
      <w:r>
        <w:t xml:space="preserve">Los péptidos endógenos suelen estar diseñados para un efecto breve y preciso. El organismo dispone de una gran variedad de enzimas que rompen los enlaces peptídicos, las llamadas peptidasas o proteasas. Tiene sentido: una señal hormonal debe aparecer después de comer y volver a desaparecer.</w:t>
      </w:r>
    </w:p>
    <w:p>
      <w:pPr>
        <w:pStyle w:val="BodyText"/>
      </w:pPr>
      <w:r>
        <w:t xml:space="preserve">Para un medicamento, sin embargo, esta vida breve es un problema. El GLP-1 natural es fragmentado rápidamente por la enzima dipeptidil peptidasa-4 (DPP-4). En plasma sanguíneo humano en el tubo de ensayo, la semivida fue de unos 20 minutos (Deacon 1995, PMID 7883856); en el organismo, además, el GLP-1 se elimina rápidamente de la circulación. Por eso, el GLP-1 sin modificar apenas serviría como medicamento.</w:t>
      </w:r>
    </w:p>
    <w:p>
      <w:pPr>
        <w:pStyle w:val="BodyText"/>
      </w:pPr>
      <w:r>
        <w:t xml:space="preserve">La solución de la investigación farmacéutica consistió en modificar la molécula de forma específica. En la semaglutida se sustituyeron dos aminoácidos del GLP-1 natural —en la posición 8 se encuentra el aminoácido no natural Aib, que protege la molécula frente a la DPP-4— y se unió a la cadena, mediante un espaciador, un ácido graso. El ácido graso hace que la semaglutida se una de forma reversible en la sangre a la proteína transportadora albúmina (Lau 2015, PMID 26308095). Así se forma un depósito del que el principio activo se libera lentamente. La semivida en el ser humano es de aproximadamente una semana (Marso 2016, PMID 27633186); por eso basta con una inyección semanal.</w:t>
      </w:r>
    </w:p>
    <w:p>
      <w:pPr>
        <w:pStyle w:val="BodyText"/>
      </w:pPr>
      <w:r>
        <w:t xml:space="preserve">Este principio —modelo natural, estabilizado de forma específica— recorre toda la medicina peptídica moderna. Pero también significa que un medicamento peptídico</w:t>
      </w:r>
      <w:r>
        <w:t xml:space="preserve"> </w:t>
      </w:r>
      <w:r>
        <w:rPr>
          <w:bCs/>
          <w:b/>
        </w:rPr>
        <w:t xml:space="preserve">no</w:t>
      </w:r>
      <w:r>
        <w:t xml:space="preserve"> </w:t>
      </w:r>
      <w:r>
        <w:t xml:space="preserve">suele ser una sustancia «natural» en el sentido de endógena y sin modificar. Es una molécula inspirada en la naturaleza, pero optimizada en el laboratorio.</w:t>
      </w:r>
    </w:p>
    <w:bookmarkEnd w:id="41"/>
    <w:bookmarkStart w:id="42" w:name="cómo-se-fabrican-los-péptidos"/>
    <w:p>
      <w:pPr>
        <w:pStyle w:val="Heading3"/>
      </w:pPr>
      <w:r>
        <w:t xml:space="preserve">Cómo se fabrican los péptidos</w:t>
      </w:r>
    </w:p>
    <w:p>
      <w:pPr>
        <w:pStyle w:val="FirstParagraph"/>
      </w:pPr>
      <w:r>
        <w:t xml:space="preserve">Existen tres vías fundamentales para obtener péptidos:</w:t>
      </w:r>
    </w:p>
    <w:p>
      <w:pPr>
        <w:pStyle w:val="BodyText"/>
      </w:pPr>
      <w:r>
        <w:rPr>
          <w:bCs/>
          <w:b/>
        </w:rPr>
        <w:t xml:space="preserve">Síntesis química.</w:t>
      </w:r>
      <w:r>
        <w:t xml:space="preserve"> </w:t>
      </w:r>
      <w:r>
        <w:t xml:space="preserve">Desde la década de 1960, los péptidos se construyen componente a componente sobre un soporte sólido. Este procedimiento de síntesis de péptidos en fase sólida fue desarrollado por Robert Bruce Merrifield (Merrifield 1969, PMID 4307033), que recibió por ello el Premio Nobel de Química en 1984. Hoy en día estas síntesis están en gran parte automatizadas. Son la base de casi todos los péptidos cortos, incluidos los que se ofrecen en el mercado gris. No obstante, en cada paso de acoplamiento pueden producirse errores, como aminoácidos ausentes o duplicados. Por eso es imprescindible un paso de purificación cuidadoso.</w:t>
      </w:r>
    </w:p>
    <w:p>
      <w:pPr>
        <w:pStyle w:val="BodyText"/>
      </w:pPr>
      <w:r>
        <w:rPr>
          <w:bCs/>
          <w:b/>
        </w:rPr>
        <w:t xml:space="preserve">Producción por ingeniería genética (recombinante).</w:t>
      </w:r>
      <w:r>
        <w:t xml:space="preserve"> </w:t>
      </w:r>
      <w:r>
        <w:t xml:space="preserve">Las instrucciones de construcción del péptido se introducen en bacterias o levaduras, que lo producen después en grandes tanques. La insulina humana fue el primer medicamento fabricado de este modo; se utilizó en estudios clínicos en seres humanos a partir de 1980 (The 1989, PMID 2690608). Los péptidos y proteínas de mayor tamaño se siguen obteniendo hoy mayoritariamente de esta forma, en parte combinada con pasos de modificación química.</w:t>
      </w:r>
    </w:p>
    <w:p>
      <w:pPr>
        <w:pStyle w:val="BodyText"/>
      </w:pPr>
      <w:r>
        <w:rPr>
          <w:bCs/>
          <w:b/>
        </w:rPr>
        <w:t xml:space="preserve">Obtención a partir de fuentes naturales.</w:t>
      </w:r>
      <w:r>
        <w:t xml:space="preserve"> </w:t>
      </w:r>
      <w:r>
        <w:t xml:space="preserve">Las primeras insulinas se obtenían del páncreas de vacas y cerdos. Los péptidos de colágeno se producen hoy descomponiendo con enzimas en fragmentos más pequeños el colágeno de piel, huesos o escamas de pescado (hidrólisis). Estos hidrolizados son mezclas de muchos péptidos diferentes, no un principio activo uniforme.</w:t>
      </w:r>
    </w:p>
    <w:p>
      <w:pPr>
        <w:pStyle w:val="BodyText"/>
      </w:pPr>
      <w:r>
        <w:t xml:space="preserve">La vía de fabricación es relevante para la seguridad. Un estudio comparó productos de imitación de semaglutida y liraglutida con los preparados originales y halló en algunos principios activos de imitación nuevas impurezas, entre ellas proteínas de mayor peso molecular, trazas de metales y restos de disolventes (Hach 2024, PMID 39379664). Si estas diferencias son clínicamente relevantes es una cuestión abierta, pero muestran que «el mismo principio activo» no significa automáticamente «el mismo producto». Por cierto, el estudio fue realizado por el fabricante de los preparados originales, algo que debe tenerse en cuenta al valorarlo.</w:t>
      </w:r>
    </w:p>
    <w:bookmarkEnd w:id="42"/>
    <w:bookmarkStart w:id="43" w:name="X2d3683797b9783534e141f3a1fb97cc937e26e4"/>
    <w:p>
      <w:pPr>
        <w:pStyle w:val="Heading3"/>
      </w:pPr>
      <w:r>
        <w:t xml:space="preserve">Los péptidos como medicamentos: un grupo en crecimiento</w:t>
      </w:r>
    </w:p>
    <w:p>
      <w:pPr>
        <w:pStyle w:val="FirstParagraph"/>
      </w:pPr>
      <w:r>
        <w:t xml:space="preserve">Los péptidos ocupan un nicho entre las «moléculas pequeñas» clásicas (como la aspirina o la metformina) y los grandes fármacos biológicos (como los anticuerpos). Pueden unirse de forma muy específica a un receptor, lo que a menudo se traduce en pocos efectos adversos indeseados en otros lugares. Al mismo tiempo, es más difícil presentarlos en forma de comprimido y su fabricación suele ser cara.</w:t>
      </w:r>
    </w:p>
    <w:p>
      <w:pPr>
        <w:pStyle w:val="BodyText"/>
      </w:pPr>
      <w:r>
        <w:t xml:space="preserve">Según un artículo de revisión, desde la introducción de la insulina más de 80 medicamentos peptídicos han llegado al mercado, por ejemplo contra la diabetes, el cáncer, la osteoporosis, la esclerosis múltiple, la infección por VIH y el dolor crónico (Muttenthaler 2021, PMID 33536635). Otro análisis contabilizó más de 150 péptidos en desarrollo clínico activo (Lau 2018, PMID 28720325). Las cifras varían según el método de recuento, pero apuntan en la misma dirección: los péptidos son una parte consolidada y creciente de la medicina.</w:t>
      </w:r>
    </w:p>
    <w:p>
      <w:pPr>
        <w:pStyle w:val="BodyText"/>
      </w:pPr>
      <w:r>
        <w:t xml:space="preserve">Es posible que conozca muchos péptidos farmacológicos sin haberlos percibido como tales: la insulina, el antiosteoporótico teriparatida (un fragmento de la hormona paratiroidea de 34 aminoácidos), los principios activos contra el cáncer de próstata que actúan sobre el sistema de la GnRH, la oxitocina utilizada para inducir las contracciones del parto o el antibiótico vancomicina, un glucopéptido.</w:t>
      </w:r>
    </w:p>
    <w:bookmarkEnd w:id="43"/>
    <w:bookmarkStart w:id="44" w:name="lo-que-no-son-los-péptidos"/>
    <w:p>
      <w:pPr>
        <w:pStyle w:val="Heading3"/>
      </w:pPr>
      <w:r>
        <w:t xml:space="preserve">Lo que no son los péptidos</w:t>
      </w:r>
    </w:p>
    <w:p>
      <w:pPr>
        <w:pStyle w:val="FirstParagraph"/>
      </w:pPr>
      <w:r>
        <w:t xml:space="preserve">Precisamente porque el término se ha vuelto tan popular, merece la pena repasar algunos malentendidos frecuentes.</w:t>
      </w:r>
    </w:p>
    <w:p>
      <w:pPr>
        <w:pStyle w:val="BodyText"/>
      </w:pPr>
      <w:r>
        <w:rPr>
          <w:bCs/>
          <w:b/>
        </w:rPr>
        <w:t xml:space="preserve">«Péptido» no es un sello de calidad.</w:t>
      </w:r>
      <w:r>
        <w:t xml:space="preserve"> </w:t>
      </w:r>
      <w:r>
        <w:t xml:space="preserve">La estructura química no dice nada sobre el beneficio o el riesgo. La insulina salva vidas a diario; en una cantidad equivocada puede ser mortal. Un péptido no es automáticamente más suave que un medicamento «químico».</w:t>
      </w:r>
    </w:p>
    <w:p>
      <w:pPr>
        <w:pStyle w:val="BodyText"/>
      </w:pPr>
      <w:r>
        <w:rPr>
          <w:bCs/>
          <w:b/>
        </w:rPr>
        <w:t xml:space="preserve">«Endógeno» no significa «inocuo».</w:t>
      </w:r>
      <w:r>
        <w:t xml:space="preserve"> </w:t>
      </w:r>
      <w:r>
        <w:t xml:space="preserve">Muchos péptidos del mercado gris se anuncian como «endógenos» o «bioidénticos». Pero también las sustancias endógenas pueden causar daño en cantidades anormalmente altas, en el lugar equivocado o durante mucho tiempo. Un ejemplo es el sistema de la hormona del crecimiento: su déficit enferma, y un exceso persistente también. Además, muchos péptidos supuestamente endógenos son en realidad variantes o fragmentos que no existen como tales en el organismo. El BPC-157, por ejemplo, es una secuencia de 15 aminoácidos (Cox 2017, PMID 28035768) que sus descubridores derivaron del jugo gástrico; no está establecido como hormona propia del ser humano.</w:t>
      </w:r>
    </w:p>
    <w:p>
      <w:pPr>
        <w:pStyle w:val="BodyText"/>
      </w:pPr>
      <w:r>
        <w:rPr>
          <w:bCs/>
          <w:b/>
        </w:rPr>
        <w:t xml:space="preserve">Los péptidos no son esteroides.</w:t>
      </w:r>
      <w:r>
        <w:t xml:space="preserve"> </w:t>
      </w:r>
      <w:r>
        <w:t xml:space="preserve">Los anabolizantes como la testosterona son hormonas esteroideas con un esqueleto químico completamente distinto, formado por anillos de carbono. Actúan a través de receptores situados en el interior de la célula. En el ámbito del fitness, ambos grupos se meten a veces en el mismo saco; química y farmacológicamente tienen poco en común.</w:t>
      </w:r>
    </w:p>
    <w:p>
      <w:pPr>
        <w:pStyle w:val="BodyText"/>
      </w:pPr>
      <w:r>
        <w:rPr>
          <w:bCs/>
          <w:b/>
        </w:rPr>
        <w:t xml:space="preserve">No todo lo que actúa de forma parecida es un péptido.</w:t>
      </w:r>
      <w:r>
        <w:t xml:space="preserve"> </w:t>
      </w:r>
      <w:r>
        <w:t xml:space="preserve">El orforglipron, por ejemplo, activa el receptor de GLP-1 igual que la semaglutida, pero es una molécula pequeña no peptídica. El ibutamoren (MK-677) estimula la secreción de hormona del crecimiento como algunos péptidos, pero no lo es. Por eso, ambos se tratan en este libro solo a efectos comparativos.</w:t>
      </w:r>
    </w:p>
    <w:p>
      <w:pPr>
        <w:pStyle w:val="BodyText"/>
      </w:pPr>
      <w:r>
        <w:rPr>
          <w:bCs/>
          <w:b/>
        </w:rPr>
        <w:t xml:space="preserve">Un péptido en una crema no es lo mismo que un péptido en una inyección.</w:t>
      </w:r>
      <w:r>
        <w:t xml:space="preserve"> </w:t>
      </w:r>
      <w:r>
        <w:t xml:space="preserve">Los péptidos cosméticos como el palmitoil pentapéptido-4 están diseñados expresamente para actuar en la capa más superficial de la piel. Si penetran, y hasta qué profundidad, es otra cuestión. A la inversa, un péptido que se inyecta como medicamento no atraviesa sin más la piel si se aplica sobre ella.</w:t>
      </w:r>
    </w:p>
    <w:p>
      <w:pPr>
        <w:pStyle w:val="BodyText"/>
      </w:pPr>
      <w:r>
        <w:rPr>
          <w:bCs/>
          <w:b/>
        </w:rPr>
        <w:t xml:space="preserve">Los péptidos ingeridos suelen digerirse.</w:t>
      </w:r>
      <w:r>
        <w:t xml:space="preserve"> </w:t>
      </w:r>
      <w:r>
        <w:t xml:space="preserve">El tubo digestivo está diseñado para descomponer las proteínas en aminoácidos y fragmentos muy cortos. Por eso, una hormona peptídica que se traga se degrada, por regla general, antes de poder actuar. Las excepciones —como algunos péptidos muy pequeños del colágeno detectables en la sangre o el comprimido de semaglutida con su excipiente— se explican dos capítulos más adelante.</w:t>
      </w:r>
    </w:p>
    <w:bookmarkEnd w:id="44"/>
    <w:bookmarkStart w:id="45" w:name="natural-idéntico-al-natural-modificado"/>
    <w:p>
      <w:pPr>
        <w:pStyle w:val="Heading3"/>
      </w:pPr>
      <w:r>
        <w:t xml:space="preserve">Natural, idéntico al natural, modificado</w:t>
      </w:r>
    </w:p>
    <w:p>
      <w:pPr>
        <w:pStyle w:val="FirstParagraph"/>
      </w:pPr>
      <w:r>
        <w:t xml:space="preserve">Para clasificar los péptidos de la Parte II resulta útil una distinción sencilla:</w:t>
      </w:r>
    </w:p>
    <w:p>
      <w:pPr>
        <w:numPr>
          <w:ilvl w:val="0"/>
          <w:numId w:val="1006"/>
        </w:numPr>
        <w:pStyle w:val="Compact"/>
      </w:pPr>
      <w:r>
        <w:rPr>
          <w:bCs/>
          <w:b/>
        </w:rPr>
        <w:t xml:space="preserve">Los péptidos idénticos a los naturales</w:t>
      </w:r>
      <w:r>
        <w:t xml:space="preserve"> </w:t>
      </w:r>
      <w:r>
        <w:t xml:space="preserve">corresponden exactamente a una molécula endógena, como la oxitocina o el glutatión.</w:t>
      </w:r>
    </w:p>
    <w:p>
      <w:pPr>
        <w:numPr>
          <w:ilvl w:val="0"/>
          <w:numId w:val="1006"/>
        </w:numPr>
        <w:pStyle w:val="Compact"/>
      </w:pPr>
      <w:r>
        <w:rPr>
          <w:bCs/>
          <w:b/>
        </w:rPr>
        <w:t xml:space="preserve">Los análogos modificados</w:t>
      </w:r>
      <w:r>
        <w:t xml:space="preserve"> </w:t>
      </w:r>
      <w:r>
        <w:t xml:space="preserve">derivan del modelo natural, pero se han modificado de forma específica: mediante aminoácidos sustituidos, ácidos grasos añadidos o estructuras cíclicas. Casi todos los medicamentos peptídicos modernos pertenecen a este grupo.</w:t>
      </w:r>
    </w:p>
    <w:p>
      <w:pPr>
        <w:numPr>
          <w:ilvl w:val="0"/>
          <w:numId w:val="1006"/>
        </w:numPr>
        <w:pStyle w:val="Compact"/>
      </w:pPr>
      <w:r>
        <w:rPr>
          <w:bCs/>
          <w:b/>
        </w:rPr>
        <w:t xml:space="preserve">Los péptidos ajenos o de nuevo diseño</w:t>
      </w:r>
      <w:r>
        <w:t xml:space="preserve"> </w:t>
      </w:r>
      <w:r>
        <w:t xml:space="preserve">proceden de otros seres vivos (como la exendina-4 de la saliva del monstruo de Gila) o se han desarrollado de nuevo en el laboratorio (como los péptidos cosméticos o los agonistas dobles y triples tirzepatida y retatrutida).</w:t>
      </w:r>
    </w:p>
    <w:p>
      <w:pPr>
        <w:pStyle w:val="FirstParagraph"/>
      </w:pPr>
      <w:r>
        <w:t xml:space="preserve">Esta clasificación por sí sola no es decisiva para la seguridad. Pero ayuda a entender por qué los estudios en seres humanos son imprescindibles en los tres grupos: incluso una molécula idéntica a la natural se comporta de otra manera cuando se administra desde fuera en grandes cantidades.</w:t>
      </w:r>
    </w:p>
    <w:bookmarkEnd w:id="45"/>
    <w:bookmarkStart w:id="46" w:name="Xe800e09dad28d148dab21c2e621ec9890584a75"/>
    <w:p>
      <w:pPr>
        <w:pStyle w:val="Heading3"/>
      </w:pPr>
      <w:r>
        <w:t xml:space="preserve">Por qué los péptidos reciben ahora tanta atención</w:t>
      </w:r>
    </w:p>
    <w:p>
      <w:pPr>
        <w:pStyle w:val="FirstParagraph"/>
      </w:pPr>
      <w:r>
        <w:t xml:space="preserve">Tres evoluciones explican el auge de los últimos años:</w:t>
      </w:r>
    </w:p>
    <w:p>
      <w:pPr>
        <w:pStyle w:val="BodyText"/>
      </w:pPr>
      <w:r>
        <w:rPr>
          <w:bCs/>
          <w:b/>
        </w:rPr>
        <w:t xml:space="preserve">En primer lugar, los medicamentos GLP-1.</w:t>
      </w:r>
      <w:r>
        <w:t xml:space="preserve"> </w:t>
      </w:r>
      <w:r>
        <w:t xml:space="preserve">Los resultados de principios activos como la semaglutida y la tirzepatida en el exceso de peso han llevado a los péptidos a los titulares. En el estudio de registro STEP 1, los participantes que recibieron semaglutida perdieron de media el 14,9 % de su peso corporal, frente al 2,4 % con placebo (Wilding 2021, PMID 33567185). Hasta entonces no se habían alcanzado cifras así con medicamentos.</w:t>
      </w:r>
    </w:p>
    <w:p>
      <w:pPr>
        <w:pStyle w:val="BodyText"/>
      </w:pPr>
      <w:r>
        <w:rPr>
          <w:bCs/>
          <w:b/>
        </w:rPr>
        <w:t xml:space="preserve">En segundo lugar, la facilidad de acceso.</w:t>
      </w:r>
      <w:r>
        <w:t xml:space="preserve"> </w:t>
      </w:r>
      <w:r>
        <w:t xml:space="preserve">Hoy en día, los péptidos cortos pueden sintetizarse a bajo coste en muchos países y se ofrecen en todo el mundo a través de internet, a menudo con la etiqueta «solo para fines de investigación». Qué significa esto se trata en el capítulo sobre el mercado gris.</w:t>
      </w:r>
    </w:p>
    <w:p>
      <w:pPr>
        <w:pStyle w:val="BodyText"/>
      </w:pPr>
      <w:r>
        <w:rPr>
          <w:bCs/>
          <w:b/>
        </w:rPr>
        <w:t xml:space="preserve">En tercer lugar, las redes sociales.</w:t>
      </w:r>
      <w:r>
        <w:t xml:space="preserve"> </w:t>
      </w:r>
      <w:r>
        <w:t xml:space="preserve">Los testimonios, las fotos de antes y después y las recomendaciones de influencers se difunden más rápido que los datos científicos. Un artículo de revisión describe cómo la publicidad digital, el acceso al mercado gris y la autoinyección interactúan y normalizan productos cuya identidad, pureza y seguridad no están claras (Hailu 2026, PMID 42437212).</w:t>
      </w:r>
    </w:p>
    <w:p>
      <w:pPr>
        <w:pStyle w:val="BodyText"/>
      </w:pPr>
      <w:r>
        <w:t xml:space="preserve">Este libro pretende ofrecer aquí un contrapunto sobrio: para cada péptido se examina qué se ha investigado realmente en el ser humano y qué no.</w:t>
      </w:r>
    </w:p>
    <w:bookmarkEnd w:id="46"/>
    <w:bookmarkStart w:id="47" w:name="lo-esencial-en-resumen"/>
    <w:p>
      <w:pPr>
        <w:pStyle w:val="Heading3"/>
      </w:pPr>
      <w:r>
        <w:t xml:space="preserve">Lo esencial en resumen</w:t>
      </w:r>
    </w:p>
    <w:p>
      <w:pPr>
        <w:numPr>
          <w:ilvl w:val="0"/>
          <w:numId w:val="1007"/>
        </w:numPr>
        <w:pStyle w:val="Compact"/>
      </w:pPr>
      <w:r>
        <w:t xml:space="preserve">Los péptidos son cadenas de aminoácidos unidos por enlaces peptídicos. A partir de unos 50 aminoácidos se suele hablar de proteínas.</w:t>
      </w:r>
    </w:p>
    <w:p>
      <w:pPr>
        <w:numPr>
          <w:ilvl w:val="0"/>
          <w:numId w:val="1007"/>
        </w:numPr>
        <w:pStyle w:val="Compact"/>
      </w:pPr>
      <w:r>
        <w:t xml:space="preserve">En el organismo, los péptidos actúan sobre todo como mensajeros a través de receptores de la superficie celular.</w:t>
      </w:r>
    </w:p>
    <w:p>
      <w:pPr>
        <w:numPr>
          <w:ilvl w:val="0"/>
          <w:numId w:val="1007"/>
        </w:numPr>
        <w:pStyle w:val="Compact"/>
      </w:pPr>
      <w:r>
        <w:t xml:space="preserve">Los péptidos naturales se degradan rápidamente. Por eso, los medicamentos peptídicos modernos son casi siempre moléculas modificadas de forma específica.</w:t>
      </w:r>
    </w:p>
    <w:p>
      <w:pPr>
        <w:numPr>
          <w:ilvl w:val="0"/>
          <w:numId w:val="1007"/>
        </w:numPr>
        <w:pStyle w:val="Compact"/>
      </w:pPr>
      <w:r>
        <w:t xml:space="preserve">Los péptidos se sintetizan químicamente, se producen por ingeniería genética o se obtienen de fuentes naturales. La vía de fabricación y la pureza influyen en la seguridad.</w:t>
      </w:r>
    </w:p>
    <w:p>
      <w:pPr>
        <w:numPr>
          <w:ilvl w:val="0"/>
          <w:numId w:val="1007"/>
        </w:numPr>
        <w:pStyle w:val="Compact"/>
      </w:pPr>
      <w:r>
        <w:t xml:space="preserve">«Péptido» es una descripción química, no un sello de calidad. Solo los buenos estudios pueden demostrar si un péptido concreto es eficaz y seguro en el ser humano.</w:t>
      </w:r>
    </w:p>
    <w:bookmarkEnd w:id="47"/>
    <w:bookmarkEnd w:id="48"/>
    <w:bookmarkStart w:id="62" w:name="X86c49c171f6893a764782d4e14ad611f4fff43b"/>
    <w:p>
      <w:pPr>
        <w:pStyle w:val="Heading2"/>
      </w:pPr>
      <w:r>
        <w:t xml:space="preserve">Breve historia: de la insulina a los medicamentos GLP-1</w:t>
      </w:r>
    </w:p>
    <w:p>
      <w:pPr>
        <w:pStyle w:val="FirstParagraph"/>
      </w:pPr>
      <w:r>
        <w:t xml:space="preserve">La historia de los medicamentos peptídicos es una historia de avances decisivos, callejones sin salida y casualidades asombrosas. Comienza con un experimento desesperado en Toronto, pasa por el veneno de un lagarto del desierto norteamericano y termina, de momento, en inyecciones para adelgazar que figuran entre los medicamentos más vendidos del mundo. Este capítulo recorre las etapas más importantes. Pretende ayudarle a situar en su contexto el revuelo actual en torno a los péptidos: mucho de lo que se vende como revolucionario se apoya sobre los hombros de cien años de laboriosa investigación.</w:t>
      </w:r>
    </w:p>
    <w:bookmarkStart w:id="49" w:name="X8e614624e86b7d223a73ac5444418eeb14d09a8"/>
    <w:p>
      <w:pPr>
        <w:pStyle w:val="Heading3"/>
      </w:pPr>
      <w:r>
        <w:t xml:space="preserve">Antes de 1922: se descubren los mensajeros químicos</w:t>
      </w:r>
    </w:p>
    <w:p>
      <w:pPr>
        <w:pStyle w:val="FirstParagraph"/>
      </w:pPr>
      <w:r>
        <w:t xml:space="preserve">Hacia 1900 se impuso en la fisiología una idea nueva: los órganos no se comunican solo a través de los nervios, sino también mediante mensajeros químicos presentes en la sangre. Los fisiólogos británicos William Bayliss y Ernest Starling describieron en 1902 la secretina, una sustancia de la pared intestinal que estimula al páncreas a producir jugo. Poco después, Starling acuñó para estos mensajeros el término «hormona». La secretina es, como se sabe hoy, un péptido. Así pues, un péptido estuvo en el origen de toda la investigación hormonal.</w:t>
      </w:r>
    </w:p>
    <w:p>
      <w:pPr>
        <w:pStyle w:val="BodyText"/>
      </w:pPr>
      <w:r>
        <w:t xml:space="preserve">Al mismo tiempo se sabía que la diabetes (diabetes mellitus) estaba relacionada con el páncreas. Los perros a los que se extirpaba este órgano desarrollaban una diabetes mortal. Muchos grupos de investigación intentaron obtener de la glándula la supuesta sustancia que reducía el azúcar en sangre. Sin embargo, los extractos eran ineficaces o estaban tan contaminados que provocaban reacciones graves.</w:t>
      </w:r>
    </w:p>
    <w:bookmarkEnd w:id="49"/>
    <w:bookmarkStart w:id="50" w:name="X7408614b2fac4a204700aec98f497a854a3b194"/>
    <w:p>
      <w:pPr>
        <w:pStyle w:val="Heading3"/>
      </w:pPr>
      <w:r>
        <w:t xml:space="preserve">1922: la insulina, el primer medicamento peptídico</w:t>
      </w:r>
    </w:p>
    <w:p>
      <w:pPr>
        <w:pStyle w:val="FirstParagraph"/>
      </w:pPr>
      <w:r>
        <w:t xml:space="preserve">En el verano de 1921, un grupo de la Universidad de Toronto dio el paso decisivo. Frederick Banting y Charles Best, bajo la dirección de John Macleod, obtuvieron un extracto que reducía la glucemia en perros sin páncreas. El bioquímico James Collip mejoró la purificación hasta el punto de que el extracto pudo probarse en seres humanos. En enero de 1922, un muchacho de 14 años con diabetes grave recibió las primeras inyecciones en Toronto. Ese mismo año, el grupo informó de su experiencia con pacientes (Banting 1922, PMID 20314060).</w:t>
      </w:r>
    </w:p>
    <w:p>
      <w:pPr>
        <w:pStyle w:val="BodyText"/>
      </w:pPr>
      <w:r>
        <w:t xml:space="preserve">El efecto fue espectacular: la diabetes tipo 1, hasta entonces mortal en poco tiempo, se convirtió en una enfermedad crónica tratable. Un artículo de revisión con motivo del centenario describe precisamente este cambio como el núcleo del descubrimiento (Sims 2021, PMID 34267380). Banting y Macleod recibieron en 1923 el Premio Nobel de Medicina.</w:t>
      </w:r>
    </w:p>
    <w:p>
      <w:pPr>
        <w:pStyle w:val="BodyText"/>
      </w:pPr>
      <w:r>
        <w:t xml:space="preserve">Las décadas siguientes giraron, como resume una revisión histórica, en torno a cuestiones muy prácticas: producir suficiente insulina, hacerla más pura para evitar reacciones alérgicas, establecer estándares y prolongar la duración del efecto para que fueran necesarias menos inyecciones (Owens 2022, PMID 34708913). Precisamente estos temas —fabricación, pureza, duración del efecto, administración— acompañan a la medicina peptídica hasta hoy.</w:t>
      </w:r>
    </w:p>
    <w:bookmarkEnd w:id="50"/>
    <w:bookmarkStart w:id="51" w:name="Xb1e1cc713ae9b6c14b3eb45a088ad72479e6df8"/>
    <w:p>
      <w:pPr>
        <w:pStyle w:val="Heading3"/>
      </w:pPr>
      <w:r>
        <w:t xml:space="preserve">Década de 1950: los péptidos se vuelven legibles y fabricables</w:t>
      </w:r>
    </w:p>
    <w:p>
      <w:pPr>
        <w:pStyle w:val="FirstParagraph"/>
      </w:pPr>
      <w:r>
        <w:t xml:space="preserve">Durante mucho tiempo no estuvo claro cómo estaba constituida químicamente la insulina. A principios de la década de 1950, el bioquímico británico Frederick Sanger descifró paso a paso la secuencia de aminoácidos de las dos cadenas de la insulina (Sanger 1952, PMID 13018185). La insulina se convirtió así en la primera proteína cuya secuencia completa se conocía. Sanger recibió por ello el Premio Nobel de Química en 1958. El descubrimiento de que las proteínas tienen un orden de componentes fijo y exactamente definido fue fundamental para toda la biología molecular.</w:t>
      </w:r>
    </w:p>
    <w:p>
      <w:pPr>
        <w:pStyle w:val="BodyText"/>
      </w:pPr>
      <w:r>
        <w:t xml:space="preserve">Casi al mismo tiempo, el químico estadounidense Vincent du Vigneaud logró la primera síntesis química de una hormona peptídica: la oxitocina, una hormona de nueve aminoácidos que desencadena las contracciones del parto y la salida de la leche. Fue galardonado por ello con el Premio Nobel de Química en 1955. Por primera vez se había «reproducido» en el laboratorio una hormona endógena; la oxitocina sintética se sigue utilizando hoy en obstetricia.</w:t>
      </w:r>
    </w:p>
    <w:p>
      <w:pPr>
        <w:pStyle w:val="BodyText"/>
      </w:pPr>
      <w:r>
        <w:t xml:space="preserve">En la década de 1960, Robert Bruce Merrifield desarrolló la síntesis en fase sólida, en la que una cadena peptídica se alarga componente a componente sobre un soporte sólido (Merrifield 1969, PMID 4307033). El procedimiento podía automatizarse y fue lo que hizo viable la fabricación de cualquier péptido corto. Merrifield recibió el Premio Nobel de Química en 1984. Sin esta técnica no existirían ni la mayoría de los medicamentos peptídicos modernos ni el mercado gris actual.</w:t>
      </w:r>
    </w:p>
    <w:bookmarkEnd w:id="51"/>
    <w:bookmarkStart w:id="52" w:name="décadas-de-1960-y-1970-medir-y-regular"/>
    <w:p>
      <w:pPr>
        <w:pStyle w:val="Heading3"/>
      </w:pPr>
      <w:r>
        <w:t xml:space="preserve">Décadas de 1960 y 1970: medir y regular</w:t>
      </w:r>
    </w:p>
    <w:p>
      <w:pPr>
        <w:pStyle w:val="FirstParagraph"/>
      </w:pPr>
      <w:r>
        <w:t xml:space="preserve">Otro obstáculo era la posibilidad de medirlos. Las hormonas peptídicas están presentes en la sangre en cantidades ínfimas. Rosalyn Yalow y Solomon Berson desarrollaron un método de medición con anticuerpos y moléculas marcadas radiactivamente, el radioinmunoensayo, y determinaron con él por primera vez la insulina en la sangre de seres humanos (Yalow 1960, PMID 13846364). Yalow recibió el Premio Nobel en 1977. De repente era posible seguir cuándo libera el organismo cada hormona peptídica.</w:t>
      </w:r>
    </w:p>
    <w:p>
      <w:pPr>
        <w:pStyle w:val="BodyText"/>
      </w:pPr>
      <w:r>
        <w:t xml:space="preserve">Ese mismo año fueron galardonados Roger Guillemin y Andrew Schally. Habían descifrado los mensajeros peptídicos del hipotálamo, la región cerebral que da órdenes a la hipófisis. De estos descubrimientos surgieron clases enteras de medicamentos: los derivados de la hormona liberadora de gonadotropinas (GnRH) se utilizan, por ejemplo, en el cáncer de próstata, la endometriosis y los tratamientos de fertilidad. La hormona somatostatina sirvió de modelo para la octreotida, que se emplea en tumores productores de hormonas y en la acromegalia. También los péptidos liberadores de hormona del crecimiento, que se tratan en detalle en la Parte II, tienen aquí sus raíces.</w:t>
      </w:r>
    </w:p>
    <w:bookmarkEnd w:id="52"/>
    <w:bookmarkStart w:id="53" w:name="X99407c05d9644cbcf0d292a0cf64e9afac375ba"/>
    <w:p>
      <w:pPr>
        <w:pStyle w:val="Heading3"/>
      </w:pPr>
      <w:r>
        <w:t xml:space="preserve">Década de 1980: la ingeniería genética lo cambia todo</w:t>
      </w:r>
    </w:p>
    <w:p>
      <w:pPr>
        <w:pStyle w:val="FirstParagraph"/>
      </w:pPr>
      <w:r>
        <w:t xml:space="preserve">Hasta la década de 1980, la insulina procedía del páncreas de animales de matadero. La hormona del crecimiento humana se obtenía de las hipófisis de personas fallecidas; este periodo abarcó de 1958 a 1985 (Ranke 2018, PMID 29546874). Este método de obtención tuvo una trágica contrapartida: algunos niños que habían recibido esa hormona desarrollaron años después la enfermedad de Creutzfeldt-Jakob, transmitida por preparados contaminados. El episodio sigue siendo hoy un recordatorio de lo importantes que son la pureza y el origen de los principios activos biológicos.</w:t>
      </w:r>
    </w:p>
    <w:p>
      <w:pPr>
        <w:pStyle w:val="BodyText"/>
      </w:pPr>
      <w:r>
        <w:t xml:space="preserve">La ingeniería genética ofreció una salida. La insulina humana, producida en bacterias, empezó a utilizarse en estudios clínicos en seres humanos a partir de 1980 y fue el primer medicamento obtenido mediante tecnología de ADN recombinante (The 1989, PMID 2690608). Pocos años después llegó la hormona del crecimiento recombinante. Por primera vez se disponía de péptidos y proteínas humanos en cantidades prácticamente ilimitadas.</w:t>
      </w:r>
    </w:p>
    <w:p>
      <w:pPr>
        <w:pStyle w:val="BodyText"/>
      </w:pPr>
      <w:r>
        <w:t xml:space="preserve">En la década de 1990, los fabricantes fueron un paso más allá: modificaron de forma específica las moléculas de insulina para que actuaran más rápido o más despacio. Estos «análogos de insulina» fueron un precursor del principio que más tarde haría tan exitosos a los medicamentos GLP-1: un modelo natural, optimizado en el laboratorio para su uso.</w:t>
      </w:r>
    </w:p>
    <w:p>
      <w:pPr>
        <w:pStyle w:val="BodyText"/>
      </w:pPr>
      <w:r>
        <w:t xml:space="preserve">También se consolidaron otros medicamentos peptídicos. Un ejemplo es la teriparatida, un fragmento de la hormona paratiroidea. En un gran estudio con 1637 mujeres posmenopáusicas con osteoporosis, se produjeron nuevas fracturas vertebrales en el 14 % de las mujeres con placebo, pero solo en el 5 % y el 4 %, respectivamente, en los dos grupos de teriparatida (Neer 2001, PMID 11346808). Los estudios de este tipo, con variables «duras» como las fracturas óseas, fijaron el listón con el que deben medirse también los nuevos péptidos.</w:t>
      </w:r>
    </w:p>
    <w:bookmarkEnd w:id="53"/>
    <w:bookmarkStart w:id="54" w:name="X1e6593454364dd7c0b39572b1c89e0706184b1f"/>
    <w:p>
      <w:pPr>
        <w:pStyle w:val="Heading3"/>
      </w:pPr>
      <w:r>
        <w:t xml:space="preserve">Las incretinas: del intestino al medicamento</w:t>
      </w:r>
    </w:p>
    <w:p>
      <w:pPr>
        <w:pStyle w:val="FirstParagraph"/>
      </w:pPr>
      <w:r>
        <w:t xml:space="preserve">La historia de los medicamentos GLP-1 comienza con una observación de la década de 1960: el azúcar que se ingiere desencadena una secreción de insulina mucho mayor que la misma cantidad de azúcar inyectada directamente en la sangre. Por tanto, el intestino debe enviar señales al páncreas durante la comida. A estas sustancias señalizadoras se las llamó incretinas.</w:t>
      </w:r>
    </w:p>
    <w:p>
      <w:pPr>
        <w:pStyle w:val="BodyText"/>
      </w:pPr>
      <w:r>
        <w:t xml:space="preserve">La primera incretina conocida fue el GIP (polipéptido insulinotrópico dependiente de glucosa). En la década de 1980 se descubrió una segunda: el péptido similar al glucagón tipo 1 (glucagon-like peptide-1), abreviado GLP-1. Un grupo británico demostró en 1987 que el GLP-1 aumenta en la sangre humana después de una comida, que —infundido en cantidades similares a las posteriores a comer— aumentaba la secreción de insulina y reducía la glucemia en siete voluntarios, y que era más eficaz que el GIP (Kreymann 1987, PMID 2890903).</w:t>
      </w:r>
    </w:p>
    <w:p>
      <w:pPr>
        <w:pStyle w:val="BodyText"/>
      </w:pPr>
      <w:r>
        <w:t xml:space="preserve">El problema: el GLP-1 natural es degradado en la sangre en cuestión de minutos por la enzima DPP-4 (Deacon 1995, PMID 7883856). Así apenas podía utilizarse como medicamento. Se siguieron dos vías de solución: inhibidores de la enzima degradadora (las llamadas gliptinas, autorizadas como comprimidos y que no son péptidos) y réplicas estables del propio GLP-1.</w:t>
      </w:r>
    </w:p>
    <w:bookmarkEnd w:id="54"/>
    <w:bookmarkStart w:id="55" w:name="el-veneno-del-lagarto-la-exenatida"/>
    <w:p>
      <w:pPr>
        <w:pStyle w:val="Heading3"/>
      </w:pPr>
      <w:r>
        <w:t xml:space="preserve">El veneno del lagarto: la exenatida</w:t>
      </w:r>
    </w:p>
    <w:p>
      <w:pPr>
        <w:pStyle w:val="FirstParagraph"/>
      </w:pPr>
      <w:r>
        <w:t xml:space="preserve">La primera réplica estable llegó por un camino inesperado. A principios de la década de 1990, el endocrinólogo estadounidense John Eng estudió el veneno del monstruo de Gila (Heloderma suspectum), un reptil venenoso del suroeste de Estados Unidos. Aisló de él un péptido de 39 aminoácidos al que llamó exendina-4 (Eng 1992, PMID 1313797). La exendina-4 se parece al GLP-1 humano, activa el mismo receptor, pero apenas es atacada por la DPP-4.</w:t>
      </w:r>
    </w:p>
    <w:p>
      <w:pPr>
        <w:pStyle w:val="BodyText"/>
      </w:pPr>
      <w:r>
        <w:t xml:space="preserve">La exendina-4 sintética recibió el nombre de exenatida y fue autorizada en Estados Unidos en 2005 como el primer medicamento de esta clase. En uno de los estudios de registro, con 336 personas con diabetes tipo 2 que ya tomaban metformina, el valor de glucemia a largo plazo HbA1c disminuyó al cabo de 30 semanas 0,78 puntos porcentuales en el grupo de dosis más alta, mientras que con placebo aumentó ligeramente 0,08 puntos porcentuales. Al mismo tiempo, los participantes que recibieron exenatida perdieron peso, 2,8 kg con la dosis más alta (DeFronzo 2005, PMID 15855572). Al principio, la exenatida debía inyectarse dos veces al día.</w:t>
      </w:r>
    </w:p>
    <w:p>
      <w:pPr>
        <w:pStyle w:val="BodyText"/>
      </w:pPr>
      <w:r>
        <w:t xml:space="preserve">La pérdida de peso se consideraba entonces un efecto secundario bienvenido. Que precisamente este efecto haría famosa a toda la clase dos décadas después probablemente lo intuían pocos.</w:t>
      </w:r>
    </w:p>
    <w:bookmarkEnd w:id="55"/>
    <w:bookmarkStart w:id="56" w:name="X5e484ea14db2158fa87e7f405da70d9f6399121"/>
    <w:p>
      <w:pPr>
        <w:pStyle w:val="Heading3"/>
      </w:pPr>
      <w:r>
        <w:t xml:space="preserve">Acción más prolongada: liraglutida y semaglutida</w:t>
      </w:r>
    </w:p>
    <w:p>
      <w:pPr>
        <w:pStyle w:val="FirstParagraph"/>
      </w:pPr>
      <w:r>
        <w:t xml:space="preserve">El fabricante danés Novo Nordisk siguió otro camino. En lugar de utilizar un péptido ajeno, modificó el GLP-1 humano de manera que se uniera en la sangre a la proteína transportadora albúmina y, por tanto, se degradara más lentamente. El resultado fue la liraglutida, que se inyecta una vez al día y fue autorizada en la UE en 2009. Una revisión de sus desarrolladores describe cómo se buscaron combinaciones adecuadas de ácido graso y espaciador para maximizar la unión a la albúmina sin perder el efecto sobre el receptor (Knudsen 2019, PMID 31031702).</w:t>
      </w:r>
    </w:p>
    <w:p>
      <w:pPr>
        <w:pStyle w:val="BodyText"/>
      </w:pPr>
      <w:r>
        <w:t xml:space="preserve">Más tarde, la liraglutida se probó también a dosis más altas para el tratamiento del peso. En el estudio SCALE, con 3731 participantes sin diabetes, las personas que recibieron liraglutida perdieron de media 8,4 kg en 56 semanas, frente a 2,8 kg con placebo (Pi-Sunyer 2015, PMID 26132939).</w:t>
      </w:r>
    </w:p>
    <w:p>
      <w:pPr>
        <w:pStyle w:val="BodyText"/>
      </w:pPr>
      <w:r>
        <w:t xml:space="preserve">El siguiente paso lo marcó la semaglutida: una molécula unida aún más intensamente a la albúmina, que solo debe inyectarse una vez a la semana (Lau 2015, PMID 26308095). En el estudio de registro STEP 1, con 1961 adultos con sobrepeso u obesidad, el peso corporal disminuyó de media un 14,9 % en 68 semanas, frente a un 2,4 % con placebo (Wilding 2021, PMID 33567185). Este orden de magnitud superaba claramente todo lo que habían logrado los medicamentos para adelgazar anteriores.</w:t>
      </w:r>
    </w:p>
    <w:bookmarkEnd w:id="56"/>
    <w:bookmarkStart w:id="57" w:name="de-la-glucemia-al-corazón"/>
    <w:p>
      <w:pPr>
        <w:pStyle w:val="Heading3"/>
      </w:pPr>
      <w:r>
        <w:t xml:space="preserve">De la glucemia al corazón</w:t>
      </w:r>
    </w:p>
    <w:p>
      <w:pPr>
        <w:pStyle w:val="FirstParagraph"/>
      </w:pPr>
      <w:r>
        <w:t xml:space="preserve">Un punto de inflexión llegó cuando, a partir de 2008 y tras problemas con otro antidiabético, las autoridades exigieron a los nuevos medicamentos para la diabetes que demostraran su seguridad cardiovascular en grandes estudios. En principio, estos estudios solo debían demostrar que los fármacos no ponían en peligro el corazón. Con los medicamentos GLP-1 mostraron más.</w:t>
      </w:r>
    </w:p>
    <w:p>
      <w:pPr>
        <w:pStyle w:val="BodyText"/>
      </w:pPr>
      <w:r>
        <w:t xml:space="preserve">En el estudio LEADER, con 9340 personas con diabetes tipo 2 y alto riesgo cardiovascular, el evento combinado de muerte cardiovascular, infarto de miocardio no mortal o ictus se produjo en el 13,0 % con liraglutida y en el 14,9 % con placebo (Marso 2016, PMID 27295427). En el estudio SUSTAIN-6, con 3297 participantes, fue del 6,6 % con semaglutida y del 8,9 % con placebo; no obstante, con semaglutida se produjeron con más frecuencia complicaciones en la retina (Marso 2016, PMID 27633186).</w:t>
      </w:r>
    </w:p>
    <w:p>
      <w:pPr>
        <w:pStyle w:val="BodyText"/>
      </w:pPr>
      <w:r>
        <w:t xml:space="preserve">En 2023 llegó el estudio SELECT, el primero que investigó a personas con sobrepeso y enfermedad cardiovascular, pero sin diabetes. En 17.604 participantes, el evento cardiovascular combinado se produjo a lo largo de una media de 39,8 meses en el 6,5 % con semaglutida y en el 8,0 % con placebo (Lincoff 2023, PMID 37952131). Con ello quedó demostrado que un medicamento peptídico en la obesidad puede influir no solo en el peso, sino también en eventos duros como los infartos. Qué significan estos porcentajes, y por qué hay que distinguir entre diferencias relativas y absolutas, se explica en el capítulo «Cómo leer correctamente los estudios».</w:t>
      </w:r>
    </w:p>
    <w:bookmarkEnd w:id="57"/>
    <w:bookmarkStart w:id="58" w:name="el-comprimido-y-los-agonistas-múltiples"/>
    <w:p>
      <w:pPr>
        <w:pStyle w:val="Heading3"/>
      </w:pPr>
      <w:r>
        <w:t xml:space="preserve">El comprimido y los agonistas múltiples</w:t>
      </w:r>
    </w:p>
    <w:p>
      <w:pPr>
        <w:pStyle w:val="FirstParagraph"/>
      </w:pPr>
      <w:r>
        <w:t xml:space="preserve">Otras dos evoluciones han marcado los últimos años.</w:t>
      </w:r>
    </w:p>
    <w:p>
      <w:pPr>
        <w:pStyle w:val="BodyText"/>
      </w:pPr>
      <w:r>
        <w:rPr>
          <w:bCs/>
          <w:b/>
        </w:rPr>
        <w:t xml:space="preserve">El primer comprimido peptídico de esta clase.</w:t>
      </w:r>
      <w:r>
        <w:t xml:space="preserve"> </w:t>
      </w:r>
      <w:r>
        <w:t xml:space="preserve">Gracias a un excipiente especial se logró disponer de la semaglutida en forma de comprimido. En el estudio PIONEER 1, la semaglutida oral redujo el valor de HbA1c en personas con diabetes tipo 2 de forma claramente mayor que el placebo (Aroda 2019, PMID 31186300). Cómo funciona esto técnicamente se explica en el capítulo siguiente.</w:t>
      </w:r>
    </w:p>
    <w:p>
      <w:pPr>
        <w:pStyle w:val="BodyText"/>
      </w:pPr>
      <w:r>
        <w:rPr>
          <w:bCs/>
          <w:b/>
        </w:rPr>
        <w:t xml:space="preserve">Principios activos combinados.</w:t>
      </w:r>
      <w:r>
        <w:t xml:space="preserve"> </w:t>
      </w:r>
      <w:r>
        <w:t xml:space="preserve">La tirzepatida activa simultáneamente el receptor de GLP-1 y el de GIP. En el estudio SURMOUNT-1, con 2539 adultos con obesidad, la pérdida de peso media al cabo de 72 semanas fue, según la dosis, del 15,0 % al 20,9 %, frente al 3,1 % con placebo (Jastreboff 2022, PMID 35658024). Actualmente se están evaluando en grandes estudios agonistas triples como la retatrutida, así como combinaciones con la hormona amilina. La Parte II los presenta uno por uno, y la Parte V echa un vistazo a la cartera de desarrollo.</w:t>
      </w:r>
    </w:p>
    <w:p>
      <w:pPr>
        <w:pStyle w:val="BodyText"/>
      </w:pPr>
      <w:r>
        <w:t xml:space="preserve">Es llamativo que la incretina GIP, considerada en la década de 1980 más débil que el GLP-1 (Kreymann 1987, PMID 2890903), vuelva a desempeñar un papel en combinación. La investigación rara vez avanza en línea recta.</w:t>
      </w:r>
    </w:p>
    <w:bookmarkEnd w:id="58"/>
    <w:bookmarkStart w:id="59" w:name="la-otra-cara-del-éxito"/>
    <w:p>
      <w:pPr>
        <w:pStyle w:val="Heading3"/>
      </w:pPr>
      <w:r>
        <w:t xml:space="preserve">La otra cara del éxito</w:t>
      </w:r>
    </w:p>
    <w:p>
      <w:pPr>
        <w:pStyle w:val="FirstParagraph"/>
      </w:pPr>
      <w:r>
        <w:t xml:space="preserve">El enorme éxito de los medicamentos GLP-1 tuvo efectos secundarios más allá de la farmacología. Los problemas de suministro a partir de 2022 hicieron que personas con diabetes no pudieran obtener temporalmente sus medicamentos. En Estados Unidos, las farmacias aprovecharon una norma de excepción para elaborar preparados de imitación. En todo el mundo aparecieron falsificaciones que, en algunos casos, contenían insulina en lugar de semaglutida. Y el creciente interés por los «péptidos» en general abrió un mercado para sustancias que nunca se han estudiado adecuadamente en seres humanos. El capítulo sobre el mercado gris lo aborda en detalle.</w:t>
      </w:r>
    </w:p>
    <w:bookmarkEnd w:id="59"/>
    <w:bookmarkStart w:id="60" w:name="lo-que-enseña-la-historia"/>
    <w:p>
      <w:pPr>
        <w:pStyle w:val="Heading3"/>
      </w:pPr>
      <w:r>
        <w:t xml:space="preserve">Lo que enseña la historia</w:t>
      </w:r>
    </w:p>
    <w:p>
      <w:pPr>
        <w:pStyle w:val="FirstParagraph"/>
      </w:pPr>
      <w:r>
        <w:t xml:space="preserve">De cien años de medicina peptídica pueden extraerse algunas lecciones útiles para evaluar las sustancias de este libro:</w:t>
      </w:r>
    </w:p>
    <w:p>
      <w:pPr>
        <w:numPr>
          <w:ilvl w:val="0"/>
          <w:numId w:val="1008"/>
        </w:numPr>
        <w:pStyle w:val="Compact"/>
      </w:pPr>
      <w:r>
        <w:rPr>
          <w:bCs/>
          <w:b/>
        </w:rPr>
        <w:t xml:space="preserve">La pureza no es un detalle.</w:t>
      </w:r>
      <w:r>
        <w:t xml:space="preserve"> </w:t>
      </w:r>
      <w:r>
        <w:t xml:space="preserve">Desde los extractos de insulina contaminados de los primeros tiempos hasta la hormona del crecimiento obtenida de hipófisis de cadáveres, la historia muestra que la calidad de fabricación puede decidir entre la vida y la muerte.</w:t>
      </w:r>
    </w:p>
    <w:p>
      <w:pPr>
        <w:numPr>
          <w:ilvl w:val="0"/>
          <w:numId w:val="1008"/>
        </w:numPr>
        <w:pStyle w:val="Compact"/>
      </w:pPr>
      <w:r>
        <w:rPr>
          <w:bCs/>
          <w:b/>
        </w:rPr>
        <w:t xml:space="preserve">Mecanismo de acción no es lo mismo que beneficio.</w:t>
      </w:r>
      <w:r>
        <w:t xml:space="preserve"> </w:t>
      </w:r>
      <w:r>
        <w:t xml:space="preserve">Que un péptido actúe sobre un receptor no significa todavía que sea útil para las personas. En el caso de los medicamentos GLP-1 hicieron falta grandes estudios con miles de participantes y varios años de seguimiento.</w:t>
      </w:r>
    </w:p>
    <w:p>
      <w:pPr>
        <w:numPr>
          <w:ilvl w:val="0"/>
          <w:numId w:val="1008"/>
        </w:numPr>
        <w:pStyle w:val="Compact"/>
      </w:pPr>
      <w:r>
        <w:rPr>
          <w:bCs/>
          <w:b/>
        </w:rPr>
        <w:t xml:space="preserve">Hay sorpresas en ambas direcciones.</w:t>
      </w:r>
      <w:r>
        <w:t xml:space="preserve"> </w:t>
      </w:r>
      <w:r>
        <w:t xml:space="preserve">La pérdida de peso con exenatida fue al principio una nota al margen, y los efectos de protección cardíaca se descubrieron en estudios de seguridad. A la inversa, los grandes estudios también revelaron riesgos inesperados, como las complicaciones retinianas en SUSTAIN-6.</w:t>
      </w:r>
    </w:p>
    <w:p>
      <w:pPr>
        <w:numPr>
          <w:ilvl w:val="0"/>
          <w:numId w:val="1008"/>
        </w:numPr>
        <w:pStyle w:val="Compact"/>
      </w:pPr>
      <w:r>
        <w:rPr>
          <w:bCs/>
          <w:b/>
        </w:rPr>
        <w:t xml:space="preserve">Las buenas ideas necesitan tiempo.</w:t>
      </w:r>
      <w:r>
        <w:t xml:space="preserve"> </w:t>
      </w:r>
      <w:r>
        <w:t xml:space="preserve">Entre la descripción del GLP-1 en el ser humano en 1987 y la autorización de la semaglutida para el tratamiento del peso pasaron más de tres décadas. Los péptidos que hoy se anuncian en internet como un «gran avance» sin que exista un solo estudio controlado en seres humanos se encuentran, en el mejor de los casos, al comienzo de ese camino.</w:t>
      </w:r>
    </w:p>
    <w:bookmarkEnd w:id="60"/>
    <w:bookmarkStart w:id="61" w:name="cronología"/>
    <w:p>
      <w:pPr>
        <w:pStyle w:val="Heading3"/>
      </w:pPr>
      <w:r>
        <w:t xml:space="preserve">Cronología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Año</w:t>
            </w:r>
          </w:p>
        </w:tc>
        <w:tc>
          <w:tcPr/>
          <w:p>
            <w:pPr>
              <w:pStyle w:val="Compact"/>
              <w:jc w:val="left"/>
            </w:pPr>
            <w:r>
              <w:t xml:space="preserve">Acontecimiento</w:t>
            </w:r>
          </w:p>
        </w:tc>
      </w:tr>
      <w:tr>
        <w:tc>
          <w:tcPr/>
          <w:p>
            <w:pPr>
              <w:pStyle w:val="Compact"/>
              <w:jc w:val="left"/>
            </w:pPr>
            <w:r>
              <w:t xml:space="preserve">1902</w:t>
            </w:r>
          </w:p>
        </w:tc>
        <w:tc>
          <w:tcPr/>
          <w:p>
            <w:pPr>
              <w:pStyle w:val="Compact"/>
              <w:jc w:val="left"/>
            </w:pPr>
            <w:r>
              <w:t xml:space="preserve">Descripción de la secretina, la primera hormona (un péptido)</w:t>
            </w:r>
          </w:p>
        </w:tc>
      </w:tr>
      <w:tr>
        <w:tc>
          <w:tcPr/>
          <w:p>
            <w:pPr>
              <w:pStyle w:val="Compact"/>
              <w:jc w:val="left"/>
            </w:pPr>
            <w:r>
              <w:t xml:space="preserve">1922</w:t>
            </w:r>
          </w:p>
        </w:tc>
        <w:tc>
          <w:tcPr/>
          <w:p>
            <w:pPr>
              <w:pStyle w:val="Compact"/>
              <w:jc w:val="left"/>
            </w:pPr>
            <w:r>
              <w:t xml:space="preserve">Primer tratamiento de un ser humano con insulina en Toronto</w:t>
            </w:r>
          </w:p>
        </w:tc>
      </w:tr>
      <w:tr>
        <w:tc>
          <w:tcPr/>
          <w:p>
            <w:pPr>
              <w:pStyle w:val="Compact"/>
              <w:jc w:val="left"/>
            </w:pPr>
            <w:r>
              <w:t xml:space="preserve">1951–1955</w:t>
            </w:r>
          </w:p>
        </w:tc>
        <w:tc>
          <w:tcPr/>
          <w:p>
            <w:pPr>
              <w:pStyle w:val="Compact"/>
              <w:jc w:val="left"/>
            </w:pPr>
            <w:r>
              <w:t xml:space="preserve">Sanger descifra la secuencia de la insulina</w:t>
            </w:r>
          </w:p>
        </w:tc>
      </w:tr>
      <w:tr>
        <w:tc>
          <w:tcPr/>
          <w:p>
            <w:pPr>
              <w:pStyle w:val="Compact"/>
              <w:jc w:val="left"/>
            </w:pPr>
            <w:r>
              <w:t xml:space="preserve">1953</w:t>
            </w:r>
          </w:p>
        </w:tc>
        <w:tc>
          <w:tcPr/>
          <w:p>
            <w:pPr>
              <w:pStyle w:val="Compact"/>
              <w:jc w:val="left"/>
            </w:pPr>
            <w:r>
              <w:t xml:space="preserve">Primera síntesis química de una hormona peptídica (oxitocina)</w:t>
            </w:r>
          </w:p>
        </w:tc>
      </w:tr>
      <w:tr>
        <w:tc>
          <w:tcPr/>
          <w:p>
            <w:pPr>
              <w:pStyle w:val="Compact"/>
              <w:jc w:val="left"/>
            </w:pPr>
            <w:r>
              <w:t xml:space="preserve">Década de 1960</w:t>
            </w:r>
          </w:p>
        </w:tc>
        <w:tc>
          <w:tcPr/>
          <w:p>
            <w:pPr>
              <w:pStyle w:val="Compact"/>
              <w:jc w:val="left"/>
            </w:pPr>
            <w:r>
              <w:t xml:space="preserve">Síntesis en fase sólida (Merrifield), radioinmunoensayo</w:t>
            </w:r>
          </w:p>
        </w:tc>
      </w:tr>
      <w:tr>
        <w:tc>
          <w:tcPr/>
          <w:p>
            <w:pPr>
              <w:pStyle w:val="Compact"/>
              <w:jc w:val="left"/>
            </w:pPr>
            <w:r>
              <w:t xml:space="preserve">1980</w:t>
            </w:r>
          </w:p>
        </w:tc>
        <w:tc>
          <w:tcPr/>
          <w:p>
            <w:pPr>
              <w:pStyle w:val="Compact"/>
              <w:jc w:val="left"/>
            </w:pPr>
            <w:r>
              <w:t xml:space="preserve">Insulina humana obtenida por ingeniería genética en estudios clínicos</w:t>
            </w:r>
          </w:p>
        </w:tc>
      </w:tr>
      <w:tr>
        <w:tc>
          <w:tcPr/>
          <w:p>
            <w:pPr>
              <w:pStyle w:val="Compact"/>
              <w:jc w:val="left"/>
            </w:pPr>
            <w:r>
              <w:t xml:space="preserve">1985</w:t>
            </w:r>
          </w:p>
        </w:tc>
        <w:tc>
          <w:tcPr/>
          <w:p>
            <w:pPr>
              <w:pStyle w:val="Compact"/>
              <w:jc w:val="left"/>
            </w:pPr>
            <w:r>
              <w:t xml:space="preserve">Fin de la obtención de hormona del crecimiento de hipófisis</w:t>
            </w:r>
          </w:p>
        </w:tc>
      </w:tr>
      <w:tr>
        <w:tc>
          <w:tcPr/>
          <w:p>
            <w:pPr>
              <w:pStyle w:val="Compact"/>
              <w:jc w:val="left"/>
            </w:pPr>
            <w:r>
              <w:t xml:space="preserve">1987</w:t>
            </w:r>
          </w:p>
        </w:tc>
        <w:tc>
          <w:tcPr/>
          <w:p>
            <w:pPr>
              <w:pStyle w:val="Compact"/>
              <w:jc w:val="left"/>
            </w:pPr>
            <w:r>
              <w:t xml:space="preserve">Descripción del GLP-1 como incretina en el ser humano</w:t>
            </w:r>
          </w:p>
        </w:tc>
      </w:tr>
      <w:tr>
        <w:tc>
          <w:tcPr/>
          <w:p>
            <w:pPr>
              <w:pStyle w:val="Compact"/>
              <w:jc w:val="left"/>
            </w:pPr>
            <w:r>
              <w:t xml:space="preserve">1992</w:t>
            </w:r>
          </w:p>
        </w:tc>
        <w:tc>
          <w:tcPr/>
          <w:p>
            <w:pPr>
              <w:pStyle w:val="Compact"/>
              <w:jc w:val="left"/>
            </w:pPr>
            <w:r>
              <w:t xml:space="preserve">Descubrimiento de la exendina-4 en el veneno del lagarto</w:t>
            </w:r>
          </w:p>
        </w:tc>
      </w:tr>
      <w:tr>
        <w:tc>
          <w:tcPr/>
          <w:p>
            <w:pPr>
              <w:pStyle w:val="Compact"/>
              <w:jc w:val="left"/>
            </w:pPr>
            <w:r>
              <w:t xml:space="preserve">2005</w:t>
            </w:r>
          </w:p>
        </w:tc>
        <w:tc>
          <w:tcPr/>
          <w:p>
            <w:pPr>
              <w:pStyle w:val="Compact"/>
              <w:jc w:val="left"/>
            </w:pPr>
            <w:r>
              <w:t xml:space="preserve">Autorización de la exenatida en Estados Unidos</w:t>
            </w:r>
          </w:p>
        </w:tc>
      </w:tr>
      <w:tr>
        <w:tc>
          <w:tcPr/>
          <w:p>
            <w:pPr>
              <w:pStyle w:val="Compact"/>
              <w:jc w:val="left"/>
            </w:pPr>
            <w:r>
              <w:t xml:space="preserve">2009</w:t>
            </w:r>
          </w:p>
        </w:tc>
        <w:tc>
          <w:tcPr/>
          <w:p>
            <w:pPr>
              <w:pStyle w:val="Compact"/>
              <w:jc w:val="left"/>
            </w:pPr>
            <w:r>
              <w:t xml:space="preserve">Autorización de la liraglutida en la UE</w:t>
            </w:r>
          </w:p>
        </w:tc>
      </w:tr>
      <w:tr>
        <w:tc>
          <w:tcPr/>
          <w:p>
            <w:pPr>
              <w:pStyle w:val="Compact"/>
              <w:jc w:val="left"/>
            </w:pPr>
            <w:r>
              <w:t xml:space="preserve">2016</w:t>
            </w:r>
          </w:p>
        </w:tc>
        <w:tc>
          <w:tcPr/>
          <w:p>
            <w:pPr>
              <w:pStyle w:val="Compact"/>
              <w:jc w:val="left"/>
            </w:pPr>
            <w:r>
              <w:t xml:space="preserve">LEADER y SUSTAIN-6: menos eventos cardiovasculares</w:t>
            </w:r>
          </w:p>
        </w:tc>
      </w:tr>
      <w:tr>
        <w:tc>
          <w:tcPr/>
          <w:p>
            <w:pPr>
              <w:pStyle w:val="Compact"/>
              <w:jc w:val="left"/>
            </w:pPr>
            <w:r>
              <w:t xml:space="preserve">2019</w:t>
            </w:r>
          </w:p>
        </w:tc>
        <w:tc>
          <w:tcPr/>
          <w:p>
            <w:pPr>
              <w:pStyle w:val="Compact"/>
              <w:jc w:val="left"/>
            </w:pPr>
            <w:r>
              <w:t xml:space="preserve">Primer comprimido de GLP-1 (semaglutida oral)</w:t>
            </w:r>
          </w:p>
        </w:tc>
      </w:tr>
      <w:tr>
        <w:tc>
          <w:tcPr/>
          <w:p>
            <w:pPr>
              <w:pStyle w:val="Compact"/>
              <w:jc w:val="left"/>
            </w:pPr>
            <w:r>
              <w:t xml:space="preserve">2021</w:t>
            </w:r>
          </w:p>
        </w:tc>
        <w:tc>
          <w:tcPr/>
          <w:p>
            <w:pPr>
              <w:pStyle w:val="Compact"/>
              <w:jc w:val="left"/>
            </w:pPr>
            <w:r>
              <w:t xml:space="preserve">Semaglutida para el tratamiento del peso (programa STEP)</w:t>
            </w:r>
          </w:p>
        </w:tc>
      </w:tr>
      <w:tr>
        <w:tc>
          <w:tcPr/>
          <w:p>
            <w:pPr>
              <w:pStyle w:val="Compact"/>
              <w:jc w:val="left"/>
            </w:pPr>
            <w:r>
              <w:t xml:space="preserve">2022</w:t>
            </w:r>
          </w:p>
        </w:tc>
        <w:tc>
          <w:tcPr/>
          <w:p>
            <w:pPr>
              <w:pStyle w:val="Compact"/>
              <w:jc w:val="left"/>
            </w:pPr>
            <w:r>
              <w:t xml:space="preserve">Tirzepatida: primer agonista doble GIP/GLP-1</w:t>
            </w:r>
          </w:p>
        </w:tc>
      </w:tr>
      <w:tr>
        <w:tc>
          <w:tcPr/>
          <w:p>
            <w:pPr>
              <w:pStyle w:val="Compact"/>
              <w:jc w:val="left"/>
            </w:pPr>
            <w:r>
              <w:t xml:space="preserve">2023</w:t>
            </w:r>
          </w:p>
        </w:tc>
        <w:tc>
          <w:tcPr/>
          <w:p>
            <w:pPr>
              <w:pStyle w:val="Compact"/>
              <w:jc w:val="left"/>
            </w:pPr>
            <w:r>
              <w:t xml:space="preserve">SELECT: protección cardíaca en la obesidad sin diabetes</w:t>
            </w:r>
          </w:p>
        </w:tc>
      </w:tr>
    </w:tbl>
    <w:p>
      <w:pPr>
        <w:pStyle w:val="BodyText"/>
      </w:pPr>
      <w:r>
        <w:t xml:space="preserve">Los años de autorización se refieren en cada caso a la primera autorización; en otros países y para otras indicaciones rigen en parte otras fechas. Estado en 2026; compruebe la información actualizada si es necesario.</w:t>
      </w:r>
    </w:p>
    <w:bookmarkEnd w:id="61"/>
    <w:bookmarkEnd w:id="62"/>
    <w:bookmarkStart w:id="76" w:name="X959ea981e88c9cf14963e6a7d09e2d0c8002398"/>
    <w:p>
      <w:pPr>
        <w:pStyle w:val="Heading2"/>
      </w:pPr>
      <w:r>
        <w:t xml:space="preserve">Cómo llegan los péptidos al organismo y por qué es difícil</w:t>
      </w:r>
    </w:p>
    <w:p>
      <w:pPr>
        <w:pStyle w:val="FirstParagraph"/>
      </w:pPr>
      <w:r>
        <w:t xml:space="preserve">Casi todos los medicamentos peptídicos que usted conoce se inyectan: la insulina, la semaglutida, la tirzepatida, la teriparatida. No es casualidad ni una preferencia de la industria farmacéutica, sino una consecuencia de la biología. El cuerpo humano es excelente descomponiendo proteínas y péptidos; al fin y al cabo, vive de dividir las proteínas de los alimentos en sus componentes básicos. Este capítulo explica qué obstáculos debe superar un péptido en su camino hacia el lugar donde actúa, qué vías ha encontrado la medicina y por qué muchas promesas sobre gotas, cápsulas y cremas deben considerarse con cautela.</w:t>
      </w:r>
    </w:p>
    <w:bookmarkStart w:id="63" w:name="X364d77215ce167ed962b62bafc7c09ef908a5ba"/>
    <w:p>
      <w:pPr>
        <w:pStyle w:val="Heading3"/>
      </w:pPr>
      <w:r>
        <w:t xml:space="preserve">El problema fundamental: la biodisponibilidad</w:t>
      </w:r>
    </w:p>
    <w:p>
      <w:pPr>
        <w:pStyle w:val="FirstParagraph"/>
      </w:pPr>
      <w:r>
        <w:t xml:space="preserve">Un concepto central en este capítulo es la</w:t>
      </w:r>
      <w:r>
        <w:t xml:space="preserve"> </w:t>
      </w:r>
      <w:r>
        <w:rPr>
          <w:bCs/>
          <w:b/>
        </w:rPr>
        <w:t xml:space="preserve">biodisponibilidad</w:t>
      </w:r>
      <w:r>
        <w:t xml:space="preserve">. Indica qué proporción de una cantidad administrada llega realmente sin modificar a la circulación sanguínea. En una infusión directa en la vena es, por definición, el 100 %. En todas las demás vías se pierde una parte: por degradación, por barreras o porque la sustancia simplemente se vuelve a eliminar.</w:t>
      </w:r>
    </w:p>
    <w:p>
      <w:pPr>
        <w:pStyle w:val="BodyText"/>
      </w:pPr>
      <w:r>
        <w:t xml:space="preserve">En los péptidos, la biodisponibilidad es especialmente crítica porque confluyen tres propiedades:</w:t>
      </w:r>
    </w:p>
    <w:p>
      <w:pPr>
        <w:numPr>
          <w:ilvl w:val="0"/>
          <w:numId w:val="1009"/>
        </w:numPr>
        <w:pStyle w:val="Compact"/>
      </w:pPr>
      <w:r>
        <w:rPr>
          <w:bCs/>
          <w:b/>
        </w:rPr>
        <w:t xml:space="preserve">Son sensibles a las enzimas.</w:t>
      </w:r>
      <w:r>
        <w:t xml:space="preserve"> </w:t>
      </w:r>
      <w:r>
        <w:t xml:space="preserve">Los enlaces peptídicos son escindidos de forma específica por enzimas digestivas como la pepsina en el estómago o la tripsina en el intestino delgado, además de por numerosas enzimas de la sangre y los tejidos.</w:t>
      </w:r>
    </w:p>
    <w:p>
      <w:pPr>
        <w:numPr>
          <w:ilvl w:val="0"/>
          <w:numId w:val="1009"/>
        </w:numPr>
        <w:pStyle w:val="Compact"/>
      </w:pPr>
      <w:r>
        <w:rPr>
          <w:bCs/>
          <w:b/>
        </w:rPr>
        <w:t xml:space="preserve">Son grandes.</w:t>
      </w:r>
      <w:r>
        <w:t xml:space="preserve"> </w:t>
      </w:r>
      <w:r>
        <w:t xml:space="preserve">En comparación con los fármacos clásicos como el ibuprofeno, la mayoría de los péptidos son enormes. Un péptido de solo diez aminoácidos ya pesa más de 1000 dalton.</w:t>
      </w:r>
    </w:p>
    <w:p>
      <w:pPr>
        <w:numPr>
          <w:ilvl w:val="0"/>
          <w:numId w:val="1009"/>
        </w:numPr>
        <w:pStyle w:val="Compact"/>
      </w:pPr>
      <w:r>
        <w:rPr>
          <w:bCs/>
          <w:b/>
        </w:rPr>
        <w:t xml:space="preserve">Suelen ser hidrosolubles y a menudo tienen carga eléctrica.</w:t>
      </w:r>
      <w:r>
        <w:t xml:space="preserve"> </w:t>
      </w:r>
      <w:r>
        <w:t xml:space="preserve">Por ello les cuesta atravesar las membranas grasas de las células.</w:t>
      </w:r>
    </w:p>
    <w:p>
      <w:pPr>
        <w:pStyle w:val="FirstParagraph"/>
      </w:pPr>
      <w:r>
        <w:t xml:space="preserve">Cada vía de administración es un intento de sortear estos obstáculos. Un artículo de revisión sobre péptidos orales resume que los principios activos proteicos y peptídicos deben administrarse, por regla general, evitando el tubo digestivo, lo que puede perjudicar la adherencia terapéutica (Drucker 2020, PMID 31848464).</w:t>
      </w:r>
    </w:p>
    <w:bookmarkEnd w:id="63"/>
    <w:bookmarkStart w:id="64" w:name="Xae4c527a59c36bb39eafccf8bff9b5aecf2b716"/>
    <w:p>
      <w:pPr>
        <w:pStyle w:val="Heading3"/>
      </w:pPr>
      <w:r>
        <w:t xml:space="preserve">La inyección: la vía estándar, con inconvenientes</w:t>
      </w:r>
    </w:p>
    <w:p>
      <w:pPr>
        <w:pStyle w:val="FirstParagraph"/>
      </w:pPr>
      <w:r>
        <w:t xml:space="preserve">La mayoría de los medicamentos peptídicos se inyectan por vía</w:t>
      </w:r>
      <w:r>
        <w:t xml:space="preserve"> </w:t>
      </w:r>
      <w:r>
        <w:rPr>
          <w:bCs/>
          <w:b/>
        </w:rPr>
        <w:t xml:space="preserve">subcutánea</w:t>
      </w:r>
      <w:r>
        <w:t xml:space="preserve">, es decir, en el tejido graso bajo la piel, normalmente en el abdomen, el muslo o la parte superior del brazo. Desde allí, el principio activo pasa a la circulación a través de pequeños vasos sanguíneos y vasos linfáticos. La biodisponibilidad es alta, y los pacientes pueden ponerse la inyección ellos mismos tras recibir formación. Con menos frecuencia, los péptidos se administran en el músculo (vía</w:t>
      </w:r>
      <w:r>
        <w:t xml:space="preserve"> </w:t>
      </w:r>
      <w:r>
        <w:rPr>
          <w:bCs/>
          <w:b/>
        </w:rPr>
        <w:t xml:space="preserve">intramuscular</w:t>
      </w:r>
      <w:r>
        <w:t xml:space="preserve">) o directamente en la vena (vía</w:t>
      </w:r>
      <w:r>
        <w:t xml:space="preserve"> </w:t>
      </w:r>
      <w:r>
        <w:rPr>
          <w:bCs/>
          <w:b/>
        </w:rPr>
        <w:t xml:space="preserve">intravenosa</w:t>
      </w:r>
      <w:r>
        <w:t xml:space="preserve">), por ejemplo en el hospital.</w:t>
      </w:r>
    </w:p>
    <w:p>
      <w:pPr>
        <w:pStyle w:val="BodyText"/>
      </w:pPr>
      <w:r>
        <w:t xml:space="preserve">La inyección evita el tubo digestivo, pero no las enzimas de la sangre. Por eso, la investigación farmacéutica ha dedicado muchos esfuerzos a hacer que los péptidos duren más:</w:t>
      </w:r>
    </w:p>
    <w:p>
      <w:pPr>
        <w:numPr>
          <w:ilvl w:val="0"/>
          <w:numId w:val="1010"/>
        </w:numPr>
        <w:pStyle w:val="Compact"/>
      </w:pPr>
      <w:r>
        <w:rPr>
          <w:bCs/>
          <w:b/>
        </w:rPr>
        <w:t xml:space="preserve">Sustitución de aminoácidos</w:t>
      </w:r>
      <w:r>
        <w:t xml:space="preserve"> </w:t>
      </w:r>
      <w:r>
        <w:t xml:space="preserve">en los puntos donde atacan las enzimas.</w:t>
      </w:r>
    </w:p>
    <w:p>
      <w:pPr>
        <w:numPr>
          <w:ilvl w:val="0"/>
          <w:numId w:val="1010"/>
        </w:numPr>
        <w:pStyle w:val="Compact"/>
      </w:pPr>
      <w:r>
        <w:rPr>
          <w:bCs/>
          <w:b/>
        </w:rPr>
        <w:t xml:space="preserve">Unión de ácidos grasos</w:t>
      </w:r>
      <w:r>
        <w:t xml:space="preserve">, para que el péptido se una a la proteína plasmática albúmina. La liraglutida y la semaglutida aprovechan este principio (Knudsen 2019, PMID 31031702). En la semaglutida se obtiene así una semivida de aproximadamente una semana (Marso 2016, PMID 27633186).</w:t>
      </w:r>
    </w:p>
    <w:p>
      <w:pPr>
        <w:numPr>
          <w:ilvl w:val="0"/>
          <w:numId w:val="1010"/>
        </w:numPr>
        <w:pStyle w:val="Compact"/>
      </w:pPr>
      <w:r>
        <w:rPr>
          <w:bCs/>
          <w:b/>
        </w:rPr>
        <w:t xml:space="preserve">Acoplamiento a moléculas más grandes</w:t>
      </w:r>
      <w:r>
        <w:t xml:space="preserve">, por ejemplo a fragmentos de anticuerpos o a polímeros como el polietilenglicol. La dulaglutida es un ejemplo de molécula de GLP-1 unida a un fragmento de anticuerpo.</w:t>
      </w:r>
    </w:p>
    <w:p>
      <w:pPr>
        <w:numPr>
          <w:ilvl w:val="0"/>
          <w:numId w:val="1010"/>
        </w:numPr>
        <w:pStyle w:val="Compact"/>
      </w:pPr>
      <w:r>
        <w:rPr>
          <w:bCs/>
          <w:b/>
        </w:rPr>
        <w:t xml:space="preserve">Formas de depósito</w:t>
      </w:r>
      <w:r>
        <w:t xml:space="preserve">, en las que el principio activo está incluido en diminutas microesferas o geles de los que se libera lentamente.</w:t>
      </w:r>
    </w:p>
    <w:p>
      <w:pPr>
        <w:pStyle w:val="FirstParagraph"/>
      </w:pPr>
      <w:r>
        <w:t xml:space="preserve">Para los usuarios, la inyección también conlleva obligaciones: el producto debe ser estéril, la aguja solo puede utilizarse una vez y muchos preparados deben conservarse refrigerados. Las plumas precargadas con pasos de dosis predefinidos reducen claramente el riesgo de errores. Lo importante que es esto lo muestra una serie de casos de un centro de información toxicológica de Estados Unidos: con semaglutida dispensada en farmacias en viales con jeringas se produjeron sobredosis de diez veces la dosis, entre otras cosas porque se confundieron mililitros, «unidades» y miligramos (Lambson 2023, PMID 37392810). Más información en el capítulo sobre el mercado gris.</w:t>
      </w:r>
    </w:p>
    <w:bookmarkEnd w:id="64"/>
    <w:bookmarkStart w:id="65" w:name="el-comprimido-la-vía-más-difícil"/>
    <w:p>
      <w:pPr>
        <w:pStyle w:val="Heading3"/>
      </w:pPr>
      <w:r>
        <w:t xml:space="preserve">El comprimido: la vía más difícil</w:t>
      </w:r>
    </w:p>
    <w:p>
      <w:pPr>
        <w:pStyle w:val="FirstParagraph"/>
      </w:pPr>
      <w:r>
        <w:t xml:space="preserve">Un comprimido sería la solución más cómoda para la mayoría de las personas. Para los péptidos es, al mismo tiempo, la más exigente. En el camino de la boca a la sangre acechan varios obstáculos:</w:t>
      </w:r>
    </w:p>
    <w:p>
      <w:pPr>
        <w:numPr>
          <w:ilvl w:val="0"/>
          <w:numId w:val="1011"/>
        </w:numPr>
        <w:pStyle w:val="Compact"/>
      </w:pPr>
      <w:r>
        <w:t xml:space="preserve">El</w:t>
      </w:r>
      <w:r>
        <w:t xml:space="preserve"> </w:t>
      </w:r>
      <w:r>
        <w:rPr>
          <w:bCs/>
          <w:b/>
        </w:rPr>
        <w:t xml:space="preserve">ácido gástrico</w:t>
      </w:r>
      <w:r>
        <w:t xml:space="preserve"> </w:t>
      </w:r>
      <w:r>
        <w:t xml:space="preserve">puede destruir la estructura espacial de los péptidos.</w:t>
      </w:r>
    </w:p>
    <w:p>
      <w:pPr>
        <w:numPr>
          <w:ilvl w:val="0"/>
          <w:numId w:val="1011"/>
        </w:numPr>
        <w:pStyle w:val="Compact"/>
      </w:pPr>
      <w:r>
        <w:t xml:space="preserve">La</w:t>
      </w:r>
      <w:r>
        <w:t xml:space="preserve"> </w:t>
      </w:r>
      <w:r>
        <w:rPr>
          <w:bCs/>
          <w:b/>
        </w:rPr>
        <w:t xml:space="preserve">pepsina</w:t>
      </w:r>
      <w:r>
        <w:t xml:space="preserve"> </w:t>
      </w:r>
      <w:r>
        <w:t xml:space="preserve">en el estómago y las</w:t>
      </w:r>
      <w:r>
        <w:t xml:space="preserve"> </w:t>
      </w:r>
      <w:r>
        <w:rPr>
          <w:bCs/>
          <w:b/>
        </w:rPr>
        <w:t xml:space="preserve">enzimas pancreáticas</w:t>
      </w:r>
      <w:r>
        <w:t xml:space="preserve"> </w:t>
      </w:r>
      <w:r>
        <w:t xml:space="preserve">en el intestino delgado descomponen los péptidos en pequeños fragmentos.</w:t>
      </w:r>
    </w:p>
    <w:p>
      <w:pPr>
        <w:numPr>
          <w:ilvl w:val="0"/>
          <w:numId w:val="1011"/>
        </w:numPr>
        <w:pStyle w:val="Compact"/>
      </w:pPr>
      <w:r>
        <w:t xml:space="preserve">Una</w:t>
      </w:r>
      <w:r>
        <w:t xml:space="preserve"> </w:t>
      </w:r>
      <w:r>
        <w:rPr>
          <w:bCs/>
          <w:b/>
        </w:rPr>
        <w:t xml:space="preserve">capa de moco</w:t>
      </w:r>
      <w:r>
        <w:t xml:space="preserve"> </w:t>
      </w:r>
      <w:r>
        <w:t xml:space="preserve">sobre la mucosa intestinal retiene las moléculas grandes.</w:t>
      </w:r>
    </w:p>
    <w:p>
      <w:pPr>
        <w:numPr>
          <w:ilvl w:val="0"/>
          <w:numId w:val="1011"/>
        </w:numPr>
        <w:pStyle w:val="Compact"/>
      </w:pPr>
      <w:r>
        <w:t xml:space="preserve">Las propias</w:t>
      </w:r>
      <w:r>
        <w:t xml:space="preserve"> </w:t>
      </w:r>
      <w:r>
        <w:rPr>
          <w:bCs/>
          <w:b/>
        </w:rPr>
        <w:t xml:space="preserve">células intestinales</w:t>
      </w:r>
      <w:r>
        <w:t xml:space="preserve"> </w:t>
      </w:r>
      <w:r>
        <w:t xml:space="preserve">están estrechamente unidas entre sí. Las moléculas grandes e hidrosolubles no pasan ni a través de las células ni entre ellas.</w:t>
      </w:r>
    </w:p>
    <w:p>
      <w:pPr>
        <w:numPr>
          <w:ilvl w:val="0"/>
          <w:numId w:val="1011"/>
        </w:numPr>
        <w:pStyle w:val="Compact"/>
      </w:pPr>
      <w:r>
        <w:t xml:space="preserve">Lo que sí llega a la sangre pasa primero por el</w:t>
      </w:r>
      <w:r>
        <w:t xml:space="preserve"> </w:t>
      </w:r>
      <w:r>
        <w:rPr>
          <w:bCs/>
          <w:b/>
        </w:rPr>
        <w:t xml:space="preserve">hígado</w:t>
      </w:r>
      <w:r>
        <w:t xml:space="preserve">, que puede degradar otra parte.</w:t>
      </w:r>
    </w:p>
    <w:p>
      <w:pPr>
        <w:pStyle w:val="FirstParagraph"/>
      </w:pPr>
      <w:r>
        <w:t xml:space="preserve">El artículo de revisión de Drucker menciona como posibles soluciones las sustancias que aumentan la permeabilidad, los inhibidores de las enzimas digestivas y los péptidos transportadores capaces de atravesar el moco y las células. En estudios clínicos se han probado formas orales, entre otras, de insulina, calcitonina, hormona paratiroidea y vasopresina (Drucker 2020, PMID 31848464). Sin embargo, el gran avance para un principio activo de uso amplio no llegó hasta el comprimido de semaglutida.</w:t>
      </w:r>
    </w:p>
    <w:bookmarkEnd w:id="65"/>
    <w:bookmarkStart w:id="66" w:name="X23630c7cc2133353abea4c3ccac0dfd0432b0b2"/>
    <w:p>
      <w:pPr>
        <w:pStyle w:val="Heading3"/>
      </w:pPr>
      <w:r>
        <w:t xml:space="preserve">La técnica SNAC: cómo funciona el comprimido de semaglutida</w:t>
      </w:r>
    </w:p>
    <w:p>
      <w:pPr>
        <w:pStyle w:val="FirstParagraph"/>
      </w:pPr>
      <w:r>
        <w:t xml:space="preserve">Además del principio activo, el comprimido de semaglutida contiene un excipiente llamado</w:t>
      </w:r>
      <w:r>
        <w:t xml:space="preserve"> </w:t>
      </w:r>
      <w:r>
        <w:rPr>
          <w:bCs/>
          <w:b/>
        </w:rPr>
        <w:t xml:space="preserve">SNAC</w:t>
      </w:r>
      <w:r>
        <w:t xml:space="preserve"> </w:t>
      </w:r>
      <w:r>
        <w:t xml:space="preserve">(N-[8-(2-hidroxibenzoil)amino]caprilato de sodio). Un estudio que combinó datos de investigaciones en seres humanos y en perros aclaró lo que sucede (Buckley 2018, PMID 30429357):</w:t>
      </w:r>
    </w:p>
    <w:p>
      <w:pPr>
        <w:numPr>
          <w:ilvl w:val="0"/>
          <w:numId w:val="1012"/>
        </w:numPr>
        <w:pStyle w:val="Compact"/>
      </w:pPr>
      <w:r>
        <w:t xml:space="preserve">Sorprendentemente, la absorción no tiene lugar en el intestino, sino</w:t>
      </w:r>
      <w:r>
        <w:t xml:space="preserve"> </w:t>
      </w:r>
      <w:r>
        <w:rPr>
          <w:bCs/>
          <w:b/>
        </w:rPr>
        <w:t xml:space="preserve">en el estómago</w:t>
      </w:r>
      <w:r>
        <w:t xml:space="preserve">.</w:t>
      </w:r>
    </w:p>
    <w:p>
      <w:pPr>
        <w:numPr>
          <w:ilvl w:val="0"/>
          <w:numId w:val="1012"/>
        </w:numPr>
        <w:pStyle w:val="Compact"/>
      </w:pPr>
      <w:r>
        <w:t xml:space="preserve">Se limita a una pequeña zona</w:t>
      </w:r>
      <w:r>
        <w:t xml:space="preserve"> </w:t>
      </w:r>
      <w:r>
        <w:rPr>
          <w:bCs/>
          <w:b/>
        </w:rPr>
        <w:t xml:space="preserve">directamente en la superficie del comprimido</w:t>
      </w:r>
      <w:r>
        <w:t xml:space="preserve">.</w:t>
      </w:r>
    </w:p>
    <w:p>
      <w:pPr>
        <w:numPr>
          <w:ilvl w:val="0"/>
          <w:numId w:val="1012"/>
        </w:numPr>
        <w:pStyle w:val="Compact"/>
      </w:pPr>
      <w:r>
        <w:t xml:space="preserve">Allí, el SNAC amortigua localmente el ácido gástrico y</w:t>
      </w:r>
      <w:r>
        <w:t xml:space="preserve"> </w:t>
      </w:r>
      <w:r>
        <w:rPr>
          <w:bCs/>
          <w:b/>
        </w:rPr>
        <w:t xml:space="preserve">protege</w:t>
      </w:r>
      <w:r>
        <w:t xml:space="preserve"> </w:t>
      </w:r>
      <w:r>
        <w:t xml:space="preserve">así la semaglutida de la degradación por las enzimas.</w:t>
      </w:r>
    </w:p>
    <w:p>
      <w:pPr>
        <w:numPr>
          <w:ilvl w:val="0"/>
          <w:numId w:val="1012"/>
        </w:numPr>
        <w:pStyle w:val="Compact"/>
      </w:pPr>
      <w:r>
        <w:t xml:space="preserve">El SNAC aumenta la permeabilidad de la mucosa gástrica solo</w:t>
      </w:r>
      <w:r>
        <w:t xml:space="preserve"> </w:t>
      </w:r>
      <w:r>
        <w:rPr>
          <w:bCs/>
          <w:b/>
        </w:rPr>
        <w:t xml:space="preserve">de forma transitoria</w:t>
      </w:r>
      <w:r>
        <w:t xml:space="preserve">.</w:t>
      </w:r>
    </w:p>
    <w:p>
      <w:pPr>
        <w:numPr>
          <w:ilvl w:val="0"/>
          <w:numId w:val="1012"/>
        </w:numPr>
        <w:pStyle w:val="Compact"/>
      </w:pPr>
      <w:r>
        <w:t xml:space="preserve">La semaglutida pasa a la sangre</w:t>
      </w:r>
      <w:r>
        <w:t xml:space="preserve"> </w:t>
      </w:r>
      <w:r>
        <w:rPr>
          <w:bCs/>
          <w:b/>
        </w:rPr>
        <w:t xml:space="preserve">a través de las células</w:t>
      </w:r>
      <w:r>
        <w:t xml:space="preserve">, sin que se abran las uniones entre ellas.</w:t>
      </w:r>
    </w:p>
    <w:p>
      <w:pPr>
        <w:pStyle w:val="FirstParagraph"/>
      </w:pPr>
      <w:r>
        <w:t xml:space="preserve">Un artículo de revisión más reciente añade que el SNAC eleva el pH en el entorno inmediato, atenúa la activación de la pepsina y contribuye a que la semaglutida se mantenga como molécula individual en lugar de agruparse en asociaciones más grandes y peor absorbibles (Vahora 2026, PMID 42687069).</w:t>
      </w:r>
    </w:p>
    <w:p>
      <w:pPr>
        <w:pStyle w:val="BodyText"/>
      </w:pPr>
      <w:r>
        <w:t xml:space="preserve">A pesar de esta técnica, el rendimiento es bajo. La misma revisión cifra la biodisponibilidad absoluta de la semaglutida oral en solo un 0,4 a 1 % aproximadamente, y ello en condiciones optimizadas: en ayunas y con poca agua. Después de una comida, prácticamente no se detecta semaglutida en la sangre (Vahora 2026, PMID 42687069). Por eso, para el comprimido rigen normas de toma estrictas, que se describen en la ficha técnica y deben comentarse con el médico o la médica responsable del tratamiento.</w:t>
      </w:r>
    </w:p>
    <w:p>
      <w:pPr>
        <w:pStyle w:val="BodyText"/>
      </w:pPr>
      <w:r>
        <w:t xml:space="preserve">La baja biodisponibilidad tiene una consecuencia práctica: el comprimido requiere una cantidad de principio activo muchas veces mayor. En el estudio SUSTAIN-6, los participantes recibieron 0,5 o 1,0 mg de semaglutida una vez a la semana en inyección (Marso 2016, PMID 27633186). En el estudio del comprimido PIONEER 1, en cambio, se investigaron dosis diarias de 3, 7 o 14 mg (Aroda 2019, PMID 31186300). Que el efecto a largo plazo sea, aun así, uniforme se debe a la larga semivida: las fluctuaciones diarias de la absorción se compensan en gran medida a lo largo de la semana (Vahora 2026, PMID 42687069).</w:t>
      </w:r>
    </w:p>
    <w:p>
      <w:pPr>
        <w:pStyle w:val="BodyText"/>
      </w:pPr>
      <w:r>
        <w:t xml:space="preserve">El comprimido funciona, como muestran los estudios. En PIONEER 1, con 703 personas con diabetes tipo 2, el valor de HbA1c disminuyó al cabo de 26 semanas, con la dosis más alta, 1,1 puntos porcentuales más que con placebo (Aroda 2019, PMID 31186300). En el estudio OASIS 1 se evaluó una dosis más alta, de 50 mg diarios, en 667 adultos con sobrepeso u obesidad sin diabetes. Al cabo de 68 semanas, la pérdida de peso media fue del 15,1 %, frente al 2,4 % con placebo (Knop 2023, PMID 37385278). Se produjeron molestias gastrointestinales en el 80 % de los participantes con semaglutida y en el 46 % con placebo.</w:t>
      </w:r>
    </w:p>
    <w:p>
      <w:pPr>
        <w:pStyle w:val="BodyText"/>
      </w:pPr>
      <w:r>
        <w:t xml:space="preserve">Una indicación importante para la práctica: la técnica SNAC depende de la composición exacta del comprimido. Un análisis de productos de imitación halló en varios preparados de semaglutida oral bastante menos principio activo del declarado y un comportamiento de liberación de la semaglutida y el SNAC diferente, lo que podría reducir la absorción (Hach 2024, PMID 39379664). Por tanto, un comprimido que contiene «semaglutida» no es automáticamente tan eficaz como el preparado autorizado.</w:t>
      </w:r>
    </w:p>
    <w:p>
      <w:pPr>
        <w:pStyle w:val="BodyText"/>
      </w:pPr>
      <w:r>
        <w:t xml:space="preserve">Paralelamente a los comprimidos peptídicos se están desarrollando moléculas pequeñas no peptídicas que activan el mismo receptor y pueden tomarse como un comprimido normal, como el orforglipron. Se presentan a efectos comparativos en la Parte II y se tratan en la Parte V en relación con el futuro de las terapias en comprimidos.</w:t>
      </w:r>
    </w:p>
    <w:bookmarkEnd w:id="66"/>
    <w:bookmarkStart w:id="67" w:name="X79f51b9778ffd8cb0d14c52a3f61dbe98aecd1d"/>
    <w:p>
      <w:pPr>
        <w:pStyle w:val="Heading3"/>
      </w:pPr>
      <w:r>
        <w:t xml:space="preserve">La excepción de los alimentos: péptidos cortos del colágeno y la leche</w:t>
      </w:r>
    </w:p>
    <w:p>
      <w:pPr>
        <w:pStyle w:val="FirstParagraph"/>
      </w:pPr>
      <w:r>
        <w:t xml:space="preserve">Si los péptidos se degradan en el tubo digestivo, ¿cómo pueden actuar los péptidos de colágeno o los péptidos lácteos que se consumen en polvo o en bebida? La respuesta tiene matices.</w:t>
      </w:r>
    </w:p>
    <w:p>
      <w:pPr>
        <w:pStyle w:val="BodyText"/>
      </w:pPr>
      <w:r>
        <w:t xml:space="preserve">En la digestión no solo se producen aminoácidos sueltos, sino también fragmentos muy cortos de dos o tres componentes. Algunos de ellos son relativamente resistentes a las enzimas y se absorben a través de sistemas de transporte propios. Así, tras el consumo de hidrolizado de colágeno se midieron en el plasma sanguíneo de cinco voluntarios sanos los dipéptidos prolil-hidroxiprolina e hidroxiprolil-glicina (Sugihara 2012, PMID 22040651).</w:t>
      </w:r>
    </w:p>
    <w:p>
      <w:pPr>
        <w:pStyle w:val="BodyText"/>
      </w:pPr>
      <w:r>
        <w:t xml:space="preserve">Sin embargo, de ello no se deduce automáticamente que estos fragmentos ejerzan un efecto determinado en el organismo, por ejemplo en la piel o en las articulaciones. Si es así solo puede aclararse en estudios controlados con variables clínicas. Estos datos se comentan en la Parte II, en el capítulo sobre los péptidos de colágeno. Para péptidos más grandes, como las hormonas, en cambio, rige lo siguiente: si se tragan, se digieren.</w:t>
      </w:r>
    </w:p>
    <w:bookmarkEnd w:id="67"/>
    <w:bookmarkStart w:id="68" w:name="debajo-de-la-lengua-pocas-pruebas"/>
    <w:p>
      <w:pPr>
        <w:pStyle w:val="Heading3"/>
      </w:pPr>
      <w:r>
        <w:t xml:space="preserve">Debajo de la lengua: pocas pruebas</w:t>
      </w:r>
    </w:p>
    <w:p>
      <w:pPr>
        <w:pStyle w:val="FirstParagraph"/>
      </w:pPr>
      <w:r>
        <w:t xml:space="preserve">La mucosa de la boca, sobre todo debajo de la lengua, está bien irrigada. Las sustancias que se absorben aquí evitan el estómago y el hígado. Para algunos fármacos pequeños esto funciona bien, pero para los péptidos la mucosa es una barrera considerable.</w:t>
      </w:r>
    </w:p>
    <w:p>
      <w:pPr>
        <w:pStyle w:val="BodyText"/>
      </w:pPr>
      <w:r>
        <w:t xml:space="preserve">Aun así, sobre todo en Estados Unidos, se ofrecen semaglutida y tirzepatida en gotas o comprimidos bucodispersables para uso sublingual. Un análisis de las ofertas de farmacias estadounidenses que elaboran medicamentos por sí mismas encontró 33 productos que difieren de los preparados autorizados. De los 17 productos con un solo principio activo, el 82 % estaban destinados al uso sublingual y el resto eran comprimidos bucodispersables. Los autores consideran que una forma de administración así es en principio comprensible, pero señalan que no está demostrada ninguna ventaja frente a los preparados autorizados y que faltan datos de seguridad y eficacia (Belcourt 2026, PMID 41689811).</w:t>
      </w:r>
    </w:p>
    <w:bookmarkEnd w:id="68"/>
    <w:bookmarkStart w:id="69" w:name="el-aerosol-nasal-rápido-pero-limitado"/>
    <w:p>
      <w:pPr>
        <w:pStyle w:val="Heading3"/>
      </w:pPr>
      <w:r>
        <w:t xml:space="preserve">El aerosol nasal: rápido, pero limitado</w:t>
      </w:r>
    </w:p>
    <w:p>
      <w:pPr>
        <w:pStyle w:val="FirstParagraph"/>
      </w:pPr>
      <w:r>
        <w:t xml:space="preserve">La mucosa nasal tiene una superficie grande y bien irrigada, y las sustancias pasan desde allí directamente a la sangre. Algunos medicamentos peptídicos utilizan esta vía desde hace tiempo, como el análogo de la vasopresina desmopresina. También la oxitocina se está investigando en forma de aerosol nasal.</w:t>
      </w:r>
    </w:p>
    <w:p>
      <w:pPr>
        <w:pStyle w:val="BodyText"/>
      </w:pPr>
      <w:r>
        <w:t xml:space="preserve">Sin embargo, los límites son claros:</w:t>
      </w:r>
    </w:p>
    <w:p>
      <w:pPr>
        <w:numPr>
          <w:ilvl w:val="0"/>
          <w:numId w:val="1013"/>
        </w:numPr>
        <w:pStyle w:val="Compact"/>
      </w:pPr>
      <w:r>
        <w:t xml:space="preserve">La absorción de los péptidos más grandes es baja y muy variable, según la técnica de pulverización, un resfriado o la cantidad de moco.</w:t>
      </w:r>
    </w:p>
    <w:p>
      <w:pPr>
        <w:numPr>
          <w:ilvl w:val="0"/>
          <w:numId w:val="1013"/>
        </w:numPr>
        <w:pStyle w:val="Compact"/>
      </w:pPr>
      <w:r>
        <w:t xml:space="preserve">Gran parte de la pulverización se traga o es eliminada por los cilios.</w:t>
      </w:r>
    </w:p>
    <w:p>
      <w:pPr>
        <w:numPr>
          <w:ilvl w:val="0"/>
          <w:numId w:val="1013"/>
        </w:numPr>
        <w:pStyle w:val="Compact"/>
      </w:pPr>
      <w:r>
        <w:t xml:space="preserve">Los irritantes o excipientes utilizados con frecuencia pueden dañar la mucosa.</w:t>
      </w:r>
    </w:p>
    <w:p>
      <w:pPr>
        <w:pStyle w:val="FirstParagraph"/>
      </w:pPr>
      <w:r>
        <w:t xml:space="preserve">Es especialmente popular la idea de que los péptidos podrían llegar por la nariz «directamente al cerebro». Para algunas sustancias hay indicios de vías de este tipo a través de los nervios olfatorio y facial, pero los datos son escasos. Una revisión crítica muy citada concluyó, en el caso de la oxitocina, que solo una cantidad muy pequeña de la oxitocina administrada por vía nasal llega al líquido cefalorraquídeo, mientras que las concentraciones en sangre aumentan hasta valores superiores al nivel natural, con posibles efectos en el tubo digestivo, el corazón y los órganos reproductores (Leng 2016, PMID 26049207). Los autores instan al escepticismo ante los estudios con efectos sobre el comportamiento y reclaman estudios registrados previamente. Esto es relevante para todos los péptidos que se anuncian como «aerosol nasal para el cerebro», como el Semax o el Selank, que se tratan en la Parte II.</w:t>
      </w:r>
    </w:p>
    <w:bookmarkEnd w:id="69"/>
    <w:bookmarkStart w:id="70" w:name="la-inhalación-un-fracaso-instructivo"/>
    <w:p>
      <w:pPr>
        <w:pStyle w:val="Heading3"/>
      </w:pPr>
      <w:r>
        <w:t xml:space="preserve">La inhalación: un fracaso instructivo</w:t>
      </w:r>
    </w:p>
    <w:p>
      <w:pPr>
        <w:pStyle w:val="FirstParagraph"/>
      </w:pPr>
      <w:r>
        <w:t xml:space="preserve">El pulmón ofrece una superficie enorme con una barrera muy fina hacia la sangre. Por eso se trabajó intensamente en una insulina inhalable. Un primer producto llegó al mercado, pero pronto se retiró; otros desarrollos se interrumpieron. Un comentario de aquella época describe las ventajas y los inconvenientes desde el punto de vista de pacientes, médicos, industria y financiadores, entre ellos el tamaño de los inhaladores y los costes (Heinemann 2008, PMID 19885220). Más tarde se autorizó en Estados Unidos otra insulina inhalable. Para la mayoría de los demás péptidos, la inhalación no desempeña hasta ahora ningún papel.</w:t>
      </w:r>
    </w:p>
    <w:bookmarkEnd w:id="70"/>
    <w:bookmarkStart w:id="71" w:name="la-piel-una-barrera-muy-eficaz"/>
    <w:p>
      <w:pPr>
        <w:pStyle w:val="Heading3"/>
      </w:pPr>
      <w:r>
        <w:t xml:space="preserve">La piel: una barrera muy eficaz</w:t>
      </w:r>
    </w:p>
    <w:p>
      <w:pPr>
        <w:pStyle w:val="FirstParagraph"/>
      </w:pPr>
      <w:r>
        <w:t xml:space="preserve">La piel es uno de los órganos más impermeables del cuerpo. Su capa más externa, el estrato córneo, está formada por células muertas incluidas en lípidos: una especie de muro de ladrillos con argamasa. Una conocida regla empírica de la dermatología establece que una sustancia debe ser menor de unos 500 dalton para atravesar la piel en cantidad apreciable. Los autores lo fundamentan, entre otras cosas, en que prácticamente todos los alérgenos de contacto conocidos y todos los fármacos utilizados en parches de liberación de principios activos están por debajo de ese límite (Bos 2000, PMID 10839713).</w:t>
      </w:r>
    </w:p>
    <w:p>
      <w:pPr>
        <w:pStyle w:val="BodyText"/>
      </w:pPr>
      <w:r>
        <w:t xml:space="preserve">Para los péptidos esto significa que a partir de unos cuatro o cinco aminoácidos ya suelen superar ese límite. Un tripéptido como el GHK puede quedar por debajo; péptidos como el palmitoil pentapéptido-4 o el acetil hexapéptido-8 lo superan claramente. Los fabricantes de cosméticos intentan mejorar la penetración mediante la unión de ácidos grasos (como en el péptido «palmitoil») o sistemas de transporte especiales. Si los péptidos llegan así en cantidad suficiente a sus supuestas células diana en capas más profundas de la piel es una cuestión que habría que investigar específicamente para cada producto. Los datos de los estudios al respecto se comentan en la Parte II.</w:t>
      </w:r>
    </w:p>
    <w:p>
      <w:pPr>
        <w:pStyle w:val="BodyText"/>
      </w:pPr>
      <w:r>
        <w:t xml:space="preserve">Una regla empírica es solo eso: hay excepciones, y recursos como los parches de microagujas pueden superar la barrera. Estos parches llevan diminutas agujas que solo atraviesan la capa más superficial de la piel. Para los péptidos se encuentran todavía en gran medida en fase de desarrollo.</w:t>
      </w:r>
    </w:p>
    <w:p>
      <w:pPr>
        <w:pStyle w:val="BodyText"/>
      </w:pPr>
      <w:r>
        <w:t xml:space="preserve">Para los péptidos farmacológicos, como los análogos de GLP-1, los liberadores de hormona del crecimiento o el melanotán, rige lo siguiente: una simple crema o un gel no los hace llegar a la sangre en cantidad apreciable. Las ofertas de internet que afirman lo contrario deben considerarse con gran escepticismo.</w:t>
      </w:r>
    </w:p>
    <w:bookmarkEnd w:id="71"/>
    <w:bookmarkStart w:id="72" w:name="estabilidad-el-problema-subestimado"/>
    <w:p>
      <w:pPr>
        <w:pStyle w:val="Heading3"/>
      </w:pPr>
      <w:r>
        <w:t xml:space="preserve">Estabilidad: el problema subestimado</w:t>
      </w:r>
    </w:p>
    <w:p>
      <w:pPr>
        <w:pStyle w:val="FirstParagraph"/>
      </w:pPr>
      <w:r>
        <w:t xml:space="preserve">También fuera del organismo los péptidos son delicados. Pueden descomponerse, modificarse químicamente (por ejemplo, por oxidación) o aglutinarse en asociaciones más grandes. Estas aglutinaciones —los especialistas hablan de agregación o formación de fibrillas— pueden reducir el efecto e irritar al sistema inmunitario. Un estudio halló en preparados de imitación de liraglutida una mayor tendencia a la formación de fibrillas y una menor estabilidad física que en el original (Hach 2024, PMID 39379664).</w:t>
      </w:r>
    </w:p>
    <w:p>
      <w:pPr>
        <w:pStyle w:val="BodyText"/>
      </w:pPr>
      <w:r>
        <w:t xml:space="preserve">Por eso, los medicamentos peptídicos autorizados se fabrican, envasan y transportan refrigerados en condiciones exactamente definidas y llevan fecha de caducidad. Los péptidos del mercado gris, en cambio, se venden casi siempre como polvo liofilizado que el usuario debe disolver antes de usarlo. Cada uno de estos pasos —transporte sin refrigeración, almacenamiento, disolución, carga de la jeringa— es una posible fuente de error.</w:t>
      </w:r>
    </w:p>
    <w:bookmarkEnd w:id="72"/>
    <w:bookmarkStart w:id="73" w:name="reacciones-inmunitarias"/>
    <w:p>
      <w:pPr>
        <w:pStyle w:val="Heading3"/>
      </w:pPr>
      <w:r>
        <w:t xml:space="preserve">Reacciones inmunitarias</w:t>
      </w:r>
    </w:p>
    <w:p>
      <w:pPr>
        <w:pStyle w:val="FirstParagraph"/>
      </w:pPr>
      <w:r>
        <w:t xml:space="preserve">Los péptidos son sustancias proteicas y el sistema inmunitario puede reconocerlos como extraños, sobre todo si no corresponden exactamente a una molécula endógena o contienen impurezas. Las posibles consecuencias son reacciones en el lugar de inyección, reacciones alérgicas o la formación de anticuerpos que pueden debilitar el efecto. En el análisis de semaglutida de imitación se encontraron nuevos sitios de unión para el sistema inmunitario, predichos mediante ordenador, que apuntan a un posible riesgo de reacciones inmunitarias (Hach 2024, PMID 39379664). La Parte IV trata en detalle las reacciones inmunitarias.</w:t>
      </w:r>
    </w:p>
    <w:bookmarkEnd w:id="73"/>
    <w:bookmarkStart w:id="74" w:name="X9c194ab3edde6349764cf09e6aaad5539d7352d"/>
    <w:p>
      <w:pPr>
        <w:pStyle w:val="Heading3"/>
      </w:pPr>
      <w:r>
        <w:t xml:space="preserve">Visión de conjunto: comparación de las vías de administración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Vía</w:t>
            </w:r>
          </w:p>
        </w:tc>
        <w:tc>
          <w:tcPr/>
          <w:p>
            <w:pPr>
              <w:pStyle w:val="Compact"/>
              <w:jc w:val="left"/>
            </w:pPr>
            <w:r>
              <w:t xml:space="preserve">Problema principal</w:t>
            </w:r>
          </w:p>
        </w:tc>
        <w:tc>
          <w:tcPr/>
          <w:p>
            <w:pPr>
              <w:pStyle w:val="Compact"/>
              <w:jc w:val="left"/>
            </w:pPr>
            <w:r>
              <w:t xml:space="preserve">Ejemplos</w:t>
            </w:r>
          </w:p>
        </w:tc>
      </w:tr>
      <w:tr>
        <w:tc>
          <w:tcPr/>
          <w:p>
            <w:pPr>
              <w:pStyle w:val="Compact"/>
              <w:jc w:val="left"/>
            </w:pPr>
            <w:r>
              <w:t xml:space="preserve">Inyección subcutánea</w:t>
            </w:r>
          </w:p>
        </w:tc>
        <w:tc>
          <w:tcPr/>
          <w:p>
            <w:pPr>
              <w:pStyle w:val="Compact"/>
              <w:jc w:val="left"/>
            </w:pPr>
            <w:r>
              <w:t xml:space="preserve">aguja, esterilidad, refrigeración</w:t>
            </w:r>
          </w:p>
        </w:tc>
        <w:tc>
          <w:tcPr/>
          <w:p>
            <w:pPr>
              <w:pStyle w:val="Compact"/>
              <w:jc w:val="left"/>
            </w:pPr>
            <w:r>
              <w:t xml:space="preserve">insulina, semaglutida, tirzepatida</w:t>
            </w:r>
          </w:p>
        </w:tc>
      </w:tr>
      <w:tr>
        <w:tc>
          <w:tcPr/>
          <w:p>
            <w:pPr>
              <w:pStyle w:val="Compact"/>
              <w:jc w:val="left"/>
            </w:pPr>
            <w:r>
              <w:t xml:space="preserve">Comprimido</w:t>
            </w:r>
          </w:p>
        </w:tc>
        <w:tc>
          <w:tcPr/>
          <w:p>
            <w:pPr>
              <w:pStyle w:val="Compact"/>
              <w:jc w:val="left"/>
            </w:pPr>
            <w:r>
              <w:t xml:space="preserve">degradación en el tubo digestivo</w:t>
            </w:r>
          </w:p>
        </w:tc>
        <w:tc>
          <w:tcPr/>
          <w:p>
            <w:pPr>
              <w:pStyle w:val="Compact"/>
              <w:jc w:val="left"/>
            </w:pPr>
            <w:r>
              <w:t xml:space="preserve">semaglutida con SNAC</w:t>
            </w:r>
          </w:p>
        </w:tc>
      </w:tr>
      <w:tr>
        <w:tc>
          <w:tcPr/>
          <w:p>
            <w:pPr>
              <w:pStyle w:val="Compact"/>
              <w:jc w:val="left"/>
            </w:pPr>
            <w:r>
              <w:t xml:space="preserve">Sublingual</w:t>
            </w:r>
          </w:p>
        </w:tc>
        <w:tc>
          <w:tcPr/>
          <w:p>
            <w:pPr>
              <w:pStyle w:val="Compact"/>
              <w:jc w:val="left"/>
            </w:pPr>
            <w:r>
              <w:t xml:space="preserve">la mucosa como barrera</w:t>
            </w:r>
          </w:p>
        </w:tc>
        <w:tc>
          <w:tcPr/>
          <w:p>
            <w:pPr>
              <w:pStyle w:val="Compact"/>
              <w:jc w:val="left"/>
            </w:pPr>
            <w:r>
              <w:t xml:space="preserve">no hay datos sólidos</w:t>
            </w:r>
          </w:p>
        </w:tc>
      </w:tr>
      <w:tr>
        <w:tc>
          <w:tcPr/>
          <w:p>
            <w:pPr>
              <w:pStyle w:val="Compact"/>
              <w:jc w:val="left"/>
            </w:pPr>
            <w:r>
              <w:t xml:space="preserve">Aerosol nasal</w:t>
            </w:r>
          </w:p>
        </w:tc>
        <w:tc>
          <w:tcPr/>
          <w:p>
            <w:pPr>
              <w:pStyle w:val="Compact"/>
              <w:jc w:val="left"/>
            </w:pPr>
            <w:r>
              <w:t xml:space="preserve">absorción baja y variable</w:t>
            </w:r>
          </w:p>
        </w:tc>
        <w:tc>
          <w:tcPr/>
          <w:p>
            <w:pPr>
              <w:pStyle w:val="Compact"/>
              <w:jc w:val="left"/>
            </w:pPr>
            <w:r>
              <w:t xml:space="preserve">desmopresina, oxitocina</w:t>
            </w:r>
          </w:p>
        </w:tc>
      </w:tr>
      <w:tr>
        <w:tc>
          <w:tcPr/>
          <w:p>
            <w:pPr>
              <w:pStyle w:val="Compact"/>
              <w:jc w:val="left"/>
            </w:pPr>
            <w:r>
              <w:t xml:space="preserve">Inhalación</w:t>
            </w:r>
          </w:p>
        </w:tc>
        <w:tc>
          <w:tcPr/>
          <w:p>
            <w:pPr>
              <w:pStyle w:val="Compact"/>
              <w:jc w:val="left"/>
            </w:pPr>
            <w:r>
              <w:t xml:space="preserve">dispositivos, seguridad pulmonar</w:t>
            </w:r>
          </w:p>
        </w:tc>
        <w:tc>
          <w:tcPr/>
          <w:p>
            <w:pPr>
              <w:pStyle w:val="Compact"/>
              <w:jc w:val="left"/>
            </w:pPr>
            <w:r>
              <w:t xml:space="preserve">insulina inhalable</w:t>
            </w:r>
          </w:p>
        </w:tc>
      </w:tr>
      <w:tr>
        <w:tc>
          <w:tcPr/>
          <w:p>
            <w:pPr>
              <w:pStyle w:val="Compact"/>
              <w:jc w:val="left"/>
            </w:pPr>
            <w:r>
              <w:t xml:space="preserve">Piel</w:t>
            </w:r>
          </w:p>
        </w:tc>
        <w:tc>
          <w:tcPr/>
          <w:p>
            <w:pPr>
              <w:pStyle w:val="Compact"/>
              <w:jc w:val="left"/>
            </w:pPr>
            <w:r>
              <w:t xml:space="preserve">estrato córneo, tamaño molecular</w:t>
            </w:r>
          </w:p>
        </w:tc>
        <w:tc>
          <w:tcPr/>
          <w:p>
            <w:pPr>
              <w:pStyle w:val="Compact"/>
              <w:jc w:val="left"/>
            </w:pPr>
            <w:r>
              <w:t xml:space="preserve">péptidos cosméticos</w:t>
            </w:r>
          </w:p>
        </w:tc>
      </w:tr>
    </w:tbl>
    <w:bookmarkEnd w:id="74"/>
    <w:bookmarkStart w:id="75" w:name="lo-esencial-en-resumen-1"/>
    <w:p>
      <w:pPr>
        <w:pStyle w:val="Heading3"/>
      </w:pPr>
      <w:r>
        <w:t xml:space="preserve">Lo esencial en resumen</w:t>
      </w:r>
    </w:p>
    <w:p>
      <w:pPr>
        <w:numPr>
          <w:ilvl w:val="0"/>
          <w:numId w:val="1014"/>
        </w:numPr>
        <w:pStyle w:val="Compact"/>
      </w:pPr>
      <w:r>
        <w:t xml:space="preserve">Los péptidos se degradan en el tubo digestivo, son grandes y atraviesan mal las membranas. Por eso la mayoría de los medicamentos peptídicos se inyectan.</w:t>
      </w:r>
    </w:p>
    <w:p>
      <w:pPr>
        <w:numPr>
          <w:ilvl w:val="0"/>
          <w:numId w:val="1014"/>
        </w:numPr>
        <w:pStyle w:val="Compact"/>
      </w:pPr>
      <w:r>
        <w:t xml:space="preserve">Una duración de acción prolongada se consigue mediante modificaciones específicas de la molécula, por ejemplo la unión de ácidos grasos para fijarse a la albúmina.</w:t>
      </w:r>
    </w:p>
    <w:p>
      <w:pPr>
        <w:numPr>
          <w:ilvl w:val="0"/>
          <w:numId w:val="1014"/>
        </w:numPr>
        <w:pStyle w:val="Compact"/>
      </w:pPr>
      <w:r>
        <w:t xml:space="preserve">El comprimido de semaglutida utiliza el excipiente SNAC, que permite la absorción en el estómago. La biodisponibilidad sigue siendo muy baja, de un 0,4 a 1 % aproximadamente.</w:t>
      </w:r>
    </w:p>
    <w:p>
      <w:pPr>
        <w:numPr>
          <w:ilvl w:val="0"/>
          <w:numId w:val="1014"/>
        </w:numPr>
        <w:pStyle w:val="Compact"/>
      </w:pPr>
      <w:r>
        <w:t xml:space="preserve">Con los aerosoles nasales y las cremas, la absorción de los péptidos más grandes es limitada. Promesas como «directamente al cerebro» o «a través de la piel hasta la sangre» no suelen estar demostradas.</w:t>
      </w:r>
    </w:p>
    <w:p>
      <w:pPr>
        <w:numPr>
          <w:ilvl w:val="0"/>
          <w:numId w:val="1014"/>
        </w:numPr>
        <w:pStyle w:val="Compact"/>
      </w:pPr>
      <w:r>
        <w:t xml:space="preserve">La estabilidad, la esterilidad y la pureza no son cuestiones secundarias en los péptidos, sino requisitos para su seguridad y su eficacia.</w:t>
      </w:r>
    </w:p>
    <w:bookmarkEnd w:id="75"/>
    <w:bookmarkEnd w:id="76"/>
    <w:bookmarkStart w:id="96" w:name="cómo-leer-correctamente-los-estudios"/>
    <w:p>
      <w:pPr>
        <w:pStyle w:val="Heading2"/>
      </w:pPr>
      <w:r>
        <w:t xml:space="preserve">Cómo leer correctamente los estudios</w:t>
      </w:r>
    </w:p>
    <w:p>
      <w:pPr>
        <w:pStyle w:val="FirstParagraph"/>
      </w:pPr>
      <w:r>
        <w:t xml:space="preserve">«Los estudios demuestran…»: pocas expresiones se utilizan tanto en la publicidad de péptidos. Con ella puede aludirse a cualquier cosa: un ensayo con células en una placa de Petri, un experimento con doce ratas, el testimonio de un único paciente o un estudio con 17.000 participantes a lo largo de más de tres años. Quien quiera evaluar los péptidos debe conocer estas diferencias. Este capítulo es una especie de caja de herramientas. Explica los tipos de estudio más importantes, las trampas al interpretar los resultados y cómo puede comprobar usted mismo qué hay detrás de una afirmación.</w:t>
      </w:r>
    </w:p>
    <w:bookmarkStart w:id="77" w:name="la-pirámide-de-la-evidencia"/>
    <w:p>
      <w:pPr>
        <w:pStyle w:val="Heading3"/>
      </w:pPr>
      <w:r>
        <w:t xml:space="preserve">La pirámide de la evidencia</w:t>
      </w:r>
    </w:p>
    <w:p>
      <w:pPr>
        <w:pStyle w:val="FirstParagraph"/>
      </w:pPr>
      <w:r>
        <w:t xml:space="preserve">Los especialistas suelen ordenar los tipos de estudio en una pirámide. En la base se sitúan las formas de estudio que aportan muchos indicios pero poca certeza; en la cúspide, las que muestran de forma más fiable si un tratamiento funciona en el ser humano. De abajo arriba:</w:t>
      </w:r>
    </w:p>
    <w:p>
      <w:pPr>
        <w:numPr>
          <w:ilvl w:val="0"/>
          <w:numId w:val="1015"/>
        </w:numPr>
        <w:pStyle w:val="Compact"/>
      </w:pPr>
      <w:r>
        <w:rPr>
          <w:bCs/>
          <w:b/>
        </w:rPr>
        <w:t xml:space="preserve">Estudios de laboratorio y con células</w:t>
      </w:r>
      <w:r>
        <w:t xml:space="preserve"> </w:t>
      </w:r>
      <w:r>
        <w:t xml:space="preserve">(in vitro, «en el vidrio»): se exponen células o tejidos a una sustancia en el laboratorio.</w:t>
      </w:r>
    </w:p>
    <w:p>
      <w:pPr>
        <w:numPr>
          <w:ilvl w:val="0"/>
          <w:numId w:val="1015"/>
        </w:numPr>
        <w:pStyle w:val="Compact"/>
      </w:pPr>
      <w:r>
        <w:rPr>
          <w:bCs/>
          <w:b/>
        </w:rPr>
        <w:t xml:space="preserve">Estudios en animales</w:t>
      </w:r>
      <w:r>
        <w:t xml:space="preserve"> </w:t>
      </w:r>
      <w:r>
        <w:t xml:space="preserve">(generalmente en ratones o ratas).</w:t>
      </w:r>
    </w:p>
    <w:p>
      <w:pPr>
        <w:numPr>
          <w:ilvl w:val="0"/>
          <w:numId w:val="1015"/>
        </w:numPr>
        <w:pStyle w:val="Compact"/>
      </w:pPr>
      <w:r>
        <w:rPr>
          <w:bCs/>
          <w:b/>
        </w:rPr>
        <w:t xml:space="preserve">Casos clínicos y series de casos</w:t>
      </w:r>
      <w:r>
        <w:t xml:space="preserve">: descripciones de uno o de unos pocos pacientes.</w:t>
      </w:r>
    </w:p>
    <w:p>
      <w:pPr>
        <w:numPr>
          <w:ilvl w:val="0"/>
          <w:numId w:val="1015"/>
        </w:numPr>
        <w:pStyle w:val="Compact"/>
      </w:pPr>
      <w:r>
        <w:rPr>
          <w:bCs/>
          <w:b/>
        </w:rPr>
        <w:t xml:space="preserve">Estudios observacionales</w:t>
      </w:r>
      <w:r>
        <w:t xml:space="preserve">: se observa a personas que de todos modos toman o no toman una sustancia y se compara lo que les ocurre.</w:t>
      </w:r>
    </w:p>
    <w:p>
      <w:pPr>
        <w:numPr>
          <w:ilvl w:val="0"/>
          <w:numId w:val="1015"/>
        </w:numPr>
        <w:pStyle w:val="Compact"/>
      </w:pPr>
      <w:r>
        <w:rPr>
          <w:bCs/>
          <w:b/>
        </w:rPr>
        <w:t xml:space="preserve">Estudios controlados sin asignación aleatoria</w:t>
      </w:r>
      <w:r>
        <w:t xml:space="preserve"> </w:t>
      </w:r>
      <w:r>
        <w:t xml:space="preserve">y</w:t>
      </w:r>
      <w:r>
        <w:t xml:space="preserve"> </w:t>
      </w:r>
      <w:r>
        <w:rPr>
          <w:bCs/>
          <w:b/>
        </w:rPr>
        <w:t xml:space="preserve">estudios abiertos</w:t>
      </w:r>
      <w:r>
        <w:t xml:space="preserve">.</w:t>
      </w:r>
    </w:p>
    <w:p>
      <w:pPr>
        <w:numPr>
          <w:ilvl w:val="0"/>
          <w:numId w:val="1015"/>
        </w:numPr>
        <w:pStyle w:val="Compact"/>
      </w:pPr>
      <w:r>
        <w:rPr>
          <w:bCs/>
          <w:b/>
        </w:rPr>
        <w:t xml:space="preserve">Ensayos controlados aleatorizados</w:t>
      </w:r>
      <w:r>
        <w:t xml:space="preserve"> </w:t>
      </w:r>
      <w:r>
        <w:t xml:space="preserve">(RCT).</w:t>
      </w:r>
    </w:p>
    <w:p>
      <w:pPr>
        <w:numPr>
          <w:ilvl w:val="0"/>
          <w:numId w:val="1015"/>
        </w:numPr>
        <w:pStyle w:val="Compact"/>
      </w:pPr>
      <w:r>
        <w:rPr>
          <w:bCs/>
          <w:b/>
        </w:rPr>
        <w:t xml:space="preserve">Revisiones sistemáticas y metaanálisis</w:t>
      </w:r>
      <w:r>
        <w:t xml:space="preserve">, que reúnen todos los buenos estudios disponibles sobre una cuestión.</w:t>
      </w:r>
    </w:p>
    <w:p>
      <w:pPr>
        <w:pStyle w:val="FirstParagraph"/>
      </w:pPr>
      <w:r>
        <w:t xml:space="preserve">La pirámide es una simplificación. Un estudio observacional grande y cuidadoso puede ser más concluyente que un RCT diminuto y mal realizado, y un metaanálisis solo es tan bueno como los estudios que incluye. Pero como orientación general resulta útil, sobre todo para reconocer lo abajo que se sitúan en la pirámide las pruebas de muchos péptidos del mercado gris.</w:t>
      </w:r>
    </w:p>
    <w:bookmarkEnd w:id="77"/>
    <w:bookmarkStart w:id="78" w:name="Xf8752c8f4208efa73d017c69b756cd870bb4c43"/>
    <w:p>
      <w:pPr>
        <w:pStyle w:val="Heading3"/>
      </w:pPr>
      <w:r>
        <w:t xml:space="preserve">Estudios de laboratorio: lo que ocurre en la placa de Petri</w:t>
      </w:r>
    </w:p>
    <w:p>
      <w:pPr>
        <w:pStyle w:val="FirstParagraph"/>
      </w:pPr>
      <w:r>
        <w:t xml:space="preserve">En los cultivos celulares pueden estudiarse bien los mecanismos: ¿qué receptor se activa? ¿Qué genes se expresan? ¿Crecen o migran las células más rápido? Estos estudios son imprescindibles para la investigación básica.</w:t>
      </w:r>
    </w:p>
    <w:p>
      <w:pPr>
        <w:pStyle w:val="BodyText"/>
      </w:pPr>
      <w:r>
        <w:t xml:space="preserve">Sus límites, sin embargo, son grandes. Las células en una placa no tienen circulación sanguínea, ni un hígado que degrade las sustancias, ni sistema inmunitario, ni digestión. Las concentraciones utilizadas en el laboratorio suelen ser mucho más altas que las que podrían alcanzarse en el cuerpo humano. Una sustancia que mata células cancerosas en la placa de Petri puede ser ineficaz o tóxica en el organismo. Cuando un texto publicitario invoca «estudios» y se trata de cultivos celulares, eso es un indicio de un posible mecanismo, no de un beneficio en el ser humano.</w:t>
      </w:r>
    </w:p>
    <w:bookmarkEnd w:id="78"/>
    <w:bookmarkStart w:id="79" w:name="X61c76ad4be1d3f1f7773982e33a75eb98837459"/>
    <w:p>
      <w:pPr>
        <w:pStyle w:val="Heading3"/>
      </w:pPr>
      <w:r>
        <w:t xml:space="preserve">Estudios en animales: importantes, pero no trasladables</w:t>
      </w:r>
    </w:p>
    <w:p>
      <w:pPr>
        <w:pStyle w:val="FirstParagraph"/>
      </w:pPr>
      <w:r>
        <w:t xml:space="preserve">Los experimentos con animales permiten estudiar los efectos en un organismo completo y aclarar cuestiones de seguridad antes de exponer a personas a una sustancia nueva. Al mismo tiempo, los ratones y las ratas difieren considerablemente del ser humano en metabolismo, esperanza de vida, tamaño corporal y origen de las enfermedades. Además, en los animales las enfermedades suelen provocarse artificialmente —por ejemplo, una lesión tendinosa mediante un corte—, lo que solo corresponde de forma limitada a la situación en las personas.</w:t>
      </w:r>
    </w:p>
    <w:p>
      <w:pPr>
        <w:pStyle w:val="BodyText"/>
      </w:pPr>
      <w:r>
        <w:t xml:space="preserve">Lo difícil que es trasladar los resultados lo muestra una revisión sistemática que comparó los efectos de los tratamientos en experimentos con animales con los de los estudios clínicos (Perel 2007, PMID 17175568). Algunos ejemplos:</w:t>
      </w:r>
    </w:p>
    <w:p>
      <w:pPr>
        <w:numPr>
          <w:ilvl w:val="0"/>
          <w:numId w:val="1016"/>
        </w:numPr>
        <w:pStyle w:val="Compact"/>
      </w:pPr>
      <w:r>
        <w:t xml:space="preserve">Los preparados de cortisona mejoraron los resultados en modelos animales de traumatismo craneal, pero en los estudios clínicos en seres humanos no mostraron ningún beneficio.</w:t>
      </w:r>
    </w:p>
    <w:p>
      <w:pPr>
        <w:numPr>
          <w:ilvl w:val="0"/>
          <w:numId w:val="1016"/>
        </w:numPr>
        <w:pStyle w:val="Compact"/>
      </w:pPr>
      <w:r>
        <w:t xml:space="preserve">El principio activo tirilazad redujo en animales con ictus la zona cerebral dañada en un 29 % y mejoró las puntuaciones neurológicas en un 48 %. En personas con ictus se asoció a un peor resultado.</w:t>
      </w:r>
    </w:p>
    <w:p>
      <w:pPr>
        <w:numPr>
          <w:ilvl w:val="0"/>
          <w:numId w:val="1016"/>
        </w:numPr>
        <w:pStyle w:val="Compact"/>
      </w:pPr>
      <w:r>
        <w:t xml:space="preserve">Otros tratamientos, como la disolución de coágulos sanguíneos en el ictus, funcionaron tanto en animales como en seres humanos.</w:t>
      </w:r>
    </w:p>
    <w:p>
      <w:pPr>
        <w:pStyle w:val="FirstParagraph"/>
      </w:pPr>
      <w:r>
        <w:t xml:space="preserve">Los autores atribuyen las discrepancias a sesgos en los estudios en animales y a que los modelos animales no reproducen suficientemente las enfermedades humanas.</w:t>
      </w:r>
    </w:p>
    <w:p>
      <w:pPr>
        <w:pStyle w:val="BodyText"/>
      </w:pPr>
      <w:r>
        <w:t xml:space="preserve">Para este libro, esto tiene una consecuencia clara: si para un péptido solo existen datos en animales, recibe el nivel de evidencia D, con independencia de lo impresionantes que parezcan los resultados en ratas. Y en el texto siempre se indica expresamente cuándo un resultado procede de animales o del laboratorio.</w:t>
      </w:r>
    </w:p>
    <w:bookmarkEnd w:id="79"/>
    <w:bookmarkStart w:id="80" w:name="Xcfa885e638c05ad582bccf486c76c774864227b"/>
    <w:p>
      <w:pPr>
        <w:pStyle w:val="Heading3"/>
      </w:pPr>
      <w:r>
        <w:t xml:space="preserve">Casos clínicos y estudios observacionales</w:t>
      </w:r>
    </w:p>
    <w:p>
      <w:pPr>
        <w:pStyle w:val="FirstParagraph"/>
      </w:pPr>
      <w:r>
        <w:t xml:space="preserve">Los</w:t>
      </w:r>
      <w:r>
        <w:t xml:space="preserve"> </w:t>
      </w:r>
      <w:r>
        <w:rPr>
          <w:bCs/>
          <w:b/>
        </w:rPr>
        <w:t xml:space="preserve">casos clínicos</w:t>
      </w:r>
      <w:r>
        <w:t xml:space="preserve"> </w:t>
      </w:r>
      <w:r>
        <w:t xml:space="preserve">describen a pacientes individuales. Dicen poco sobre la eficacia, pero pueden ser muy valiosos para la seguridad: los efectos adversos raros o inesperados suelen detectarse primero en casos clínicos. En el capítulo sobre el mercado gris conocerá varios de ellos, por ejemplo sobre hipoglucemias graves causadas por preparados falsificados.</w:t>
      </w:r>
    </w:p>
    <w:p>
      <w:pPr>
        <w:pStyle w:val="BodyText"/>
      </w:pPr>
      <w:r>
        <w:t xml:space="preserve">Los</w:t>
      </w:r>
      <w:r>
        <w:t xml:space="preserve"> </w:t>
      </w:r>
      <w:r>
        <w:rPr>
          <w:bCs/>
          <w:b/>
        </w:rPr>
        <w:t xml:space="preserve">estudios observacionales</w:t>
      </w:r>
      <w:r>
        <w:t xml:space="preserve"> </w:t>
      </w:r>
      <w:r>
        <w:t xml:space="preserve">comparan a personas que toman una sustancia con personas que no la toman. Su principal problema es el llamado</w:t>
      </w:r>
      <w:r>
        <w:t xml:space="preserve"> </w:t>
      </w:r>
      <w:r>
        <w:rPr>
          <w:bCs/>
          <w:b/>
        </w:rPr>
        <w:t xml:space="preserve">factor de confusión</w:t>
      </w:r>
      <w:r>
        <w:t xml:space="preserve"> </w:t>
      </w:r>
      <w:r>
        <w:t xml:space="preserve">(confounding): quien toma un determinado preparado suele diferir también en otros aspectos, como los ingresos, la conciencia sobre la salud o las enfermedades previas. Por eso, una asociación encontrada no tiene por qué ser una relación de causa y efecto.</w:t>
      </w:r>
    </w:p>
    <w:p>
      <w:pPr>
        <w:pStyle w:val="BodyText"/>
      </w:pPr>
      <w:r>
        <w:t xml:space="preserve">Una forma especial son los análisis de</w:t>
      </w:r>
      <w:r>
        <w:t xml:space="preserve"> </w:t>
      </w:r>
      <w:r>
        <w:rPr>
          <w:bCs/>
          <w:b/>
        </w:rPr>
        <w:t xml:space="preserve">sistemas de notificación de efectos adversos</w:t>
      </w:r>
      <w:r>
        <w:t xml:space="preserve">, como la base de datos europea EudraVigilance o el FAERS estadounidense. Recogen notificaciones de sospechas de médicos, pacientes y fabricantes. Estos datos muestran señales que conviene seguir investigando, pero no demuestran una relación ni dicen nada sobre la frecuencia real de un efecto adverso.</w:t>
      </w:r>
    </w:p>
    <w:bookmarkEnd w:id="80"/>
    <w:bookmarkStart w:id="81" w:name="el-ensayo-controlado-aleatorizado-rct"/>
    <w:p>
      <w:pPr>
        <w:pStyle w:val="Heading3"/>
      </w:pPr>
      <w:r>
        <w:t xml:space="preserve">El ensayo controlado aleatorizado (RCT)</w:t>
      </w:r>
    </w:p>
    <w:p>
      <w:pPr>
        <w:pStyle w:val="FirstParagraph"/>
      </w:pPr>
      <w:r>
        <w:t xml:space="preserve">El RCT se considera el patrón de referencia para evaluar el efecto de un tratamiento. Lo definen tres elementos:</w:t>
      </w:r>
    </w:p>
    <w:p>
      <w:pPr>
        <w:pStyle w:val="BodyText"/>
      </w:pPr>
      <w:r>
        <w:rPr>
          <w:bCs/>
          <w:b/>
        </w:rPr>
        <w:t xml:space="preserve">Grupo de control.</w:t>
      </w:r>
      <w:r>
        <w:t xml:space="preserve"> </w:t>
      </w:r>
      <w:r>
        <w:t xml:space="preserve">Además del grupo que recibe el principio activo, existe un grupo de comparación: con placebo, con un tratamiento estándar o sin tratamiento. Solo así puede decirse si un cambio se debe al principio activo o se habría producido también sin él.</w:t>
      </w:r>
    </w:p>
    <w:p>
      <w:pPr>
        <w:pStyle w:val="BodyText"/>
      </w:pPr>
      <w:r>
        <w:rPr>
          <w:bCs/>
          <w:b/>
        </w:rPr>
        <w:t xml:space="preserve">Aleatorización.</w:t>
      </w:r>
      <w:r>
        <w:t xml:space="preserve"> </w:t>
      </w:r>
      <w:r>
        <w:t xml:space="preserve">El azar decide quién entra en cada grupo. De este modo, los factores de influencia conocidos y desconocidos se reparten por igual entre ambos grupos. Las diferencias en el resultado pueden atribuirse entonces, con alta probabilidad, al tratamiento.</w:t>
      </w:r>
    </w:p>
    <w:p>
      <w:pPr>
        <w:pStyle w:val="BodyText"/>
      </w:pPr>
      <w:r>
        <w:rPr>
          <w:bCs/>
          <w:b/>
        </w:rPr>
        <w:t xml:space="preserve">Enmascaramiento.</w:t>
      </w:r>
      <w:r>
        <w:t xml:space="preserve"> </w:t>
      </w:r>
      <w:r>
        <w:t xml:space="preserve">En un estudio</w:t>
      </w:r>
      <w:r>
        <w:t xml:space="preserve"> </w:t>
      </w:r>
      <w:r>
        <w:rPr>
          <w:bCs/>
          <w:b/>
        </w:rPr>
        <w:t xml:space="preserve">doble ciego</w:t>
      </w:r>
      <w:r>
        <w:t xml:space="preserve">, ni los participantes ni el personal del estudio saben quién recibe el principio activo y quién el placebo. Esto impide que las expectativas influyan en el resultado. En un estudio</w:t>
      </w:r>
      <w:r>
        <w:t xml:space="preserve"> </w:t>
      </w:r>
      <w:r>
        <w:rPr>
          <w:bCs/>
          <w:b/>
        </w:rPr>
        <w:t xml:space="preserve">abierto</w:t>
      </w:r>
      <w:r>
        <w:t xml:space="preserve">, todos los implicados lo saben; a veces no es posible hacerlo de otro modo, pero los resultados son más vulnerables a los sesgos, sobre todo con variables subjetivas como el dolor, el estado de ánimo o el aspecto de la piel.</w:t>
      </w:r>
    </w:p>
    <w:bookmarkEnd w:id="81"/>
    <w:bookmarkStart w:id="82" w:name="X4940b8074428b622ea5155218cc9ed05963a9ea"/>
    <w:p>
      <w:pPr>
        <w:pStyle w:val="Heading3"/>
      </w:pPr>
      <w:r>
        <w:t xml:space="preserve">El efecto placebo y por qué los grupos de control son imprescindibles</w:t>
      </w:r>
    </w:p>
    <w:p>
      <w:pPr>
        <w:pStyle w:val="FirstParagraph"/>
      </w:pPr>
      <w:r>
        <w:t xml:space="preserve">En los estudios, las personas suelen encontrarse mejor aunque solo reciban un preparado simulado. Esto se debe a las expectativas, a la atención adicional, a los cambios de estilo de vida durante un estudio y a que muchas molestias mejoran de todos modos por sí solas.</w:t>
      </w:r>
    </w:p>
    <w:p>
      <w:pPr>
        <w:pStyle w:val="BodyText"/>
      </w:pPr>
      <w:r>
        <w:t xml:space="preserve">El estudio STEP 1 ofrece un ejemplo ilustrativo: también el grupo de placebo perdió de media el 2,4 % de su peso corporal a lo largo de 68 semanas, porque todos los participantes recibieron además asesoramiento sobre el estilo de vida (Wilding 2021, PMID 33567185). El efecto propiamente dicho del principio activo es la diferencia entre los grupos, en este caso 12,4 puntos porcentuales, no el 14,9 %.</w:t>
      </w:r>
    </w:p>
    <w:p>
      <w:pPr>
        <w:pStyle w:val="BodyText"/>
      </w:pPr>
      <w:r>
        <w:t xml:space="preserve">Un artículo de revisión sobre los péptidos en la medicina deportiva señala expresamente que el efecto placebo podría explicar parte de los efectos comunicados de los péptidos no regulados y que las redes sociales amplifican este efecto (Mendias 2026, PMID 41966639). Por eso, los testimonios de los foros no sustituyen a los estudios controlados.</w:t>
      </w:r>
    </w:p>
    <w:bookmarkEnd w:id="82"/>
    <w:bookmarkStart w:id="83" w:name="fases-de-los-estudios"/>
    <w:p>
      <w:pPr>
        <w:pStyle w:val="Heading3"/>
      </w:pPr>
      <w:r>
        <w:t xml:space="preserve">Fases de los estudios</w:t>
      </w:r>
    </w:p>
    <w:p>
      <w:pPr>
        <w:pStyle w:val="FirstParagraph"/>
      </w:pPr>
      <w:r>
        <w:t xml:space="preserve">Los nuevos medicamentos pasan normalmente por cuatro fases en el ser humano: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Objetivo</w:t>
            </w:r>
          </w:p>
        </w:tc>
        <w:tc>
          <w:tcPr/>
          <w:p>
            <w:pPr>
              <w:pStyle w:val="Compact"/>
              <w:jc w:val="left"/>
            </w:pPr>
            <w:r>
              <w:t xml:space="preserve">Tamaño típico</w:t>
            </w:r>
          </w:p>
        </w:tc>
      </w:tr>
      <w:tr>
        <w:tc>
          <w:tcPr/>
          <w:p>
            <w:pPr>
              <w:pStyle w:val="Compact"/>
              <w:jc w:val="left"/>
            </w:pPr>
            <w:r>
              <w:t xml:space="preserve">Fase 1</w:t>
            </w:r>
          </w:p>
        </w:tc>
        <w:tc>
          <w:tcPr/>
          <w:p>
            <w:pPr>
              <w:pStyle w:val="Compact"/>
              <w:jc w:val="left"/>
            </w:pPr>
            <w:r>
              <w:t xml:space="preserve">tolerabilidad, comportamiento en el organismo</w:t>
            </w:r>
          </w:p>
        </w:tc>
        <w:tc>
          <w:tcPr/>
          <w:p>
            <w:pPr>
              <w:pStyle w:val="Compact"/>
              <w:jc w:val="left"/>
            </w:pPr>
            <w:r>
              <w:t xml:space="preserve">unas pocas decenas de personas sanas</w:t>
            </w:r>
          </w:p>
        </w:tc>
      </w:tr>
      <w:tr>
        <w:tc>
          <w:tcPr/>
          <w:p>
            <w:pPr>
              <w:pStyle w:val="Compact"/>
              <w:jc w:val="left"/>
            </w:pPr>
            <w:r>
              <w:t xml:space="preserve">Fase 2</w:t>
            </w:r>
          </w:p>
        </w:tc>
        <w:tc>
          <w:tcPr/>
          <w:p>
            <w:pPr>
              <w:pStyle w:val="Compact"/>
              <w:jc w:val="left"/>
            </w:pPr>
            <w:r>
              <w:t xml:space="preserve">primera eficacia, búsqueda de dosis</w:t>
            </w:r>
          </w:p>
        </w:tc>
        <w:tc>
          <w:tcPr/>
          <w:p>
            <w:pPr>
              <w:pStyle w:val="Compact"/>
              <w:jc w:val="left"/>
            </w:pPr>
            <w:r>
              <w:t xml:space="preserve">de unas 100 a varios cientos</w:t>
            </w:r>
          </w:p>
        </w:tc>
      </w:tr>
      <w:tr>
        <w:tc>
          <w:tcPr/>
          <w:p>
            <w:pPr>
              <w:pStyle w:val="Compact"/>
              <w:jc w:val="left"/>
            </w:pPr>
            <w:r>
              <w:t xml:space="preserve">Fase 3</w:t>
            </w:r>
          </w:p>
        </w:tc>
        <w:tc>
          <w:tcPr/>
          <w:p>
            <w:pPr>
              <w:pStyle w:val="Compact"/>
              <w:jc w:val="left"/>
            </w:pPr>
            <w:r>
              <w:t xml:space="preserve">eficacia y seguridad en comparación</w:t>
            </w:r>
          </w:p>
        </w:tc>
        <w:tc>
          <w:tcPr/>
          <w:p>
            <w:pPr>
              <w:pStyle w:val="Compact"/>
              <w:jc w:val="left"/>
            </w:pPr>
            <w:r>
              <w:t xml:space="preserve">de cientos a miles</w:t>
            </w:r>
          </w:p>
        </w:tc>
      </w:tr>
      <w:tr>
        <w:tc>
          <w:tcPr/>
          <w:p>
            <w:pPr>
              <w:pStyle w:val="Compact"/>
              <w:jc w:val="left"/>
            </w:pPr>
            <w:r>
              <w:t xml:space="preserve">Fase 4</w:t>
            </w:r>
          </w:p>
        </w:tc>
        <w:tc>
          <w:tcPr/>
          <w:p>
            <w:pPr>
              <w:pStyle w:val="Compact"/>
              <w:jc w:val="left"/>
            </w:pPr>
            <w:r>
              <w:t xml:space="preserve">seguimiento tras la autorización</w:t>
            </w:r>
          </w:p>
        </w:tc>
        <w:tc>
          <w:tcPr/>
          <w:p>
            <w:pPr>
              <w:pStyle w:val="Compact"/>
              <w:jc w:val="left"/>
            </w:pPr>
            <w:r>
              <w:t xml:space="preserve">a menudo muy grande</w:t>
            </w:r>
          </w:p>
        </w:tc>
      </w:tr>
    </w:tbl>
    <w:p>
      <w:pPr>
        <w:pStyle w:val="BodyText"/>
      </w:pPr>
      <w:r>
        <w:t xml:space="preserve">Muchos principios activos fracasan entre la fase 2 y la fase 3. Por eso, un resultado prometedor de fase 2 no es todavía garantía de una autorización posterior.</w:t>
      </w:r>
    </w:p>
    <w:bookmarkEnd w:id="83"/>
    <w:bookmarkStart w:id="84" w:name="X80e417dbba9ae0123db48cef1d213f50d4ed46c"/>
    <w:p>
      <w:pPr>
        <w:pStyle w:val="Heading3"/>
      </w:pPr>
      <w:r>
        <w:t xml:space="preserve">Variables de valoración: ¿qué se mide realmente?</w:t>
      </w:r>
    </w:p>
    <w:p>
      <w:pPr>
        <w:pStyle w:val="FirstParagraph"/>
      </w:pPr>
      <w:r>
        <w:t xml:space="preserve">Cada estudio fija de antemano una</w:t>
      </w:r>
      <w:r>
        <w:t xml:space="preserve"> </w:t>
      </w:r>
      <w:r>
        <w:rPr>
          <w:bCs/>
          <w:b/>
        </w:rPr>
        <w:t xml:space="preserve">variable principal</w:t>
      </w:r>
      <w:r>
        <w:t xml:space="preserve">, el objetivo principal con el que se mide el éxito. A ella se suman variables secundarias. Si un resultado se destaca como importante solo a posteriori, hay que ser prudente: quien mide muchas variables casi siempre encuentra en algún sitio una diferencia «significativa».</w:t>
      </w:r>
    </w:p>
    <w:p>
      <w:pPr>
        <w:pStyle w:val="BodyText"/>
      </w:pPr>
      <w:r>
        <w:t xml:space="preserve">Es especialmente importante distinguir entre</w:t>
      </w:r>
      <w:r>
        <w:t xml:space="preserve"> </w:t>
      </w:r>
      <w:r>
        <w:rPr>
          <w:bCs/>
          <w:b/>
        </w:rPr>
        <w:t xml:space="preserve">variables duras</w:t>
      </w:r>
      <w:r>
        <w:t xml:space="preserve"> </w:t>
      </w:r>
      <w:r>
        <w:t xml:space="preserve">y</w:t>
      </w:r>
      <w:r>
        <w:t xml:space="preserve"> </w:t>
      </w:r>
      <w:r>
        <w:rPr>
          <w:bCs/>
          <w:b/>
        </w:rPr>
        <w:t xml:space="preserve">variables subrogadas</w:t>
      </w:r>
      <w:r>
        <w:t xml:space="preserve">:</w:t>
      </w:r>
    </w:p>
    <w:p>
      <w:pPr>
        <w:numPr>
          <w:ilvl w:val="0"/>
          <w:numId w:val="1017"/>
        </w:numPr>
        <w:pStyle w:val="Compact"/>
      </w:pPr>
      <w:r>
        <w:rPr>
          <w:bCs/>
          <w:b/>
        </w:rPr>
        <w:t xml:space="preserve">Las variables duras</w:t>
      </w:r>
      <w:r>
        <w:t xml:space="preserve"> </w:t>
      </w:r>
      <w:r>
        <w:t xml:space="preserve">son acontecimientos que importan directamente a los pacientes: muerte, infarto de miocardio, ictus, fractura ósea, ceguera, calidad de vida.</w:t>
      </w:r>
    </w:p>
    <w:p>
      <w:pPr>
        <w:numPr>
          <w:ilvl w:val="0"/>
          <w:numId w:val="1017"/>
        </w:numPr>
        <w:pStyle w:val="Compact"/>
      </w:pPr>
      <w:r>
        <w:rPr>
          <w:bCs/>
          <w:b/>
        </w:rPr>
        <w:t xml:space="preserve">Las variables subrogadas</w:t>
      </w:r>
      <w:r>
        <w:t xml:space="preserve"> </w:t>
      </w:r>
      <w:r>
        <w:t xml:space="preserve">(variables sustitutivas) son valores medidos que se supone que están relacionados con las variables duras: glucemia, HbA1c, colesterol, presión arterial, densidad ósea, peso corporal o valores de laboratorio como el IGF-1.</w:t>
      </w:r>
    </w:p>
    <w:p>
      <w:pPr>
        <w:pStyle w:val="FirstParagraph"/>
      </w:pPr>
      <w:r>
        <w:t xml:space="preserve">Las variables subrogadas son prácticas porque pueden medirse más rápido y con menos participantes. Pero pueden inducir a error. El ejemplo más conocido es el Cardiac Arrhythmia Suppression Trial (CAST), de finales de la década de 1980. Se partía de que los medicamentos que suprimen determinadas arritmias cardíacas después de un infarto también evitan muertes. Los medicamentos suprimieron efectivamente las arritmias: se alcanzó la variable subrogada. Sin embargo, en el estudio aleatorizado murieron más personas con dos de estos medicamentos que con placebo: por arritmias murieron 43 participantes con principio activo frente a 16 con placebo (Echt 1991, PMID 1900101).</w:t>
      </w:r>
    </w:p>
    <w:p>
      <w:pPr>
        <w:pStyle w:val="BodyText"/>
      </w:pPr>
      <w:r>
        <w:t xml:space="preserve">Con los péptidos encontrará constantemente variables subrogadas. En los liberadores de hormona del crecimiento a menudo solo se mide si aumenta la concentración de hormona del crecimiento o de IGF-1, no si las personas están por ello más sanas, más fuertes o viven más. En los medicamentos GLP-1, en cambio, existen ya grandes estudios con variables duras como el infarto de miocardio y el ictus. Esta es una de las razones por las que reciben en este libro el nivel de evidencia más alto.</w:t>
      </w:r>
    </w:p>
    <w:bookmarkEnd w:id="84"/>
    <w:bookmarkStart w:id="85" w:name="riesgos-relativos-y-absolutos"/>
    <w:p>
      <w:pPr>
        <w:pStyle w:val="Heading3"/>
      </w:pPr>
      <w:r>
        <w:t xml:space="preserve">Riesgos relativos y absolutos</w:t>
      </w:r>
    </w:p>
    <w:p>
      <w:pPr>
        <w:pStyle w:val="FirstParagraph"/>
      </w:pPr>
      <w:r>
        <w:t xml:space="preserve">Pocos detalles estadísticos se malinterpretan tan a menudo como este. Tomemos el estudio SELECT: a lo largo de una media de 39,8 meses, el evento cardiovascular combinado se produjo en el 6,5 % de los participantes con semaglutida y en el 8,0 % con placebo. El hazard ratio —una medida del riesgo relativo a lo largo del tiempo— fue de 0,80 (Lincoff 2023, PMID 37952131).</w:t>
      </w:r>
    </w:p>
    <w:p>
      <w:pPr>
        <w:pStyle w:val="BodyText"/>
      </w:pPr>
      <w:r>
        <w:t xml:space="preserve">De ello se derivan dos afirmaciones, ambas correctas:</w:t>
      </w:r>
    </w:p>
    <w:p>
      <w:pPr>
        <w:numPr>
          <w:ilvl w:val="0"/>
          <w:numId w:val="1018"/>
        </w:numPr>
        <w:pStyle w:val="Compact"/>
      </w:pPr>
      <w:r>
        <w:rPr>
          <w:bCs/>
          <w:b/>
        </w:rPr>
        <w:t xml:space="preserve">Relativa:</w:t>
      </w:r>
      <w:r>
        <w:t xml:space="preserve"> </w:t>
      </w:r>
      <w:r>
        <w:t xml:space="preserve">el riesgo fue alrededor de un 20 % menor.</w:t>
      </w:r>
    </w:p>
    <w:p>
      <w:pPr>
        <w:numPr>
          <w:ilvl w:val="0"/>
          <w:numId w:val="1018"/>
        </w:numPr>
        <w:pStyle w:val="Compact"/>
      </w:pPr>
      <w:r>
        <w:rPr>
          <w:bCs/>
          <w:b/>
        </w:rPr>
        <w:t xml:space="preserve">Absoluta:</w:t>
      </w:r>
      <w:r>
        <w:t xml:space="preserve"> </w:t>
      </w:r>
      <w:r>
        <w:t xml:space="preserve">la proporción de afectados disminuyó 1,5 puntos porcentuales, de 8,0 a 6,5 de cada 100 personas.</w:t>
      </w:r>
    </w:p>
    <w:p>
      <w:pPr>
        <w:pStyle w:val="FirstParagraph"/>
      </w:pPr>
      <w:r>
        <w:t xml:space="preserve">A partir de la diferencia absoluta puede calcularse el</w:t>
      </w:r>
      <w:r>
        <w:t xml:space="preserve"> </w:t>
      </w:r>
      <w:r>
        <w:rPr>
          <w:bCs/>
          <w:b/>
        </w:rPr>
        <w:t xml:space="preserve">número necesario a tratar (NNT)</w:t>
      </w:r>
      <w:r>
        <w:t xml:space="preserve">: cuántas personas deben tratarse para que una evite un evento. Aquí son, según el cálculo, unas 67 personas durante algo más de tres años. Eso no significa que el tratamiento carezca de importancia: con millones de afectados, el efecto es relevante. Pero muestra que la mayoría de las personas tratadas no habría sufrido ningún evento aun sin medicamento y que algunas lo sufren a pesar del medicamento.</w:t>
      </w:r>
    </w:p>
    <w:p>
      <w:pPr>
        <w:pStyle w:val="BodyText"/>
      </w:pPr>
      <w:r>
        <w:t xml:space="preserve">La publicidad y los titulares prefieren las cifras relativas porque suenan más grandes. Los buenos informes de estudios indican ambas. Por eso, preste siempre atención a la frecuencia de partida: «reducir a la mitad» el riesgo de 2 a 1 de cada 10.000 es algo completamente distinto que de 20 a 10 de cada 100.</w:t>
      </w:r>
    </w:p>
    <w:p>
      <w:pPr>
        <w:pStyle w:val="BodyText"/>
      </w:pPr>
      <w:r>
        <w:t xml:space="preserve">Lo mismo se aplica a los efectos adversos. En SELECT, el 16,6 % de los participantes con semaglutida interrumpieron el tratamiento por acontecimientos adversos, frente al 8,2 % con placebo (Lincoff 2023, PMID 37952131). En términos relativos es el doble; en términos absolutos, una diferencia de 8,4 puntos porcentuales.</w:t>
      </w:r>
    </w:p>
    <w:bookmarkEnd w:id="85"/>
    <w:bookmarkStart w:id="86" w:name="X77dffb4291c6dd0850c3e0687c9e51ffe89404f"/>
    <w:p>
      <w:pPr>
        <w:pStyle w:val="Heading3"/>
      </w:pPr>
      <w:r>
        <w:t xml:space="preserve">Significación estadística e intervalos de confianza</w:t>
      </w:r>
    </w:p>
    <w:p>
      <w:pPr>
        <w:pStyle w:val="FirstParagraph"/>
      </w:pPr>
      <w:r>
        <w:t xml:space="preserve">Un</w:t>
      </w:r>
      <w:r>
        <w:t xml:space="preserve"> </w:t>
      </w:r>
      <w:r>
        <w:rPr>
          <w:bCs/>
          <w:b/>
        </w:rPr>
        <w:t xml:space="preserve">valor p</w:t>
      </w:r>
      <w:r>
        <w:t xml:space="preserve"> </w:t>
      </w:r>
      <w:r>
        <w:t xml:space="preserve">indica la probabilidad de que se produjera una diferencia al menos tan grande si en realidad no existiera ningún efecto. Si es menor de 0,05, un resultado suele considerarse «estadísticamente significativo». Eso no quiere decir que el efecto sea grande o relevante: en estudios muy grandes, incluso diferencias mínimas resultan significativas.</w:t>
      </w:r>
    </w:p>
    <w:p>
      <w:pPr>
        <w:pStyle w:val="BodyText"/>
      </w:pPr>
      <w:r>
        <w:t xml:space="preserve">A menudo es más informativo el</w:t>
      </w:r>
      <w:r>
        <w:t xml:space="preserve"> </w:t>
      </w:r>
      <w:r>
        <w:rPr>
          <w:bCs/>
          <w:b/>
        </w:rPr>
        <w:t xml:space="preserve">intervalo de confianza del 95 %</w:t>
      </w:r>
      <w:r>
        <w:t xml:space="preserve">. Indica un rango en el que se encuentra con alta probabilidad el efecto real. En STEP 1, la diferencia de peso corporal entre semaglutida y placebo fue de 12,4 puntos porcentuales, con un intervalo de confianza de 11,5 a 13,4 (Wilding 2021, PMID 33567185). Un intervalo tan estrecho indica una estimación precisa. En los estudios pequeños, los intervalos suelen ser muy amplios, señal de que el efecto real podría ser grande, pequeño o incluso nulo.</w:t>
      </w:r>
    </w:p>
    <w:bookmarkEnd w:id="86"/>
    <w:bookmarkStart w:id="87" w:name="cómo-se-cuenta-la-cuestión-del-estimando"/>
    <w:p>
      <w:pPr>
        <w:pStyle w:val="Heading3"/>
      </w:pPr>
      <w:r>
        <w:t xml:space="preserve">Cómo se cuenta: la cuestión del estimando</w:t>
      </w:r>
    </w:p>
    <w:p>
      <w:pPr>
        <w:pStyle w:val="FirstParagraph"/>
      </w:pPr>
      <w:r>
        <w:t xml:space="preserve">Un detalle que ha cobrado importancia en los estudios más recientes: ¿cómo se cuenta a las personas que interrumpen el tratamiento o toman medicamentos adicionales? En el estudio PIONEER 1 se comunicaron dos análisis. Si se analiza a todos los participantes, con independencia de si siguieron tomando los comprimidos, el valor de HbA1c disminuyó con la dosis más alta 1,1 puntos porcentuales más que con placebo. Si solo se considera el tiempo en que realmente se tomaron los comprimidos, fueron 1,4 puntos porcentuales (Aroda 2019, PMID 31186300). Ambas cifras son correctas, pero responden a preguntas distintas. La primera suele ser más realista para la vida cotidiana.</w:t>
      </w:r>
    </w:p>
    <w:bookmarkEnd w:id="87"/>
    <w:bookmarkStart w:id="88" w:name="duración-y-tamaño"/>
    <w:p>
      <w:pPr>
        <w:pStyle w:val="Heading3"/>
      </w:pPr>
      <w:r>
        <w:t xml:space="preserve">Duración y tamaño</w:t>
      </w:r>
    </w:p>
    <w:p>
      <w:pPr>
        <w:pStyle w:val="FirstParagraph"/>
      </w:pPr>
      <w:r>
        <w:t xml:space="preserve">Muchos estudios con péptidos son breves. Un cambio en los valores de laboratorio al cabo de dos semanas dice poco sobre lo que ocurre al cabo de dos años, ni sobre el beneficio ni sobre riesgos como el cáncer, que a menudo solo se manifiestan al cabo de años. Igual de importante es el tamaño: los efectos adversos raros, que afectan a una de cada mil personas, pasan inevitablemente desapercibidos en un estudio con 40 participantes. La ausencia de efectos adversos en un estudio pequeño no es una prueba de seguridad.</w:t>
      </w:r>
    </w:p>
    <w:p>
      <w:pPr>
        <w:pStyle w:val="BodyText"/>
      </w:pPr>
      <w:r>
        <w:t xml:space="preserve">A partir de consideraciones teóricas y simulaciones, el epidemiólogo John Ioannidis dedujo que los resultados de investigación son tanto menos fiables cuanto más pequeños son los estudios y los efectos, cuantas más cuestiones se prueban sin selección previa, cuanto más flexibles son el diseño y el análisis y cuanto mayores son los intereses económicos y los prejuicios en un campo (Ioannidis 2005, PMID 16060722). Muchas de estas características se aplican a la investigación sobre péptidos poco estudiados.</w:t>
      </w:r>
    </w:p>
    <w:bookmarkEnd w:id="88"/>
    <w:bookmarkStart w:id="89" w:name="conflictos-de-intereses"/>
    <w:p>
      <w:pPr>
        <w:pStyle w:val="Heading3"/>
      </w:pPr>
      <w:r>
        <w:t xml:space="preserve">Conflictos de intereses</w:t>
      </w:r>
    </w:p>
    <w:p>
      <w:pPr>
        <w:pStyle w:val="FirstParagraph"/>
      </w:pPr>
      <w:r>
        <w:t xml:space="preserve">Los grandes estudios de registro los financian casi siempre los fabricantes. Así lo prevé la ley y no es automáticamente un defecto: estos estudios están sujetos a normas estrictas, se registran previamente y las autoridades los revisan. Aun así, merece la pena fijarse en la financiación. Una revisión Cochrane concluyó que los estudios patrocinados por la industria comunicaban con más frecuencia resultados de eficacia favorables (riesgo relativo 1,27) y conclusiones favorables (riesgo relativo 1,34) que los estudios con otra financiación (Lundh 2017, PMID 28207928).</w:t>
      </w:r>
    </w:p>
    <w:p>
      <w:pPr>
        <w:pStyle w:val="BodyText"/>
      </w:pPr>
      <w:r>
        <w:t xml:space="preserve">Los conflictos de intereses no existen solo en las grandes farmacéuticas. También los investigadores que han descubierto una sustancia y tienen patentes, las clínicas que venden terapias con péptidos o los influencers con códigos de descuento tienen interés en resultados positivos. Es una señal de alarma que casi todos los estudios sobre una sustancia procedan de un único grupo de trabajo y no hayan sido confirmados por equipos independientes.</w:t>
      </w:r>
    </w:p>
    <w:bookmarkEnd w:id="89"/>
    <w:bookmarkStart w:id="90" w:name="Xb08a3834a8e79af7b43050f63aada0d850142c6"/>
    <w:p>
      <w:pPr>
        <w:pStyle w:val="Heading3"/>
      </w:pPr>
      <w:r>
        <w:t xml:space="preserve">El problema de los estudios desaparecidos</w:t>
      </w:r>
    </w:p>
    <w:p>
      <w:pPr>
        <w:pStyle w:val="FirstParagraph"/>
      </w:pPr>
      <w:r>
        <w:t xml:space="preserve">No todos los estudios se publican, y son sobre todo los decepcionantes los que desaparecen. Un análisis sobre antidepresivos mostró hasta qué punto esto puede distorsionar los resultados. De 74 estudios registrados en la agencia estadounidense del medicamento FDA, el 31 % no se publicaron. Según la literatura publicada, el 94 % de los estudios eran positivos; según el análisis de la FDA, solo el 51 % (Turner 2008, PMID 18199864). Quien solo lee las revistas especializadas obtiene una imagen demasiado optimista.</w:t>
      </w:r>
    </w:p>
    <w:bookmarkEnd w:id="90"/>
    <w:bookmarkStart w:id="91" w:name="registros-de-estudios"/>
    <w:p>
      <w:pPr>
        <w:pStyle w:val="Heading3"/>
      </w:pPr>
      <w:r>
        <w:t xml:space="preserve">Registros de estudios</w:t>
      </w:r>
    </w:p>
    <w:p>
      <w:pPr>
        <w:pStyle w:val="FirstParagraph"/>
      </w:pPr>
      <w:r>
        <w:t xml:space="preserve">En respuesta a estos hallazgos, el Comité Internacional de Editores de Revistas Médicas declaró en 2004 que los estudios clínicos debían inscribirse en un registro público antes de su inicio para poder publicarse después (DeAngelis 2004, PMID 15355936). Hoy, los registros son una herramienta central:</w:t>
      </w:r>
    </w:p>
    <w:p>
      <w:pPr>
        <w:numPr>
          <w:ilvl w:val="0"/>
          <w:numId w:val="1019"/>
        </w:numPr>
        <w:pStyle w:val="Compact"/>
      </w:pPr>
      <w:r>
        <w:rPr>
          <w:bCs/>
          <w:b/>
        </w:rPr>
        <w:t xml:space="preserve">ClinicalTrials.gov</w:t>
      </w:r>
      <w:r>
        <w:t xml:space="preserve"> </w:t>
      </w:r>
      <w:r>
        <w:t xml:space="preserve">(Estados Unidos) es el registro más grande. Cada estudio recibe un número con el formato «NCT» más ocho cifras. El estudio SELECT, por ejemplo, tiene el número NCT03574597.</w:t>
      </w:r>
    </w:p>
    <w:p>
      <w:pPr>
        <w:numPr>
          <w:ilvl w:val="0"/>
          <w:numId w:val="1019"/>
        </w:numPr>
        <w:pStyle w:val="Compact"/>
      </w:pPr>
      <w:r>
        <w:t xml:space="preserve">En la</w:t>
      </w:r>
      <w:r>
        <w:t xml:space="preserve"> </w:t>
      </w:r>
      <w:r>
        <w:rPr>
          <w:bCs/>
          <w:b/>
        </w:rPr>
        <w:t xml:space="preserve">UE</w:t>
      </w:r>
      <w:r>
        <w:t xml:space="preserve">, los ensayos clínicos se registran en el Clinical Trials Information System (CTIS) de la Agencia Europea de Medicamentos; los estudios más antiguos figuran en el EU Clinical Trials Register.</w:t>
      </w:r>
    </w:p>
    <w:p>
      <w:pPr>
        <w:numPr>
          <w:ilvl w:val="0"/>
          <w:numId w:val="1019"/>
        </w:numPr>
        <w:pStyle w:val="Compact"/>
      </w:pPr>
      <w:r>
        <w:t xml:space="preserve">La</w:t>
      </w:r>
      <w:r>
        <w:t xml:space="preserve"> </w:t>
      </w:r>
      <w:r>
        <w:rPr>
          <w:bCs/>
          <w:b/>
        </w:rPr>
        <w:t xml:space="preserve">Organización Mundial de la Salud</w:t>
      </w:r>
      <w:r>
        <w:t xml:space="preserve"> </w:t>
      </w:r>
      <w:r>
        <w:t xml:space="preserve">agrupa muchos registros nacionales en un portal de búsqueda (ICTRP).</w:t>
      </w:r>
    </w:p>
    <w:p>
      <w:pPr>
        <w:pStyle w:val="FirstParagraph"/>
      </w:pPr>
      <w:r>
        <w:t xml:space="preserve">En el registro figuran, entre otras cosas, el diseño del estudio previsto, el número de participantes, la variable principal y el estado. Así puede comprobarse si un estudio publicado comunica las variables previstas originalmente y si se iniciaron estudios sobre una sustancia que nunca se publicaron. Para este libro, los registros se utilizaron sobre todo para encontrar estudios en curso. Importante: una inscripción en un registro no es un resultado. Que un estudio esté registrado no dice nada sobre si la sustancia es eficaz.</w:t>
      </w:r>
    </w:p>
    <w:bookmarkEnd w:id="91"/>
    <w:bookmarkStart w:id="92" w:name="otras-señales-de-alarma"/>
    <w:p>
      <w:pPr>
        <w:pStyle w:val="Heading3"/>
      </w:pPr>
      <w:r>
        <w:t xml:space="preserve">Otras señales de alarma</w:t>
      </w:r>
    </w:p>
    <w:p>
      <w:pPr>
        <w:numPr>
          <w:ilvl w:val="0"/>
          <w:numId w:val="1020"/>
        </w:numPr>
        <w:pStyle w:val="Compact"/>
      </w:pPr>
      <w:r>
        <w:rPr>
          <w:bCs/>
          <w:b/>
        </w:rPr>
        <w:t xml:space="preserve">Solo un resumen de congreso o un preprint.</w:t>
      </w:r>
      <w:r>
        <w:t xml:space="preserve"> </w:t>
      </w:r>
      <w:r>
        <w:t xml:space="preserve">Las prepublicaciones (por ejemplo, en medRxiv) y las comunicaciones a congresos todavía no han pasado una revisión por pares completa.</w:t>
      </w:r>
    </w:p>
    <w:p>
      <w:pPr>
        <w:numPr>
          <w:ilvl w:val="0"/>
          <w:numId w:val="1020"/>
        </w:numPr>
        <w:pStyle w:val="Compact"/>
      </w:pPr>
      <w:r>
        <w:rPr>
          <w:bCs/>
          <w:b/>
        </w:rPr>
        <w:t xml:space="preserve">Revistas con criterios dudosos.</w:t>
      </w:r>
      <w:r>
        <w:t xml:space="preserve"> </w:t>
      </w:r>
      <w:r>
        <w:t xml:space="preserve">Algunas revistas publican casi cualquier cosa a cambio de una tarifa.</w:t>
      </w:r>
    </w:p>
    <w:p>
      <w:pPr>
        <w:numPr>
          <w:ilvl w:val="0"/>
          <w:numId w:val="1020"/>
        </w:numPr>
        <w:pStyle w:val="Compact"/>
      </w:pPr>
      <w:r>
        <w:rPr>
          <w:bCs/>
          <w:b/>
        </w:rPr>
        <w:t xml:space="preserve">Estudios que no pueden encontrarse.</w:t>
      </w:r>
      <w:r>
        <w:t xml:space="preserve"> </w:t>
      </w:r>
      <w:r>
        <w:t xml:space="preserve">Si un estudio citado no se encuentra en PubMed ni en un registro, hay que ser prudente.</w:t>
      </w:r>
    </w:p>
    <w:p>
      <w:pPr>
        <w:numPr>
          <w:ilvl w:val="0"/>
          <w:numId w:val="1020"/>
        </w:numPr>
        <w:pStyle w:val="Compact"/>
      </w:pPr>
      <w:r>
        <w:rPr>
          <w:bCs/>
          <w:b/>
        </w:rPr>
        <w:t xml:space="preserve">Extrapolación de enfermos a sanos.</w:t>
      </w:r>
      <w:r>
        <w:t xml:space="preserve"> </w:t>
      </w:r>
      <w:r>
        <w:t xml:space="preserve">Una sustancia que ayuda en una enfermedad determinada no tiene por qué aportar beneficio a personas sanas: allí la relación beneficio-riesgo es completamente distinta.</w:t>
      </w:r>
    </w:p>
    <w:p>
      <w:pPr>
        <w:numPr>
          <w:ilvl w:val="0"/>
          <w:numId w:val="1020"/>
        </w:numPr>
        <w:pStyle w:val="Compact"/>
      </w:pPr>
      <w:r>
        <w:rPr>
          <w:bCs/>
          <w:b/>
        </w:rPr>
        <w:t xml:space="preserve">Extrapolación de una sustancia a otra.</w:t>
      </w:r>
      <w:r>
        <w:t xml:space="preserve"> </w:t>
      </w:r>
      <w:r>
        <w:t xml:space="preserve">Los resultados sobre la semaglutida no se aplican automáticamente a un producto del mercado gris que lleve la etiqueta «semaglutida», y los estudios sobre la timosina beta-4 no se aplican automáticamente al fragmento «TB-500».</w:t>
      </w:r>
    </w:p>
    <w:bookmarkEnd w:id="92"/>
    <w:bookmarkStart w:id="93" w:name="diez-preguntas-para-cualquier-estudio"/>
    <w:p>
      <w:pPr>
        <w:pStyle w:val="Heading3"/>
      </w:pPr>
      <w:r>
        <w:t xml:space="preserve">Diez preguntas para cualquier estudio</w:t>
      </w:r>
    </w:p>
    <w:p>
      <w:pPr>
        <w:numPr>
          <w:ilvl w:val="0"/>
          <w:numId w:val="1021"/>
        </w:numPr>
        <w:pStyle w:val="Compact"/>
      </w:pPr>
      <w:r>
        <w:t xml:space="preserve">¿Se estudió a personas, o a animales o células?</w:t>
      </w:r>
    </w:p>
    <w:p>
      <w:pPr>
        <w:numPr>
          <w:ilvl w:val="0"/>
          <w:numId w:val="1021"/>
        </w:numPr>
        <w:pStyle w:val="Compact"/>
      </w:pPr>
      <w:r>
        <w:t xml:space="preserve">¿Hubo grupo de control y se asignó a los participantes al azar?</w:t>
      </w:r>
    </w:p>
    <w:p>
      <w:pPr>
        <w:numPr>
          <w:ilvl w:val="0"/>
          <w:numId w:val="1021"/>
        </w:numPr>
        <w:pStyle w:val="Compact"/>
      </w:pPr>
      <w:r>
        <w:t xml:space="preserve">¿Fue un estudio enmascarado (ciego)?</w:t>
      </w:r>
    </w:p>
    <w:p>
      <w:pPr>
        <w:numPr>
          <w:ilvl w:val="0"/>
          <w:numId w:val="1021"/>
        </w:numPr>
        <w:pStyle w:val="Compact"/>
      </w:pPr>
      <w:r>
        <w:t xml:space="preserve">¿Cuántos participantes hubo y durante cuánto tiempo se les siguió?</w:t>
      </w:r>
    </w:p>
    <w:p>
      <w:pPr>
        <w:numPr>
          <w:ilvl w:val="0"/>
          <w:numId w:val="1021"/>
        </w:numPr>
        <w:pStyle w:val="Compact"/>
      </w:pPr>
      <w:r>
        <w:t xml:space="preserve">¿A quién se estudió: enfermos o sanos, jóvenes o mayores?</w:t>
      </w:r>
    </w:p>
    <w:p>
      <w:pPr>
        <w:numPr>
          <w:ilvl w:val="0"/>
          <w:numId w:val="1021"/>
        </w:numPr>
        <w:pStyle w:val="Compact"/>
      </w:pPr>
      <w:r>
        <w:t xml:space="preserve">¿Cuál fue la variable principal: una variable dura o una subrogada?</w:t>
      </w:r>
    </w:p>
    <w:p>
      <w:pPr>
        <w:numPr>
          <w:ilvl w:val="0"/>
          <w:numId w:val="1021"/>
        </w:numPr>
        <w:pStyle w:val="Compact"/>
      </w:pPr>
      <w:r>
        <w:t xml:space="preserve">¿Qué magnitud tuvo la diferencia en términos absolutos, no solo relativos?</w:t>
      </w:r>
    </w:p>
    <w:p>
      <w:pPr>
        <w:numPr>
          <w:ilvl w:val="0"/>
          <w:numId w:val="1021"/>
        </w:numPr>
        <w:pStyle w:val="Compact"/>
      </w:pPr>
      <w:r>
        <w:t xml:space="preserve">¿Cuántos abandonaron y qué efectos adversos se produjeron?</w:t>
      </w:r>
    </w:p>
    <w:p>
      <w:pPr>
        <w:numPr>
          <w:ilvl w:val="0"/>
          <w:numId w:val="1021"/>
        </w:numPr>
        <w:pStyle w:val="Compact"/>
      </w:pPr>
      <w:r>
        <w:t xml:space="preserve">¿Quién pagó el estudio y se confirmaron los resultados de forma independiente?</w:t>
      </w:r>
    </w:p>
    <w:p>
      <w:pPr>
        <w:numPr>
          <w:ilvl w:val="0"/>
          <w:numId w:val="1021"/>
        </w:numPr>
        <w:pStyle w:val="Compact"/>
      </w:pPr>
      <w:r>
        <w:t xml:space="preserve">¿Se registró previamente el estudio y coinciden las variables comunicadas con las del registro?</w:t>
      </w:r>
    </w:p>
    <w:bookmarkEnd w:id="93"/>
    <w:bookmarkStart w:id="94" w:name="cómo-clasifica-este-libro-la-evidencia"/>
    <w:p>
      <w:pPr>
        <w:pStyle w:val="Heading3"/>
      </w:pPr>
      <w:r>
        <w:t xml:space="preserve">Cómo clasifica este libro la evidencia</w:t>
      </w:r>
    </w:p>
    <w:p>
      <w:pPr>
        <w:pStyle w:val="FirstParagraph"/>
      </w:pPr>
      <w:r>
        <w:t xml:space="preserve">Cada péptido de la Parte II recibe un nivel de evidencia:</w:t>
      </w:r>
    </w:p>
    <w:p>
      <w:pPr>
        <w:numPr>
          <w:ilvl w:val="0"/>
          <w:numId w:val="1022"/>
        </w:numPr>
        <w:pStyle w:val="Compact"/>
      </w:pPr>
      <w:r>
        <w:rPr>
          <w:bCs/>
          <w:b/>
        </w:rPr>
        <w:t xml:space="preserve">A</w:t>
      </w:r>
      <w:r>
        <w:t xml:space="preserve">: varios estudios aleatorizados grandes en seres humanos, autorización como medicamento.</w:t>
      </w:r>
    </w:p>
    <w:p>
      <w:pPr>
        <w:numPr>
          <w:ilvl w:val="0"/>
          <w:numId w:val="1022"/>
        </w:numPr>
        <w:pStyle w:val="Compact"/>
      </w:pPr>
      <w:r>
        <w:rPr>
          <w:bCs/>
          <w:b/>
        </w:rPr>
        <w:t xml:space="preserve">B</w:t>
      </w:r>
      <w:r>
        <w:t xml:space="preserve">: estudios aleatorizados aislados en seres humanos.</w:t>
      </w:r>
    </w:p>
    <w:p>
      <w:pPr>
        <w:numPr>
          <w:ilvl w:val="0"/>
          <w:numId w:val="1022"/>
        </w:numPr>
        <w:pStyle w:val="Compact"/>
      </w:pPr>
      <w:r>
        <w:rPr>
          <w:bCs/>
          <w:b/>
        </w:rPr>
        <w:t xml:space="preserve">C</w:t>
      </w:r>
      <w:r>
        <w:t xml:space="preserve">: solo estudios pequeños o no controlados en seres humanos.</w:t>
      </w:r>
    </w:p>
    <w:p>
      <w:pPr>
        <w:numPr>
          <w:ilvl w:val="0"/>
          <w:numId w:val="1022"/>
        </w:numPr>
        <w:pStyle w:val="Compact"/>
      </w:pPr>
      <w:r>
        <w:rPr>
          <w:bCs/>
          <w:b/>
        </w:rPr>
        <w:t xml:space="preserve">D</w:t>
      </w:r>
      <w:r>
        <w:t xml:space="preserve">: solo estudios en animales y de laboratorio.</w:t>
      </w:r>
    </w:p>
    <w:p>
      <w:pPr>
        <w:pStyle w:val="FirstParagraph"/>
      </w:pPr>
      <w:r>
        <w:t xml:space="preserve">El nivel valora</w:t>
      </w:r>
      <w:r>
        <w:t xml:space="preserve"> </w:t>
      </w:r>
      <w:r>
        <w:rPr>
          <w:bCs/>
          <w:b/>
        </w:rPr>
        <w:t xml:space="preserve">la cantidad y la calidad de los datos en el ser humano</w:t>
      </w:r>
      <w:r>
        <w:t xml:space="preserve">, no si una sustancia es «buena» o «mala». Un péptido de nivel A puede tener efectos adversos considerables, y un péptido de nivel D puede llegar a ser útil en el futuro: simplemente aún no se ha estudiado lo suficiente. Además, la clasificación se refiere a un uso concreto: una sustancia puede estar bien respaldada para una enfermedad y carecer por completo de respaldo para otra.</w:t>
      </w:r>
    </w:p>
    <w:bookmarkEnd w:id="94"/>
    <w:bookmarkStart w:id="95" w:name="lo-esencial-en-resumen-2"/>
    <w:p>
      <w:pPr>
        <w:pStyle w:val="Heading3"/>
      </w:pPr>
      <w:r>
        <w:t xml:space="preserve">Lo esencial en resumen</w:t>
      </w:r>
    </w:p>
    <w:p>
      <w:pPr>
        <w:numPr>
          <w:ilvl w:val="0"/>
          <w:numId w:val="1023"/>
        </w:numPr>
        <w:pStyle w:val="Compact"/>
      </w:pPr>
      <w:r>
        <w:t xml:space="preserve">Los estudios de laboratorio y en animales aportan indicios sobre los mecanismos, pero no prueban un beneficio en el ser humano.</w:t>
      </w:r>
    </w:p>
    <w:p>
      <w:pPr>
        <w:numPr>
          <w:ilvl w:val="0"/>
          <w:numId w:val="1023"/>
        </w:numPr>
        <w:pStyle w:val="Compact"/>
      </w:pPr>
      <w:r>
        <w:t xml:space="preserve">La comparación aleatorizada, controlada y enmascarada es la vía más fiable para demostrar un efecto.</w:t>
      </w:r>
    </w:p>
    <w:p>
      <w:pPr>
        <w:numPr>
          <w:ilvl w:val="0"/>
          <w:numId w:val="1023"/>
        </w:numPr>
        <w:pStyle w:val="Compact"/>
      </w:pPr>
      <w:r>
        <w:t xml:space="preserve">Las variables subrogadas, como los valores de laboratorio, pueden inducir a error; lo que cuenta son las variables duras.</w:t>
      </w:r>
    </w:p>
    <w:p>
      <w:pPr>
        <w:numPr>
          <w:ilvl w:val="0"/>
          <w:numId w:val="1023"/>
        </w:numPr>
        <w:pStyle w:val="Compact"/>
      </w:pPr>
      <w:r>
        <w:t xml:space="preserve">Las cifras relativas suenan más grandes que las absolutas. Pregunte siempre por la frecuencia de partida.</w:t>
      </w:r>
    </w:p>
    <w:p>
      <w:pPr>
        <w:numPr>
          <w:ilvl w:val="0"/>
          <w:numId w:val="1023"/>
        </w:numPr>
        <w:pStyle w:val="Compact"/>
      </w:pPr>
      <w:r>
        <w:t xml:space="preserve">La financiación, el sesgo de publicación y la falta de confirmación por grupos independientes pueden distorsionar la imagen. Los registros de estudios ayudan a comprobarlo.</w:t>
      </w:r>
    </w:p>
    <w:bookmarkEnd w:id="95"/>
    <w:bookmarkEnd w:id="96"/>
    <w:bookmarkStart w:id="114" w:name="el-mercado-gris"/>
    <w:p>
      <w:pPr>
        <w:pStyle w:val="Heading2"/>
      </w:pPr>
      <w:r>
        <w:t xml:space="preserve">El mercado gris</w:t>
      </w:r>
    </w:p>
    <w:p>
      <w:pPr>
        <w:pStyle w:val="FirstParagraph"/>
      </w:pPr>
      <w:r>
        <w:t xml:space="preserve">Quien busca péptidos en internet llega enseguida a tiendas en línea con páginas de aspecto profesional, fotos de laboratorio y certificados de pureza. Se ofrecen viales con un polvo blanco: BPC-157, TB-500, ipamorelina, melanotán II y, cada vez más, también semaglutida, tirzepatida o principios activos todavía no autorizados como la retatrutida. Casi siempre figura en algún lugar la advertencia «Research Use Only» o «not for human consumption»: solo para fines de investigación, no apto para uso en seres humanos.</w:t>
      </w:r>
    </w:p>
    <w:p>
      <w:pPr>
        <w:pStyle w:val="BodyText"/>
      </w:pPr>
      <w:r>
        <w:t xml:space="preserve">Este capítulo describe lo que se sabe sobre este mercado: a partir de análisis de laboratorio de productos comprados e incautados, de casos clínicos de intoxicaciones y de análisis de notificaciones de efectos adversos. Pretende ayudarle a valorar los riesgos de forma realista. En este libro no se mencionan, por principio, fuentes de suministro.</w:t>
      </w:r>
    </w:p>
    <w:bookmarkStart w:id="97" w:name="qué-son-los-research-peptides"/>
    <w:p>
      <w:pPr>
        <w:pStyle w:val="Heading3"/>
      </w:pPr>
      <w:r>
        <w:t xml:space="preserve">Qué son los «Research Peptides»</w:t>
      </w:r>
    </w:p>
    <w:p>
      <w:pPr>
        <w:pStyle w:val="FirstParagraph"/>
      </w:pPr>
      <w:r>
        <w:t xml:space="preserve">Se denominan «Research Peptides» o «Research Chemicals» las sustancias que oficialmente solo se venden a laboratorios con fines de investigación. La leyenda «no apto para uso en seres humanos» pretende dar cobertura jurídica a la venta: un producto que no se ofrece como medicamento no necesita, según la lógica de los vendedores, una autorización de comercialización como medicamento. En la práctica, sin embargo, muchas de estas tiendas se dirigen claramente a particulares que quieren inyectarse las sustancias ellos mismos. Si esta construcción se sostiene jurídicamente se analiza en el capítulo siguiente; en muchos casos no es así.</w:t>
      </w:r>
    </w:p>
    <w:p>
      <w:pPr>
        <w:pStyle w:val="BodyText"/>
      </w:pPr>
      <w:r>
        <w:t xml:space="preserve">Un artículo de revisión describe el patrón con el ejemplo de la semaglutida y la tirzepatida: los fabricantes venden viales «solo para fines de investigación» o «no aptos para el consumo humano» directamente a los consumidores, a menudo sin los materiales ni los conocimientos necesarios para disolver el principio activo, cargarlo en la jeringa e inyectarlo. Con ello se elude a médicos y farmacias, y con ellos la comprobación de interacciones y la supervisión médica (Belcourt 2025, PMID 39285774).</w:t>
      </w:r>
    </w:p>
    <w:p>
      <w:pPr>
        <w:pStyle w:val="BodyText"/>
      </w:pPr>
      <w:r>
        <w:t xml:space="preserve">Lo difícil que es el uso para personas no especialistas lo investigó un pequeño estudio en una universidad estadounidense. Se pidió a 20 adultos que, con información de internet, realizaran los pasos necesarios para disolver un polvo de semaglutida de este tipo y preparar una jeringa. De 34 pasos, realizaron correctamente de media 15. Los investigadores observaron errores que podrían provocar una dosificación incorrecta, pinchazos accidentales o infecciones (Sedensky 2026, PMID 42541373).</w:t>
      </w:r>
    </w:p>
    <w:bookmarkEnd w:id="97"/>
    <w:bookmarkStart w:id="102" w:name="X7af01cc5bb4edf32b7c7c1703963d59bfd6a1e7"/>
    <w:p>
      <w:pPr>
        <w:pStyle w:val="Heading3"/>
      </w:pPr>
      <w:r>
        <w:t xml:space="preserve">Qué contienen los viales: análisis de laboratorio</w:t>
      </w:r>
    </w:p>
    <w:p>
      <w:pPr>
        <w:pStyle w:val="FirstParagraph"/>
      </w:pPr>
      <w:r>
        <w:t xml:space="preserve">La información más fiable sobre los productos del mercado gris procede de los análisis de laboratorio. Los realizan sobre todo laboratorios antidopaje, autoridades sanitarias y algunos grupos de investigación que compran productos de forma específica o los reciben de aduanas y policía.</w:t>
      </w:r>
    </w:p>
    <w:bookmarkStart w:id="98" w:name="X4f4ddb0419661d8506540a0fc6d4411291b173d"/>
    <w:p>
      <w:pPr>
        <w:pStyle w:val="Heading4"/>
      </w:pPr>
      <w:r>
        <w:t xml:space="preserve">Semaglutida de farmacias en línea ilegales</w:t>
      </w:r>
    </w:p>
    <w:p>
      <w:pPr>
        <w:pStyle w:val="FirstParagraph"/>
      </w:pPr>
      <w:r>
        <w:t xml:space="preserve">Un estudio especialmente exhaustivo combinó un análisis de mercado con compras de prueba (Ashraf 2024, PMID 39509151). Los investigadores analizaron 1080 enlaces de buscadores. 317 conducían a farmacias en línea, de ellos 134 a 59 sitios web ilegales distintos. Los 30 dominios principales vinculados a farmacias ilegales registraron más de 4,7 millones de visitas en tres meses de 2023.</w:t>
      </w:r>
    </w:p>
    <w:p>
      <w:pPr>
        <w:pStyle w:val="BodyText"/>
      </w:pPr>
      <w:r>
        <w:t xml:space="preserve">Se realizaron compras de prueba a seis vendedores ilegales. Los resultados:</w:t>
      </w:r>
    </w:p>
    <w:p>
      <w:pPr>
        <w:numPr>
          <w:ilvl w:val="0"/>
          <w:numId w:val="1024"/>
        </w:numPr>
        <w:pStyle w:val="Compact"/>
      </w:pPr>
      <w:r>
        <w:t xml:space="preserve">Tres plumas precargadas de Ozempic encargadas nunca llegaron: se trataba de estafas sin entrega.</w:t>
      </w:r>
    </w:p>
    <w:p>
      <w:pPr>
        <w:numPr>
          <w:ilvl w:val="0"/>
          <w:numId w:val="1024"/>
        </w:numPr>
        <w:pStyle w:val="Compact"/>
      </w:pPr>
      <w:r>
        <w:t xml:space="preserve">Se entregaron tres viales con polvo. Todos se consideraron probablemente de calidad deficiente o falsificados; en la inspección visual incumplían entre el 59 y el 63 % de los criterios.</w:t>
      </w:r>
    </w:p>
    <w:p>
      <w:pPr>
        <w:numPr>
          <w:ilvl w:val="0"/>
          <w:numId w:val="1024"/>
        </w:numPr>
        <w:pStyle w:val="Compact"/>
      </w:pPr>
      <w:r>
        <w:t xml:space="preserve">El contenido de semaglutida estaba entre un 28,6 y un 38,7 %</w:t>
      </w:r>
      <w:r>
        <w:t xml:space="preserve"> </w:t>
      </w:r>
      <w:r>
        <w:rPr>
          <w:bCs/>
          <w:b/>
        </w:rPr>
        <w:t xml:space="preserve">por encima</w:t>
      </w:r>
      <w:r>
        <w:t xml:space="preserve"> </w:t>
      </w:r>
      <w:r>
        <w:t xml:space="preserve">de la cantidad declarada.</w:t>
      </w:r>
    </w:p>
    <w:p>
      <w:pPr>
        <w:numPr>
          <w:ilvl w:val="0"/>
          <w:numId w:val="1024"/>
        </w:numPr>
        <w:pStyle w:val="Compact"/>
      </w:pPr>
      <w:r>
        <w:t xml:space="preserve">La pureza medida era solo del 7,7 al 14,4 %, en lugar del 99 % prometido en la etiqueta.</w:t>
      </w:r>
    </w:p>
    <w:p>
      <w:pPr>
        <w:numPr>
          <w:ilvl w:val="0"/>
          <w:numId w:val="1024"/>
        </w:numPr>
        <w:pStyle w:val="Compact"/>
      </w:pPr>
      <w:r>
        <w:t xml:space="preserve">No se encontraron gérmenes vivos, pero en</w:t>
      </w:r>
      <w:r>
        <w:t xml:space="preserve"> </w:t>
      </w:r>
      <w:r>
        <w:rPr>
          <w:bCs/>
          <w:b/>
        </w:rPr>
        <w:t xml:space="preserve">todas</w:t>
      </w:r>
      <w:r>
        <w:t xml:space="preserve"> </w:t>
      </w:r>
      <w:r>
        <w:t xml:space="preserve">las muestras se detectaron endotoxinas.</w:t>
      </w:r>
    </w:p>
    <w:p>
      <w:pPr>
        <w:pStyle w:val="FirstParagraph"/>
      </w:pPr>
      <w:r>
        <w:t xml:space="preserve">Este estudio muestra a la vez varios problemas típicos: cantidades declaradas falsas, baja pureza, contaminación y simple estafa.</w:t>
      </w:r>
    </w:p>
    <w:bookmarkEnd w:id="98"/>
    <w:bookmarkStart w:id="99" w:name="X043a1933fd818d22820578c544434dd63f59553"/>
    <w:p>
      <w:pPr>
        <w:pStyle w:val="Heading4"/>
      </w:pPr>
      <w:r>
        <w:t xml:space="preserve">Productos de imitación frente al original</w:t>
      </w:r>
    </w:p>
    <w:p>
      <w:pPr>
        <w:pStyle w:val="FirstParagraph"/>
      </w:pPr>
      <w:r>
        <w:t xml:space="preserve">Otro estudio analizó 16 productos de imitación de semaglutida inyectables y 8 orales, así como 2 imitaciones de liraglutida, y los comparó con los preparados originales (Hach 2024, PMID 39379664). Se encontraron nuevas impurezas, entre ellas moléculas proteicas más grandes, trazas de metales y restos de disolventes. Varios preparados orales contenían bastante menos semaglutida de la declarada. Además, se hallaron estructuras que, según predicciones por ordenador, podrían ser reconocidas por el sistema inmunitario. Como el estudio procede del fabricante de los preparados originales, debe leerse con la debida cautela; no obstante, los problemas descritos coinciden con hallazgos independientes.</w:t>
      </w:r>
    </w:p>
    <w:bookmarkEnd w:id="99"/>
    <w:bookmarkStart w:id="100" w:name="melanotán-ii-de-tiendas-en-línea"/>
    <w:p>
      <w:pPr>
        <w:pStyle w:val="Heading4"/>
      </w:pPr>
      <w:r>
        <w:t xml:space="preserve">Melanotán II de tiendas en línea</w:t>
      </w:r>
    </w:p>
    <w:p>
      <w:pPr>
        <w:pStyle w:val="FirstParagraph"/>
      </w:pPr>
      <w:r>
        <w:t xml:space="preserve">En el caso del péptido bronceador melanotán II, un grupo de investigación analizó viales de tres tiendas en línea. Todas las tiendas declaraban 10 mg por vial; en realidad, los viales contenían entre 4,32 y 8,84 mg. En los productos de dos tiendas se encontraron impurezas desconocidas del 4,1 al 5,9 % (Breindahl 2015, PMID 24771717).</w:t>
      </w:r>
    </w:p>
    <w:bookmarkEnd w:id="100"/>
    <w:bookmarkStart w:id="101" w:name="X06e846707235280431e11def2d525394e639179"/>
    <w:p>
      <w:pPr>
        <w:pStyle w:val="Heading4"/>
      </w:pPr>
      <w:r>
        <w:t xml:space="preserve">Productos incautados del entorno del dopaje</w:t>
      </w:r>
    </w:p>
    <w:p>
      <w:pPr>
        <w:pStyle w:val="FirstParagraph"/>
      </w:pPr>
      <w:r>
        <w:t xml:space="preserve">El laboratorio antidopaje de Colonia analiza desde hace años productos incautados. En un informe sobre el año 2009 describió, entre otras cosas, viales etiquetados como hormona del crecimiento sin ningún contenido farmacológicamente activo, Long-R3-IGF-1 sin purificar y complementos alimenticios que contenían el péptido liberador de hormona del crecimiento GHRP-2 (Kohler 2010, PMID 21204286). En comprimidos ofrecidos como complemento alimenticio de venta libre se midieron unos 50 microgramos de GHRP-2 por comprimido (Thomas 2010, PMID 20878896), una sustancia prohibida en el deporte y que carece de autorización.</w:t>
      </w:r>
    </w:p>
    <w:p>
      <w:pPr>
        <w:pStyle w:val="BodyText"/>
      </w:pPr>
      <w:r>
        <w:t xml:space="preserve">Entre 2010 y 2013, el mismo laboratorio analizó otros 337 productos. Las hormonas peptídicas y los factores de crecimiento representaron el 12,8 %, sobre todo hormona del crecimiento y péptidos liberadores de hormona del crecimiento. Entre los hallazgos llamativos figuraban la timosina beta-4 y una proteína de fusión con efecto biológico desconocido (Krug 2014, PMID 25168622). En Noruega, el 28 % de los productos incautados y analizados entre 2011 y 2014 contenían sustancias dopantes de base peptídica o proteica (Hullstein 2015, PMID 26607218).</w:t>
      </w:r>
    </w:p>
    <w:p>
      <w:pPr>
        <w:pStyle w:val="BodyText"/>
      </w:pPr>
      <w:r>
        <w:t xml:space="preserve">Un informe posterior de Colonia describe variantes modificadas de péptidos conocidos que no existen como medicamentos: Gly-GHRP-6, Gly-GHRP-2 y Gly-ipamorelina —es decir, los respectivos péptidos con un aminoácido glicina adicional al principio— así como una forma ligeramente modificada de la hormona del crecimiento (Krug 2018, PMID 29864719). Estas modificaciones son posiblemente intentos de eludir las pruebas antidopaje; su efecto y su seguridad en el ser humano son desconocidos.</w:t>
      </w:r>
    </w:p>
    <w:p>
      <w:pPr>
        <w:pStyle w:val="BodyText"/>
      </w:pPr>
      <w:r>
        <w:t xml:space="preserve">También se identificó BPC-157 en viales incautados. Un grupo de investigación desarrolló a raíz de ello un método de detección para muestras de orina (Cox 2017, PMID 28035768).</w:t>
      </w:r>
    </w:p>
    <w:p>
      <w:pPr>
        <w:pStyle w:val="BodyText"/>
      </w:pPr>
      <w:r>
        <w:t xml:space="preserve">Un artículo de revisión resume que en los medicamentos peptídicos y proteicos falsificados se ha encontrado una y otra vez el principio activo equivocado, la cantidad equivocada o ningún principio activo; que impurezas tóxicas y subproductos de la fabricación han causado daños para la salud; y que en las incautaciones han aparecido también sustancias que habían fracasado en estudios clínicos o que aún se encontraban en fase de experimentación animal (Janvier 2018, PMID 30165334).</w:t>
      </w:r>
    </w:p>
    <w:bookmarkEnd w:id="101"/>
    <w:bookmarkEnd w:id="102"/>
    <w:bookmarkStart w:id="103" w:name="Xb88937abf0224d1216479e93f7bba39ba8c5577"/>
    <w:p>
      <w:pPr>
        <w:pStyle w:val="Heading3"/>
      </w:pPr>
      <w:r>
        <w:t xml:space="preserve">Los problemas de calidad típicos de un vistazo</w:t>
      </w:r>
    </w:p>
    <w:p>
      <w:pPr>
        <w:pStyle w:val="FirstParagraph"/>
      </w:pPr>
      <w:r>
        <w:t xml:space="preserve">De estos análisis se desprende un patrón recurrente: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Problema</w:t>
            </w:r>
          </w:p>
        </w:tc>
        <w:tc>
          <w:tcPr/>
          <w:p>
            <w:pPr>
              <w:pStyle w:val="Compact"/>
              <w:jc w:val="left"/>
            </w:pPr>
            <w:r>
              <w:t xml:space="preserve">Consecuencia</w:t>
            </w:r>
          </w:p>
        </w:tc>
        <w:tc>
          <w:tcPr/>
          <w:p>
            <w:pPr>
              <w:pStyle w:val="Compact"/>
              <w:jc w:val="left"/>
            </w:pPr>
            <w:r>
              <w:t xml:space="preserve">Ejemplo</w:t>
            </w:r>
          </w:p>
        </w:tc>
      </w:tr>
      <w:tr>
        <w:tc>
          <w:tcPr/>
          <w:p>
            <w:pPr>
              <w:pStyle w:val="Compact"/>
              <w:jc w:val="left"/>
            </w:pPr>
            <w:r>
              <w:t xml:space="preserve">Demasiado principio activo</w:t>
            </w:r>
          </w:p>
        </w:tc>
        <w:tc>
          <w:tcPr/>
          <w:p>
            <w:pPr>
              <w:pStyle w:val="Compact"/>
              <w:jc w:val="left"/>
            </w:pPr>
            <w:r>
              <w:t xml:space="preserve">sobredosis, más efectos adversos</w:t>
            </w:r>
          </w:p>
        </w:tc>
        <w:tc>
          <w:tcPr/>
          <w:p>
            <w:pPr>
              <w:pStyle w:val="Compact"/>
              <w:jc w:val="left"/>
            </w:pPr>
            <w:r>
              <w:t xml:space="preserve">semaglutida hasta un 38,7 % por encima de lo declarado</w:t>
            </w:r>
          </w:p>
        </w:tc>
      </w:tr>
      <w:tr>
        <w:tc>
          <w:tcPr/>
          <w:p>
            <w:pPr>
              <w:pStyle w:val="Compact"/>
              <w:jc w:val="left"/>
            </w:pPr>
            <w:r>
              <w:t xml:space="preserve">Demasiado poco principio activo</w:t>
            </w:r>
          </w:p>
        </w:tc>
        <w:tc>
          <w:tcPr/>
          <w:p>
            <w:pPr>
              <w:pStyle w:val="Compact"/>
              <w:jc w:val="left"/>
            </w:pPr>
            <w:r>
              <w:t xml:space="preserve">ineficacia</w:t>
            </w:r>
          </w:p>
        </w:tc>
        <w:tc>
          <w:tcPr/>
          <w:p>
            <w:pPr>
              <w:pStyle w:val="Compact"/>
              <w:jc w:val="left"/>
            </w:pPr>
            <w:r>
              <w:t xml:space="preserve">melanotán II 4,32 en lugar de 10 mg</w:t>
            </w:r>
          </w:p>
        </w:tc>
      </w:tr>
      <w:tr>
        <w:tc>
          <w:tcPr/>
          <w:p>
            <w:pPr>
              <w:pStyle w:val="Compact"/>
              <w:jc w:val="left"/>
            </w:pPr>
            <w:r>
              <w:t xml:space="preserve">Principio activo equivocado</w:t>
            </w:r>
          </w:p>
        </w:tc>
        <w:tc>
          <w:tcPr/>
          <w:p>
            <w:pPr>
              <w:pStyle w:val="Compact"/>
              <w:jc w:val="left"/>
            </w:pPr>
            <w:r>
              <w:t xml:space="preserve">efecto imprevisible, a veces potencialmente mortal</w:t>
            </w:r>
          </w:p>
        </w:tc>
        <w:tc>
          <w:tcPr/>
          <w:p>
            <w:pPr>
              <w:pStyle w:val="Compact"/>
              <w:jc w:val="left"/>
            </w:pPr>
            <w:r>
              <w:t xml:space="preserve">insulina en lugar de semaglutida</w:t>
            </w:r>
          </w:p>
        </w:tc>
      </w:tr>
      <w:tr>
        <w:tc>
          <w:tcPr/>
          <w:p>
            <w:pPr>
              <w:pStyle w:val="Compact"/>
              <w:jc w:val="left"/>
            </w:pPr>
            <w:r>
              <w:t xml:space="preserve">Ningún principio activo</w:t>
            </w:r>
          </w:p>
        </w:tc>
        <w:tc>
          <w:tcPr/>
          <w:p>
            <w:pPr>
              <w:pStyle w:val="Compact"/>
              <w:jc w:val="left"/>
            </w:pPr>
            <w:r>
              <w:t xml:space="preserve">estafa, ineficacia</w:t>
            </w:r>
          </w:p>
        </w:tc>
        <w:tc>
          <w:tcPr/>
          <w:p>
            <w:pPr>
              <w:pStyle w:val="Compact"/>
              <w:jc w:val="left"/>
            </w:pPr>
            <w:r>
              <w:t xml:space="preserve">viales de «hormona del crecimiento» vacíos</w:t>
            </w:r>
          </w:p>
        </w:tc>
      </w:tr>
      <w:tr>
        <w:tc>
          <w:tcPr/>
          <w:p>
            <w:pPr>
              <w:pStyle w:val="Compact"/>
              <w:jc w:val="left"/>
            </w:pPr>
            <w:r>
              <w:t xml:space="preserve">Impurezas</w:t>
            </w:r>
          </w:p>
        </w:tc>
        <w:tc>
          <w:tcPr/>
          <w:p>
            <w:pPr>
              <w:pStyle w:val="Compact"/>
              <w:jc w:val="left"/>
            </w:pPr>
            <w:r>
              <w:t xml:space="preserve">reacciones inmunitarias, efecto tóxico</w:t>
            </w:r>
          </w:p>
        </w:tc>
        <w:tc>
          <w:tcPr/>
          <w:p>
            <w:pPr>
              <w:pStyle w:val="Compact"/>
              <w:jc w:val="left"/>
            </w:pPr>
            <w:r>
              <w:t xml:space="preserve">subproductos de la síntesis</w:t>
            </w:r>
          </w:p>
        </w:tc>
      </w:tr>
      <w:tr>
        <w:tc>
          <w:tcPr/>
          <w:p>
            <w:pPr>
              <w:pStyle w:val="Compact"/>
              <w:jc w:val="left"/>
            </w:pPr>
            <w:r>
              <w:t xml:space="preserve">Endotoxinas</w:t>
            </w:r>
          </w:p>
        </w:tc>
        <w:tc>
          <w:tcPr/>
          <w:p>
            <w:pPr>
              <w:pStyle w:val="Compact"/>
              <w:jc w:val="left"/>
            </w:pPr>
            <w:r>
              <w:t xml:space="preserve">fiebre, inflamación, reacciones circulatorias</w:t>
            </w:r>
          </w:p>
        </w:tc>
        <w:tc>
          <w:tcPr/>
          <w:p>
            <w:pPr>
              <w:pStyle w:val="Compact"/>
              <w:jc w:val="left"/>
            </w:pPr>
            <w:r>
              <w:t xml:space="preserve">en todas las compras de prueba de semaglutida</w:t>
            </w:r>
          </w:p>
        </w:tc>
      </w:tr>
    </w:tbl>
    <w:bookmarkEnd w:id="103"/>
    <w:bookmarkStart w:id="104" w:name="X79d76d712c115d5bdc9fb86c3f93940c3f53bf0"/>
    <w:p>
      <w:pPr>
        <w:pStyle w:val="Heading3"/>
      </w:pPr>
      <w:r>
        <w:t xml:space="preserve">Pureza: qué significa el porcentaje y qué no</w:t>
      </w:r>
    </w:p>
    <w:p>
      <w:pPr>
        <w:pStyle w:val="FirstParagraph"/>
      </w:pPr>
      <w:r>
        <w:t xml:space="preserve">Muchos vendedores se anuncian con un «99 % de pureza» y adjuntan certificados de análisis. Algunas observaciones al respecto:</w:t>
      </w:r>
    </w:p>
    <w:p>
      <w:pPr>
        <w:numPr>
          <w:ilvl w:val="0"/>
          <w:numId w:val="1025"/>
        </w:numPr>
        <w:pStyle w:val="Compact"/>
      </w:pPr>
      <w:r>
        <w:rPr>
          <w:bCs/>
          <w:b/>
        </w:rPr>
        <w:t xml:space="preserve">La pureza solo mide determinadas impurezas.</w:t>
      </w:r>
      <w:r>
        <w:t xml:space="preserve"> </w:t>
      </w:r>
      <w:r>
        <w:t xml:space="preserve">Una medición típica (cromatografía líquida de alta resolución, HPLC) muestra qué porcentaje de las señales peptídicas medibles corresponde a la sustancia deseada. A menudo no se detectan sales, agua, restos de disolventes, metales ni endotoxinas.</w:t>
      </w:r>
    </w:p>
    <w:p>
      <w:pPr>
        <w:numPr>
          <w:ilvl w:val="0"/>
          <w:numId w:val="1025"/>
        </w:numPr>
        <w:pStyle w:val="Compact"/>
      </w:pPr>
      <w:r>
        <w:rPr>
          <w:bCs/>
          <w:b/>
        </w:rPr>
        <w:t xml:space="preserve">La pureza no dice nada sobre la cantidad.</w:t>
      </w:r>
      <w:r>
        <w:t xml:space="preserve"> </w:t>
      </w:r>
      <w:r>
        <w:t xml:space="preserve">Un vial puede contener una sustancia muy pura, pero en una cantidad equivocada.</w:t>
      </w:r>
    </w:p>
    <w:p>
      <w:pPr>
        <w:numPr>
          <w:ilvl w:val="0"/>
          <w:numId w:val="1025"/>
        </w:numPr>
        <w:pStyle w:val="Compact"/>
      </w:pPr>
      <w:r>
        <w:rPr>
          <w:bCs/>
          <w:b/>
        </w:rPr>
        <w:t xml:space="preserve">La pureza no dice nada sobre la esterilidad.</w:t>
      </w:r>
      <w:r>
        <w:t xml:space="preserve"> </w:t>
      </w:r>
      <w:r>
        <w:t xml:space="preserve">Un polvo puede ser químicamente puro y, aun así, estar contaminado con bacterias o componentes bacterianos.</w:t>
      </w:r>
    </w:p>
    <w:p>
      <w:pPr>
        <w:numPr>
          <w:ilvl w:val="0"/>
          <w:numId w:val="1025"/>
        </w:numPr>
        <w:pStyle w:val="Compact"/>
      </w:pPr>
      <w:r>
        <w:rPr>
          <w:bCs/>
          <w:b/>
        </w:rPr>
        <w:t xml:space="preserve">Los certificados no son verificables.</w:t>
      </w:r>
      <w:r>
        <w:t xml:space="preserve"> </w:t>
      </w:r>
      <w:r>
        <w:t xml:space="preserve">Como comprador, no es posible determinar si un certificado adjunto corresponde realmente al vial entregado. Las compras de prueba de semaglutida mostraron una pureza del 7,7 al 14,4 % pese a una etiqueta que indicaba el 99 % (Ashraf 2024, PMID 39509151).</w:t>
      </w:r>
    </w:p>
    <w:p>
      <w:pPr>
        <w:pStyle w:val="FirstParagraph"/>
      </w:pPr>
      <w:r>
        <w:t xml:space="preserve">A ello se suman las impurezas que se forman típicamente en la síntesis química: péptidos con componentes ausentes o duplicados, variantes mal plegadas o modificadas químicamente, restos de grupos protectores y reactivos. Para los medicamentos autorizados se han fijado límites para estas impurezas, que se controlan periódicamente.</w:t>
      </w:r>
    </w:p>
    <w:bookmarkEnd w:id="104"/>
    <w:bookmarkStart w:id="105" w:name="endotoxinas-invisibles-y-peligrosas"/>
    <w:p>
      <w:pPr>
        <w:pStyle w:val="Heading3"/>
      </w:pPr>
      <w:r>
        <w:t xml:space="preserve">Endotoxinas: invisibles y peligrosas</w:t>
      </w:r>
    </w:p>
    <w:p>
      <w:pPr>
        <w:pStyle w:val="FirstParagraph"/>
      </w:pPr>
      <w:r>
        <w:t xml:space="preserve">Las endotoxinas son componentes de la pared celular de determinadas bacterias. Persisten aunque las bacterias hayan muerto y son muy resistentes al calor. Si llegan a la sangre, pueden provocar fiebre, escalofríos, caída de la presión arterial y, en cantidades mayores, un shock potencialmente mortal. Por eso rigen límites estrictos para inyecciones e infusiones, y los fabricantes de medicamentos analizan cada lote.</w:t>
      </w:r>
    </w:p>
    <w:p>
      <w:pPr>
        <w:pStyle w:val="BodyText"/>
      </w:pPr>
      <w:r>
        <w:t xml:space="preserve">Un polvo «estéril» o «libre de gérmenes» puede contener endotoxinas; eso es exactamente lo que mostraron las compras de prueba de semaglutida: ningún germen vivo, pero endotoxinas en todas las muestras (Ashraf 2024, PMID 39509151). También disolver el producto con agua no estéril, extraer varias veces del mismo vial o reutilizar agujas puede introducir gérmenes.</w:t>
      </w:r>
    </w:p>
    <w:bookmarkEnd w:id="105"/>
    <w:bookmarkStart w:id="106" w:name="errores-de-dosificación"/>
    <w:p>
      <w:pPr>
        <w:pStyle w:val="Heading3"/>
      </w:pPr>
      <w:r>
        <w:t xml:space="preserve">Errores de dosificación</w:t>
      </w:r>
    </w:p>
    <w:p>
      <w:pPr>
        <w:pStyle w:val="FirstParagraph"/>
      </w:pPr>
      <w:r>
        <w:t xml:space="preserve">Aunque un producto contenga exactamente lo que indica la etiqueta, en el mercado gris es difícil dosificar correctamente. El polvo debe disolverse con una cantidad determinada de líquido; la dosis resulta luego de un cálculo de conversión. Quien se equivoca en el cálculo o confunde unidades puede inyectarse fácilmente varias veces la cantidad prevista.</w:t>
      </w:r>
    </w:p>
    <w:p>
      <w:pPr>
        <w:pStyle w:val="BodyText"/>
      </w:pPr>
      <w:r>
        <w:t xml:space="preserve">Una serie de casos de un centro de información toxicológica de Estados Unidos describe tres casos con semaglutida procedente de farmacias y de un centro de estética. Dos personas se habían inyectado por error diez veces la cantidad. Todas sufrieron durante días náuseas, vómitos y dolor abdominal. Una persona había recibido un vial con jeringas sin ningún asesoramiento; otra confundió mililitros, «unidades» y miligramos (Lambson 2023, PMID 37392810). Los autores subrayan que los viales, a diferencia de las plumas precargadas, no ofrecen mecanismos de seguridad frente a estos errores.</w:t>
      </w:r>
    </w:p>
    <w:bookmarkEnd w:id="106"/>
    <w:bookmarkStart w:id="107" w:name="Xa3579ffbd94bdce4b5267a7f8e3671f565ba059"/>
    <w:p>
      <w:pPr>
        <w:pStyle w:val="Heading3"/>
      </w:pPr>
      <w:r>
        <w:t xml:space="preserve">Falsificaciones de Ozempic y otros medicamentos GLP-1</w:t>
      </w:r>
    </w:p>
    <w:p>
      <w:pPr>
        <w:pStyle w:val="FirstParagraph"/>
      </w:pPr>
      <w:r>
        <w:t xml:space="preserve">Con la enorme demanda de semaglutida aparecieron falsificaciones en todo el mundo. La Organización Mundial de la Salud advirtió en 2024 sobre Ozempic falsificado en la cadena de suministro mundial (Ruder 2024, PMID 39028647).</w:t>
      </w:r>
    </w:p>
    <w:p>
      <w:pPr>
        <w:pStyle w:val="BodyText"/>
      </w:pPr>
      <w:r>
        <w:t xml:space="preserve">Son especialmente peligrosas las falsificaciones que contienen otro principio activo. En Italia, una mujer de 31 años fue llevada a urgencias en coma hipoglucémico después de inyectarse un supuesto Ozempic comprado en internet. El análisis toxicológico reveló que el vial contenía insulina en lugar de semaglutida (Antonacci 2026, PMID 41125326). En los Países Bajos se comunicaron dos casos similares: dos personas sin diabetes y sin obesidad se habían inyectado semaglutida obtenida sin receta y se encontraban en coma con hipoglucemia grave, déficit de potasio e hipotermia. La causa era una intoxicación por insulina sintética. Para mantener estable la glucemia fueron necesarios hasta dos días de infusión continua de glucosa (Stammers 2026, PMID 42390457).</w:t>
      </w:r>
    </w:p>
    <w:p>
      <w:pPr>
        <w:pStyle w:val="BodyText"/>
      </w:pPr>
      <w:r>
        <w:t xml:space="preserve">Estos casos son tan relevantes porque la semaglutida auténtica, por sí sola, apenas causa hipoglucemias apreciables en personas sanas. Por eso, una hipoglucemia tras una «inyección para adelgazar» es una señal de alarma de un producto falsificado.</w:t>
      </w:r>
    </w:p>
    <w:p>
      <w:pPr>
        <w:pStyle w:val="BodyText"/>
      </w:pPr>
      <w:r>
        <w:t xml:space="preserve">Un análisis de la base de datos europea de efectos adversos EudraVigilance encontró entre 2018 y 2025 un total de 234 notificaciones relativas a semaglutida posiblemente falsificada. El 73,5 % afectaban a mujeres, y el 89,3 % de los efectos adversos notificados eran graves. Los más notificados fueron vómitos, náuseas e hipoglucemia. En comparación con la semaglutida auténtica, la hipoglucemia, el uso fuera de la indicación autorizada, el malestar y la falta de eficacia se notificaron con una frecuencia desproporcionadamente alta (Zinzi 2026, PMID 42137313). Como con todos los datos de notificación, muestran señales, no frecuencias.</w:t>
      </w:r>
    </w:p>
    <w:bookmarkEnd w:id="107"/>
    <w:bookmarkStart w:id="108" w:name="principios-activos-glp-1-no-autorizados"/>
    <w:p>
      <w:pPr>
        <w:pStyle w:val="Heading3"/>
      </w:pPr>
      <w:r>
        <w:t xml:space="preserve">Principios activos GLP-1 no autorizados</w:t>
      </w:r>
    </w:p>
    <w:p>
      <w:pPr>
        <w:pStyle w:val="FirstParagraph"/>
      </w:pPr>
      <w:r>
        <w:t xml:space="preserve">Entre tanto, en el mercado gris se ofrecen también principios activos que aún no están autorizados, como el agonista triple retatrutida. Para estas sustancias existen estudios de los fabricantes, pero no productos verificados: se desconoce qué contiene realmente un vial con la etiqueta «retatrutida». Una revista especializada dedicó en 2026 un informe propio a este mercado negro (Rubin 2026, PMID 42853576).</w:t>
      </w:r>
    </w:p>
    <w:p>
      <w:pPr>
        <w:pStyle w:val="BodyText"/>
      </w:pPr>
      <w:r>
        <w:t xml:space="preserve">Un caso clínico describe a una mujer de unos veinticinco años que acudió al hospital con cinco días de náuseas persistentes, vómitos repetidos y diarrea. Las molestias no mejoraron al principio a pesar de varios antieméticos. Solo tras preguntas reiteradas se supo que un autodenominado coach de vida sin cualificación médica le había administrado cuatro inyecciones semanales de un producto que supuestamente contenía retatrutida. Ella misma no había considerado las inyecciones como un medicamento (Buzzi 2026, PMID 42843917). El caso muestra otro problema: quien no percibe los péptidos como medicamentos tampoco los menciona a sus médicos.</w:t>
      </w:r>
    </w:p>
    <w:bookmarkEnd w:id="108"/>
    <w:bookmarkStart w:id="109" w:name="peligros-más-allá-de-la-contaminación"/>
    <w:p>
      <w:pPr>
        <w:pStyle w:val="Heading3"/>
      </w:pPr>
      <w:r>
        <w:t xml:space="preserve">Peligros más allá de la contaminación</w:t>
      </w:r>
    </w:p>
    <w:p>
      <w:pPr>
        <w:pStyle w:val="FirstParagraph"/>
      </w:pPr>
      <w:r>
        <w:t xml:space="preserve">Incluso un péptido del mercado gris perfectamente puro puede ser peligroso si la propia sustancia nunca se ha estudiado lo suficiente en el ser humano. Un caso clínico describe a un hombre de 39 años que se inyectó melanotán II comprado en internet; según sus propias declaraciones, seis veces la cantidad inicial que se le había recomendado. Desarrolló taquicardia, agitación, sudoración profusa y una destrucción muscular masiva (rabdomiólisis) con alteración de la función renal, y tuvo que ser tratado en la unidad de cuidados intensivos. El análisis confirmó que el producto contenía efectivamente melanotán II (Nelson 2012, PMID 23121206).</w:t>
      </w:r>
    </w:p>
    <w:p>
      <w:pPr>
        <w:pStyle w:val="BodyText"/>
      </w:pPr>
      <w:r>
        <w:t xml:space="preserve">Los artículos de revisión mencionan como posibles riesgos de los péptidos no regulados, entre otros, las impurezas, la dosificación imprecisa, la formación patológica de nuevos vasos sanguíneos, la aparición de cáncer, la sobrecarga del sistema cardiovascular y las señales hormonales excesivas (Moiz 2026, PMID 42757290). Muchos de estos riesgos se han deducido teóricamente, precisamente porque apenas hay estudios en seres humanos. Una revisión de medicina deportiva concluye que muchos péptidos no autorizados muestran efectos favorables en modelos animales, pero que los datos de seguridad sólidos en el ser humano son escasos y que son posibles daños graves (Mendias 2026, PMID 41966639).</w:t>
      </w:r>
    </w:p>
    <w:bookmarkEnd w:id="109"/>
    <w:bookmarkStart w:id="110" w:name="el-compounding-en-estados-unidos"/>
    <w:p>
      <w:pPr>
        <w:pStyle w:val="Heading3"/>
      </w:pPr>
      <w:r>
        <w:t xml:space="preserve">El compounding en Estados Unidos</w:t>
      </w:r>
    </w:p>
    <w:p>
      <w:pPr>
        <w:pStyle w:val="FirstParagraph"/>
      </w:pPr>
      <w:r>
        <w:t xml:space="preserve">Una particularidad del mercado estadounidense es el</w:t>
      </w:r>
      <w:r>
        <w:t xml:space="preserve"> </w:t>
      </w:r>
      <w:r>
        <w:rPr>
          <w:bCs/>
          <w:b/>
        </w:rPr>
        <w:t xml:space="preserve">compounding</w:t>
      </w:r>
      <w:r>
        <w:t xml:space="preserve"> </w:t>
      </w:r>
      <w:r>
        <w:t xml:space="preserve">(elaboración magistral): en determinadas condiciones, las farmacias pueden elaborar medicamentos por sí mismas, por ejemplo cuando un preparado autorizado no está disponible. Durante los problemas de suministro de semaglutida y tirzepatida surgió así un gran mercado de preparados de imitación, distribuidos a menudo a través de proveedores de telemedicina. Estos preparados no son medicamentos autorizados; su eficacia y seguridad no se han evaluado en estudios.</w:t>
      </w:r>
    </w:p>
    <w:p>
      <w:pPr>
        <w:pStyle w:val="BodyText"/>
      </w:pPr>
      <w:r>
        <w:t xml:space="preserve">Un análisis de la base de datos estadounidense de efectos adversos FAERS comparó las notificaciones relativas a preparados de GLP-1 elaborados en farmacia y autorizados. De 81.078 notificaciones, 707 afectaban a productos elaborados en farmacia. En ellos se notificaron con una frecuencia desproporcionadamente alta, entre otras cosas, dolor abdominal, inflamaciones de la vesícula biliar, errores de elaboración e impurezas, así como hospitalizaciones; en cambio, los errores de uso y de dosificación se notificaron con menos frecuencia (McCall 2026, PMID 40285721). Los autores subrayan que estos datos no prueban una relación de causa y efecto.</w:t>
      </w:r>
    </w:p>
    <w:p>
      <w:pPr>
        <w:pStyle w:val="BodyText"/>
      </w:pPr>
      <w:r>
        <w:t xml:space="preserve">Tras el fin de los problemas de suministro, según la legislación estadounidense las farmacias solo pueden elaborar preparados que difieran de los autorizados, por ejemplo por una forma de administración distinta o por aditivos. Un estudio encontró 33 productos de este tipo, entre ellos combinaciones con vitamina B12, glicina, niacinamida, un laxante o un antiemético, así como gotas y comprimidos bucodispersables para uso sublingual. Para las vitaminas y el laxante, los autores apenas encontraron justificación. Para la adición del antiemético y para las nuevas formas de administración ven una idea comprensible, pero ninguna prueba de eficacia y seguridad (Belcourt 2026, PMID 41689811).</w:t>
      </w:r>
    </w:p>
    <w:p>
      <w:pPr>
        <w:pStyle w:val="BodyText"/>
      </w:pPr>
      <w:r>
        <w:t xml:space="preserve">El compounding no es un mercado gris en sentido estricto: las farmacias están autorizadas y sometidas a supervisión. Para los pacientes, sin embargo, la frontera se difumina cuando los productos se distribuyen a través de plataformas en línea con escaso seguimiento médico. En Europa no existe un sistema comparable; aquí la elaboración en la farmacia está sujeta a requisitos bastante más estrictos (más información en el capítulo siguiente).</w:t>
      </w:r>
    </w:p>
    <w:bookmarkEnd w:id="110"/>
    <w:bookmarkStart w:id="111" w:name="quién-recurre-al-mercado-gris-y-por-qué"/>
    <w:p>
      <w:pPr>
        <w:pStyle w:val="Heading3"/>
      </w:pPr>
      <w:r>
        <w:t xml:space="preserve">Quién recurre al mercado gris y por qué</w:t>
      </w:r>
    </w:p>
    <w:p>
      <w:pPr>
        <w:pStyle w:val="FirstParagraph"/>
      </w:pPr>
      <w:r>
        <w:t xml:space="preserve">Los motivos para recurrir al mercado gris son diversos: precios elevados y falta de financiación de los medicamentos autorizados, problemas de suministro, el deseo de perder peso sin indicación médica, la mejora del rendimiento en el deporte, la esperanza de una curación más rápida de las lesiones o de una vida más larga. Un artículo de revisión describe cómo la publicidad en línea, los testimonios en redes sociales, la autoinyección, las combinaciones de varias sustancias y una vigilancia débil de los efectos adversos interactúan y normalizan productos poco claros (Hailu 2026, PMID 42437212).</w:t>
      </w:r>
    </w:p>
    <w:p>
      <w:pPr>
        <w:pStyle w:val="BodyText"/>
      </w:pPr>
      <w:r>
        <w:t xml:space="preserve">Estos motivos son comprensibles. Pero los análisis de este capítulo muestran que los compradores del mercado gris no pueden saber qué reciben realmente.</w:t>
      </w:r>
    </w:p>
    <w:bookmarkEnd w:id="111"/>
    <w:bookmarkStart w:id="112" w:name="X5c3e76511c76178fe7725e65159cf33125ac1b8"/>
    <w:p>
      <w:pPr>
        <w:pStyle w:val="Heading3"/>
      </w:pPr>
      <w:r>
        <w:t xml:space="preserve">Si ya ha utilizado péptidos del mercado gris</w:t>
      </w:r>
    </w:p>
    <w:p>
      <w:pPr>
        <w:pStyle w:val="FirstParagraph"/>
      </w:pPr>
      <w:r>
        <w:t xml:space="preserve">Este libro no da indicaciones de uso. No obstante, algunos puntos generales son importantes por razones de seguridad:</w:t>
      </w:r>
    </w:p>
    <w:p>
      <w:pPr>
        <w:numPr>
          <w:ilvl w:val="0"/>
          <w:numId w:val="1026"/>
        </w:numPr>
        <w:pStyle w:val="Compact"/>
      </w:pPr>
      <w:r>
        <w:t xml:space="preserve">Informe a su médico o médica de todas las inyecciones, péptidos y «productos químicos de investigación» que utilice, aunque no los considere medicamentos.</w:t>
      </w:r>
    </w:p>
    <w:p>
      <w:pPr>
        <w:numPr>
          <w:ilvl w:val="0"/>
          <w:numId w:val="1026"/>
        </w:numPr>
        <w:pStyle w:val="Compact"/>
      </w:pPr>
      <w:r>
        <w:t xml:space="preserve">Las molestias inesperadas como temblor, sudoración, confusión o alteraciones de la consciencia tras una inyección pueden indicar una hipoglucemia y constituyen una urgencia.</w:t>
      </w:r>
    </w:p>
    <w:p>
      <w:pPr>
        <w:numPr>
          <w:ilvl w:val="0"/>
          <w:numId w:val="1026"/>
        </w:numPr>
        <w:pStyle w:val="Compact"/>
      </w:pPr>
      <w:r>
        <w:t xml:space="preserve">Los productos sospechosos y los efectos adversos pueden notificarse a las autoridades: en Alemania, al Instituto Federal de Medicamentos y Productos Sanitarios (BfArM); en Austria, a la Oficina Federal de Seguridad en la Asistencia Sanitaria (BASG).</w:t>
      </w:r>
    </w:p>
    <w:bookmarkEnd w:id="112"/>
    <w:bookmarkStart w:id="113" w:name="lo-esencial-en-resumen-3"/>
    <w:p>
      <w:pPr>
        <w:pStyle w:val="Heading3"/>
      </w:pPr>
      <w:r>
        <w:t xml:space="preserve">Lo esencial en resumen</w:t>
      </w:r>
    </w:p>
    <w:p>
      <w:pPr>
        <w:numPr>
          <w:ilvl w:val="0"/>
          <w:numId w:val="1027"/>
        </w:numPr>
        <w:pStyle w:val="Compact"/>
      </w:pPr>
      <w:r>
        <w:t xml:space="preserve">La advertencia «solo para fines de investigación» no protege de los riesgos; traslada la responsabilidad a los compradores.</w:t>
      </w:r>
    </w:p>
    <w:p>
      <w:pPr>
        <w:numPr>
          <w:ilvl w:val="0"/>
          <w:numId w:val="1027"/>
        </w:numPr>
        <w:pStyle w:val="Compact"/>
      </w:pPr>
      <w:r>
        <w:t xml:space="preserve">Los análisis de laboratorio de péptidos del mercado gris encontraron demasiado, demasiado poco, el equivocado o ningún principio activo, así como impurezas y endotoxinas.</w:t>
      </w:r>
    </w:p>
    <w:p>
      <w:pPr>
        <w:numPr>
          <w:ilvl w:val="0"/>
          <w:numId w:val="1027"/>
        </w:numPr>
        <w:pStyle w:val="Compact"/>
      </w:pPr>
      <w:r>
        <w:t xml:space="preserve">Los productos de semaglutida falsificados que contenían insulina provocaron hipoglucemias potencialmente mortales.</w:t>
      </w:r>
    </w:p>
    <w:p>
      <w:pPr>
        <w:numPr>
          <w:ilvl w:val="0"/>
          <w:numId w:val="1027"/>
        </w:numPr>
        <w:pStyle w:val="Compact"/>
      </w:pPr>
      <w:r>
        <w:t xml:space="preserve">Tampoco los preparados elaborados en farmacias estadounidenses están evaluados como los medicamentos autorizados.</w:t>
      </w:r>
    </w:p>
    <w:p>
      <w:pPr>
        <w:numPr>
          <w:ilvl w:val="0"/>
          <w:numId w:val="1027"/>
        </w:numPr>
        <w:pStyle w:val="Compact"/>
      </w:pPr>
      <w:r>
        <w:t xml:space="preserve">Incluso un producto puro sigue siendo arriesgado si el principio activo nunca se ha estudiado lo suficiente en el ser humano.</w:t>
      </w:r>
    </w:p>
    <w:bookmarkEnd w:id="113"/>
    <w:bookmarkEnd w:id="114"/>
    <w:bookmarkStart w:id="128" w:name="marco-jurídico"/>
    <w:p>
      <w:pPr>
        <w:pStyle w:val="Heading2"/>
      </w:pPr>
      <w:r>
        <w:t xml:space="preserve">Marco jurídico</w:t>
      </w:r>
    </w:p>
    <w:p>
      <w:pPr>
        <w:pStyle w:val="FirstParagraph"/>
      </w:pPr>
      <w:r>
        <w:t xml:space="preserve">Que un péptido sea un medicamento sujeto a prescripción médica, un complemento alimenticio, un cosmético o una sustancia dopante prohibida no depende solo de la molécula. También es decisivo para qué está destinado, cómo se ofrece y cómo actúa en el organismo. El mismo péptido de colágeno puede estar en la estantería del supermercado como alimento; un péptido con un efecto de tipo hormonal demostrable, en cambio, es casi siempre un medicamento, diga lo que diga la etiqueta. Este capítulo ofrece una visión de conjunto de las normas de la Unión Europea, Austria, Alemania y Estados Unidos, así como de las disposiciones antidopaje.</w:t>
      </w:r>
    </w:p>
    <w:p>
      <w:pPr>
        <w:pStyle w:val="BlockText"/>
      </w:pPr>
      <w:r>
        <w:rPr>
          <w:bCs/>
          <w:b/>
        </w:rPr>
        <w:t xml:space="preserve">Aviso importante:</w:t>
      </w:r>
      <w:r>
        <w:t xml:space="preserve"> </w:t>
      </w:r>
      <w:r>
        <w:t xml:space="preserve">este capítulo refleja el estado de 2026 según el leal saber y entender del autor y no constituye asesoramiento jurídico. Las leyes, los reglamentos, la práctica administrativa y la Lista de Prohibiciones de la Agencia Mundial Antidopaje cambian con regularidad. Compruebe en cada caso la situación jurídica actual y, ante cuestiones concretas, diríjase a un abogado o una abogada o a la autoridad competente.</w:t>
      </w:r>
    </w:p>
    <w:bookmarkStart w:id="115" w:name="X4be8f8480aec84cfbb8494d31e601c7d7718c46"/>
    <w:p>
      <w:pPr>
        <w:pStyle w:val="Heading3"/>
      </w:pPr>
      <w:r>
        <w:t xml:space="preserve">Tres categorías: medicamentos, alimentos, cosméticos</w:t>
      </w:r>
    </w:p>
    <w:p>
      <w:pPr>
        <w:pStyle w:val="FirstParagraph"/>
      </w:pPr>
      <w:r>
        <w:t xml:space="preserve">El derecho europeo distingue esencialmente tres categorías de productos en las que pueden encuadrarse los péptidos. Cada una tiene sus propias normas: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Control administrativo antes de la venta</w:t>
            </w:r>
          </w:p>
        </w:tc>
        <w:tc>
          <w:tcPr/>
          <w:p>
            <w:pPr>
              <w:pStyle w:val="Compact"/>
              <w:jc w:val="left"/>
            </w:pPr>
            <w:r>
              <w:t xml:space="preserve">Péptidos típicos</w:t>
            </w:r>
          </w:p>
        </w:tc>
      </w:tr>
      <w:tr>
        <w:tc>
          <w:tcPr/>
          <w:p>
            <w:pPr>
              <w:pStyle w:val="Compact"/>
              <w:jc w:val="left"/>
            </w:pPr>
            <w:r>
              <w:t xml:space="preserve">Medicamentos</w:t>
            </w:r>
          </w:p>
        </w:tc>
        <w:tc>
          <w:tcPr/>
          <w:p>
            <w:pPr>
              <w:pStyle w:val="Compact"/>
              <w:jc w:val="left"/>
            </w:pPr>
            <w:r>
              <w:t xml:space="preserve">autorización con demostración de eficacia y seguridad</w:t>
            </w:r>
          </w:p>
        </w:tc>
        <w:tc>
          <w:tcPr/>
          <w:p>
            <w:pPr>
              <w:pStyle w:val="Compact"/>
              <w:jc w:val="left"/>
            </w:pPr>
            <w:r>
              <w:t xml:space="preserve">insulina, semaglutida, oxitocina</w:t>
            </w:r>
          </w:p>
        </w:tc>
      </w:tr>
      <w:tr>
        <w:tc>
          <w:tcPr/>
          <w:p>
            <w:pPr>
              <w:pStyle w:val="Compact"/>
              <w:jc w:val="left"/>
            </w:pPr>
            <w:r>
              <w:t xml:space="preserve">Alimentos y complementos alimenticios</w:t>
            </w:r>
          </w:p>
        </w:tc>
        <w:tc>
          <w:tcPr/>
          <w:p>
            <w:pPr>
              <w:pStyle w:val="Compact"/>
              <w:jc w:val="left"/>
            </w:pPr>
            <w:r>
              <w:t xml:space="preserve">sin autorización, responsabilidad del fabricante</w:t>
            </w:r>
          </w:p>
        </w:tc>
        <w:tc>
          <w:tcPr/>
          <w:p>
            <w:pPr>
              <w:pStyle w:val="Compact"/>
              <w:jc w:val="left"/>
            </w:pPr>
            <w:r>
              <w:t xml:space="preserve">péptidos de colágeno, péptidos lácteos</w:t>
            </w:r>
          </w:p>
        </w:tc>
      </w:tr>
      <w:tr>
        <w:tc>
          <w:tcPr/>
          <w:p>
            <w:pPr>
              <w:pStyle w:val="Compact"/>
              <w:jc w:val="left"/>
            </w:pPr>
            <w:r>
              <w:t xml:space="preserve">Cosméticos</w:t>
            </w:r>
          </w:p>
        </w:tc>
        <w:tc>
          <w:tcPr/>
          <w:p>
            <w:pPr>
              <w:pStyle w:val="Compact"/>
              <w:jc w:val="left"/>
            </w:pPr>
            <w:r>
              <w:t xml:space="preserve">sin autorización, evaluación de la seguridad por el fabricante</w:t>
            </w:r>
          </w:p>
        </w:tc>
        <w:tc>
          <w:tcPr/>
          <w:p>
            <w:pPr>
              <w:pStyle w:val="Compact"/>
              <w:jc w:val="left"/>
            </w:pPr>
            <w:r>
              <w:t xml:space="preserve">palmitoil pentapéptido-4, Argireline</w:t>
            </w:r>
          </w:p>
        </w:tc>
      </w:tr>
    </w:tbl>
    <w:p>
      <w:pPr>
        <w:pStyle w:val="BodyText"/>
      </w:pPr>
      <w:r>
        <w:t xml:space="preserve">A ellas se suman sustancias que no encajan legalmente en ninguna de estas categorías, como los principios activos no autorizados con efecto farmacológico que se venden como «productos químicos de investigación». Para ellos no existe ninguna vía legal de comercialización como producto para uso en seres humanos.</w:t>
      </w:r>
    </w:p>
    <w:bookmarkEnd w:id="115"/>
    <w:bookmarkStart w:id="116" w:name="qué-es-un-medicamento"/>
    <w:p>
      <w:pPr>
        <w:pStyle w:val="Heading3"/>
      </w:pPr>
      <w:r>
        <w:t xml:space="preserve">Qué es un medicamento</w:t>
      </w:r>
    </w:p>
    <w:p>
      <w:pPr>
        <w:pStyle w:val="FirstParagraph"/>
      </w:pPr>
      <w:r>
        <w:t xml:space="preserve">La definición de medicamento está establecida en la UE por una directiva (Directiva 2001/83/CE) y transpuesta en las leyes nacionales del medicamento. Tiene dos vertientes:</w:t>
      </w:r>
    </w:p>
    <w:p>
      <w:pPr>
        <w:numPr>
          <w:ilvl w:val="0"/>
          <w:numId w:val="1028"/>
        </w:numPr>
        <w:pStyle w:val="Compact"/>
      </w:pPr>
      <w:r>
        <w:rPr>
          <w:bCs/>
          <w:b/>
        </w:rPr>
        <w:t xml:space="preserve">Medicamento por presentación</w:t>
      </w:r>
      <w:r>
        <w:t xml:space="preserve">: un producto es un medicamento si se</w:t>
      </w:r>
      <w:r>
        <w:t xml:space="preserve"> </w:t>
      </w:r>
      <w:r>
        <w:rPr>
          <w:bCs/>
          <w:b/>
        </w:rPr>
        <w:t xml:space="preserve">presenta</w:t>
      </w:r>
      <w:r>
        <w:t xml:space="preserve"> </w:t>
      </w:r>
      <w:r>
        <w:t xml:space="preserve">como un medio para curar o prevenir enfermedades. La simple publicidad con afirmaciones como «acelera la curación de las lesiones tendinosas» puede convertir un producto en medicamento.</w:t>
      </w:r>
    </w:p>
    <w:p>
      <w:pPr>
        <w:numPr>
          <w:ilvl w:val="0"/>
          <w:numId w:val="1028"/>
        </w:numPr>
        <w:pStyle w:val="Compact"/>
      </w:pPr>
      <w:r>
        <w:rPr>
          <w:bCs/>
          <w:b/>
        </w:rPr>
        <w:t xml:space="preserve">Medicamento por función</w:t>
      </w:r>
      <w:r>
        <w:t xml:space="preserve">: un producto es un medicamento si puede restablecer, corregir o modificar las funciones fisiológicas humanas mediante una</w:t>
      </w:r>
      <w:r>
        <w:t xml:space="preserve"> </w:t>
      </w:r>
      <w:r>
        <w:rPr>
          <w:bCs/>
          <w:b/>
        </w:rPr>
        <w:t xml:space="preserve">acción farmacológica, inmunológica o metabólica</w:t>
      </w:r>
      <w:r>
        <w:t xml:space="preserve">, con independencia de cómo se anuncie.</w:t>
      </w:r>
    </w:p>
    <w:p>
      <w:pPr>
        <w:pStyle w:val="FirstParagraph"/>
      </w:pPr>
      <w:r>
        <w:t xml:space="preserve">Si un producto se ajusta tanto a la definición de medicamento como a la de otro producto, según esta directiva prevalece en caso de duda la legislación sobre medicamentos. Para los péptidos con efecto de tipo hormonal —como los liberadores de hormona del crecimiento, los análogos de GLP-1 o el melanotán— esto significa que, por regla general, son medicamentos, aunque se declaren como complemento alimenticio, cosmético o «producto químico de investigación».</w:t>
      </w:r>
    </w:p>
    <w:bookmarkEnd w:id="116"/>
    <w:bookmarkStart w:id="117" w:name="autorización-en-la-ue"/>
    <w:p>
      <w:pPr>
        <w:pStyle w:val="Heading3"/>
      </w:pPr>
      <w:r>
        <w:t xml:space="preserve">Autorización en la UE</w:t>
      </w:r>
    </w:p>
    <w:p>
      <w:pPr>
        <w:pStyle w:val="FirstParagraph"/>
      </w:pPr>
      <w:r>
        <w:t xml:space="preserve">En la UE, un medicamento solo puede comercializarse si está autorizado. Para la autorización, el fabricante debe presentar datos sobre calidad, eficacia y seguridad, normalmente procedentes de los estudios de fase 3 descritos en el capítulo «Cómo leer correctamente los estudios».</w:t>
      </w:r>
    </w:p>
    <w:p>
      <w:pPr>
        <w:pStyle w:val="BodyText"/>
      </w:pPr>
      <w:r>
        <w:t xml:space="preserve">Existen dos vías principales:</w:t>
      </w:r>
    </w:p>
    <w:p>
      <w:pPr>
        <w:numPr>
          <w:ilvl w:val="0"/>
          <w:numId w:val="1029"/>
        </w:numPr>
        <w:pStyle w:val="Compact"/>
      </w:pPr>
      <w:r>
        <w:rPr>
          <w:bCs/>
          <w:b/>
        </w:rPr>
        <w:t xml:space="preserve">Procedimiento centralizado</w:t>
      </w:r>
      <w:r>
        <w:t xml:space="preserve"> </w:t>
      </w:r>
      <w:r>
        <w:t xml:space="preserve">a través de la Agencia Europea de Medicamentos (EMA). La autorización es entonces válida en todos los Estados miembros. Para los medicamentos obtenidos por biotecnología y los nuevos principios activos contra determinadas enfermedades —entre ellas la diabetes— esta vía es obligatoria. La mayoría de los medicamentos peptídicos modernos están autorizados por el procedimiento centralizado.</w:t>
      </w:r>
    </w:p>
    <w:p>
      <w:pPr>
        <w:numPr>
          <w:ilvl w:val="0"/>
          <w:numId w:val="1029"/>
        </w:numPr>
        <w:pStyle w:val="Compact"/>
      </w:pPr>
      <w:r>
        <w:rPr>
          <w:bCs/>
          <w:b/>
        </w:rPr>
        <w:t xml:space="preserve">Procedimientos nacionales y descentralizados</w:t>
      </w:r>
      <w:r>
        <w:t xml:space="preserve"> </w:t>
      </w:r>
      <w:r>
        <w:t xml:space="preserve">a través de las autoridades de los Estados miembros: en Austria, la Oficina Federal de Seguridad en la Asistencia Sanitaria (BASG); en Alemania, el Instituto Federal de Medicamentos y Productos Sanitarios (BfArM) o, para determinados medicamentos biológicos, el Instituto Paul Ehrlich.</w:t>
      </w:r>
    </w:p>
    <w:p>
      <w:pPr>
        <w:pStyle w:val="FirstParagraph"/>
      </w:pPr>
      <w:r>
        <w:t xml:space="preserve">Junto con la autorización se determina si un medicamento está</w:t>
      </w:r>
      <w:r>
        <w:t xml:space="preserve"> </w:t>
      </w:r>
      <w:r>
        <w:rPr>
          <w:bCs/>
          <w:b/>
        </w:rPr>
        <w:t xml:space="preserve">sujeto a prescripción médica</w:t>
      </w:r>
      <w:r>
        <w:t xml:space="preserve">. Casi todos los medicamentos peptídicos lo están. Las indicaciones exactas, las dosis, las contraindicaciones y los efectos adversos figuran en la</w:t>
      </w:r>
      <w:r>
        <w:t xml:space="preserve"> </w:t>
      </w:r>
      <w:r>
        <w:rPr>
          <w:bCs/>
          <w:b/>
        </w:rPr>
        <w:t xml:space="preserve">ficha técnica</w:t>
      </w:r>
      <w:r>
        <w:t xml:space="preserve"> </w:t>
      </w:r>
      <w:r>
        <w:t xml:space="preserve">(para profesionales) y en el</w:t>
      </w:r>
      <w:r>
        <w:t xml:space="preserve"> </w:t>
      </w:r>
      <w:r>
        <w:rPr>
          <w:bCs/>
          <w:b/>
        </w:rPr>
        <w:t xml:space="preserve">prospecto</w:t>
      </w:r>
      <w:r>
        <w:t xml:space="preserve">. La autorización es válida para indicaciones concretas. Los médicos pueden, en determinadas condiciones, prescribir un medicamento autorizado también fuera de esas indicaciones (uso fuera de indicación, «off-label»), pero asumen entonces una mayor responsabilidad en cuanto a la información al paciente y la ponderación de riesgos; por regla general, el seguro de enfermedad no asume los costes.</w:t>
      </w:r>
    </w:p>
    <w:p>
      <w:pPr>
        <w:pStyle w:val="BodyText"/>
      </w:pPr>
      <w:r>
        <w:t xml:space="preserve">Algunos péptidos que aparecen en este libro están autorizados en otros países, pero no en la UE, como algunos preparados utilizados en Rusia. Una autorización extranjera no hace que un producto pueda comercializarse en la UE.</w:t>
      </w:r>
    </w:p>
    <w:bookmarkEnd w:id="117"/>
    <w:bookmarkStart w:id="118" w:name="complementos-alimenticios"/>
    <w:p>
      <w:pPr>
        <w:pStyle w:val="Heading3"/>
      </w:pPr>
      <w:r>
        <w:t xml:space="preserve">Complementos alimenticios</w:t>
      </w:r>
    </w:p>
    <w:p>
      <w:pPr>
        <w:pStyle w:val="FirstParagraph"/>
      </w:pPr>
      <w:r>
        <w:t xml:space="preserve">Desde el punto de vista jurídico, los complementos alimenticios son alimentos. Su finalidad es complementar la dieta normal y contienen nutrientes u otras sustancias con efecto nutricional o fisiológico (Directiva 2002/46/CE).</w:t>
      </w:r>
      <w:r>
        <w:t xml:space="preserve"> </w:t>
      </w:r>
      <w:r>
        <w:rPr>
          <w:bCs/>
          <w:b/>
        </w:rPr>
        <w:t xml:space="preserve">No necesitan autorización.</w:t>
      </w:r>
      <w:r>
        <w:t xml:space="preserve"> </w:t>
      </w:r>
      <w:r>
        <w:t xml:space="preserve">Según el país, deben notificarse a una autoridad antes de su primera venta; en Alemania, por ejemplo, a la Oficina Federal de Protección del Consumidor y Seguridad Alimentaria. El fabricante es responsable de la seguridad, y la inspección alimentaria realiza controles por muestreo.</w:t>
      </w:r>
    </w:p>
    <w:p>
      <w:pPr>
        <w:pStyle w:val="BodyText"/>
      </w:pPr>
      <w:r>
        <w:t xml:space="preserve">Límites importantes:</w:t>
      </w:r>
    </w:p>
    <w:p>
      <w:pPr>
        <w:numPr>
          <w:ilvl w:val="0"/>
          <w:numId w:val="1030"/>
        </w:numPr>
        <w:pStyle w:val="Compact"/>
      </w:pPr>
      <w:r>
        <w:t xml:space="preserve">Una sustancia con efecto farmacológico no puede ser un complemento alimenticio. Si aun así se vende como tal, se trata de un medicamento no autorizado.</w:t>
      </w:r>
    </w:p>
    <w:p>
      <w:pPr>
        <w:numPr>
          <w:ilvl w:val="0"/>
          <w:numId w:val="1030"/>
        </w:numPr>
        <w:pStyle w:val="Compact"/>
      </w:pPr>
      <w:r>
        <w:rPr>
          <w:bCs/>
          <w:b/>
        </w:rPr>
        <w:t xml:space="preserve">Las declaraciones de propiedades saludables</w:t>
      </w:r>
      <w:r>
        <w:t xml:space="preserve"> </w:t>
      </w:r>
      <w:r>
        <w:t xml:space="preserve">como «favorece las articulaciones» o «reduce la presión arterial» solo están permitidas si la UE las ha autorizado tras su evaluación por la Autoridad Europea de Seguridad Alimentaria (EFSA) y figuran en una lista (Reglamento (CE) n.º 1924/2006). Para muchos de los efectos que se anuncian de los alimentos con péptidos no existe, según nuestro conocimiento, ninguna declaración autorizada. La publicidad que, pese a ello, promete tal efecto es ilícita.</w:t>
      </w:r>
    </w:p>
    <w:p>
      <w:pPr>
        <w:numPr>
          <w:ilvl w:val="0"/>
          <w:numId w:val="1030"/>
        </w:numPr>
        <w:pStyle w:val="Compact"/>
      </w:pPr>
      <w:r>
        <w:rPr>
          <w:bCs/>
          <w:b/>
        </w:rPr>
        <w:t xml:space="preserve">Las declaraciones relativas a enfermedades</w:t>
      </w:r>
      <w:r>
        <w:t xml:space="preserve"> </w:t>
      </w:r>
      <w:r>
        <w:t xml:space="preserve">(como «actúa contra la artrosis») están prohibidas con carácter general para los alimentos.</w:t>
      </w:r>
    </w:p>
    <w:p>
      <w:pPr>
        <w:pStyle w:val="FirstParagraph"/>
      </w:pPr>
      <w:r>
        <w:t xml:space="preserve">Que tampoco los complementos alimenticios están libres de principios activos prohibidos lo muestra un caso de un laboratorio antidopaje: en comprimidos ofrecidos como complemento alimenticio de venta libre se detectó el péptido liberador de hormona del crecimiento GHRP-2 (Thomas 2010, PMID 20878896).</w:t>
      </w:r>
    </w:p>
    <w:bookmarkEnd w:id="118"/>
    <w:bookmarkStart w:id="119" w:name="nuevos-alimentos-novel-food"/>
    <w:p>
      <w:pPr>
        <w:pStyle w:val="Heading3"/>
      </w:pPr>
      <w:r>
        <w:t xml:space="preserve">Nuevos alimentos (Novel Food)</w:t>
      </w:r>
    </w:p>
    <w:p>
      <w:pPr>
        <w:pStyle w:val="FirstParagraph"/>
      </w:pPr>
      <w:r>
        <w:t xml:space="preserve">Un obstáculo propio para los alimentos es el</w:t>
      </w:r>
      <w:r>
        <w:t xml:space="preserve"> </w:t>
      </w:r>
      <w:r>
        <w:rPr>
          <w:bCs/>
          <w:b/>
        </w:rPr>
        <w:t xml:space="preserve">Reglamento sobre nuevos alimentos</w:t>
      </w:r>
      <w:r>
        <w:t xml:space="preserve"> </w:t>
      </w:r>
      <w:r>
        <w:t xml:space="preserve">(Reglamento (UE) 2015/2283). Se consideran «nuevos» los alimentos e ingredientes que no se utilizaron en una medida significativa para el consumo humano en la UE antes del 15 de mayo de 1997. Solo pueden venderse tras una evaluación de la seguridad y una autorización de la UE.</w:t>
      </w:r>
    </w:p>
    <w:p>
      <w:pPr>
        <w:pStyle w:val="BodyText"/>
      </w:pPr>
      <w:r>
        <w:t xml:space="preserve">Para los péptidos esto significa que los hidrolizados de colágeno obtenidos de la gelatina tienen un largo historial de consumo y no son nuevos alimentos. En cambio, un péptido de nueva síntesis sin historial de consumo que se pretenda vender como alimento sería en principio un nuevo alimento y necesitaría una autorización, salvo que, de todos modos, deba clasificarse como medicamento por su efecto farmacológico. Si una sustancia se considera un nuevo alimento debe examinarse caso por caso; la Comisión Europea mantiene un catálogo al respecto.</w:t>
      </w:r>
    </w:p>
    <w:bookmarkEnd w:id="119"/>
    <w:bookmarkStart w:id="120" w:name="cosméticos"/>
    <w:p>
      <w:pPr>
        <w:pStyle w:val="Heading3"/>
      </w:pPr>
      <w:r>
        <w:t xml:space="preserve">Cosméticos</w:t>
      </w:r>
    </w:p>
    <w:p>
      <w:pPr>
        <w:pStyle w:val="FirstParagraph"/>
      </w:pPr>
      <w:r>
        <w:t xml:space="preserve">Los productos cosméticos están regulados en la UE por el Reglamento sobre los productos cosméticos (Reglamento (CE) n.º 1223/2009). Están destinados a la aplicación externa en la piel, el cabello, las uñas, los labios, los dientes o las mucosas de la cavidad bucal, con el fin de limpiar, cuidar, proteger o modificar el aspecto.</w:t>
      </w:r>
    </w:p>
    <w:p>
      <w:pPr>
        <w:numPr>
          <w:ilvl w:val="0"/>
          <w:numId w:val="1031"/>
        </w:numPr>
        <w:pStyle w:val="Compact"/>
      </w:pPr>
      <w:r>
        <w:t xml:space="preserve">Los cosméticos</w:t>
      </w:r>
      <w:r>
        <w:t xml:space="preserve"> </w:t>
      </w:r>
      <w:r>
        <w:rPr>
          <w:bCs/>
          <w:b/>
        </w:rPr>
        <w:t xml:space="preserve">no necesitan autorización</w:t>
      </w:r>
      <w:r>
        <w:t xml:space="preserve">. No obstante, una persona responsable en la UE debe presentar una evaluación de la seguridad y notificar el producto en un portal de la UE antes de su venta.</w:t>
      </w:r>
    </w:p>
    <w:p>
      <w:pPr>
        <w:numPr>
          <w:ilvl w:val="0"/>
          <w:numId w:val="1031"/>
        </w:numPr>
        <w:pStyle w:val="Compact"/>
      </w:pPr>
      <w:r>
        <w:t xml:space="preserve">Determinadas sustancias están prohibidas o solo se permiten con restricciones.</w:t>
      </w:r>
    </w:p>
    <w:p>
      <w:pPr>
        <w:numPr>
          <w:ilvl w:val="0"/>
          <w:numId w:val="1031"/>
        </w:numPr>
        <w:pStyle w:val="Compact"/>
      </w:pPr>
      <w:r>
        <w:t xml:space="preserve">Las afirmaciones publicitarias deben poder justificarse y no deben inducir a error. Las afirmaciones sobre el tratamiento de enfermedades no están permitidas.</w:t>
      </w:r>
    </w:p>
    <w:p>
      <w:pPr>
        <w:numPr>
          <w:ilvl w:val="0"/>
          <w:numId w:val="1031"/>
        </w:numPr>
        <w:pStyle w:val="Compact"/>
      </w:pPr>
      <w:r>
        <w:rPr>
          <w:bCs/>
          <w:b/>
        </w:rPr>
        <w:t xml:space="preserve">Lo que se inyecta nunca es un cosmético.</w:t>
      </w:r>
      <w:r>
        <w:t xml:space="preserve"> </w:t>
      </w:r>
      <w:r>
        <w:t xml:space="preserve">Las inyecciones no entran en la definición de productos cosméticos.</w:t>
      </w:r>
    </w:p>
    <w:p>
      <w:pPr>
        <w:pStyle w:val="FirstParagraph"/>
      </w:pPr>
      <w:r>
        <w:t xml:space="preserve">Por eso, los péptidos cosméticos como el palmitoil pentapéptido-4 o el acetil hexapéptido-8 son legales en cremas y sérums. En cambio, un péptido como el melanotán II, que se inyecta bajo la piel y actúa en todo el cuerpo, no es un cosmético, aunque se anuncie como «bronceador».</w:t>
      </w:r>
    </w:p>
    <w:bookmarkEnd w:id="120"/>
    <w:bookmarkStart w:id="121" w:name="austria"/>
    <w:p>
      <w:pPr>
        <w:pStyle w:val="Heading3"/>
      </w:pPr>
      <w:r>
        <w:t xml:space="preserve">Austria</w:t>
      </w:r>
    </w:p>
    <w:p>
      <w:pPr>
        <w:pStyle w:val="FirstParagraph"/>
      </w:pPr>
      <w:r>
        <w:t xml:space="preserve">En Austria, la</w:t>
      </w:r>
      <w:r>
        <w:t xml:space="preserve"> </w:t>
      </w:r>
      <w:r>
        <w:rPr>
          <w:bCs/>
          <w:b/>
        </w:rPr>
        <w:t xml:space="preserve">Ley del Medicamento (Arzneimittelgesetz, AMG)</w:t>
      </w:r>
      <w:r>
        <w:t xml:space="preserve"> </w:t>
      </w:r>
      <w:r>
        <w:t xml:space="preserve">regula la autorización, la fabricación y la dispensación de medicamentos. La autoridad competente para la autorización y la supervisión es la Oficina Federal de Seguridad en la Asistencia Sanitaria (BASG), con la AGES Medizinmarktaufsicht. Los medicamentos sujetos a prescripción médica solo se dispensan en farmacias con receta; la venta a distancia por parte de las farmacias se limita a los medicamentos no sujetos a prescripción médica.</w:t>
      </w:r>
    </w:p>
    <w:p>
      <w:pPr>
        <w:pStyle w:val="BodyText"/>
      </w:pPr>
      <w:r>
        <w:t xml:space="preserve">La importación de medicamentos está regulada por la</w:t>
      </w:r>
      <w:r>
        <w:t xml:space="preserve"> </w:t>
      </w:r>
      <w:r>
        <w:rPr>
          <w:bCs/>
          <w:b/>
        </w:rPr>
        <w:t xml:space="preserve">Ley de Importación de Medicamentos (Arzneiwareneinfuhrgesetz)</w:t>
      </w:r>
      <w:r>
        <w:t xml:space="preserve">. Los particulares solo pueden importar medicamentos en determinadas condiciones y en cantidades para su necesidad personal; para los pedidos procedentes de países fuera del Espacio Económico Europeo rigen normas más estrictas. Los principios activos no autorizados de las tiendas de «productos químicos de investigación» no cumplen, por regla general, estas condiciones. La aduana puede incautar estos envíos.</w:t>
      </w:r>
    </w:p>
    <w:p>
      <w:pPr>
        <w:pStyle w:val="BodyText"/>
      </w:pPr>
      <w:r>
        <w:t xml:space="preserve">Para el deporte rige la</w:t>
      </w:r>
      <w:r>
        <w:t xml:space="preserve"> </w:t>
      </w:r>
      <w:r>
        <w:rPr>
          <w:bCs/>
          <w:b/>
        </w:rPr>
        <w:t xml:space="preserve">Ley Federal Antidopaje de 2021 (Anti-Doping-Bundesgesetz 2021)</w:t>
      </w:r>
      <w:r>
        <w:t xml:space="preserve">. Remite a la Lista de Prohibiciones de la Agencia Mundial Antidopaje y contiene prohibiciones y disposiciones penales, en particular para la comercialización y la cesión de principios activos prohibidos. La autoridad competente para los controles es la Agencia Nacional Antidopaje de Austria (NADA Austria).</w:t>
      </w:r>
    </w:p>
    <w:p>
      <w:pPr>
        <w:pStyle w:val="BodyText"/>
      </w:pPr>
      <w:r>
        <w:t xml:space="preserve">Estado en 2026; compruebe la información actualizada.</w:t>
      </w:r>
    </w:p>
    <w:bookmarkEnd w:id="121"/>
    <w:bookmarkStart w:id="122" w:name="alemania"/>
    <w:p>
      <w:pPr>
        <w:pStyle w:val="Heading3"/>
      </w:pPr>
      <w:r>
        <w:t xml:space="preserve">Alemania</w:t>
      </w:r>
    </w:p>
    <w:p>
      <w:pPr>
        <w:pStyle w:val="FirstParagraph"/>
      </w:pPr>
      <w:r>
        <w:t xml:space="preserve">En Alemania rige la</w:t>
      </w:r>
      <w:r>
        <w:t xml:space="preserve"> </w:t>
      </w:r>
      <w:r>
        <w:rPr>
          <w:bCs/>
          <w:b/>
        </w:rPr>
        <w:t xml:space="preserve">Ley del Medicamento (Arzneimittelgesetz, AMG)</w:t>
      </w:r>
      <w:r>
        <w:t xml:space="preserve">. Las autoridades de autorización son el BfArM y el Instituto Paul Ehrlich. Los medicamentos sujetos a prescripción médica solo pueden dispensarse con receta, también en la venta a distancia a través de farmacias autorizadas para ello.</w:t>
      </w:r>
    </w:p>
    <w:p>
      <w:pPr>
        <w:pStyle w:val="BodyText"/>
      </w:pPr>
      <w:r>
        <w:t xml:space="preserve">Para la importación rige en principio la prohibición de introducir en Alemania medicamentos no autorizados. Existe una excepción para la necesidad personal cuando el medicamento se comercializa legalmente en el país de origen y se adquiere en un Estado miembro de la UE o del Espacio Económico Europeo sin intermediación comercial; además, existen normas especiales de alcance muy limitado. Para los péptidos del mercado gris, que no están autorizados como medicamento en ningún lugar, esta excepción no se aplica según nuestra interpretación.</w:t>
      </w:r>
    </w:p>
    <w:p>
      <w:pPr>
        <w:pStyle w:val="BodyText"/>
      </w:pPr>
      <w:r>
        <w:t xml:space="preserve">Quien fabrica, comercializa o cede a terceros medicamentos sin autorización puede incurrir en responsabilidad penal según la AMG. Esto se aplica especialmente a los llamados medicamentos cuestionables, respecto de los cuales existe una sospecha fundada de efectos nocivos.</w:t>
      </w:r>
    </w:p>
    <w:p>
      <w:pPr>
        <w:pStyle w:val="BodyText"/>
      </w:pPr>
      <w:r>
        <w:t xml:space="preserve">Para el deporte rige además la</w:t>
      </w:r>
      <w:r>
        <w:t xml:space="preserve"> </w:t>
      </w:r>
      <w:r>
        <w:rPr>
          <w:bCs/>
          <w:b/>
        </w:rPr>
        <w:t xml:space="preserve">Ley Antidopaje (Anti-Doping-Gesetz, AntiDopG)</w:t>
      </w:r>
      <w:r>
        <w:t xml:space="preserve">. Prohíbe, entre otras cosas, la fabricación, el comercio y la comercialización de sustancias dopantes, así como su aplicación a otras personas. La adquisición y la posesión de determinadas sustancias enumeradas en un anexo de la ley —entre ellas las hormonas peptídicas— son punibles en cantidades no insignificantes con fines de dopaje. Para los deportistas de alto nivel, también el autodopaje es punible. La autoridad competente para los controles es la Agencia Nacional Antidopaje de Alemania (NADA).</w:t>
      </w:r>
    </w:p>
    <w:p>
      <w:pPr>
        <w:pStyle w:val="BodyText"/>
      </w:pPr>
      <w:r>
        <w:t xml:space="preserve">Estado en 2026; compruebe la información actualizada.</w:t>
      </w:r>
    </w:p>
    <w:bookmarkEnd w:id="122"/>
    <w:bookmarkStart w:id="123" w:name="estados-unidos"/>
    <w:p>
      <w:pPr>
        <w:pStyle w:val="Heading3"/>
      </w:pPr>
      <w:r>
        <w:t xml:space="preserve">Estados Unidos</w:t>
      </w:r>
    </w:p>
    <w:p>
      <w:pPr>
        <w:pStyle w:val="FirstParagraph"/>
      </w:pPr>
      <w:r>
        <w:t xml:space="preserve">En Estados Unidos, la autoridad competente es la</w:t>
      </w:r>
      <w:r>
        <w:t xml:space="preserve"> </w:t>
      </w:r>
      <w:r>
        <w:rPr>
          <w:bCs/>
          <w:b/>
        </w:rPr>
        <w:t xml:space="preserve">Food and Drug Administration (FDA)</w:t>
      </w:r>
      <w:r>
        <w:t xml:space="preserve">. Los nuevos medicamentos necesitan una autorización (para los principios activos de síntesis química, mediante una «New Drug Application»; para los principios activos biológicos, mediante una «Biologics License Application»).</w:t>
      </w:r>
    </w:p>
    <w:p>
      <w:pPr>
        <w:pStyle w:val="BodyText"/>
      </w:pPr>
      <w:r>
        <w:rPr>
          <w:bCs/>
          <w:b/>
        </w:rPr>
        <w:t xml:space="preserve">Los complementos alimenticios</w:t>
      </w:r>
      <w:r>
        <w:t xml:space="preserve"> </w:t>
      </w:r>
      <w:r>
        <w:t xml:space="preserve">(Dietary Supplements) pueden comercializarse en gran medida sin evaluación previa desde una ley de 1994. Sin embargo, una sustancia que se haya autorizado primero como medicamento o que se haya investigado clínicamente a gran escala como medicamento no puede, en principio, venderse después como complemento alimenticio. Por este motivo, muchos péptidos no pueden comercializarse legalmente como suplemento en Estados Unidos.</w:t>
      </w:r>
    </w:p>
    <w:p>
      <w:pPr>
        <w:pStyle w:val="BodyText"/>
      </w:pPr>
      <w:r>
        <w:rPr>
          <w:bCs/>
          <w:b/>
        </w:rPr>
        <w:t xml:space="preserve">Compounding</w:t>
      </w:r>
      <w:r>
        <w:t xml:space="preserve">: las farmacias estadounidenses pueden, en determinadas condiciones, elaborar medicamentos por sí mismas, de forma individual para pacientes concretos o a mayor escala en establecimientos sometidos a una supervisión especial. En caso de problemas de suministro de medicamentos autorizados, también pueden fabricar copias. Tras el fin de los problemas de suministro de semaglutida y tirzepatida, según la legislación estadounidense solo pueden fabricar preparados que difieran de los autorizados (Belcourt 2026, PMID 41689811). Qué principios activos pueden utilizarse como materias primas para el compounding lo establece la FDA en listas. Según nuestro conocimiento, la FDA ha clasificado varios péptidos populares del mercado gris, entre ellos el BPC-157, como no aptos para el compounding por motivos de seguridad. Estas listas y el debate político sobre ellas cambian; compruebe la situación actual.</w:t>
      </w:r>
    </w:p>
    <w:p>
      <w:pPr>
        <w:pStyle w:val="BodyText"/>
      </w:pPr>
      <w:r>
        <w:rPr>
          <w:bCs/>
          <w:b/>
        </w:rPr>
        <w:t xml:space="preserve">«Research Use Only»</w:t>
      </w:r>
      <w:r>
        <w:t xml:space="preserve">: la venta de péptidos con la advertencia «solo para fines de investigación» a consumidores se mueve también en Estados Unidos en una zona gris jurídica, que los expertos describen como una forma de eludir la obligación de prescripción médica (Belcourt 2025, PMID 39285774). La FDA ha enviado cartas de advertencia a algunos vendedores.</w:t>
      </w:r>
    </w:p>
    <w:p>
      <w:pPr>
        <w:pStyle w:val="BodyText"/>
      </w:pPr>
      <w:r>
        <w:rPr>
          <w:bCs/>
          <w:b/>
        </w:rPr>
        <w:t xml:space="preserve">Importación</w:t>
      </w:r>
      <w:r>
        <w:t xml:space="preserve">: la FDA tolera, en condiciones estrictas, la importación de pequeñas cantidades de medicamentos para uso personal. No existe un derecho legal a ello, y los principios activos no autorizados sin seguimiento médico no suelen quedar incluidos.</w:t>
      </w:r>
    </w:p>
    <w:p>
      <w:pPr>
        <w:pStyle w:val="BodyText"/>
      </w:pPr>
      <w:r>
        <w:t xml:space="preserve">Estado en 2026; compruebe la información actualizada.</w:t>
      </w:r>
    </w:p>
    <w:bookmarkEnd w:id="123"/>
    <w:bookmarkStart w:id="124" w:name="X907d45305735f4c62ba9b966d6fa64d11238696"/>
    <w:p>
      <w:pPr>
        <w:pStyle w:val="Heading3"/>
      </w:pPr>
      <w:r>
        <w:t xml:space="preserve">Dopaje: la Lista de Prohibiciones de la WADA</w:t>
      </w:r>
    </w:p>
    <w:p>
      <w:pPr>
        <w:pStyle w:val="FirstParagraph"/>
      </w:pPr>
      <w:r>
        <w:t xml:space="preserve">Para los deportistas sometidos a controles antidopaje, lo determinante es la</w:t>
      </w:r>
      <w:r>
        <w:t xml:space="preserve"> </w:t>
      </w:r>
      <w:r>
        <w:rPr>
          <w:bCs/>
          <w:b/>
        </w:rPr>
        <w:t xml:space="preserve">Lista de Prohibiciones de la Agencia Mundial Antidopaje (WADA)</w:t>
      </w:r>
      <w:r>
        <w:t xml:space="preserve">. Se revisa cada año y entra en vigor el 1 de enero. Para los péptidos son importantes sobre todo dos secciones, que rigen en competición y fuera de competición:</w:t>
      </w:r>
    </w:p>
    <w:p>
      <w:pPr>
        <w:pStyle w:val="BodyText"/>
      </w:pPr>
      <w:r>
        <w:rPr>
          <w:bCs/>
          <w:b/>
        </w:rPr>
        <w:t xml:space="preserve">S0 – Sustancias no aprobadas.</w:t>
      </w:r>
      <w:r>
        <w:t xml:space="preserve"> </w:t>
      </w:r>
      <w:r>
        <w:t xml:space="preserve">Están prohibidas las sustancias farmacológicamente activas que no figuran en ninguna otra sección de la lista y que ninguna autoridad sanitaria ha aprobado para uso humano, como los principios activos en desarrollo preclínico o clínico, los desarrollos interrumpidos, las drogas de diseño y las sustancias aprobadas solo para uso veterinario. Muchos péptidos del mercado gris entran en este grupo. Según nuestro conocimiento, el BPC-157 se menciona expresamente en la lista como ejemplo.</w:t>
      </w:r>
    </w:p>
    <w:p>
      <w:pPr>
        <w:pStyle w:val="BodyText"/>
      </w:pPr>
      <w:r>
        <w:rPr>
          <w:bCs/>
          <w:b/>
        </w:rPr>
        <w:t xml:space="preserve">S2 – Hormonas peptídicas, factores de crecimiento, sustancias relacionadas y miméticos.</w:t>
      </w:r>
      <w:r>
        <w:t xml:space="preserve"> </w:t>
      </w:r>
      <w:r>
        <w:t xml:space="preserve">Aquí se incluyen, entre otros:</w:t>
      </w:r>
    </w:p>
    <w:p>
      <w:pPr>
        <w:numPr>
          <w:ilvl w:val="0"/>
          <w:numId w:val="1032"/>
        </w:numPr>
        <w:pStyle w:val="Compact"/>
      </w:pPr>
      <w:r>
        <w:t xml:space="preserve">la hormona del crecimiento y sus fragmentos (por ejemplo, AOD-9604),</w:t>
      </w:r>
    </w:p>
    <w:p>
      <w:pPr>
        <w:numPr>
          <w:ilvl w:val="0"/>
          <w:numId w:val="1032"/>
        </w:numPr>
        <w:pStyle w:val="Compact"/>
      </w:pPr>
      <w:r>
        <w:t xml:space="preserve">la hormona liberadora de hormona del crecimiento y sus análogos (por ejemplo, CJC-1295, sermorelina, tesamorelina),</w:t>
      </w:r>
    </w:p>
    <w:p>
      <w:pPr>
        <w:numPr>
          <w:ilvl w:val="0"/>
          <w:numId w:val="1032"/>
        </w:numPr>
        <w:pStyle w:val="Compact"/>
      </w:pPr>
      <w:r>
        <w:t xml:space="preserve">los secretagogos de la hormona del crecimiento y los péptidos liberadores de hormona del crecimiento (por ejemplo, ipamorelina, GHRP-2, GHRP-6, hexarelina, macimorelina y, según nuestro conocimiento, también el ibutamoren, que no es un péptido),</w:t>
      </w:r>
    </w:p>
    <w:p>
      <w:pPr>
        <w:numPr>
          <w:ilvl w:val="0"/>
          <w:numId w:val="1032"/>
        </w:numPr>
        <w:pStyle w:val="Compact"/>
      </w:pPr>
      <w:r>
        <w:t xml:space="preserve">los factores de crecimiento como el IGF-1 y sus análogos, así como la timosina beta-4 y sus derivados (por ejemplo, TB-500),</w:t>
      </w:r>
    </w:p>
    <w:p>
      <w:pPr>
        <w:numPr>
          <w:ilvl w:val="0"/>
          <w:numId w:val="1032"/>
        </w:numPr>
        <w:pStyle w:val="Compact"/>
      </w:pPr>
      <w:r>
        <w:t xml:space="preserve">en los hombres, las hormonas y los factores liberadores del eje de las hormonas sexuales (por ejemplo, gonadorelina y kisspeptina).</w:t>
      </w:r>
    </w:p>
    <w:p>
      <w:pPr>
        <w:pStyle w:val="FirstParagraph"/>
      </w:pPr>
      <w:r>
        <w:t xml:space="preserve">Además, en la sección S4 están prohibidas, entre otras, las insulinas como moduladores metabólicos. Según nuestro conocimiento, los medicamentos GLP-1 como la semaglutida o la tirzepatida no figuran actualmente en la Lista de Prohibiciones. La lista menciona ejemplos, pero no es exhaustiva: también pueden estar prohibidas sustancias no mencionadas con una estructura química o un efecto biológico similares.</w:t>
      </w:r>
    </w:p>
    <w:p>
      <w:pPr>
        <w:pStyle w:val="BodyText"/>
      </w:pPr>
      <w:r>
        <w:t xml:space="preserve">En el derecho antidopaje rige la</w:t>
      </w:r>
      <w:r>
        <w:t xml:space="preserve"> </w:t>
      </w:r>
      <w:r>
        <w:rPr>
          <w:bCs/>
          <w:b/>
        </w:rPr>
        <w:t xml:space="preserve">responsabilidad objetiva</w:t>
      </w:r>
      <w:r>
        <w:t xml:space="preserve">: si se encuentra una sustancia prohibida en una muestra, constituye una infracción, con independencia de si se tomó intencionadamente o procede, por ejemplo, de un complemento alimenticio contaminado. Quien necesite por motivos médicos un medicamento autorizado que esté prohibido puede solicitar una</w:t>
      </w:r>
      <w:r>
        <w:t xml:space="preserve"> </w:t>
      </w:r>
      <w:r>
        <w:rPr>
          <w:bCs/>
          <w:b/>
        </w:rPr>
        <w:t xml:space="preserve">autorización de uso terapéutico</w:t>
      </w:r>
      <w:r>
        <w:t xml:space="preserve"> </w:t>
      </w:r>
      <w:r>
        <w:t xml:space="preserve">(Therapeutic Use Exemption, TUE). Para las sustancias no aprobadas de la sección S0, esto está prácticamente excluido.</w:t>
      </w:r>
    </w:p>
    <w:p>
      <w:pPr>
        <w:pStyle w:val="BodyText"/>
      </w:pPr>
      <w:r>
        <w:t xml:space="preserve">Los laboratorios de control antidopaje desarrollan continuamente métodos de detección para nuevos péptidos, a menudo a partir de productos incautados (Cox 2017, PMID 28035768). Que una sustancia no fuera detectable ayer no significa que no lo sea mañana, y las muestras congeladas pueden volver a analizarse años después.</w:t>
      </w:r>
    </w:p>
    <w:p>
      <w:pPr>
        <w:pStyle w:val="BodyText"/>
      </w:pPr>
      <w:r>
        <w:t xml:space="preserve">Estado en 2026; compruebe la Lista de Prohibiciones actual de la WADA.</w:t>
      </w:r>
    </w:p>
    <w:bookmarkEnd w:id="124"/>
    <w:bookmarkStart w:id="125" w:name="responsabilidad-quién-asume-el-riesgo"/>
    <w:p>
      <w:pPr>
        <w:pStyle w:val="Heading3"/>
      </w:pPr>
      <w:r>
        <w:t xml:space="preserve">Responsabilidad: ¿quién asume el riesgo?</w:t>
      </w:r>
    </w:p>
    <w:p>
      <w:pPr>
        <w:pStyle w:val="FirstParagraph"/>
      </w:pPr>
      <w:r>
        <w:t xml:space="preserve">En el caso de los</w:t>
      </w:r>
      <w:r>
        <w:t xml:space="preserve"> </w:t>
      </w:r>
      <w:r>
        <w:rPr>
          <w:bCs/>
          <w:b/>
        </w:rPr>
        <w:t xml:space="preserve">medicamentos autorizados</w:t>
      </w:r>
      <w:r>
        <w:t xml:space="preserve">, los fabricantes, las farmacias y los médicos prescriptores están integrados en un sistema de responsabilidades. En Alemania, la Ley del Medicamento prevé una responsabilidad especial del fabricante por los daños causados por medicamentos autorizados, que no depende de la culpa; en Austria se aplican el derecho general de daños y la Ley de Responsabilidad por Productos. Los efectos adversos se notifican, se analizan y pueden dar lugar a advertencias o retiradas del mercado.</w:t>
      </w:r>
    </w:p>
    <w:p>
      <w:pPr>
        <w:pStyle w:val="BodyText"/>
      </w:pPr>
      <w:r>
        <w:t xml:space="preserve">En el caso de los</w:t>
      </w:r>
      <w:r>
        <w:t xml:space="preserve"> </w:t>
      </w:r>
      <w:r>
        <w:rPr>
          <w:bCs/>
          <w:b/>
        </w:rPr>
        <w:t xml:space="preserve">productos del mercado gris</w:t>
      </w:r>
      <w:r>
        <w:t xml:space="preserve">, este sistema falta en gran medida:</w:t>
      </w:r>
    </w:p>
    <w:p>
      <w:pPr>
        <w:numPr>
          <w:ilvl w:val="0"/>
          <w:numId w:val="1033"/>
        </w:numPr>
        <w:pStyle w:val="Compact"/>
      </w:pPr>
      <w:r>
        <w:t xml:space="preserve">Los vendedores suelen estar en el extranjero, cambian a menudo de nombre y de sitio web y son prácticamente inalcanzables.</w:t>
      </w:r>
    </w:p>
    <w:p>
      <w:pPr>
        <w:numPr>
          <w:ilvl w:val="0"/>
          <w:numId w:val="1033"/>
        </w:numPr>
        <w:pStyle w:val="Compact"/>
      </w:pPr>
      <w:r>
        <w:t xml:space="preserve">Con la advertencia «no apto para uso en seres humanos» intentan eludir toda responsabilidad.</w:t>
      </w:r>
    </w:p>
    <w:p>
      <w:pPr>
        <w:numPr>
          <w:ilvl w:val="0"/>
          <w:numId w:val="1033"/>
        </w:numPr>
        <w:pStyle w:val="Compact"/>
      </w:pPr>
      <w:r>
        <w:t xml:space="preserve">Quien utiliza un producto de este tipo en sí mismo asume en gran medida en solitario el riesgo sanitario y económico.</w:t>
      </w:r>
    </w:p>
    <w:p>
      <w:pPr>
        <w:numPr>
          <w:ilvl w:val="0"/>
          <w:numId w:val="1033"/>
        </w:numPr>
        <w:pStyle w:val="Compact"/>
      </w:pPr>
      <w:r>
        <w:t xml:space="preserve">Quien cede un producto de este tipo a otras personas o lo aplica a otras personas —por ejemplo, en un gimnasio, un centro de estética o de bienestar— puede incurrir en responsabilidad penal y, en determinadas circunstancias, responder de los daños.</w:t>
      </w:r>
    </w:p>
    <w:p>
      <w:pPr>
        <w:pStyle w:val="FirstParagraph"/>
      </w:pPr>
      <w:r>
        <w:t xml:space="preserve">También en la</w:t>
      </w:r>
      <w:r>
        <w:t xml:space="preserve"> </w:t>
      </w:r>
      <w:r>
        <w:rPr>
          <w:bCs/>
          <w:b/>
        </w:rPr>
        <w:t xml:space="preserve">aplicación por parte de médicos</w:t>
      </w:r>
      <w:r>
        <w:t xml:space="preserve"> </w:t>
      </w:r>
      <w:r>
        <w:t xml:space="preserve">rigen criterios estrictos. Quien administra principios activos no autorizados debe informar exhaustivamente sobre la incertidumbre de los datos y responde en caso de errores de tratamiento. Son posibles consecuencias disciplinarias.</w:t>
      </w:r>
    </w:p>
    <w:bookmarkEnd w:id="125"/>
    <w:bookmarkStart w:id="126" w:name="la-situación-jurídica-de-un-vistazo"/>
    <w:p>
      <w:pPr>
        <w:pStyle w:val="Heading3"/>
      </w:pPr>
      <w:r>
        <w:t xml:space="preserve">La situación jurídica de un vistazo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Clasificación (simplificada)</w:t>
            </w:r>
          </w:p>
        </w:tc>
      </w:tr>
      <w:tr>
        <w:tc>
          <w:tcPr/>
          <w:p>
            <w:pPr>
              <w:pStyle w:val="Compact"/>
              <w:jc w:val="left"/>
            </w:pPr>
            <w:r>
              <w:t xml:space="preserve">Péptido autorizado con receta en la farmacia</w:t>
            </w:r>
          </w:p>
        </w:tc>
        <w:tc>
          <w:tcPr/>
          <w:p>
            <w:pPr>
              <w:pStyle w:val="Compact"/>
              <w:jc w:val="left"/>
            </w:pPr>
            <w:r>
              <w:t xml:space="preserve">legal, con seguimiento médico</w:t>
            </w:r>
          </w:p>
        </w:tc>
      </w:tr>
      <w:tr>
        <w:tc>
          <w:tcPr/>
          <w:p>
            <w:pPr>
              <w:pStyle w:val="Compact"/>
              <w:jc w:val="left"/>
            </w:pPr>
            <w:r>
              <w:t xml:space="preserve">Péptido autorizado sin receta comprado en internet</w:t>
            </w:r>
          </w:p>
        </w:tc>
        <w:tc>
          <w:tcPr/>
          <w:p>
            <w:pPr>
              <w:pStyle w:val="Compact"/>
              <w:jc w:val="left"/>
            </w:pPr>
            <w:r>
              <w:t xml:space="preserve">por lo general ilegal, riesgo de falsificación</w:t>
            </w:r>
          </w:p>
        </w:tc>
      </w:tr>
      <w:tr>
        <w:tc>
          <w:tcPr/>
          <w:p>
            <w:pPr>
              <w:pStyle w:val="Compact"/>
              <w:jc w:val="left"/>
            </w:pPr>
            <w:r>
              <w:t xml:space="preserve">Péptido no autorizado como «producto químico de investigación»</w:t>
            </w:r>
          </w:p>
        </w:tc>
        <w:tc>
          <w:tcPr/>
          <w:p>
            <w:pPr>
              <w:pStyle w:val="Compact"/>
              <w:jc w:val="left"/>
            </w:pPr>
            <w:r>
              <w:t xml:space="preserve">por lo general, medicamento no comercializable</w:t>
            </w:r>
          </w:p>
        </w:tc>
      </w:tr>
      <w:tr>
        <w:tc>
          <w:tcPr/>
          <w:p>
            <w:pPr>
              <w:pStyle w:val="Compact"/>
              <w:jc w:val="left"/>
            </w:pPr>
            <w:r>
              <w:t xml:space="preserve">Péptidos de colágeno como alimento</w:t>
            </w:r>
          </w:p>
        </w:tc>
        <w:tc>
          <w:tcPr/>
          <w:p>
            <w:pPr>
              <w:pStyle w:val="Compact"/>
              <w:jc w:val="left"/>
            </w:pPr>
            <w:r>
              <w:t xml:space="preserve">legal, afirmaciones publicitarias restringidas</w:t>
            </w:r>
          </w:p>
        </w:tc>
      </w:tr>
      <w:tr>
        <w:tc>
          <w:tcPr/>
          <w:p>
            <w:pPr>
              <w:pStyle w:val="Compact"/>
              <w:jc w:val="left"/>
            </w:pPr>
            <w:r>
              <w:t xml:space="preserve">Crema con péptidos como cosmético</w:t>
            </w:r>
          </w:p>
        </w:tc>
        <w:tc>
          <w:tcPr/>
          <w:p>
            <w:pPr>
              <w:pStyle w:val="Compact"/>
              <w:jc w:val="left"/>
            </w:pPr>
            <w:r>
              <w:t xml:space="preserve">legal, siempre que sea segura y no se anuncie como remedio</w:t>
            </w:r>
          </w:p>
        </w:tc>
      </w:tr>
      <w:tr>
        <w:tc>
          <w:tcPr/>
          <w:p>
            <w:pPr>
              <w:pStyle w:val="Compact"/>
              <w:jc w:val="left"/>
            </w:pPr>
            <w:r>
              <w:t xml:space="preserve">Péptido prohibido en el deporte sometido a control</w:t>
            </w:r>
          </w:p>
        </w:tc>
        <w:tc>
          <w:tcPr/>
          <w:p>
            <w:pPr>
              <w:pStyle w:val="Compact"/>
              <w:jc w:val="left"/>
            </w:pPr>
            <w:r>
              <w:t xml:space="preserve">infracción de dopaje, en parte punible</w:t>
            </w:r>
          </w:p>
        </w:tc>
      </w:tr>
    </w:tbl>
    <w:bookmarkEnd w:id="126"/>
    <w:bookmarkStart w:id="127" w:name="lo-esencial-en-resumen-4"/>
    <w:p>
      <w:pPr>
        <w:pStyle w:val="Heading3"/>
      </w:pPr>
      <w:r>
        <w:t xml:space="preserve">Lo esencial en resumen</w:t>
      </w:r>
    </w:p>
    <w:p>
      <w:pPr>
        <w:numPr>
          <w:ilvl w:val="0"/>
          <w:numId w:val="1034"/>
        </w:numPr>
        <w:pStyle w:val="Compact"/>
      </w:pPr>
      <w:r>
        <w:t xml:space="preserve">Que un péptido sea un medicamento, un alimento o un cosmético depende de su efecto, su finalidad y su presentación. Si tiene efecto farmacológico, prevalece la legislación sobre medicamentos.</w:t>
      </w:r>
    </w:p>
    <w:p>
      <w:pPr>
        <w:numPr>
          <w:ilvl w:val="0"/>
          <w:numId w:val="1034"/>
        </w:numPr>
        <w:pStyle w:val="Compact"/>
      </w:pPr>
      <w:r>
        <w:t xml:space="preserve">Los medicamentos necesitan una autorización. La mayoría de los medicamentos peptídicos están sujetos a prescripción médica.</w:t>
      </w:r>
    </w:p>
    <w:p>
      <w:pPr>
        <w:numPr>
          <w:ilvl w:val="0"/>
          <w:numId w:val="1034"/>
        </w:numPr>
        <w:pStyle w:val="Compact"/>
      </w:pPr>
      <w:r>
        <w:t xml:space="preserve">La leyenda «solo para fines de investigación» no hace legal la venta a particulares ni los protege.</w:t>
      </w:r>
    </w:p>
    <w:p>
      <w:pPr>
        <w:numPr>
          <w:ilvl w:val="0"/>
          <w:numId w:val="1034"/>
        </w:numPr>
        <w:pStyle w:val="Compact"/>
      </w:pPr>
      <w:r>
        <w:t xml:space="preserve">Muchos péptidos del mercado gris están prohibidos en el deporte, a menudo a través de las secciones S0 y S2 de la lista de la WADA.</w:t>
      </w:r>
    </w:p>
    <w:p>
      <w:pPr>
        <w:numPr>
          <w:ilvl w:val="0"/>
          <w:numId w:val="1034"/>
        </w:numPr>
        <w:pStyle w:val="Compact"/>
      </w:pPr>
      <w:r>
        <w:t xml:space="preserve">Con los productos del mercado gris, los usuarios asumen el riesgo en gran medida en solitario.</w:t>
      </w:r>
    </w:p>
    <w:p>
      <w:pPr>
        <w:pStyle w:val="FirstParagraph"/>
      </w:pPr>
      <w:r>
        <w:t xml:space="preserve">Todos los datos de este capítulo: estado en 2026, no constituyen asesoramiento jurídico; compruebe la información actualizada.</w:t>
      </w:r>
    </w:p>
    <w:bookmarkEnd w:id="127"/>
    <w:bookmarkEnd w:id="128"/>
    <w:bookmarkEnd w:id="129"/>
    <w:bookmarkStart w:id="338" w:name="parte-ii-a-metabolismo-y-peso"/>
    <w:p>
      <w:pPr>
        <w:pStyle w:val="Heading1"/>
      </w:pPr>
      <w:r>
        <w:t xml:space="preserve">Parte II · A – Metabolismo y peso</w:t>
      </w:r>
    </w:p>
    <w:p>
      <w:pPr>
        <w:pStyle w:val="FirstParagraph"/>
      </w:pPr>
      <w:r>
        <w:t xml:space="preserve">Ningún grupo de péptidos ha transformado tanto la medicina de los últimos años como los principios activos de esta sección. Se desarrollaron originalmente para la diabetes tipo 2, se convirtieron después en los medicamentos para adelgazar más eficaces que hayan existido nunca y en la actualidad se investigan en la insuficiencia cardíaca, la apnea del sueño, el hígado graso y las enfermedades renales. Al mismo tiempo, pocos ámbitos están tan afectados por el mercado gris: principios activos que aún están en fase de estudio se venden en internet como «Research Peptides».</w:t>
      </w:r>
    </w:p>
    <w:bookmarkStart w:id="130" w:name="X551b07a061f46f2563c19c340f0c56a008e93a4"/>
    <w:p>
      <w:pPr>
        <w:pStyle w:val="Heading3"/>
      </w:pPr>
      <w:r>
        <w:t xml:space="preserve">Lo que une a estos principios activos: hormonas del intestino y del páncreas</w:t>
      </w:r>
    </w:p>
    <w:p>
      <w:pPr>
        <w:pStyle w:val="FirstParagraph"/>
      </w:pPr>
      <w:r>
        <w:t xml:space="preserve">Casi todos los principios activos de este grupo imitan hormonas que el organismo libera en torno a una comida. Conviene conocer cuatro de ellas:</w:t>
      </w:r>
    </w:p>
    <w:p>
      <w:pPr>
        <w:numPr>
          <w:ilvl w:val="0"/>
          <w:numId w:val="1035"/>
        </w:numPr>
        <w:pStyle w:val="Compact"/>
      </w:pPr>
      <w:r>
        <w:rPr>
          <w:bCs/>
          <w:b/>
        </w:rPr>
        <w:t xml:space="preserve">El GLP-1 (péptido similar al glucagón tipo 1)</w:t>
      </w:r>
      <w:r>
        <w:t xml:space="preserve"> </w:t>
      </w:r>
      <w:r>
        <w:t xml:space="preserve">es liberado por células del intestino delgado y del intestino grueso en cuanto llegan los alimentos. Aumenta la secreción de insulina —pero solo si la glucemia está elevada—, frena el vaciamiento gástrico y comunica saciedad al cerebro. El GLP-1 endógeno se degrada en pocos minutos; los medicamentos están modificados de manera que actúan entre un día y una semana.</w:t>
      </w:r>
    </w:p>
    <w:p>
      <w:pPr>
        <w:numPr>
          <w:ilvl w:val="0"/>
          <w:numId w:val="1035"/>
        </w:numPr>
        <w:pStyle w:val="Compact"/>
      </w:pPr>
      <w:r>
        <w:rPr>
          <w:bCs/>
          <w:b/>
        </w:rPr>
        <w:t xml:space="preserve">El GIP (polipéptido insulinotrópico dependiente de glucosa)</w:t>
      </w:r>
      <w:r>
        <w:t xml:space="preserve"> </w:t>
      </w:r>
      <w:r>
        <w:t xml:space="preserve">procede de la parte superior del intestino delgado y también aumenta la secreción de insulina. Su papel en el apetito y el peso corporal es contradictorio: la tirzepatida activa el receptor de GIP, el maridebart cafraglutida lo bloquea, y ambos provocan pérdida de peso.</w:t>
      </w:r>
    </w:p>
    <w:p>
      <w:pPr>
        <w:numPr>
          <w:ilvl w:val="0"/>
          <w:numId w:val="1035"/>
        </w:numPr>
        <w:pStyle w:val="Compact"/>
      </w:pPr>
      <w:r>
        <w:rPr>
          <w:bCs/>
          <w:b/>
        </w:rPr>
        <w:t xml:space="preserve">El glucagón</w:t>
      </w:r>
      <w:r>
        <w:t xml:space="preserve"> </w:t>
      </w:r>
      <w:r>
        <w:t xml:space="preserve">es la hormona antagonista de la insulina y procede del páncreas. Eleva la glucemia, pero también aumenta el gasto energético y la degradación de grasa en el hígado. Los principios activos más recientes aprovechan de forma específica esta segunda faceta.</w:t>
      </w:r>
    </w:p>
    <w:p>
      <w:pPr>
        <w:numPr>
          <w:ilvl w:val="0"/>
          <w:numId w:val="1035"/>
        </w:numPr>
        <w:pStyle w:val="Compact"/>
      </w:pPr>
      <w:r>
        <w:rPr>
          <w:bCs/>
          <w:b/>
        </w:rPr>
        <w:t xml:space="preserve">La amilina</w:t>
      </w:r>
      <w:r>
        <w:t xml:space="preserve"> </w:t>
      </w:r>
      <w:r>
        <w:t xml:space="preserve">se libera junto con la insulina desde las células beta del páncreas. Actúa en el tronco encefálico produciendo saciedad y ralentiza el vaciamiento gástrico.</w:t>
      </w:r>
    </w:p>
    <w:p>
      <w:pPr>
        <w:pStyle w:val="FirstParagraph"/>
      </w:pPr>
      <w:r>
        <w:t xml:space="preserve">El GLP-1 y el GIP se denominan</w:t>
      </w:r>
      <w:r>
        <w:t xml:space="preserve"> </w:t>
      </w:r>
      <w:r>
        <w:rPr>
          <w:bCs/>
          <w:b/>
        </w:rPr>
        <w:t xml:space="preserve">incretinas</w:t>
      </w:r>
      <w:r>
        <w:t xml:space="preserve"> </w:t>
      </w:r>
      <w:r>
        <w:t xml:space="preserve">(del inglés «INtestinal seCRETion of INsulin», es decir, secreción de insulina desencadenada por el intestino): explican por qué el azúcar ingerido libera más insulina que la misma cantidad de azúcar administrada directamente en la vena. La evolución puede leerse como una secuencia de etapas: primero agonistas puros del GLP-1, luego combinaciones con GIP, glucagón o amilina en una sola molécula y, por último, comprimidos que ya ni siquiera son péptidos.</w:t>
      </w:r>
    </w:p>
    <w:p>
      <w:pPr>
        <w:pStyle w:val="BodyText"/>
      </w:pPr>
      <w:r>
        <w:t xml:space="preserve">Dos principios activos de este grupo no encajan en este esquema: la</w:t>
      </w:r>
      <w:r>
        <w:t xml:space="preserve"> </w:t>
      </w:r>
      <w:r>
        <w:rPr>
          <w:bCs/>
          <w:b/>
        </w:rPr>
        <w:t xml:space="preserve">setmelanotida</w:t>
      </w:r>
      <w:r>
        <w:t xml:space="preserve"> </w:t>
      </w:r>
      <w:r>
        <w:t xml:space="preserve">actúa a un nivel más profundo del cerebro, en el receptor de melanocortina 4, y solo está pensada para formas genéticas raras de obesidad. El</w:t>
      </w:r>
      <w:r>
        <w:t xml:space="preserve"> </w:t>
      </w:r>
      <w:r>
        <w:rPr>
          <w:bCs/>
          <w:b/>
        </w:rPr>
        <w:t xml:space="preserve">AOD-9604</w:t>
      </w:r>
      <w:r>
        <w:t xml:space="preserve"> </w:t>
      </w:r>
      <w:r>
        <w:t xml:space="preserve">es un fragmento de la hormona del crecimiento que se comercializa como «quemagrasas» sin que existan estudios publicados en seres humanos.</w:t>
      </w:r>
    </w:p>
    <w:bookmarkEnd w:id="130"/>
    <w:bookmarkStart w:id="131" w:name="visión-de-conjunto"/>
    <w:p>
      <w:pPr>
        <w:pStyle w:val="Heading3"/>
      </w:pPr>
      <w:r>
        <w:t xml:space="preserve">Visión de conjunto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w:t>
            </w:r>
          </w:p>
        </w:tc>
        <w:tc>
          <w:tcPr/>
          <w:p>
            <w:pPr>
              <w:pStyle w:val="Compact"/>
              <w:jc w:val="left"/>
            </w:pPr>
            <w:r>
              <w:t xml:space="preserve">En pocas palabras</w:t>
            </w:r>
          </w:p>
        </w:tc>
      </w:tr>
      <w:tr>
        <w:tc>
          <w:tcPr/>
          <w:p>
            <w:pPr>
              <w:pStyle w:val="Compact"/>
              <w:jc w:val="left"/>
            </w:pPr>
            <w:r>
              <w:t xml:space="preserve">Exenatida</w:t>
            </w:r>
          </w:p>
        </w:tc>
        <w:tc>
          <w:tcPr/>
          <w:p>
            <w:pPr>
              <w:pStyle w:val="Compact"/>
              <w:jc w:val="left"/>
            </w:pPr>
            <w:r>
              <w:t xml:space="preserve">A</w:t>
            </w:r>
          </w:p>
        </w:tc>
        <w:tc>
          <w:tcPr/>
          <w:p>
            <w:pPr>
              <w:pStyle w:val="Compact"/>
              <w:jc w:val="left"/>
            </w:pPr>
            <w:r>
              <w:t xml:space="preserve">UE, EE. UU.</w:t>
            </w:r>
          </w:p>
        </w:tc>
        <w:tc>
          <w:tcPr/>
          <w:p>
            <w:pPr>
              <w:pStyle w:val="Compact"/>
              <w:jc w:val="left"/>
            </w:pPr>
            <w:r>
              <w:t xml:space="preserve">primer agonista del GLP-1, procedente del veneno de un lagarto</w:t>
            </w:r>
          </w:p>
        </w:tc>
      </w:tr>
      <w:tr>
        <w:tc>
          <w:tcPr/>
          <w:p>
            <w:pPr>
              <w:pStyle w:val="Compact"/>
              <w:jc w:val="left"/>
            </w:pPr>
            <w:r>
              <w:t xml:space="preserve">Liraglutida</w:t>
            </w:r>
          </w:p>
        </w:tc>
        <w:tc>
          <w:tcPr/>
          <w:p>
            <w:pPr>
              <w:pStyle w:val="Compact"/>
              <w:jc w:val="left"/>
            </w:pPr>
            <w:r>
              <w:t xml:space="preserve">A</w:t>
            </w:r>
          </w:p>
        </w:tc>
        <w:tc>
          <w:tcPr/>
          <w:p>
            <w:pPr>
              <w:pStyle w:val="Compact"/>
              <w:jc w:val="left"/>
            </w:pPr>
            <w:r>
              <w:t xml:space="preserve">UE, EE. UU.</w:t>
            </w:r>
          </w:p>
        </w:tc>
        <w:tc>
          <w:tcPr/>
          <w:p>
            <w:pPr>
              <w:pStyle w:val="Compact"/>
              <w:jc w:val="left"/>
            </w:pPr>
            <w:r>
              <w:t xml:space="preserve">inyección diaria, genéricos</w:t>
            </w:r>
          </w:p>
        </w:tc>
      </w:tr>
      <w:tr>
        <w:tc>
          <w:tcPr/>
          <w:p>
            <w:pPr>
              <w:pStyle w:val="Compact"/>
              <w:jc w:val="left"/>
            </w:pPr>
            <w:r>
              <w:t xml:space="preserve">Dulaglutida</w:t>
            </w:r>
          </w:p>
        </w:tc>
        <w:tc>
          <w:tcPr/>
          <w:p>
            <w:pPr>
              <w:pStyle w:val="Compact"/>
              <w:jc w:val="left"/>
            </w:pPr>
            <w:r>
              <w:t xml:space="preserve">A</w:t>
            </w:r>
          </w:p>
        </w:tc>
        <w:tc>
          <w:tcPr/>
          <w:p>
            <w:pPr>
              <w:pStyle w:val="Compact"/>
              <w:jc w:val="left"/>
            </w:pPr>
            <w:r>
              <w:t xml:space="preserve">UE, EE. UU.</w:t>
            </w:r>
          </w:p>
        </w:tc>
        <w:tc>
          <w:tcPr/>
          <w:p>
            <w:pPr>
              <w:pStyle w:val="Compact"/>
              <w:jc w:val="left"/>
            </w:pPr>
            <w:r>
              <w:t xml:space="preserve">semanal, fusión con anticuerpo</w:t>
            </w:r>
          </w:p>
        </w:tc>
      </w:tr>
      <w:tr>
        <w:tc>
          <w:tcPr/>
          <w:p>
            <w:pPr>
              <w:pStyle w:val="Compact"/>
              <w:jc w:val="left"/>
            </w:pPr>
            <w:r>
              <w:t xml:space="preserve">Semaglutida</w:t>
            </w:r>
          </w:p>
        </w:tc>
        <w:tc>
          <w:tcPr/>
          <w:p>
            <w:pPr>
              <w:pStyle w:val="Compact"/>
              <w:jc w:val="left"/>
            </w:pPr>
            <w:r>
              <w:t xml:space="preserve">A</w:t>
            </w:r>
          </w:p>
        </w:tc>
        <w:tc>
          <w:tcPr/>
          <w:p>
            <w:pPr>
              <w:pStyle w:val="Compact"/>
              <w:jc w:val="left"/>
            </w:pPr>
            <w:r>
              <w:t xml:space="preserve">UE, EE. UU.</w:t>
            </w:r>
          </w:p>
        </w:tc>
        <w:tc>
          <w:tcPr/>
          <w:p>
            <w:pPr>
              <w:pStyle w:val="Compact"/>
              <w:jc w:val="left"/>
            </w:pPr>
            <w:r>
              <w:t xml:space="preserve">inyección y comprimido, protección cardíaca demostrada</w:t>
            </w:r>
          </w:p>
        </w:tc>
      </w:tr>
      <w:tr>
        <w:tc>
          <w:tcPr/>
          <w:p>
            <w:pPr>
              <w:pStyle w:val="Compact"/>
              <w:jc w:val="left"/>
            </w:pPr>
            <w:r>
              <w:t xml:space="preserve">Tirzepatida</w:t>
            </w:r>
          </w:p>
        </w:tc>
        <w:tc>
          <w:tcPr/>
          <w:p>
            <w:pPr>
              <w:pStyle w:val="Compact"/>
              <w:jc w:val="left"/>
            </w:pPr>
            <w:r>
              <w:t xml:space="preserve">A</w:t>
            </w:r>
          </w:p>
        </w:tc>
        <w:tc>
          <w:tcPr/>
          <w:p>
            <w:pPr>
              <w:pStyle w:val="Compact"/>
              <w:jc w:val="left"/>
            </w:pPr>
            <w:r>
              <w:t xml:space="preserve">UE, EE. UU.</w:t>
            </w:r>
          </w:p>
        </w:tc>
        <w:tc>
          <w:tcPr/>
          <w:p>
            <w:pPr>
              <w:pStyle w:val="Compact"/>
              <w:jc w:val="left"/>
            </w:pPr>
            <w:r>
              <w:t xml:space="preserve">GIP más GLP-1, referencia en 2026</w:t>
            </w:r>
          </w:p>
        </w:tc>
      </w:tr>
      <w:tr>
        <w:tc>
          <w:tcPr/>
          <w:p>
            <w:pPr>
              <w:pStyle w:val="Compact"/>
              <w:jc w:val="left"/>
            </w:pPr>
            <w:r>
              <w:t xml:space="preserve">Retatrutida</w:t>
            </w:r>
          </w:p>
        </w:tc>
        <w:tc>
          <w:tcPr/>
          <w:p>
            <w:pPr>
              <w:pStyle w:val="Compact"/>
              <w:jc w:val="left"/>
            </w:pPr>
            <w:r>
              <w:t xml:space="preserve">B</w:t>
            </w:r>
          </w:p>
        </w:tc>
        <w:tc>
          <w:tcPr/>
          <w:p>
            <w:pPr>
              <w:pStyle w:val="Compact"/>
              <w:jc w:val="left"/>
            </w:pPr>
            <w:r>
              <w:t xml:space="preserve">no</w:t>
            </w:r>
          </w:p>
        </w:tc>
        <w:tc>
          <w:tcPr/>
          <w:p>
            <w:pPr>
              <w:pStyle w:val="Compact"/>
              <w:jc w:val="left"/>
            </w:pPr>
            <w:r>
              <w:t xml:space="preserve">GIP, GLP-1 y glucagón</w:t>
            </w:r>
          </w:p>
        </w:tc>
      </w:tr>
      <w:tr>
        <w:tc>
          <w:tcPr/>
          <w:p>
            <w:pPr>
              <w:pStyle w:val="Compact"/>
              <w:jc w:val="left"/>
            </w:pPr>
            <w:r>
              <w:t xml:space="preserve">Survodutida</w:t>
            </w:r>
          </w:p>
        </w:tc>
        <w:tc>
          <w:tcPr/>
          <w:p>
            <w:pPr>
              <w:pStyle w:val="Compact"/>
              <w:jc w:val="left"/>
            </w:pPr>
            <w:r>
              <w:t xml:space="preserve">B</w:t>
            </w:r>
          </w:p>
        </w:tc>
        <w:tc>
          <w:tcPr/>
          <w:p>
            <w:pPr>
              <w:pStyle w:val="Compact"/>
              <w:jc w:val="left"/>
            </w:pPr>
            <w:r>
              <w:t xml:space="preserve">no</w:t>
            </w:r>
          </w:p>
        </w:tc>
        <w:tc>
          <w:tcPr/>
          <w:p>
            <w:pPr>
              <w:pStyle w:val="Compact"/>
              <w:jc w:val="left"/>
            </w:pPr>
            <w:r>
              <w:t xml:space="preserve">glucagón más GLP-1, foco en el hígado</w:t>
            </w:r>
          </w:p>
        </w:tc>
      </w:tr>
      <w:tr>
        <w:tc>
          <w:tcPr/>
          <w:p>
            <w:pPr>
              <w:pStyle w:val="Compact"/>
              <w:jc w:val="left"/>
            </w:pPr>
            <w:r>
              <w:t xml:space="preserve">Mazdutida</w:t>
            </w:r>
          </w:p>
        </w:tc>
        <w:tc>
          <w:tcPr/>
          <w:p>
            <w:pPr>
              <w:pStyle w:val="Compact"/>
              <w:jc w:val="left"/>
            </w:pPr>
            <w:r>
              <w:t xml:space="preserve">A</w:t>
            </w:r>
          </w:p>
        </w:tc>
        <w:tc>
          <w:tcPr/>
          <w:p>
            <w:pPr>
              <w:pStyle w:val="Compact"/>
              <w:jc w:val="left"/>
            </w:pPr>
            <w:r>
              <w:t xml:space="preserve">solo China</w:t>
            </w:r>
          </w:p>
        </w:tc>
        <w:tc>
          <w:tcPr/>
          <w:p>
            <w:pPr>
              <w:pStyle w:val="Compact"/>
              <w:jc w:val="left"/>
            </w:pPr>
            <w:r>
              <w:t xml:space="preserve">glucagón más GLP-1</w:t>
            </w:r>
          </w:p>
        </w:tc>
      </w:tr>
      <w:tr>
        <w:tc>
          <w:tcPr/>
          <w:p>
            <w:pPr>
              <w:pStyle w:val="Compact"/>
              <w:jc w:val="left"/>
            </w:pPr>
            <w:r>
              <w:t xml:space="preserve">Cagrilintida / CagriSema</w:t>
            </w:r>
          </w:p>
        </w:tc>
        <w:tc>
          <w:tcPr/>
          <w:p>
            <w:pPr>
              <w:pStyle w:val="Compact"/>
              <w:jc w:val="left"/>
            </w:pPr>
            <w:r>
              <w:t xml:space="preserve">B</w:t>
            </w:r>
          </w:p>
        </w:tc>
        <w:tc>
          <w:tcPr/>
          <w:p>
            <w:pPr>
              <w:pStyle w:val="Compact"/>
              <w:jc w:val="left"/>
            </w:pPr>
            <w:r>
              <w:t xml:space="preserve">no</w:t>
            </w:r>
          </w:p>
        </w:tc>
        <w:tc>
          <w:tcPr/>
          <w:p>
            <w:pPr>
              <w:pStyle w:val="Compact"/>
              <w:jc w:val="left"/>
            </w:pPr>
            <w:r>
              <w:t xml:space="preserve">amilina, combinada con semaglutida</w:t>
            </w:r>
          </w:p>
        </w:tc>
      </w:tr>
      <w:tr>
        <w:tc>
          <w:tcPr/>
          <w:p>
            <w:pPr>
              <w:pStyle w:val="Compact"/>
              <w:jc w:val="left"/>
            </w:pPr>
            <w:r>
              <w:t xml:space="preserve">Amicretina (zenagamtida)</w:t>
            </w:r>
          </w:p>
        </w:tc>
        <w:tc>
          <w:tcPr/>
          <w:p>
            <w:pPr>
              <w:pStyle w:val="Compact"/>
              <w:jc w:val="left"/>
            </w:pPr>
            <w:r>
              <w:t xml:space="preserve">B</w:t>
            </w:r>
          </w:p>
        </w:tc>
        <w:tc>
          <w:tcPr/>
          <w:p>
            <w:pPr>
              <w:pStyle w:val="Compact"/>
              <w:jc w:val="left"/>
            </w:pPr>
            <w:r>
              <w:t xml:space="preserve">no</w:t>
            </w:r>
          </w:p>
        </w:tc>
        <w:tc>
          <w:tcPr/>
          <w:p>
            <w:pPr>
              <w:pStyle w:val="Compact"/>
              <w:jc w:val="left"/>
            </w:pPr>
            <w:r>
              <w:t xml:space="preserve">amilina y GLP-1 en una sola molécula</w:t>
            </w:r>
          </w:p>
        </w:tc>
      </w:tr>
      <w:tr>
        <w:tc>
          <w:tcPr/>
          <w:p>
            <w:pPr>
              <w:pStyle w:val="Compact"/>
              <w:jc w:val="left"/>
            </w:pPr>
            <w:r>
              <w:t xml:space="preserve">Maridebart cafraglutida</w:t>
            </w:r>
          </w:p>
        </w:tc>
        <w:tc>
          <w:tcPr/>
          <w:p>
            <w:pPr>
              <w:pStyle w:val="Compact"/>
              <w:jc w:val="left"/>
            </w:pPr>
            <w:r>
              <w:t xml:space="preserve">B</w:t>
            </w:r>
          </w:p>
        </w:tc>
        <w:tc>
          <w:tcPr/>
          <w:p>
            <w:pPr>
              <w:pStyle w:val="Compact"/>
              <w:jc w:val="left"/>
            </w:pPr>
            <w:r>
              <w:t xml:space="preserve">no</w:t>
            </w:r>
          </w:p>
        </w:tc>
        <w:tc>
          <w:tcPr/>
          <w:p>
            <w:pPr>
              <w:pStyle w:val="Compact"/>
              <w:jc w:val="left"/>
            </w:pPr>
            <w:r>
              <w:t xml:space="preserve">bloqueante del GIP, administración mensual</w:t>
            </w:r>
          </w:p>
        </w:tc>
      </w:tr>
      <w:tr>
        <w:tc>
          <w:tcPr/>
          <w:p>
            <w:pPr>
              <w:pStyle w:val="Compact"/>
              <w:jc w:val="left"/>
            </w:pPr>
            <w:r>
              <w:t xml:space="preserve">Pramlintida</w:t>
            </w:r>
          </w:p>
        </w:tc>
        <w:tc>
          <w:tcPr/>
          <w:p>
            <w:pPr>
              <w:pStyle w:val="Compact"/>
              <w:jc w:val="left"/>
            </w:pPr>
            <w:r>
              <w:t xml:space="preserve">A</w:t>
            </w:r>
          </w:p>
        </w:tc>
        <w:tc>
          <w:tcPr/>
          <w:p>
            <w:pPr>
              <w:pStyle w:val="Compact"/>
              <w:jc w:val="left"/>
            </w:pPr>
            <w:r>
              <w:t xml:space="preserve">solo EE. UU.</w:t>
            </w:r>
          </w:p>
        </w:tc>
        <w:tc>
          <w:tcPr/>
          <w:p>
            <w:pPr>
              <w:pStyle w:val="Compact"/>
              <w:jc w:val="left"/>
            </w:pPr>
            <w:r>
              <w:t xml:space="preserve">primer medicamento con amilina</w:t>
            </w:r>
          </w:p>
        </w:tc>
      </w:tr>
      <w:tr>
        <w:tc>
          <w:tcPr/>
          <w:p>
            <w:pPr>
              <w:pStyle w:val="Compact"/>
              <w:jc w:val="left"/>
            </w:pPr>
            <w:r>
              <w:t xml:space="preserve">Setmelanotida</w:t>
            </w:r>
          </w:p>
        </w:tc>
        <w:tc>
          <w:tcPr/>
          <w:p>
            <w:pPr>
              <w:pStyle w:val="Compact"/>
              <w:jc w:val="left"/>
            </w:pPr>
            <w:r>
              <w:t xml:space="preserve">A</w:t>
            </w:r>
          </w:p>
        </w:tc>
        <w:tc>
          <w:tcPr/>
          <w:p>
            <w:pPr>
              <w:pStyle w:val="Compact"/>
              <w:jc w:val="left"/>
            </w:pPr>
            <w:r>
              <w:t xml:space="preserve">UE, EE. UU.</w:t>
            </w:r>
          </w:p>
        </w:tc>
        <w:tc>
          <w:tcPr/>
          <w:p>
            <w:pPr>
              <w:pStyle w:val="Compact"/>
              <w:jc w:val="left"/>
            </w:pPr>
            <w:r>
              <w:t xml:space="preserve">obesidad genética rara</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no</w:t>
            </w:r>
          </w:p>
        </w:tc>
        <w:tc>
          <w:tcPr/>
          <w:p>
            <w:pPr>
              <w:pStyle w:val="Compact"/>
              <w:jc w:val="left"/>
            </w:pPr>
            <w:r>
              <w:t xml:space="preserve">fragmento de hormona del crecimiento, mercado gris</w:t>
            </w:r>
          </w:p>
        </w:tc>
      </w:tr>
      <w:tr>
        <w:tc>
          <w:tcPr/>
          <w:p>
            <w:pPr>
              <w:pStyle w:val="Compact"/>
              <w:jc w:val="left"/>
            </w:pPr>
            <w:r>
              <w:t xml:space="preserve">Orforglipron</w:t>
            </w:r>
          </w:p>
        </w:tc>
        <w:tc>
          <w:tcPr/>
          <w:p>
            <w:pPr>
              <w:pStyle w:val="Compact"/>
              <w:jc w:val="left"/>
            </w:pPr>
            <w:r>
              <w:t xml:space="preserve">A</w:t>
            </w:r>
          </w:p>
        </w:tc>
        <w:tc>
          <w:tcPr/>
          <w:p>
            <w:pPr>
              <w:pStyle w:val="Compact"/>
              <w:jc w:val="left"/>
            </w:pPr>
            <w:r>
              <w:t xml:space="preserve">pendiente</w:t>
            </w:r>
          </w:p>
        </w:tc>
        <w:tc>
          <w:tcPr/>
          <w:p>
            <w:pPr>
              <w:pStyle w:val="Compact"/>
              <w:jc w:val="left"/>
            </w:pPr>
            <w:r>
              <w:t xml:space="preserve">no es un péptido, comprimido (comparación)</w:t>
            </w:r>
          </w:p>
        </w:tc>
      </w:tr>
    </w:tbl>
    <w:p>
      <w:pPr>
        <w:pStyle w:val="BodyText"/>
      </w:pPr>
      <w:r>
        <w:t xml:space="preserve">Los niveles de evidencia se explican en la Parte I. Los datos de autorización se refieren al estado de octubre de 2026 y a al menos una indicación; los detalles figuran en el capítulo correspondiente. Compruebe la situación actual, porque precisamente en este grupo las autorizaciones cambian con rapidez.</w:t>
      </w:r>
    </w:p>
    <w:bookmarkEnd w:id="131"/>
    <w:bookmarkStart w:id="132" w:name="indicaciones-de-lectura"/>
    <w:p>
      <w:pPr>
        <w:pStyle w:val="Heading3"/>
      </w:pPr>
      <w:r>
        <w:t xml:space="preserve">Indicaciones de lectura</w:t>
      </w:r>
    </w:p>
    <w:p>
      <w:pPr>
        <w:pStyle w:val="FirstParagraph"/>
      </w:pPr>
      <w:r>
        <w:t xml:space="preserve">Los capítulos siguen a grandes rasgos la evolución histórica: de los agonistas del GLP-1 consolidados (de la exenatida a la semaglutida) a los principios activos combinados (de la tirzepatida al maridebart cafraglutida), pasando por los casos especiales (pramlintida, setmelanotida, AOD-9604) y, por último, al orforglipron, que se incluye a efectos comparativos como sustancia no peptídica.</w:t>
      </w:r>
    </w:p>
    <w:p>
      <w:pPr>
        <w:pStyle w:val="BodyText"/>
      </w:pPr>
      <w:r>
        <w:t xml:space="preserve">Si desea hacerse una idea rápida, empiece por la semaglutida y la tirzepatida: todos los demás se miden con ellas. Las comparaciones directas de la pérdida de peso, la reducción de la glucemia, los resultados cardiovasculares y los efectos adversos de todos los principios activos se encuentran en la Parte III. Los riesgos de la clase, como los problemas de la vesícula biliar y del páncreas, la pérdida de masa muscular y las cuestiones relativas a la tiroides, se tratan en detalle en la Parte IV.</w:t>
      </w:r>
    </w:p>
    <w:p>
      <w:pPr>
        <w:pStyle w:val="BodyText"/>
      </w:pPr>
      <w:r>
        <w:t xml:space="preserve">Dos principios rigen para todo el grupo: en primer lugar, los capítulos describen resultados de estudios, no instrucciones de tratamiento; para los medicamentos autorizados, lo determinante son la ficha técnica y el seguimiento médico. En segundo lugar, con casi todos los principios activos se recupera gran parte del peso perdido cuando termina el tratamiento. Estos medicamentos actúan mientras se toman; no son una cura.</w:t>
      </w:r>
    </w:p>
    <w:bookmarkEnd w:id="132"/>
    <w:bookmarkStart w:id="148" w:name="exenatida"/>
    <w:p>
      <w:pPr>
        <w:pStyle w:val="Heading2"/>
      </w:pPr>
      <w:r>
        <w:t xml:space="preserve">Exenatida</w:t>
      </w:r>
    </w:p>
    <w:bookmarkStart w:id="133" w:name="ficha"/>
    <w:p>
      <w:pPr>
        <w:pStyle w:val="Heading3"/>
      </w:pPr>
      <w:r>
        <w:t xml:space="preserve">Ficha</w:t>
      </w:r>
    </w:p>
    <w:p>
      <w:pPr>
        <w:numPr>
          <w:ilvl w:val="0"/>
          <w:numId w:val="1036"/>
        </w:numPr>
        <w:pStyle w:val="Compact"/>
      </w:pPr>
      <w:r>
        <w:rPr>
          <w:bCs/>
          <w:b/>
        </w:rPr>
        <w:t xml:space="preserve">Tipo/estructura:</w:t>
      </w:r>
      <w:r>
        <w:t xml:space="preserve"> </w:t>
      </w:r>
      <w:r>
        <w:t xml:space="preserve">péptido de 39 aminoácidos, forma sintética de la exendina-4. Aproximadamente la mitad de la secuencia coincide con la hormona intestinal humana GLP-1.</w:t>
      </w:r>
    </w:p>
    <w:p>
      <w:pPr>
        <w:numPr>
          <w:ilvl w:val="0"/>
          <w:numId w:val="1036"/>
        </w:numPr>
        <w:pStyle w:val="Compact"/>
      </w:pPr>
      <w:r>
        <w:rPr>
          <w:bCs/>
          <w:b/>
        </w:rPr>
        <w:t xml:space="preserve">Origen:</w:t>
      </w:r>
      <w:r>
        <w:t xml:space="preserve"> </w:t>
      </w:r>
      <w:r>
        <w:t xml:space="preserve">la exendina-4 se aisló en 1992 del veneno del monstruo de Gila (</w:t>
      </w:r>
      <w:r>
        <w:rPr>
          <w:iCs/>
          <w:i/>
        </w:rPr>
        <w:t xml:space="preserve">Heloderma suspectum</w:t>
      </w:r>
      <w:r>
        <w:t xml:space="preserve">) (Eng 1992, PMID 1313797).</w:t>
      </w:r>
    </w:p>
    <w:p>
      <w:pPr>
        <w:numPr>
          <w:ilvl w:val="0"/>
          <w:numId w:val="1036"/>
        </w:numPr>
        <w:pStyle w:val="Compact"/>
      </w:pPr>
      <w:r>
        <w:rPr>
          <w:bCs/>
          <w:b/>
        </w:rPr>
        <w:t xml:space="preserve">Principio de acción:</w:t>
      </w:r>
      <w:r>
        <w:t xml:space="preserve"> </w:t>
      </w:r>
      <w:r>
        <w:t xml:space="preserve">agonista del receptor de GLP-1. La exenatida imita la hormona de la saciedad e incretina GLP-1, pero se degrada mucho más lentamente.</w:t>
      </w:r>
    </w:p>
    <w:p>
      <w:pPr>
        <w:numPr>
          <w:ilvl w:val="0"/>
          <w:numId w:val="1036"/>
        </w:numPr>
        <w:pStyle w:val="Compact"/>
      </w:pPr>
      <w:r>
        <w:rPr>
          <w:bCs/>
          <w:b/>
        </w:rPr>
        <w:t xml:space="preserve">Formas de administración:</w:t>
      </w:r>
      <w:r>
        <w:t xml:space="preserve"> </w:t>
      </w:r>
      <w:r>
        <w:t xml:space="preserve">dos veces al día (Byetta) y una vez a la semana como depósito con microesferas (Bydureon, más tarde en pluma precargada o autoinyector). En estudios, además: implante con bomba (ITCA 650) y variantes pegiladas (PB-119, NLY01).</w:t>
      </w:r>
    </w:p>
    <w:p>
      <w:pPr>
        <w:numPr>
          <w:ilvl w:val="0"/>
          <w:numId w:val="1036"/>
        </w:numPr>
        <w:pStyle w:val="Compact"/>
      </w:pPr>
      <w:r>
        <w:rPr>
          <w:bCs/>
          <w:b/>
        </w:rPr>
        <w:t xml:space="preserve">Autorización UE:</w:t>
      </w:r>
      <w:r>
        <w:t xml:space="preserve"> </w:t>
      </w:r>
      <w:r>
        <w:t xml:space="preserve">sí, para el tratamiento de la diabetes tipo 2 (Byetta, Bydureon). Sin autorización para la reducción de peso.</w:t>
      </w:r>
    </w:p>
    <w:p>
      <w:pPr>
        <w:numPr>
          <w:ilvl w:val="0"/>
          <w:numId w:val="1036"/>
        </w:numPr>
        <w:pStyle w:val="Compact"/>
      </w:pPr>
      <w:r>
        <w:rPr>
          <w:bCs/>
          <w:b/>
        </w:rPr>
        <w:t xml:space="preserve">Autorización EE. UU.:</w:t>
      </w:r>
      <w:r>
        <w:t xml:space="preserve"> </w:t>
      </w:r>
      <w:r>
        <w:t xml:space="preserve">sí, diabetes tipo 2 (Byetta en 2005 como primer agonista del receptor de GLP-1, Bydureon/Bydureon BCise); la forma semanal también para adolescentes a partir de 10 años. Entre tanto existen allí también preparados de imitación de la forma de dos veces al día. La disponibilidad de algunos preparados varía; compruebe la información actualizada.</w:t>
      </w:r>
    </w:p>
    <w:p>
      <w:pPr>
        <w:numPr>
          <w:ilvl w:val="0"/>
          <w:numId w:val="1036"/>
        </w:numPr>
        <w:pStyle w:val="Compact"/>
      </w:pPr>
      <w:r>
        <w:rPr>
          <w:bCs/>
          <w:b/>
        </w:rPr>
        <w:t xml:space="preserve">WADA:</w:t>
      </w:r>
      <w:r>
        <w:t xml:space="preserve"> </w:t>
      </w:r>
      <w:r>
        <w:t xml:space="preserve">no figura en la lista (estado en 2026; compruebe la información actualizada).</w:t>
      </w:r>
    </w:p>
    <w:p>
      <w:pPr>
        <w:numPr>
          <w:ilvl w:val="0"/>
          <w:numId w:val="1036"/>
        </w:numPr>
        <w:pStyle w:val="Compact"/>
      </w:pPr>
      <w:r>
        <w:rPr>
          <w:bCs/>
          <w:b/>
        </w:rPr>
        <w:t xml:space="preserve">Nivel de evidencia:</w:t>
      </w:r>
      <w:r>
        <w:t xml:space="preserve"> </w:t>
      </w:r>
      <w:r>
        <w:rPr>
          <w:bCs/>
          <w:b/>
        </w:rPr>
        <w:t xml:space="preserve">A</w:t>
      </w:r>
      <w:r>
        <w:t xml:space="preserve"> </w:t>
      </w:r>
      <w:r>
        <w:t xml:space="preserve">– numerosos estudios aleatorizados grandes, un gran estudio de resultados cardiovasculares, autorización desde 2005.</w:t>
      </w:r>
    </w:p>
    <w:bookmarkEnd w:id="133"/>
    <w:bookmarkStart w:id="134" w:name="cómo-se-supone-que-actúa"/>
    <w:p>
      <w:pPr>
        <w:pStyle w:val="Heading3"/>
      </w:pPr>
      <w:r>
        <w:t xml:space="preserve">Cómo se supone que actúa</w:t>
      </w:r>
    </w:p>
    <w:p>
      <w:pPr>
        <w:pStyle w:val="FirstParagraph"/>
      </w:pPr>
      <w:r>
        <w:t xml:space="preserve">Después de una comida, el intestino libera la hormona GLP-1 (péptido similar al glucagón tipo 1). Esta indica al páncreas que libere más insulina, pero solo mientras la glucemia esté elevada. Al mismo tiempo, frena la hormona glucagón, que eleva la glucemia, ralentiza el vaciamiento gástrico y actúa en el cerebro sobre los centros que regulan el hambre y la saciedad. Como la liberación de insulina depende de la glucosa, los agonistas del receptor de GLP-1 por sí solos rara vez causan hipoglucemias.</w:t>
      </w:r>
    </w:p>
    <w:p>
      <w:pPr>
        <w:pStyle w:val="BodyText"/>
      </w:pPr>
      <w:r>
        <w:t xml:space="preserve">El GLP-1 endógeno, sin embargo, tiene un inconveniente decisivo: la enzima DPP-4 lo descompone en unos dos minutos. Por eso, como medicamento es inservible. La exendina-4 del veneno del lagarto también se une al receptor de GLP-1, pero es en gran medida insensible a la DPP-4. Este descubrimiento casual convirtió a la exenatida en el primer representante de una clase de principios activos que, dos décadas después, transformaría la medicina con la semaglutida y la tirzepatida.</w:t>
      </w:r>
    </w:p>
    <w:p>
      <w:pPr>
        <w:pStyle w:val="BodyText"/>
      </w:pPr>
      <w:r>
        <w:t xml:space="preserve">La forma original actúa solo unas horas y por eso debe inyectarse dos veces al día antes de las comidas principales. Reduce sobre todo la subida de la glucemia después de comer, entre otras cosas porque ralentiza claramente el vaciamiento gástrico. La forma semanal encierra el mismo principio activo en microesferas de plástico biodegradable (PLGA), desde las que se libera lentamente. Así, la concentración se mantiene más constante; el efecto sobre la glucemia en ayunas es mayor, y el efecto sobre el vaciamiento gástrico se atenúa algo con el tiempo.</w:t>
      </w:r>
    </w:p>
    <w:p>
      <w:pPr>
        <w:pStyle w:val="BodyText"/>
      </w:pPr>
      <w:r>
        <w:t xml:space="preserve">Una diferencia importante con los principios activos posteriores: la exenatida solo se parece al GLP-1 humano en aproximadamente la mitad. Por eso, el sistema inmunitario la reconoce con más frecuencia como extraña y forma anticuerpos. En la mayoría de las personas tratadas esto no tiene consecuencias; en una pequeña parte con concentraciones altas de anticuerpos, el efecto puede disminuir.</w:t>
      </w:r>
    </w:p>
    <w:bookmarkEnd w:id="134"/>
    <w:bookmarkStart w:id="142" w:name="estudios-en-humanos"/>
    <w:p>
      <w:pPr>
        <w:pStyle w:val="Heading3"/>
      </w:pPr>
      <w:r>
        <w:t xml:space="preserve">Estudios en humanos</w:t>
      </w:r>
    </w:p>
    <w:p>
      <w:pPr>
        <w:pStyle w:val="FirstParagraph"/>
      </w:pPr>
      <w:r>
        <w:t xml:space="preserve">Los datos de estudios sobre la exenatida son abundantes. La consulta de PubMed analizada para este libro (término de búsqueda «exenatide» en el título o el resumen, fecha de consulta octubre de 2026) arrojó 437 estudios en seres humanos; en ClinicalTrials.gov figuran 379 registros con exenatida. Muchos de ellos son pequeños estudios de mecanismo o de combinación. Para la valoración son relevantes sobre todo tres grupos: los programas de registro AMIGO (forma de dos veces al día) y DURATION (forma semanal), el estudio de resultados cardiovasculares EXSCEL y una serie de estudios más allá de la diabetes, en particular sobre la enfermedad de Parkinson.</w:t>
      </w:r>
    </w:p>
    <w:bookmarkStart w:id="135" w:name="Xc9510acfa07e2e823a5933fddc1685ce1b89594"/>
    <w:p>
      <w:pPr>
        <w:pStyle w:val="Heading4"/>
      </w:pPr>
      <w:r>
        <w:t xml:space="preserve">Los estudios AMIGO: el comienzo de la clase</w:t>
      </w:r>
    </w:p>
    <w:p>
      <w:pPr>
        <w:pStyle w:val="FirstParagraph"/>
      </w:pPr>
      <w:r>
        <w:t xml:space="preserve">Tres estudios controlados con placebo de 30 semanas cada uno constituyeron la base de la primera autorización. Evaluaron la exenatida dos veces al día (5 o 10 microgramos por administración) como complemento de los comprimidos que ya se tomaban.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 (grupo de 10 µg frente a placebo)</w:t>
            </w:r>
          </w:p>
        </w:tc>
      </w:tr>
      <w:tr>
        <w:tc>
          <w:tcPr/>
          <w:p>
            <w:pPr>
              <w:pStyle w:val="Compact"/>
              <w:jc w:val="left"/>
            </w:pPr>
            <w:r>
              <w:t xml:space="preserve">Buse 2004, PMID 15504997</w:t>
            </w:r>
          </w:p>
        </w:tc>
        <w:tc>
          <w:tcPr/>
          <w:p>
            <w:pPr>
              <w:pStyle w:val="Compact"/>
              <w:jc w:val="left"/>
            </w:pPr>
            <w:r>
              <w:t xml:space="preserve">diabetes tipo 2 con sulfonilurea, RCT frente a placebo</w:t>
            </w:r>
          </w:p>
        </w:tc>
        <w:tc>
          <w:tcPr/>
          <w:p>
            <w:pPr>
              <w:pStyle w:val="Compact"/>
              <w:jc w:val="left"/>
            </w:pPr>
            <w:r>
              <w:t xml:space="preserve">30 semanas</w:t>
            </w:r>
          </w:p>
        </w:tc>
        <w:tc>
          <w:tcPr/>
          <w:p>
            <w:pPr>
              <w:pStyle w:val="Compact"/>
              <w:jc w:val="left"/>
            </w:pPr>
            <w:r>
              <w:t xml:space="preserve">HbA1c −0,86 frente a +0,12 puntos porcentuales; peso −1,6 kg</w:t>
            </w:r>
          </w:p>
        </w:tc>
      </w:tr>
      <w:tr>
        <w:tc>
          <w:tcPr/>
          <w:p>
            <w:pPr>
              <w:pStyle w:val="Compact"/>
              <w:jc w:val="left"/>
            </w:pPr>
            <w:r>
              <w:t xml:space="preserve">DeFronzo 2005, PMID 15855572</w:t>
            </w:r>
          </w:p>
        </w:tc>
        <w:tc>
          <w:tcPr/>
          <w:p>
            <w:pPr>
              <w:pStyle w:val="Compact"/>
              <w:jc w:val="left"/>
            </w:pPr>
            <w:r>
              <w:t xml:space="preserve">diabetes tipo 2 con metformina, RCT frente a placebo</w:t>
            </w:r>
          </w:p>
        </w:tc>
        <w:tc>
          <w:tcPr/>
          <w:p>
            <w:pPr>
              <w:pStyle w:val="Compact"/>
              <w:jc w:val="left"/>
            </w:pPr>
            <w:r>
              <w:t xml:space="preserve">30 semanas</w:t>
            </w:r>
          </w:p>
        </w:tc>
        <w:tc>
          <w:tcPr/>
          <w:p>
            <w:pPr>
              <w:pStyle w:val="Compact"/>
              <w:jc w:val="left"/>
            </w:pPr>
            <w:r>
              <w:t xml:space="preserve">HbA1c −0,78 frente a +0,08; peso −2,8 kg; el 46 % frente al 13 % alcanzó una HbA1c ≤ 7 %</w:t>
            </w:r>
          </w:p>
        </w:tc>
      </w:tr>
      <w:tr>
        <w:tc>
          <w:tcPr/>
          <w:p>
            <w:pPr>
              <w:pStyle w:val="Compact"/>
              <w:jc w:val="left"/>
            </w:pPr>
            <w:r>
              <w:t xml:space="preserve">Kendall 2005, PMID 15855571</w:t>
            </w:r>
          </w:p>
        </w:tc>
        <w:tc>
          <w:tcPr/>
          <w:p>
            <w:pPr>
              <w:pStyle w:val="Compact"/>
              <w:jc w:val="left"/>
            </w:pPr>
            <w:r>
              <w:t xml:space="preserve">diabetes tipo 2 con metformina más sulfonilurea, RCT</w:t>
            </w:r>
          </w:p>
        </w:tc>
        <w:tc>
          <w:tcPr/>
          <w:p>
            <w:pPr>
              <w:pStyle w:val="Compact"/>
              <w:jc w:val="left"/>
            </w:pPr>
            <w:r>
              <w:t xml:space="preserve">30 semanas</w:t>
            </w:r>
          </w:p>
        </w:tc>
        <w:tc>
          <w:tcPr/>
          <w:p>
            <w:pPr>
              <w:pStyle w:val="Compact"/>
              <w:jc w:val="left"/>
            </w:pPr>
            <w:r>
              <w:t xml:space="preserve">HbA1c −0,8 frente a +0,2; hipoglucemias leves 28 % frente a 13 %</w:t>
            </w:r>
          </w:p>
        </w:tc>
      </w:tr>
      <w:tr>
        <w:tc>
          <w:tcPr/>
          <w:p>
            <w:pPr>
              <w:pStyle w:val="Compact"/>
              <w:jc w:val="left"/>
            </w:pPr>
            <w:r>
              <w:t xml:space="preserve">Heine 2005, PMID 16230722</w:t>
            </w:r>
          </w:p>
        </w:tc>
        <w:tc>
          <w:tcPr/>
          <w:p>
            <w:pPr>
              <w:pStyle w:val="Compact"/>
              <w:jc w:val="left"/>
            </w:pPr>
            <w:r>
              <w:t xml:space="preserve">551 personas, comparación abierta con insulina glargina</w:t>
            </w:r>
          </w:p>
        </w:tc>
        <w:tc>
          <w:tcPr/>
          <w:p>
            <w:pPr>
              <w:pStyle w:val="Compact"/>
              <w:jc w:val="left"/>
            </w:pPr>
            <w:r>
              <w:t xml:space="preserve">26 semanas</w:t>
            </w:r>
          </w:p>
        </w:tc>
        <w:tc>
          <w:tcPr/>
          <w:p>
            <w:pPr>
              <w:pStyle w:val="Compact"/>
              <w:jc w:val="left"/>
            </w:pPr>
            <w:r>
              <w:t xml:space="preserve">HbA1c −1,11 en ambos grupos; peso −2,3 kg frente a +1,8 kg</w:t>
            </w:r>
          </w:p>
        </w:tc>
      </w:tr>
    </w:tbl>
    <w:p>
      <w:pPr>
        <w:pStyle w:val="BodyText"/>
      </w:pPr>
      <w:r>
        <w:t xml:space="preserve">El valor de HbA1c (glucemia a largo plazo) describe la proporción de hemoglobina «glucosilada» de los glóbulos rojos y refleja la glucemia de los últimos dos o tres meses. Una reducción de 0,8 a 1 punto porcentual se consideraba entonces clínicamente relevante. La novedad era que el peso no aumentaba, como era habitual con la insulina o las sulfonilureas, sino que disminuía. Sin embargo, el estudio de Kendall también muestra que, en combinación con una sulfonilurea, que libera insulina con independencia de la glucemia, aumentaron las hipoglucemias leves.</w:t>
      </w:r>
    </w:p>
    <w:p>
      <w:pPr>
        <w:pStyle w:val="BodyText"/>
      </w:pPr>
      <w:r>
        <w:t xml:space="preserve">En la comparación directa con la insulina glargina (Heine 2005, PMID 16230722), ambos tratamientos redujeron la HbA1c en la misma medida. La diferencia de peso fue de 4,1 kg a favor de la exenatida, y las hipoglucemias nocturnas fueron menos frecuentes (0,9 frente a 2,4 episodios por paciente-año). El precio: las náuseas aparecieron en el 57,1 % frente al 8,6 %, y los vómitos en el 17,4 % frente al 3,7 %. El 19,4 % del grupo de exenatida abandonó el estudio, frente al 9,7 % con insulina.</w:t>
      </w:r>
    </w:p>
    <w:bookmarkEnd w:id="135"/>
    <w:bookmarkStart w:id="136" w:name="el-programa-duration-una-vez-a-la-semana"/>
    <w:p>
      <w:pPr>
        <w:pStyle w:val="Heading4"/>
      </w:pPr>
      <w:r>
        <w:t xml:space="preserve">El programa DURATION: una vez a la semana</w:t>
      </w:r>
    </w:p>
    <w:p>
      <w:pPr>
        <w:pStyle w:val="FirstParagraph"/>
      </w:pPr>
      <w:r>
        <w:t xml:space="preserve">La forma semanal se evaluó en una serie de estudios denominada DURATION: frente a la forma de dos veces al día, frente a comprimidos, frente a insulina y frente a liraglutida.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DURATION-1 (Drucker 2008), PMID 18782641</w:t>
            </w:r>
          </w:p>
        </w:tc>
        <w:tc>
          <w:tcPr/>
          <w:p>
            <w:pPr>
              <w:pStyle w:val="Compact"/>
              <w:jc w:val="left"/>
            </w:pPr>
            <w:r>
              <w:t xml:space="preserve">295 personas, abierto: exenatida semanal frente a dos veces al día</w:t>
            </w:r>
          </w:p>
        </w:tc>
        <w:tc>
          <w:tcPr/>
          <w:p>
            <w:pPr>
              <w:pStyle w:val="Compact"/>
              <w:jc w:val="left"/>
            </w:pPr>
            <w:r>
              <w:t xml:space="preserve">30 semanas</w:t>
            </w:r>
          </w:p>
        </w:tc>
        <w:tc>
          <w:tcPr/>
          <w:p>
            <w:pPr>
              <w:pStyle w:val="Compact"/>
              <w:jc w:val="left"/>
            </w:pPr>
            <w:r>
              <w:t xml:space="preserve">HbA1c −1,9 frente a −1,5; objetivo ≤ 7 % en el 77 % frente al 61 %</w:t>
            </w:r>
          </w:p>
        </w:tc>
      </w:tr>
      <w:tr>
        <w:tc>
          <w:tcPr/>
          <w:p>
            <w:pPr>
              <w:pStyle w:val="Compact"/>
              <w:jc w:val="left"/>
            </w:pPr>
            <w:r>
              <w:t xml:space="preserve">DURATION-1, datos a 5 años (Wysham 2015), PMID 25744115</w:t>
            </w:r>
          </w:p>
        </w:tc>
        <w:tc>
          <w:tcPr/>
          <w:p>
            <w:pPr>
              <w:pStyle w:val="Compact"/>
              <w:jc w:val="left"/>
            </w:pPr>
            <w:r>
              <w:t xml:space="preserve">258 personas en la extensión, 153 permanecieron 5 años</w:t>
            </w:r>
          </w:p>
        </w:tc>
        <w:tc>
          <w:tcPr/>
          <w:p>
            <w:pPr>
              <w:pStyle w:val="Compact"/>
              <w:jc w:val="left"/>
            </w:pPr>
            <w:r>
              <w:t xml:space="preserve">5 años</w:t>
            </w:r>
          </w:p>
        </w:tc>
        <w:tc>
          <w:tcPr/>
          <w:p>
            <w:pPr>
              <w:pStyle w:val="Compact"/>
              <w:jc w:val="left"/>
            </w:pPr>
            <w:r>
              <w:t xml:space="preserve">HbA1c todavía −1,6; peso −3,0 kg</w:t>
            </w:r>
          </w:p>
        </w:tc>
      </w:tr>
      <w:tr>
        <w:tc>
          <w:tcPr/>
          <w:p>
            <w:pPr>
              <w:pStyle w:val="Compact"/>
              <w:jc w:val="left"/>
            </w:pPr>
            <w:r>
              <w:t xml:space="preserve">DURATION-2 (Bergenstal 2010), PMID 20580422</w:t>
            </w:r>
          </w:p>
        </w:tc>
        <w:tc>
          <w:tcPr/>
          <w:p>
            <w:pPr>
              <w:pStyle w:val="Compact"/>
              <w:jc w:val="left"/>
            </w:pPr>
            <w:r>
              <w:t xml:space="preserve">514 personas con metformina, frente a sitagliptina o pioglitazona</w:t>
            </w:r>
          </w:p>
        </w:tc>
        <w:tc>
          <w:tcPr/>
          <w:p>
            <w:pPr>
              <w:pStyle w:val="Compact"/>
              <w:jc w:val="left"/>
            </w:pPr>
            <w:r>
              <w:t xml:space="preserve">26 semanas</w:t>
            </w:r>
          </w:p>
        </w:tc>
        <w:tc>
          <w:tcPr/>
          <w:p>
            <w:pPr>
              <w:pStyle w:val="Compact"/>
              <w:jc w:val="left"/>
            </w:pPr>
            <w:r>
              <w:t xml:space="preserve">HbA1c −1,5 frente a −0,9 y −1,2, respectivamente; peso −2,3 kg</w:t>
            </w:r>
          </w:p>
        </w:tc>
      </w:tr>
      <w:tr>
        <w:tc>
          <w:tcPr/>
          <w:p>
            <w:pPr>
              <w:pStyle w:val="Compact"/>
              <w:jc w:val="left"/>
            </w:pPr>
            <w:r>
              <w:t xml:space="preserve">DURATION-3 (Diamant 2010), PMID 20609969</w:t>
            </w:r>
          </w:p>
        </w:tc>
        <w:tc>
          <w:tcPr/>
          <w:p>
            <w:pPr>
              <w:pStyle w:val="Compact"/>
              <w:jc w:val="left"/>
            </w:pPr>
            <w:r>
              <w:t xml:space="preserve">456 personas, abierto frente a insulina glargina</w:t>
            </w:r>
          </w:p>
        </w:tc>
        <w:tc>
          <w:tcPr/>
          <w:p>
            <w:pPr>
              <w:pStyle w:val="Compact"/>
              <w:jc w:val="left"/>
            </w:pPr>
            <w:r>
              <w:t xml:space="preserve">26 semanas</w:t>
            </w:r>
          </w:p>
        </w:tc>
        <w:tc>
          <w:tcPr/>
          <w:p>
            <w:pPr>
              <w:pStyle w:val="Compact"/>
              <w:jc w:val="left"/>
            </w:pPr>
            <w:r>
              <w:t xml:space="preserve">HbA1c −1,5 frente a −1,3; abandono por efectos adversos 5 % frente a 1 %</w:t>
            </w:r>
          </w:p>
        </w:tc>
      </w:tr>
      <w:tr>
        <w:tc>
          <w:tcPr/>
          <w:p>
            <w:pPr>
              <w:pStyle w:val="Compact"/>
              <w:jc w:val="left"/>
            </w:pPr>
            <w:r>
              <w:t xml:space="preserve">DURATION-6 (Buse 2013), PMID 23141817</w:t>
            </w:r>
          </w:p>
        </w:tc>
        <w:tc>
          <w:tcPr/>
          <w:p>
            <w:pPr>
              <w:pStyle w:val="Compact"/>
              <w:jc w:val="left"/>
            </w:pPr>
            <w:r>
              <w:t xml:space="preserve">911 personas, abierto frente a liraglutida diaria</w:t>
            </w:r>
          </w:p>
        </w:tc>
        <w:tc>
          <w:tcPr/>
          <w:p>
            <w:pPr>
              <w:pStyle w:val="Compact"/>
              <w:jc w:val="left"/>
            </w:pPr>
            <w:r>
              <w:t xml:space="preserve">26 semanas</w:t>
            </w:r>
          </w:p>
        </w:tc>
        <w:tc>
          <w:tcPr/>
          <w:p>
            <w:pPr>
              <w:pStyle w:val="Compact"/>
              <w:jc w:val="left"/>
            </w:pPr>
            <w:r>
              <w:t xml:space="preserve">HbA1c −1,28 frente a −1,48; no se alcanzó la no inferioridad</w:t>
            </w:r>
          </w:p>
        </w:tc>
      </w:tr>
    </w:tbl>
    <w:p>
      <w:pPr>
        <w:pStyle w:val="BodyText"/>
      </w:pPr>
      <w:r>
        <w:t xml:space="preserve">En DURATION-1, la forma semanal redujo la glucemia a largo plazo más que la forma diaria, con una pérdida de peso comparable y sin más hipoglucemias. Es destacable el análisis a cinco años (Wysham 2015, PMID 25744115): de las 258 personas de la fase de extensión, 153 (59,3 %) permanecieron cinco años en tratamiento. En ellas, la HbA1c seguía 1,6 puntos porcentuales por debajo del valor inicial, y el 43,9 % alcanzó un valor inferior al 7 %. No obstante, estas extensiones llevan incorporado un sesgo: quien respondió mal o tuvo efectos adversos a menudo ya no participa.</w:t>
      </w:r>
    </w:p>
    <w:p>
      <w:pPr>
        <w:pStyle w:val="BodyText"/>
      </w:pPr>
      <w:r>
        <w:t xml:space="preserve">En DURATION-2 (Bergenstal 2010, PMID 20580422), la forma semanal fue superior a dos comprimidos habituales en aquel momento: la diferencia con la sitagliptina fue de 0,6 puntos porcentuales, y con la pioglitazona, de 0,3 puntos porcentuales. En cuanto al peso, la diferencia con la pioglitazona, que tiende a provocar aumento de peso, fue de 5,1 kg. En DURATION-3 (Diamant 2010, PMID 20609969), la exenatida semanal fue ligeramente superior a la insulina basal glargina (diferencia −0,16 puntos porcentuales), aunque más personas abandonaron el tratamiento por efectos adversos.</w:t>
      </w:r>
    </w:p>
    <w:bookmarkEnd w:id="136"/>
    <w:bookmarkStart w:id="137" w:name="X025d423c7c8a073b23f253f20d0f55c0ebac40b"/>
    <w:p>
      <w:pPr>
        <w:pStyle w:val="Heading4"/>
      </w:pPr>
      <w:r>
        <w:t xml:space="preserve">Comparaciones directas dentro de la clase GLP-1</w:t>
      </w:r>
    </w:p>
    <w:p>
      <w:pPr>
        <w:pStyle w:val="FirstParagraph"/>
      </w:pPr>
      <w:r>
        <w:t xml:space="preserve">Para situar la exenatida, los estudios comparativos directos con principios activos posteriores son especialmente reveladores. Muestran que la exenatida es eficaz, pero que sus sucesores la superan.</w:t>
      </w:r>
    </w:p>
    <w:p>
      <w:pPr>
        <w:pStyle w:val="BodyText"/>
      </w:pPr>
      <w:r>
        <w:t xml:space="preserve">En</w:t>
      </w:r>
      <w:r>
        <w:t xml:space="preserve"> </w:t>
      </w:r>
      <w:r>
        <w:rPr>
          <w:bCs/>
          <w:b/>
        </w:rPr>
        <w:t xml:space="preserve">DURATION-6</w:t>
      </w:r>
      <w:r>
        <w:t xml:space="preserve"> </w:t>
      </w:r>
      <w:r>
        <w:t xml:space="preserve">(Buse 2013, PMID 23141817), la forma semanal se enfrentó a la liraglutida una vez al día. La liraglutida redujo la HbA1c en 1,48 puntos porcentuales, y la exenatida en 1,28. La diferencia de 0,21 puntos porcentuales no alcanzó el límite fijado de antemano para «no inferior». A cambio, la exenatida se toleró mejor: las náuseas aparecieron en el 9 % frente al 21 %, la diarrea en el 6 % frente al 13 % y los vómitos en el 4 % frente al 11 %.</w:t>
      </w:r>
    </w:p>
    <w:p>
      <w:pPr>
        <w:pStyle w:val="BodyText"/>
      </w:pPr>
      <w:r>
        <w:t xml:space="preserve">En</w:t>
      </w:r>
      <w:r>
        <w:t xml:space="preserve"> </w:t>
      </w:r>
      <w:r>
        <w:rPr>
          <w:bCs/>
          <w:b/>
        </w:rPr>
        <w:t xml:space="preserve">SUSTAIN 3</w:t>
      </w:r>
      <w:r>
        <w:t xml:space="preserve"> </w:t>
      </w:r>
      <w:r>
        <w:t xml:space="preserve">(Ahmann 2018, PMID 29246950), la exenatida semanal perdió claramente frente a la semaglutida semanal a lo largo de 56 semanas. La HbA1c disminuyó 0,9 frente a 1,5 puntos porcentuales, y el peso 1,9 frente a 5,6 kg. Una HbA1c inferior al 7 % la alcanzó el 40 % frente al 67 %. Las molestias gastrointestinales fueron algo menos frecuentes con exenatida (33,3 % frente a 41,8 %), pero las reacciones en el lugar de inyección fueron mucho más frecuentes (22,0 % frente a 1,2 %).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Comparación</w:t>
            </w:r>
          </w:p>
        </w:tc>
        <w:tc>
          <w:tcPr/>
          <w:p>
            <w:pPr>
              <w:pStyle w:val="Compact"/>
              <w:jc w:val="left"/>
            </w:pPr>
            <w:r>
              <w:t xml:space="preserve">Diseño</w:t>
            </w:r>
          </w:p>
        </w:tc>
        <w:tc>
          <w:tcPr/>
          <w:p>
            <w:pPr>
              <w:pStyle w:val="Compact"/>
              <w:jc w:val="left"/>
            </w:pPr>
            <w:r>
              <w:t xml:space="preserve">Duración</w:t>
            </w:r>
          </w:p>
        </w:tc>
        <w:tc>
          <w:tcPr/>
          <w:p>
            <w:pPr>
              <w:pStyle w:val="Compact"/>
              <w:jc w:val="left"/>
            </w:pPr>
            <w:r>
              <w:t xml:space="preserve">Resultado (exenatida semanal frente a comparador)</w:t>
            </w:r>
          </w:p>
        </w:tc>
      </w:tr>
      <w:tr>
        <w:tc>
          <w:tcPr/>
          <w:p>
            <w:pPr>
              <w:pStyle w:val="Compact"/>
              <w:jc w:val="left"/>
            </w:pPr>
            <w:r>
              <w:t xml:space="preserve">DURATION-6 (Buse 2013), PMID 23141817</w:t>
            </w:r>
          </w:p>
        </w:tc>
        <w:tc>
          <w:tcPr/>
          <w:p>
            <w:pPr>
              <w:pStyle w:val="Compact"/>
              <w:jc w:val="left"/>
            </w:pPr>
            <w:r>
              <w:t xml:space="preserve">911 personas, abierto frente a liraglutida</w:t>
            </w:r>
          </w:p>
        </w:tc>
        <w:tc>
          <w:tcPr/>
          <w:p>
            <w:pPr>
              <w:pStyle w:val="Compact"/>
              <w:jc w:val="left"/>
            </w:pPr>
            <w:r>
              <w:t xml:space="preserve">26 semanas</w:t>
            </w:r>
          </w:p>
        </w:tc>
        <w:tc>
          <w:tcPr/>
          <w:p>
            <w:pPr>
              <w:pStyle w:val="Compact"/>
              <w:jc w:val="left"/>
            </w:pPr>
            <w:r>
              <w:t xml:space="preserve">HbA1c −1,28 frente a −1,48; náuseas 9 % frente a 21 %</w:t>
            </w:r>
          </w:p>
        </w:tc>
      </w:tr>
      <w:tr>
        <w:tc>
          <w:tcPr/>
          <w:p>
            <w:pPr>
              <w:pStyle w:val="Compact"/>
              <w:jc w:val="left"/>
            </w:pPr>
            <w:r>
              <w:t xml:space="preserve">SUSTAIN 3 (Ahmann 2018), PMID 29246950</w:t>
            </w:r>
          </w:p>
        </w:tc>
        <w:tc>
          <w:tcPr/>
          <w:p>
            <w:pPr>
              <w:pStyle w:val="Compact"/>
              <w:jc w:val="left"/>
            </w:pPr>
            <w:r>
              <w:t xml:space="preserve">abierto frente a semaglutida semanal</w:t>
            </w:r>
          </w:p>
        </w:tc>
        <w:tc>
          <w:tcPr/>
          <w:p>
            <w:pPr>
              <w:pStyle w:val="Compact"/>
              <w:jc w:val="left"/>
            </w:pPr>
            <w:r>
              <w:t xml:space="preserve">56 semanas</w:t>
            </w:r>
          </w:p>
        </w:tc>
        <w:tc>
          <w:tcPr/>
          <w:p>
            <w:pPr>
              <w:pStyle w:val="Compact"/>
              <w:jc w:val="left"/>
            </w:pPr>
            <w:r>
              <w:t xml:space="preserve">HbA1c −0,9 frente a −1,5; peso −1,9 frente a −5,6 kg</w:t>
            </w:r>
          </w:p>
        </w:tc>
      </w:tr>
    </w:tbl>
    <w:p>
      <w:pPr>
        <w:pStyle w:val="BodyText"/>
      </w:pPr>
      <w:r>
        <w:t xml:space="preserve">La comparación con la dulaglutida y con la liraglutida frente a la exenatida dos veces al día (los estudios AWARD-1 y LEAD-6) se comenta en los capítulos correspondientes.</w:t>
      </w:r>
    </w:p>
    <w:p>
      <w:pPr>
        <w:pStyle w:val="BodyText"/>
      </w:pPr>
      <w:r>
        <w:t xml:space="preserve">En resumen, la exenatida se sitúa dentro de la clase en la franja media-baja: más potente que los inhibidores de la DPP-4 (gliptinas), más débil que la liraglutida, la dulaglutida y, sobre todo, la semaglutida.</w:t>
      </w:r>
    </w:p>
    <w:bookmarkEnd w:id="137"/>
    <w:bookmarkStart w:id="138" w:name="exscel-el-estudio-cardiovascular"/>
    <w:p>
      <w:pPr>
        <w:pStyle w:val="Heading4"/>
      </w:pPr>
      <w:r>
        <w:t xml:space="preserve">EXSCEL: el estudio cardiovascular</w:t>
      </w:r>
    </w:p>
    <w:p>
      <w:pPr>
        <w:pStyle w:val="FirstParagraph"/>
      </w:pPr>
      <w:r>
        <w:t xml:space="preserve">Desde 2008, la agencia estadounidense del medicamento FDA exige a los nuevos antidiabéticos demostrar que no aumentan el riesgo cardiovascular. Para la exenatida semanal se realizó con este fin EXSCEL, uno de los mayores estudios de este tipo.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EXSCEL (Holman 2017), PMID 28910237</w:t>
            </w:r>
          </w:p>
        </w:tc>
        <w:tc>
          <w:tcPr/>
          <w:p>
            <w:pPr>
              <w:pStyle w:val="Compact"/>
              <w:jc w:val="left"/>
            </w:pPr>
            <w:r>
              <w:t xml:space="preserve">14.752 personas con diabetes tipo 2, el 73,1 % con enfermedad cardiovascular previa, RCT frente a placebo</w:t>
            </w:r>
          </w:p>
        </w:tc>
        <w:tc>
          <w:tcPr/>
          <w:p>
            <w:pPr>
              <w:pStyle w:val="Compact"/>
              <w:jc w:val="left"/>
            </w:pPr>
            <w:r>
              <w:t xml:space="preserve">mediana de 3,2 años</w:t>
            </w:r>
          </w:p>
        </w:tc>
        <w:tc>
          <w:tcPr/>
          <w:p>
            <w:pPr>
              <w:pStyle w:val="Compact"/>
              <w:jc w:val="left"/>
            </w:pPr>
            <w:r>
              <w:t xml:space="preserve">Eventos cardiovasculares graves 11,4 % frente a 12,2 %; HR 0,91 (0,83–1,00), superioridad no alcanzada por poco (p = 0,06)</w:t>
            </w:r>
          </w:p>
        </w:tc>
      </w:tr>
      <w:tr>
        <w:tc>
          <w:tcPr/>
          <w:p>
            <w:pPr>
              <w:pStyle w:val="Compact"/>
              <w:jc w:val="left"/>
            </w:pPr>
            <w:r>
              <w:t xml:space="preserve">FREEDOM-CVO (Ruff 2022), PMID 34873344</w:t>
            </w:r>
          </w:p>
        </w:tc>
        <w:tc>
          <w:tcPr/>
          <w:p>
            <w:pPr>
              <w:pStyle w:val="Compact"/>
              <w:jc w:val="left"/>
            </w:pPr>
            <w:r>
              <w:t xml:space="preserve">4156 personas, implante con bomba de exenatida ITCA 650 frente a placebo</w:t>
            </w:r>
          </w:p>
        </w:tc>
        <w:tc>
          <w:tcPr/>
          <w:p>
            <w:pPr>
              <w:pStyle w:val="Compact"/>
              <w:jc w:val="left"/>
            </w:pPr>
            <w:r>
              <w:t xml:space="preserve">mediana de 16 meses</w:t>
            </w:r>
          </w:p>
        </w:tc>
        <w:tc>
          <w:tcPr/>
          <w:p>
            <w:pPr>
              <w:pStyle w:val="Compact"/>
              <w:jc w:val="left"/>
            </w:pPr>
            <w:r>
              <w:t xml:space="preserve">Eventos 4,6 % frente a 3,8 %; HR 1,21 (0,90–1,63), criterio de seguridad cumplido</w:t>
            </w:r>
          </w:p>
        </w:tc>
      </w:tr>
    </w:tbl>
    <w:p>
      <w:pPr>
        <w:pStyle w:val="BodyText"/>
      </w:pPr>
      <w:r>
        <w:t xml:space="preserve">La variable principal combinada de EXSCEL (Holman 2017, PMID 28910237) —muerte de causa cardiovascular, infarto de miocardio no mortal o ictus— se produjo con exenatida en 839 de 7356 personas (11,4 %) y con placebo en 905 de 7396 (12,2 %). Esto corresponde a un hazard ratio (riesgo relativo a lo largo del tiempo) de 0,91. Así pues, la exenatida fue segura, pero no se demostró que fuera protectora. La pancreatitis aguda, el cáncer de páncreas y el carcinoma medular de tiroides no fueron más frecuentes que con placebo.</w:t>
      </w:r>
    </w:p>
    <w:p>
      <w:pPr>
        <w:pStyle w:val="BodyText"/>
      </w:pPr>
      <w:r>
        <w:t xml:space="preserve">Por qué la exenatida obtuvo en EXSCEL un resultado más débil que la liraglutida en LEADER o la dulaglutida en REWIND no está aclarado definitivamente. Se discuten un efecto más débil de la propia molécula, la elevada tasa de abandono en el estudio y un diseño pragmático con poco control. En un metaanálisis conjunto de los siete grandes estudios de resultados con GLP-1, con un total de 56.004 participantes (Kristensen 2019, PMID 31422062), la clase redujo los eventos cardiovasculares graves en un 12 % (HR 0,88), sin diferencias relevantes entre los subgrupos. Por tanto, EXSCEL encaja en el panorama general, pero se sitúa en el extremo más débil.</w:t>
      </w:r>
    </w:p>
    <w:p>
      <w:pPr>
        <w:pStyle w:val="BodyText"/>
      </w:pPr>
      <w:r>
        <w:t xml:space="preserve">El implante con bomba ITCA 650, un dispositivo del tamaño de una cerilla que debía liberar exenatida de forma uniforme durante meses, solo cumplió en FREEDOM-CVO (Ruff 2022, PMID 34873344) el generoso límite de seguridad de 2008. La estimación puntual se situó desfavorablemente por encima de 1, y los efectos adversos fueron más frecuentes que con placebo (72 % frente a 63,9 %). El sistema no obtuvo la autorización.</w:t>
      </w:r>
    </w:p>
    <w:bookmarkEnd w:id="138"/>
    <w:bookmarkStart w:id="139" w:name="peso-sin-diabetes-y-en-adolescentes"/>
    <w:p>
      <w:pPr>
        <w:pStyle w:val="Heading4"/>
      </w:pPr>
      <w:r>
        <w:t xml:space="preserve">Peso sin diabetes y en adolescentes</w:t>
      </w:r>
    </w:p>
    <w:p>
      <w:pPr>
        <w:pStyle w:val="FirstParagraph"/>
      </w:pPr>
      <w:r>
        <w:t xml:space="preserve">La exenatida no está autorizada para la reducción de peso, pero se ha estudiado con este fin en estudios más pequeños. En 152 adultos con obesidad sin diabetes, los participantes perdieron en 24 semanas 5,1 kg con exenatida dos veces al día más un programa de estilo de vida, frente a 1,6 kg con placebo (Rosenstock 2010, PMID 20332357). Un metaanálisis de seis estudios pequeños con 362 participantes halló una pérdida adicional media de 4,47 kg frente a los controles (Su 2016, PMID 27343423). Es una fracción de lo que se lograría más tarde con la semaglutida o la tirzepatida.</w:t>
      </w:r>
    </w:p>
    <w:p>
      <w:pPr>
        <w:pStyle w:val="BodyText"/>
      </w:pPr>
      <w:r>
        <w:t xml:space="preserve">En adolescentes con diabetes tipo 2, la forma semanal redujo en un estudio con 83 participantes la HbA1c al cabo de 24 semanas 0,85 puntos porcentuales más que el placebo (Tamborlane 2022, PMID 35679098). Una diferencia de peso de −1,22 kg no fue estadísticamente significativa. Este estudio sirvió de base para ampliar la autorización a los adolescentes.</w:t>
      </w:r>
    </w:p>
    <w:bookmarkEnd w:id="139"/>
    <w:bookmarkStart w:id="140" w:name="X30bb8017c96f2064840f51927843996e182c494"/>
    <w:p>
      <w:pPr>
        <w:pStyle w:val="Heading4"/>
      </w:pPr>
      <w:r>
        <w:t xml:space="preserve">Parkinson: esperanza, desencanto y una Expression of Concern</w:t>
      </w:r>
    </w:p>
    <w:p>
      <w:pPr>
        <w:pStyle w:val="FirstParagraph"/>
      </w:pPr>
      <w:r>
        <w:t xml:space="preserve">Ningún otro campo de aplicación ha dado a la exenatida tanta atención más allá de la diabetes como la enfermedad de Parkinson. El punto de partida fueron experimentos en animales y en células en los que los agonistas del receptor de GLP-1 protegían a las neuronas.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Exenatide-PD (Athauda 2017), PMID 28781108</w:t>
            </w:r>
          </w:p>
        </w:tc>
        <w:tc>
          <w:tcPr/>
          <w:p>
            <w:pPr>
              <w:pStyle w:val="Compact"/>
              <w:jc w:val="left"/>
            </w:pPr>
            <w:r>
              <w:t xml:space="preserve">62 personas con Parkinson moderado, RCT frente a placebo</w:t>
            </w:r>
          </w:p>
        </w:tc>
        <w:tc>
          <w:tcPr/>
          <w:p>
            <w:pPr>
              <w:pStyle w:val="Compact"/>
              <w:jc w:val="left"/>
            </w:pPr>
            <w:r>
              <w:t xml:space="preserve">48 semanas + 12 semanas de lavado</w:t>
            </w:r>
          </w:p>
        </w:tc>
        <w:tc>
          <w:tcPr/>
          <w:p>
            <w:pPr>
              <w:pStyle w:val="Compact"/>
              <w:jc w:val="left"/>
            </w:pPr>
            <w:r>
              <w:t xml:space="preserve">Puntuación motora 3,5 puntos mejor que con placebo (p = 0,0318)</w:t>
            </w:r>
          </w:p>
        </w:tc>
      </w:tr>
      <w:tr>
        <w:tc>
          <w:tcPr/>
          <w:p>
            <w:pPr>
              <w:pStyle w:val="Compact"/>
              <w:jc w:val="left"/>
            </w:pPr>
            <w:r>
              <w:t xml:space="preserve">Exenatide-PD3 (Vijiaratnam 2025), PMID 39919773</w:t>
            </w:r>
          </w:p>
        </w:tc>
        <w:tc>
          <w:tcPr/>
          <w:p>
            <w:pPr>
              <w:pStyle w:val="Compact"/>
              <w:jc w:val="left"/>
            </w:pPr>
            <w:r>
              <w:t xml:space="preserve">194 personas, RCT frente a placebo, seis centros</w:t>
            </w:r>
          </w:p>
        </w:tc>
        <w:tc>
          <w:tcPr/>
          <w:p>
            <w:pPr>
              <w:pStyle w:val="Compact"/>
              <w:jc w:val="left"/>
            </w:pPr>
            <w:r>
              <w:t xml:space="preserve">96 semanas</w:t>
            </w:r>
          </w:p>
        </w:tc>
        <w:tc>
          <w:tcPr/>
          <w:p>
            <w:pPr>
              <w:pStyle w:val="Compact"/>
              <w:jc w:val="left"/>
            </w:pPr>
            <w:r>
              <w:t xml:space="preserve">Sin diferencias: empeoramiento de +5,7 frente a +4,5 puntos (p = 0,47)</w:t>
            </w:r>
          </w:p>
        </w:tc>
      </w:tr>
      <w:tr>
        <w:tc>
          <w:tcPr/>
          <w:p>
            <w:pPr>
              <w:pStyle w:val="Compact"/>
              <w:jc w:val="left"/>
            </w:pPr>
            <w:r>
              <w:t xml:space="preserve">NLY01 (McGarry 2024), PMID 38101901</w:t>
            </w:r>
          </w:p>
        </w:tc>
        <w:tc>
          <w:tcPr/>
          <w:p>
            <w:pPr>
              <w:pStyle w:val="Compact"/>
              <w:jc w:val="left"/>
            </w:pPr>
            <w:r>
              <w:t xml:space="preserve">255 personas con Parkinson temprano no tratado, exenatida pegilada frente a placebo</w:t>
            </w:r>
          </w:p>
        </w:tc>
        <w:tc>
          <w:tcPr/>
          <w:p>
            <w:pPr>
              <w:pStyle w:val="Compact"/>
              <w:jc w:val="left"/>
            </w:pPr>
            <w:r>
              <w:t xml:space="preserve">36 semanas</w:t>
            </w:r>
          </w:p>
        </w:tc>
        <w:tc>
          <w:tcPr/>
          <w:p>
            <w:pPr>
              <w:pStyle w:val="Compact"/>
              <w:jc w:val="left"/>
            </w:pPr>
            <w:r>
              <w:t xml:space="preserve">Sin diferencias en ninguno de los dos grupos de dosis</w:t>
            </w:r>
          </w:p>
        </w:tc>
      </w:tr>
    </w:tbl>
    <w:p>
      <w:pPr>
        <w:pStyle w:val="BodyText"/>
      </w:pPr>
      <w:r>
        <w:t xml:space="preserve">El pequeño estudio de Athauda 2017 (PMID 28781108) encontró al cabo de 60 semanas una diferencia de 3,5 puntos en la escala de evaluación motora MDS-UPDRS parte III, que se mantuvo también tras la suspensión. Esto se interpretó en muchos casos como un posible primer indicio de un efecto ralentizador de la enfermedad. Los autores se mostraron prudentes: no estaba claro si la exenatida influye en la evolución de la enfermedad o solo tiene efectos sintomáticos duraderos.</w:t>
      </w:r>
    </w:p>
    <w:p>
      <w:pPr>
        <w:pStyle w:val="BodyText"/>
      </w:pPr>
      <w:r>
        <w:t xml:space="preserve">El estudio de fase 3 más grande Exenatide-PD3 (Vijiaratnam 2025, PMID 39919773) no pudo confirmarlo. Al cabo de 96 semanas, la puntuación motora había empeorado de forma similar en ambos grupos. Los investigadores concluyeron que no había pruebas de que la exenatida fuera un tratamiento modificador de la enfermedad. Sobre esta publicación, la revista publicó en 2026 una llamada Expression of Concern (Expression of Concern, The Lancet 2026, PMID 42330995), una nota editorial que indica que se están examinando dudas sobre una publicación. La entrada de PubMed no contiene un resumen de los motivos; por tanto, el estudio debe valorarse con reservas hasta que se aclare. Tampoco una variante pegilada de exenatida de acción más prolongada (NLY01) mostró beneficio en el Parkinson temprano (McGarry 2024, PMID 38101901).</w:t>
      </w:r>
    </w:p>
    <w:p>
      <w:pPr>
        <w:pStyle w:val="BodyText"/>
      </w:pPr>
      <w:r>
        <w:t xml:space="preserve">En la atrofia multisistémica, una enfermedad rara emparentada, un estudio abierto con 50 participantes encontró una ventaja en la variable principal, pero ninguna diferencia en medidas objetivas como biomarcadores o pruebas de imagen (Vijiaratnam 2025, PMID 40727970). Los propios autores consideran posible un efecto placebo o del observador.</w:t>
      </w:r>
    </w:p>
    <w:bookmarkEnd w:id="140"/>
    <w:bookmarkStart w:id="141" w:name="otros-campos-de-aplicación-en-estudios"/>
    <w:p>
      <w:pPr>
        <w:pStyle w:val="Heading4"/>
      </w:pPr>
      <w:r>
        <w:t xml:space="preserve">Otros campos de aplicación en estudios</w:t>
      </w:r>
    </w:p>
    <w:p>
      <w:pPr>
        <w:numPr>
          <w:ilvl w:val="0"/>
          <w:numId w:val="1037"/>
        </w:numPr>
        <w:pStyle w:val="Compact"/>
      </w:pPr>
      <w:r>
        <w:rPr>
          <w:bCs/>
          <w:b/>
        </w:rPr>
        <w:t xml:space="preserve">Alzheimer y deterioro cognitivo leve:</w:t>
      </w:r>
      <w:r>
        <w:t xml:space="preserve"> </w:t>
      </w:r>
      <w:r>
        <w:t xml:space="preserve">un estudio piloto interrumpido prematuramente no encontró diferencias en las medidas de memoria ni de imagen (Mullins 2019, PMID 31518224). Un estudio de 32 semanas en el deterioro cognitivo leve tampoco mostró beneficio (Dei Cas 2024, PMID 38565814).</w:t>
      </w:r>
    </w:p>
    <w:p>
      <w:pPr>
        <w:numPr>
          <w:ilvl w:val="0"/>
          <w:numId w:val="1037"/>
        </w:numPr>
        <w:pStyle w:val="Compact"/>
      </w:pPr>
      <w:r>
        <w:rPr>
          <w:bCs/>
          <w:b/>
        </w:rPr>
        <w:t xml:space="preserve">Dependencia del alcohol:</w:t>
      </w:r>
      <w:r>
        <w:t xml:space="preserve"> </w:t>
      </w:r>
      <w:r>
        <w:t xml:space="preserve">en un estudio con 127 participantes, la exenatida semanal no redujo significativamente el número de días de consumo excesivo. En un análisis de subgrupos a posteriori en personas con obesidad se observó un efecto; en la resonancia magnética cerebral, la respuesta a los estímulos relacionados con el alcohol estaba atenuada (Klausen 2022, PMID 36066977). Estos hallazgos de subgrupos son hipótesis, no pruebas.</w:t>
      </w:r>
    </w:p>
    <w:p>
      <w:pPr>
        <w:numPr>
          <w:ilvl w:val="0"/>
          <w:numId w:val="1037"/>
        </w:numPr>
        <w:pStyle w:val="Compact"/>
      </w:pPr>
      <w:r>
        <w:rPr>
          <w:bCs/>
          <w:b/>
        </w:rPr>
        <w:t xml:space="preserve">Hipertensión intracraneal idiopática</w:t>
      </w:r>
      <w:r>
        <w:t xml:space="preserve"> </w:t>
      </w:r>
      <w:r>
        <w:t xml:space="preserve">(presión intracraneal elevada sin causa identificable, sobre todo en mujeres jóvenes con sobrepeso): en 16 mujeres, la exenatida redujo la presión intracraneal medida al cabo de 24 horas en una media de 6,4 cm de columna de agua frente a placebo (Mitchell 2023, PMID 36907221). El estudio es muy pequeño; está pendiente un estudio más grande.</w:t>
      </w:r>
    </w:p>
    <w:bookmarkEnd w:id="141"/>
    <w:bookmarkEnd w:id="142"/>
    <w:bookmarkStart w:id="143" w:name="estudios-en-animales-y-de-laboratorio"/>
    <w:p>
      <w:pPr>
        <w:pStyle w:val="Heading3"/>
      </w:pPr>
      <w:r>
        <w:t xml:space="preserve">Estudios en animales y de laboratorio</w:t>
      </w:r>
    </w:p>
    <w:p>
      <w:pPr>
        <w:pStyle w:val="FirstParagraph"/>
      </w:pPr>
      <w:r>
        <w:t xml:space="preserve">La exendina-4 no se buscó originalmente como antidiabético. En la primera descripción de 1992, los investigadores estudiaron su efecto sobre células pancreáticas de cobaya (Eng 1992, PMID 1313797). Solo más tarde se vio que actúa sobre el receptor de GLP-1.</w:t>
      </w:r>
    </w:p>
    <w:p>
      <w:pPr>
        <w:pStyle w:val="BodyText"/>
      </w:pPr>
      <w:r>
        <w:t xml:space="preserve">A continuación surgió un gran número de estudios en animales. En ratas a las que se había extirpado parte del páncreas, la exendina-4 favoreció la formación y la división de células beta productoras de insulina y atenuó el desarrollo de una diabetes (Xu 1999, PMID 10580413). Si una regeneración de las células beta de este tipo puede lograrse también en el ser humano en una medida apreciable sigue sin estar demostrado.</w:t>
      </w:r>
    </w:p>
    <w:p>
      <w:pPr>
        <w:pStyle w:val="BodyText"/>
      </w:pPr>
      <w:r>
        <w:t xml:space="preserve">A ello se sumaron experimentos en roedores sobre neuroprotección (Parkinson, Alzheimer, ictus), consumo de alcohol y conductas adictivas, así como presión intracraneal. Estos datos en animales motivaron los estudios en seres humanos descritos más arriba, cuyos resultados han sido hasta ahora bastante más modestos. Es un ejemplo instructivo de lo difícil que es trasladar al ser humano los resultados obtenidos en ratas y ratones.</w:t>
      </w:r>
    </w:p>
    <w:p>
      <w:pPr>
        <w:pStyle w:val="BodyText"/>
      </w:pPr>
      <w:r>
        <w:t xml:space="preserve">Sobre la tiroides: en ratas y ratones, los agonistas del receptor de GLP-1 provocan una proliferación de las células C de la tiroides; en primates y seres humanos, en cambio, estas células apenas poseen el receptor (Bjerre Knudsen 2010, PMID 20203154). Más información en el capítulo Liraglutida y en la Parte IV.</w:t>
      </w:r>
    </w:p>
    <w:bookmarkEnd w:id="143"/>
    <w:bookmarkStart w:id="144" w:name="riesgos-y-efectos-adversos"/>
    <w:p>
      <w:pPr>
        <w:pStyle w:val="Heading3"/>
      </w:pPr>
      <w:r>
        <w:t xml:space="preserve">Riesgos y efectos adversos</w:t>
      </w:r>
    </w:p>
    <w:p>
      <w:pPr>
        <w:pStyle w:val="FirstParagraph"/>
      </w:pPr>
      <w:r>
        <w:rPr>
          <w:bCs/>
          <w:b/>
        </w:rPr>
        <w:t xml:space="preserve">Demostrados en estudios aleatorizados:</w:t>
      </w:r>
    </w:p>
    <w:p>
      <w:pPr>
        <w:numPr>
          <w:ilvl w:val="0"/>
          <w:numId w:val="1038"/>
        </w:numPr>
        <w:pStyle w:val="Compact"/>
      </w:pPr>
      <w:r>
        <w:rPr>
          <w:bCs/>
          <w:b/>
        </w:rPr>
        <w:t xml:space="preserve">Las molestias gastrointestinales</w:t>
      </w:r>
      <w:r>
        <w:t xml:space="preserve"> </w:t>
      </w:r>
      <w:r>
        <w:t xml:space="preserve">son el efecto adverso más frecuente. Con la forma de dos veces al día, en la comparación con la insulina glargina se produjeron náuseas en el 57,1 % de las personas tratadas y vómitos en el 17,4 % (Heine 2005, PMID 16230722). La forma semanal causa menos náuseas; en DURATION-6 fueron el 9 % (Buse 2013, PMID 23141817). Las molestias suelen disminuir con el tiempo.</w:t>
      </w:r>
    </w:p>
    <w:p>
      <w:pPr>
        <w:numPr>
          <w:ilvl w:val="0"/>
          <w:numId w:val="1038"/>
        </w:numPr>
        <w:pStyle w:val="Compact"/>
      </w:pPr>
      <w:r>
        <w:rPr>
          <w:bCs/>
          <w:b/>
        </w:rPr>
        <w:t xml:space="preserve">La hipoglucemia</w:t>
      </w:r>
      <w:r>
        <w:t xml:space="preserve"> </w:t>
      </w:r>
      <w:r>
        <w:t xml:space="preserve">es rara en monoterapia, pero se vuelve más frecuente en combinación con sulfonilureas o insulina (Kendall 2005, PMID 15855571).</w:t>
      </w:r>
    </w:p>
    <w:p>
      <w:pPr>
        <w:numPr>
          <w:ilvl w:val="0"/>
          <w:numId w:val="1038"/>
        </w:numPr>
        <w:pStyle w:val="Compact"/>
      </w:pPr>
      <w:r>
        <w:rPr>
          <w:bCs/>
          <w:b/>
        </w:rPr>
        <w:t xml:space="preserve">Reacciones en el lugar de inyección:</w:t>
      </w:r>
      <w:r>
        <w:t xml:space="preserve"> </w:t>
      </w:r>
      <w:r>
        <w:t xml:space="preserve">con la forma semanal se forman con frecuencia nódulos palpables bajo la piel, porque las microesferas se degradan allí lentamente. En el análisis a cinco años de DURATION-1, estas reacciones se hicieron menos frecuentes con el tiempo (Wysham 2015, PMID 25744115).</w:t>
      </w:r>
    </w:p>
    <w:p>
      <w:pPr>
        <w:numPr>
          <w:ilvl w:val="0"/>
          <w:numId w:val="1038"/>
        </w:numPr>
        <w:pStyle w:val="Compact"/>
      </w:pPr>
      <w:r>
        <w:rPr>
          <w:bCs/>
          <w:b/>
        </w:rPr>
        <w:t xml:space="preserve">Formación de anticuerpos:</w:t>
      </w:r>
      <w:r>
        <w:t xml:space="preserve"> </w:t>
      </w:r>
      <w:r>
        <w:t xml:space="preserve">debido a su origen en el veneno de un lagarto, una parte de las personas tratadas forma anticuerpos. Esto se describe con más detalle en la Parte IV.</w:t>
      </w:r>
    </w:p>
    <w:p>
      <w:pPr>
        <w:pStyle w:val="FirstParagraph"/>
      </w:pPr>
      <w:r>
        <w:rPr>
          <w:bCs/>
          <w:b/>
        </w:rPr>
        <w:t xml:space="preserve">Investigados, pero no confirmados o inciertos:</w:t>
      </w:r>
    </w:p>
    <w:p>
      <w:pPr>
        <w:numPr>
          <w:ilvl w:val="0"/>
          <w:numId w:val="1039"/>
        </w:numPr>
        <w:pStyle w:val="Compact"/>
      </w:pPr>
      <w:r>
        <w:rPr>
          <w:bCs/>
          <w:b/>
        </w:rPr>
        <w:t xml:space="preserve">Inflamación aguda del páncreas (pancreatitis):</w:t>
      </w:r>
      <w:r>
        <w:t xml:space="preserve"> </w:t>
      </w:r>
      <w:r>
        <w:t xml:space="preserve">poco después de la comercialización hubo notificaciones espontáneas que dieron lugar a advertencias. En un análisis agrupado de dos bases de datos de aseguradoras con 49.956 personas tratadas con exenatida dos veces al día, el riesgo no estaba aumentado sin corrección (riesgo relativo 1,0) y estaba ligeramente aumentado tras corregir la clasificación errónea (1,3; intervalo de confianza 1,0–1,7) (Dore 2013, PMID 23981106). En EXSCEL, la pancreatitis no fue más frecuente que con placebo (Holman 2017, PMID 28910237). La pancreatitis sigue figurando en la ficha técnica como efecto adverso raro.</w:t>
      </w:r>
    </w:p>
    <w:p>
      <w:pPr>
        <w:numPr>
          <w:ilvl w:val="0"/>
          <w:numId w:val="1039"/>
        </w:numPr>
        <w:pStyle w:val="Compact"/>
      </w:pPr>
      <w:r>
        <w:rPr>
          <w:bCs/>
          <w:b/>
        </w:rPr>
        <w:t xml:space="preserve">Cáncer de páncreas y de tiroides:</w:t>
      </w:r>
      <w:r>
        <w:t xml:space="preserve"> </w:t>
      </w:r>
      <w:r>
        <w:t xml:space="preserve">en un estudio de cohortes estadounidense con 33.629 personas tratadas con exenatida, el riesgo de cáncer de páncreas no estaba aumentado (HR 0,76); para el cáncer de tiroides, el valor estimado fue de 1,46, con un intervalo de confianza de 0,98 a 2,19, es decir, sin significación estadística (Liang 2019, PMID 30474347). Un metaanálisis de 50 estudios aleatorizados sobre toda la clase GLP-1 no encontró en conjunto un aumento del riesgo de cáncer, pero sí una señal de cáncer de tiroides (odds ratio 1,55) que debe seguir investigándose (Silverii 2025, PMID 40437949). Está en curso un estudio europeo de seguridad sobre el cáncer de páncreas con exenatida (NCT05663515).</w:t>
      </w:r>
    </w:p>
    <w:p>
      <w:pPr>
        <w:numPr>
          <w:ilvl w:val="0"/>
          <w:numId w:val="1039"/>
        </w:numPr>
        <w:pStyle w:val="Compact"/>
      </w:pPr>
      <w:r>
        <w:rPr>
          <w:bCs/>
          <w:b/>
        </w:rPr>
        <w:t xml:space="preserve">Riesgo cardiovascular:</w:t>
      </w:r>
      <w:r>
        <w:t xml:space="preserve"> </w:t>
      </w:r>
      <w:r>
        <w:t xml:space="preserve">no aumentado en EXSCEL.</w:t>
      </w:r>
    </w:p>
    <w:p>
      <w:pPr>
        <w:pStyle w:val="FirstParagraph"/>
      </w:pPr>
      <w:r>
        <w:rPr>
          <w:bCs/>
          <w:b/>
        </w:rPr>
        <w:t xml:space="preserve">Indicaciones para la práctica:</w:t>
      </w:r>
      <w:r>
        <w:t xml:space="preserve"> </w:t>
      </w:r>
      <w:r>
        <w:t xml:space="preserve">la exenatida se elimina por los riñones; no se recomienda en caso de función renal muy reducida. Como todos los agonistas del receptor de GLP-1, ralentiza el vaciamiento gástrico y puede influir así en la absorción de otros medicamentos. Para el uso, las contraindicaciones y las interacciones, lo determinante es la ficha técnica vigente; el tratamiento debe estar en manos médicas.</w:t>
      </w:r>
    </w:p>
    <w:bookmarkEnd w:id="144"/>
    <w:bookmarkStart w:id="145" w:name="situación-legal"/>
    <w:p>
      <w:pPr>
        <w:pStyle w:val="Heading3"/>
      </w:pPr>
      <w:r>
        <w:t xml:space="preserve">Situación legal</w:t>
      </w:r>
    </w:p>
    <w:p>
      <w:pPr>
        <w:numPr>
          <w:ilvl w:val="0"/>
          <w:numId w:val="1040"/>
        </w:numPr>
        <w:pStyle w:val="Compact"/>
      </w:pPr>
      <w:r>
        <w:rPr>
          <w:bCs/>
          <w:b/>
        </w:rPr>
        <w:t xml:space="preserve">UE:</w:t>
      </w:r>
      <w:r>
        <w:t xml:space="preserve"> </w:t>
      </w:r>
      <w:r>
        <w:t xml:space="preserve">la exenatida está autorizada por el procedimiento centralizado como medicamento sujeto a prescripción médica para el tratamiento de la diabetes tipo 2 (Byetta desde 2006, Bydureon desde 2011). No está autorizada para la reducción de peso.</w:t>
      </w:r>
    </w:p>
    <w:p>
      <w:pPr>
        <w:numPr>
          <w:ilvl w:val="0"/>
          <w:numId w:val="1040"/>
        </w:numPr>
        <w:pStyle w:val="Compact"/>
      </w:pPr>
      <w:r>
        <w:rPr>
          <w:bCs/>
          <w:b/>
        </w:rPr>
        <w:t xml:space="preserve">Alemania y Austria:</w:t>
      </w:r>
      <w:r>
        <w:t xml:space="preserve"> </w:t>
      </w:r>
      <w:r>
        <w:t xml:space="preserve">sujeta a prescripción médica. La prescripción solo para perder peso sería un uso fuera de indicación y, por regla general, las cajas del seguro de enfermedad no la financian. Algunas formas de administración no están comercializadas de forma permanente en todos los países; compruebe la información actualizada.</w:t>
      </w:r>
    </w:p>
    <w:p>
      <w:pPr>
        <w:numPr>
          <w:ilvl w:val="0"/>
          <w:numId w:val="1040"/>
        </w:numPr>
        <w:pStyle w:val="Compact"/>
      </w:pPr>
      <w:r>
        <w:rPr>
          <w:bCs/>
          <w:b/>
        </w:rPr>
        <w:t xml:space="preserve">EE. UU.:</w:t>
      </w:r>
      <w:r>
        <w:t xml:space="preserve"> </w:t>
      </w:r>
      <w:r>
        <w:t xml:space="preserve">autorizada para la diabetes tipo 2; la forma semanal también para adolescentes a partir de 10 años. Para la forma de dos veces al día hay genéricos autorizados.</w:t>
      </w:r>
    </w:p>
    <w:p>
      <w:pPr>
        <w:numPr>
          <w:ilvl w:val="0"/>
          <w:numId w:val="1040"/>
        </w:numPr>
        <w:pStyle w:val="Compact"/>
      </w:pPr>
      <w:r>
        <w:rPr>
          <w:bCs/>
          <w:b/>
        </w:rPr>
        <w:t xml:space="preserve">Deporte (WADA):</w:t>
      </w:r>
      <w:r>
        <w:t xml:space="preserve"> </w:t>
      </w:r>
      <w:r>
        <w:t xml:space="preserve">los agonistas del receptor de GLP-1 no figuran en la Lista de Prohibiciones (estado en 2026; compruebe la información actualizada).</w:t>
      </w:r>
    </w:p>
    <w:p>
      <w:pPr>
        <w:numPr>
          <w:ilvl w:val="0"/>
          <w:numId w:val="1040"/>
        </w:numPr>
        <w:pStyle w:val="Compact"/>
      </w:pPr>
      <w:r>
        <w:rPr>
          <w:bCs/>
          <w:b/>
        </w:rPr>
        <w:t xml:space="preserve">Mercado gris:</w:t>
      </w:r>
      <w:r>
        <w:t xml:space="preserve"> </w:t>
      </w:r>
      <w:r>
        <w:t xml:space="preserve">la exenatida apenas desempeña un papel en el mercado gris en comparación con la semaglutida y la tirzepatida. Los riesgos generales de las vías de adquisición no autorizadas se describen en la Parte I.</w:t>
      </w:r>
    </w:p>
    <w:bookmarkEnd w:id="145"/>
    <w:bookmarkStart w:id="146" w:name="estudios-en-curso-y-perspectivas"/>
    <w:p>
      <w:pPr>
        <w:pStyle w:val="Heading3"/>
      </w:pPr>
      <w:r>
        <w:t xml:space="preserve">Estudios en curso y perspectivas</w:t>
      </w:r>
    </w:p>
    <w:p>
      <w:pPr>
        <w:pStyle w:val="FirstParagraph"/>
      </w:pPr>
      <w:r>
        <w:rPr>
          <w:bCs/>
          <w:b/>
        </w:rPr>
        <w:t xml:space="preserve">Confirmado (estudios registrados):</w:t>
      </w:r>
      <w:r>
        <w:t xml:space="preserve"> </w:t>
      </w:r>
      <w:r>
        <w:t xml:space="preserve">como antidiabético, la exenatida está en gran medida «agotada» desde el punto de vista de la investigación; apenas hay ya nuevos estudios de registro en esta indicación. Los registros actuales se refieren sobre todo a:</w:t>
      </w:r>
    </w:p>
    <w:p>
      <w:pPr>
        <w:numPr>
          <w:ilvl w:val="0"/>
          <w:numId w:val="1041"/>
        </w:numPr>
        <w:pStyle w:val="Compact"/>
      </w:pPr>
      <w:r>
        <w:t xml:space="preserve">Modificaciones de la molécula: en China se están desarrollando variantes pegiladas. Para PB-119, un estudio de fase 2 con 251 participantes redujo la HbA1c al cabo de 12 semanas hasta 1,18 puntos porcentuales más que el placebo (Ji 2021, PMID 33687487). Otro candidato, JY09 —exendina-4 acoplada a un componente de anticuerpo (proteína de fusión Fc), que en los estudios se inyecta cada dos semanas—, se está evaluando en estudios de fase 3 frente a placebo y frente a dulaglutida (NCT06254014, NCT06257966).</w:t>
      </w:r>
    </w:p>
    <w:p>
      <w:pPr>
        <w:numPr>
          <w:ilvl w:val="0"/>
          <w:numId w:val="1041"/>
        </w:numPr>
        <w:pStyle w:val="Compact"/>
      </w:pPr>
      <w:r>
        <w:t xml:space="preserve">Neurología: la variante pegilada NLY01 se investiga en la esclerosis múltiple en un estudio de fase 2 con 120 participantes (NCT07497399).</w:t>
      </w:r>
    </w:p>
    <w:p>
      <w:pPr>
        <w:numPr>
          <w:ilvl w:val="0"/>
          <w:numId w:val="1041"/>
        </w:numPr>
        <w:pStyle w:val="Compact"/>
      </w:pPr>
      <w:r>
        <w:t xml:space="preserve">Seguridad: además del estudio europeo sobre el cáncer de páncreas (NCT05663515), está en marcha un programa de vigilancia a largo plazo de los carcinomas medulares de tiroides con agonistas del receptor de GLP-1 (NCT01511393).</w:t>
      </w:r>
    </w:p>
    <w:p>
      <w:pPr>
        <w:numPr>
          <w:ilvl w:val="0"/>
          <w:numId w:val="1041"/>
        </w:numPr>
        <w:pStyle w:val="Compact"/>
      </w:pPr>
      <w:r>
        <w:t xml:space="preserve">Diagnóstico: la exendina-4 marcada radiactivamente se utiliza como trazador en la tomografía por emisión de positrones (PET) de insulinomas (tumores raros productores de insulina) (NCT07808879).</w:t>
      </w:r>
    </w:p>
    <w:p>
      <w:pPr>
        <w:pStyle w:val="FirstParagraph"/>
      </w:pPr>
      <w:r>
        <w:rPr>
          <w:bCs/>
          <w:b/>
        </w:rPr>
        <w:t xml:space="preserve">Valoración:</w:t>
      </w:r>
      <w:r>
        <w:t xml:space="preserve"> </w:t>
      </w:r>
      <w:r>
        <w:t xml:space="preserve">la exenatida seguirá perdiendo importancia en el tratamiento de la diabetes, porque existen sucesores más potentes y más cómodos de usar. Su papel duradero es el de pionera y herramienta de investigación. Que la hipótesis del Parkinson vuelva a cobrar vida depende de principios activos que lleguen mejor al cerebro y del esclarecimiento en torno a Exenatide-PD3.</w:t>
      </w:r>
    </w:p>
    <w:bookmarkEnd w:id="146"/>
    <w:bookmarkStart w:id="147" w:name="conclusión"/>
    <w:p>
      <w:pPr>
        <w:pStyle w:val="Heading3"/>
      </w:pPr>
      <w:r>
        <w:t xml:space="preserve">Conclusión</w:t>
      </w:r>
    </w:p>
    <w:p>
      <w:pPr>
        <w:pStyle w:val="FirstParagraph"/>
      </w:pPr>
      <w:r>
        <w:t xml:space="preserve">La exenatida fue en 2005 el primer agonista del receptor de GLP-1 del mercado y figura entre los medicamentos peptídicos mejor estudiados. En grandes estudios redujo la glucemia a largo plazo en aproximadamente 1 a 1,5 puntos porcentuales y el peso en unos pocos kilogramos; en EXSCEL, con 14.752 participantes, sin aumento del riesgo cardiovascular, pero también sin protección demostrada. En la comparación directa queda por detrás de la liraglutida y la semaglutida. Los datos inicialmente prometedores sobre la enfermedad de Parkinson no se confirmaron en el estudio de fase 3 más grande. Para las personas con diabetes tipo 2, la exenatida sigue siendo una opción contrastada, pero ya no de primera elección; la decisión debe estar en manos médicas.</w:t>
      </w:r>
    </w:p>
    <w:bookmarkEnd w:id="147"/>
    <w:bookmarkEnd w:id="148"/>
    <w:bookmarkStart w:id="163" w:name="liraglutida"/>
    <w:p>
      <w:pPr>
        <w:pStyle w:val="Heading2"/>
      </w:pPr>
      <w:r>
        <w:t xml:space="preserve">Liraglutida</w:t>
      </w:r>
    </w:p>
    <w:bookmarkStart w:id="149" w:name="ficha-1"/>
    <w:p>
      <w:pPr>
        <w:pStyle w:val="Heading3"/>
      </w:pPr>
      <w:r>
        <w:t xml:space="preserve">Ficha</w:t>
      </w:r>
    </w:p>
    <w:p>
      <w:pPr>
        <w:numPr>
          <w:ilvl w:val="0"/>
          <w:numId w:val="1042"/>
        </w:numPr>
        <w:pStyle w:val="Compact"/>
      </w:pPr>
      <w:r>
        <w:rPr>
          <w:bCs/>
          <w:b/>
        </w:rPr>
        <w:t xml:space="preserve">Tipo/estructura:</w:t>
      </w:r>
      <w:r>
        <w:t xml:space="preserve"> </w:t>
      </w:r>
      <w:r>
        <w:t xml:space="preserve">GLP-1 humano modificado de 31 aminoácidos. Coincide en un 97 % con la hormona endógena; en una posición se ha sustituido un aminoácido y en otra se ha unido, mediante un breve espaciador, un ácido graso de 16 átomos de carbono.</w:t>
      </w:r>
    </w:p>
    <w:p>
      <w:pPr>
        <w:numPr>
          <w:ilvl w:val="0"/>
          <w:numId w:val="1042"/>
        </w:numPr>
        <w:pStyle w:val="Compact"/>
      </w:pPr>
      <w:r>
        <w:rPr>
          <w:bCs/>
          <w:b/>
        </w:rPr>
        <w:t xml:space="preserve">Origen:</w:t>
      </w:r>
      <w:r>
        <w:t xml:space="preserve"> </w:t>
      </w:r>
      <w:r>
        <w:t xml:space="preserve">desarrollada por Novo Nordisk (Knudsen 2019, PMID 31031702), producida por ingeniería genética en levadura.</w:t>
      </w:r>
    </w:p>
    <w:p>
      <w:pPr>
        <w:numPr>
          <w:ilvl w:val="0"/>
          <w:numId w:val="1042"/>
        </w:numPr>
        <w:pStyle w:val="Compact"/>
      </w:pPr>
      <w:r>
        <w:rPr>
          <w:bCs/>
          <w:b/>
        </w:rPr>
        <w:t xml:space="preserve">Principio de acción:</w:t>
      </w:r>
      <w:r>
        <w:t xml:space="preserve"> </w:t>
      </w:r>
      <w:r>
        <w:t xml:space="preserve">agonista del receptor de GLP-1. El ácido graso hace que la molécula se una a la proteína plasmática albúmina; así basta con una inyección al día.</w:t>
      </w:r>
    </w:p>
    <w:p>
      <w:pPr>
        <w:numPr>
          <w:ilvl w:val="0"/>
          <w:numId w:val="1042"/>
        </w:numPr>
        <w:pStyle w:val="Compact"/>
      </w:pPr>
      <w:r>
        <w:rPr>
          <w:bCs/>
          <w:b/>
        </w:rPr>
        <w:t xml:space="preserve">Preparados:</w:t>
      </w:r>
      <w:r>
        <w:t xml:space="preserve"> </w:t>
      </w:r>
      <w:r>
        <w:t xml:space="preserve">Victoza (diabetes tipo 2, hasta 1,8 mg diarios), Saxenda (control del peso, hasta 3,0 mg diarios), Xultophy (combinación fija con insulina degludec). Desde 2024 existen preparados de imitación.</w:t>
      </w:r>
    </w:p>
    <w:p>
      <w:pPr>
        <w:numPr>
          <w:ilvl w:val="0"/>
          <w:numId w:val="1042"/>
        </w:numPr>
        <w:pStyle w:val="Compact"/>
      </w:pPr>
      <w:r>
        <w:rPr>
          <w:bCs/>
          <w:b/>
        </w:rPr>
        <w:t xml:space="preserve">Autorización UE:</w:t>
      </w:r>
      <w:r>
        <w:t xml:space="preserve"> </w:t>
      </w:r>
      <w:r>
        <w:t xml:space="preserve">sí, diabetes tipo 2 (desde 2009) y control del peso (desde 2015), en ambos casos también para adolescentes.</w:t>
      </w:r>
    </w:p>
    <w:p>
      <w:pPr>
        <w:numPr>
          <w:ilvl w:val="0"/>
          <w:numId w:val="1042"/>
        </w:numPr>
        <w:pStyle w:val="Compact"/>
      </w:pPr>
      <w:r>
        <w:rPr>
          <w:bCs/>
          <w:b/>
        </w:rPr>
        <w:t xml:space="preserve">Autorización EE. UU.:</w:t>
      </w:r>
      <w:r>
        <w:t xml:space="preserve"> </w:t>
      </w:r>
      <w:r>
        <w:t xml:space="preserve">sí, diabetes tipo 2 (desde 2010, a partir de 10 años), reducción del riesgo cardiovascular en la diabetes tipo 2 y control del peso (desde 2014, a partir de 12 años). Hay genéricos autorizados para ambas indicaciones.</w:t>
      </w:r>
    </w:p>
    <w:p>
      <w:pPr>
        <w:numPr>
          <w:ilvl w:val="0"/>
          <w:numId w:val="1042"/>
        </w:numPr>
        <w:pStyle w:val="Compact"/>
      </w:pPr>
      <w:r>
        <w:rPr>
          <w:bCs/>
          <w:b/>
        </w:rPr>
        <w:t xml:space="preserve">WADA:</w:t>
      </w:r>
      <w:r>
        <w:t xml:space="preserve"> </w:t>
      </w:r>
      <w:r>
        <w:t xml:space="preserve">no figura en la lista (estado en 2026; compruebe la información actualizada).</w:t>
      </w:r>
    </w:p>
    <w:p>
      <w:pPr>
        <w:numPr>
          <w:ilvl w:val="0"/>
          <w:numId w:val="1042"/>
        </w:numPr>
        <w:pStyle w:val="Compact"/>
      </w:pPr>
      <w:r>
        <w:rPr>
          <w:bCs/>
          <w:b/>
        </w:rPr>
        <w:t xml:space="preserve">Nivel de evidencia:</w:t>
      </w:r>
      <w:r>
        <w:t xml:space="preserve"> </w:t>
      </w:r>
      <w:r>
        <w:rPr>
          <w:bCs/>
          <w:b/>
        </w:rPr>
        <w:t xml:space="preserve">A</w:t>
      </w:r>
      <w:r>
        <w:t xml:space="preserve"> </w:t>
      </w:r>
      <w:r>
        <w:t xml:space="preserve">– dos grandes programas de registro (LEAD, SCALE), un gran estudio de resultados (LEADER), estudios en niños y adolescentes.</w:t>
      </w:r>
    </w:p>
    <w:bookmarkEnd w:id="149"/>
    <w:bookmarkStart w:id="150" w:name="cómo-se-supone-que-actúa-1"/>
    <w:p>
      <w:pPr>
        <w:pStyle w:val="Heading3"/>
      </w:pPr>
      <w:r>
        <w:t xml:space="preserve">Cómo se supone que actúa</w:t>
      </w:r>
    </w:p>
    <w:p>
      <w:pPr>
        <w:pStyle w:val="FirstParagraph"/>
      </w:pPr>
      <w:r>
        <w:t xml:space="preserve">La liraglutida actúa como la hormona intestinal endógena GLP-1: aumenta la secreción de insulina dependiente de la glucosa, inhibe el glucagón, que eleva la glucemia, ralentiza el vaciamiento gástrico y atenúa el apetito en el cerebro. El mecanismo básico de la clase se describe en el capítulo Exenatida.</w:t>
      </w:r>
    </w:p>
    <w:p>
      <w:pPr>
        <w:pStyle w:val="BodyText"/>
      </w:pPr>
      <w:r>
        <w:t xml:space="preserve">La diferencia está en la construcción. Mientras que la exenatida procede del veneno de un lagarto y solo se parece a la hormona humana en la mitad, la liraglutida es casi idéntica al GLP-1 endógeno. El truco que la hace duradera es el ácido graso unido. Este hace que la molécula se adhiera a la albúmina en la sangre, se agrupe en pequeñas asociaciones y quede así protegida de la degradación por la enzima DPP-4 y de la eliminación renal. De este modo, la semivida aumenta de unos pocos minutos a aproximadamente medio día.</w:t>
      </w:r>
    </w:p>
    <w:p>
      <w:pPr>
        <w:pStyle w:val="BodyText"/>
      </w:pPr>
      <w:r>
        <w:t xml:space="preserve">De la pérdida de peso son responsables sobre todo los efectos en el cerebro. En ratones y ratas, la liraglutida marcada llega a determinadas regiones del hipotálamo, el centro de control del hambre y la saciedad, y activa allí neuronas que favorecen la sensación de saciedad (Secher 2014, PMID 25202980). En el ser humano, esto se traduce en una menor ingesta de alimentos; no está demostrado un aumento apreciable del gasto energético.</w:t>
      </w:r>
    </w:p>
    <w:p>
      <w:pPr>
        <w:pStyle w:val="BodyText"/>
      </w:pPr>
      <w:r>
        <w:t xml:space="preserve">De la liraglutida surgió más tarde la semaglutida: la misma idea básica, pero con una unión más intensa a la albúmina que permite una inyección semanal (Knudsen 2019, PMID 31031702).</w:t>
      </w:r>
    </w:p>
    <w:bookmarkEnd w:id="150"/>
    <w:bookmarkStart w:id="157" w:name="estudios-en-humanos-1"/>
    <w:p>
      <w:pPr>
        <w:pStyle w:val="Heading3"/>
      </w:pPr>
      <w:r>
        <w:t xml:space="preserve">Estudios en humanos</w:t>
      </w:r>
    </w:p>
    <w:p>
      <w:pPr>
        <w:pStyle w:val="FirstParagraph"/>
      </w:pPr>
      <w:r>
        <w:t xml:space="preserve">La liraglutida figura entre los medicamentos peptídicos mejor estudiados. La consulta de PubMed analizada para este libro (término de búsqueda «liraglutide» en el título o el resumen, fecha de consulta octubre de 2026) arrojó 613 estudios en seres humanos, más que para cualquier otro péptido de este libro. ClinicalTrials.gov recoge 517 registros. A continuación se tratan sobre todo los estudios de registro y de resultados; además existen cientos de estudios más pequeños sobre el hígado, el corazón, el cerebro, la fertilidad y los trastornos de la conducta alimentaria.</w:t>
      </w:r>
    </w:p>
    <w:bookmarkStart w:id="151" w:name="diabetes-tipo-2-el-programa-lead"/>
    <w:p>
      <w:pPr>
        <w:pStyle w:val="Heading4"/>
      </w:pPr>
      <w:r>
        <w:t xml:space="preserve">Diabetes tipo 2: el programa LEAD</w:t>
      </w:r>
    </w:p>
    <w:p>
      <w:pPr>
        <w:pStyle w:val="FirstParagraph"/>
      </w:pPr>
      <w:r>
        <w:t xml:space="preserve">Para la autorización en la diabetes, la liraglutida se evaluó en seis estudios bajo el nombre LEAD (Liraglutide Effect and Action in Diabetes), con 1,2 o 1,8 mg al día. Dos son especialmente reveladores, porque se enfrentaron a tratamientos establecidos en aquel momento. A ellos se suma la comparación con el inhibidor de la DPP-4 sitagliptina.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LEAD-3 Mono (Garber 2009), PMID 18819705</w:t>
            </w:r>
          </w:p>
        </w:tc>
        <w:tc>
          <w:tcPr/>
          <w:p>
            <w:pPr>
              <w:pStyle w:val="Compact"/>
              <w:jc w:val="left"/>
            </w:pPr>
            <w:r>
              <w:t xml:space="preserve">746 personas con diabetes tipo 2 temprana, doble ciego frente a glimepirida</w:t>
            </w:r>
          </w:p>
        </w:tc>
        <w:tc>
          <w:tcPr/>
          <w:p>
            <w:pPr>
              <w:pStyle w:val="Compact"/>
              <w:jc w:val="left"/>
            </w:pPr>
            <w:r>
              <w:t xml:space="preserve">52 semanas</w:t>
            </w:r>
          </w:p>
        </w:tc>
        <w:tc>
          <w:tcPr/>
          <w:p>
            <w:pPr>
              <w:pStyle w:val="Compact"/>
              <w:jc w:val="left"/>
            </w:pPr>
            <w:r>
              <w:t xml:space="preserve">HbA1c −1,14 (1,8 mg) frente a −0,51 puntos porcentuales</w:t>
            </w:r>
          </w:p>
        </w:tc>
      </w:tr>
      <w:tr>
        <w:tc>
          <w:tcPr/>
          <w:p>
            <w:pPr>
              <w:pStyle w:val="Compact"/>
              <w:jc w:val="left"/>
            </w:pPr>
            <w:r>
              <w:t xml:space="preserve">LEAD-6 (Buse 2009), PMID 19515413</w:t>
            </w:r>
          </w:p>
        </w:tc>
        <w:tc>
          <w:tcPr/>
          <w:p>
            <w:pPr>
              <w:pStyle w:val="Compact"/>
              <w:jc w:val="left"/>
            </w:pPr>
            <w:r>
              <w:t xml:space="preserve">abierto frente a exenatida dos veces al día</w:t>
            </w:r>
          </w:p>
        </w:tc>
        <w:tc>
          <w:tcPr/>
          <w:p>
            <w:pPr>
              <w:pStyle w:val="Compact"/>
              <w:jc w:val="left"/>
            </w:pPr>
            <w:r>
              <w:t xml:space="preserve">26 semanas</w:t>
            </w:r>
          </w:p>
        </w:tc>
        <w:tc>
          <w:tcPr/>
          <w:p>
            <w:pPr>
              <w:pStyle w:val="Compact"/>
              <w:jc w:val="left"/>
            </w:pPr>
            <w:r>
              <w:t xml:space="preserve">HbA1c −1,12 frente a −0,79; peso −3,24 frente a −2,87 kg</w:t>
            </w:r>
          </w:p>
        </w:tc>
      </w:tr>
      <w:tr>
        <w:tc>
          <w:tcPr/>
          <w:p>
            <w:pPr>
              <w:pStyle w:val="Compact"/>
              <w:jc w:val="left"/>
            </w:pPr>
            <w:r>
              <w:t xml:space="preserve">Pratley 2010, PMID 20417856</w:t>
            </w:r>
          </w:p>
        </w:tc>
        <w:tc>
          <w:tcPr/>
          <w:p>
            <w:pPr>
              <w:pStyle w:val="Compact"/>
              <w:jc w:val="left"/>
            </w:pPr>
            <w:r>
              <w:t xml:space="preserve">658 personas con metformina, abierto frente a sitagliptina</w:t>
            </w:r>
          </w:p>
        </w:tc>
        <w:tc>
          <w:tcPr/>
          <w:p>
            <w:pPr>
              <w:pStyle w:val="Compact"/>
              <w:jc w:val="left"/>
            </w:pPr>
            <w:r>
              <w:t xml:space="preserve">26 semanas</w:t>
            </w:r>
          </w:p>
        </w:tc>
        <w:tc>
          <w:tcPr/>
          <w:p>
            <w:pPr>
              <w:pStyle w:val="Compact"/>
              <w:jc w:val="left"/>
            </w:pPr>
            <w:r>
              <w:t xml:space="preserve">HbA1c −1,50 (1,8 mg) frente a −0,90; náuseas 27 % frente a 5 %</w:t>
            </w:r>
          </w:p>
        </w:tc>
      </w:tr>
    </w:tbl>
    <w:p>
      <w:pPr>
        <w:pStyle w:val="BodyText"/>
      </w:pPr>
      <w:r>
        <w:t xml:space="preserve">El valor de glucemia a largo plazo HbA1c disminuyó con liraglutida en estos estudios entre 1,1 y 1,5 puntos porcentuales. En LEAD-3 (Garber 2009, PMID 18819705), la liraglutida fue el primer antidiabético superior a la sulfonilurea glimepirida, que reduce la glucemia con independencia de las comidas y provoca hipoglucemias con más frecuencia. Frente a la sitagliptina (Pratley 2010, PMID 20417856), la ventaja fue de 0,6 puntos porcentuales, aunque con bastantes más náuseas.</w:t>
      </w:r>
    </w:p>
    <w:bookmarkEnd w:id="151"/>
    <w:bookmarkStart w:id="152" w:name="Xbb090ca0bcb57815d29d7111ea4608b4d2c9425"/>
    <w:p>
      <w:pPr>
        <w:pStyle w:val="Heading4"/>
      </w:pPr>
      <w:r>
        <w:t xml:space="preserve">Comparaciones directas dentro de la clase GLP-1</w:t>
      </w:r>
    </w:p>
    <w:p>
      <w:pPr>
        <w:pStyle w:val="FirstParagraph"/>
      </w:pPr>
      <w:r>
        <w:t xml:space="preserve">La liraglutida es el comparador más utilizado de la clase. Los resultados arrojan una clasificación clara: la liraglutida es más potente que la exenatida, aproximadamente tan potente como la dulaglutida y más débil que la semaglutida.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Diseño</w:t>
            </w:r>
          </w:p>
        </w:tc>
        <w:tc>
          <w:tcPr/>
          <w:p>
            <w:pPr>
              <w:pStyle w:val="Compact"/>
              <w:jc w:val="left"/>
            </w:pPr>
            <w:r>
              <w:t xml:space="preserve">Duración</w:t>
            </w:r>
          </w:p>
        </w:tc>
        <w:tc>
          <w:tcPr/>
          <w:p>
            <w:pPr>
              <w:pStyle w:val="Compact"/>
              <w:jc w:val="left"/>
            </w:pPr>
            <w:r>
              <w:t xml:space="preserve">Resultado (liraglutida frente a comparador)</w:t>
            </w:r>
          </w:p>
        </w:tc>
      </w:tr>
      <w:tr>
        <w:tc>
          <w:tcPr/>
          <w:p>
            <w:pPr>
              <w:pStyle w:val="Compact"/>
              <w:jc w:val="left"/>
            </w:pPr>
            <w:r>
              <w:t xml:space="preserve">LEAD-6 (Buse 2009), PMID 19515413</w:t>
            </w:r>
          </w:p>
        </w:tc>
        <w:tc>
          <w:tcPr/>
          <w:p>
            <w:pPr>
              <w:pStyle w:val="Compact"/>
              <w:jc w:val="left"/>
            </w:pPr>
            <w:r>
              <w:t xml:space="preserve">frente a exenatida dos veces al día</w:t>
            </w:r>
          </w:p>
        </w:tc>
        <w:tc>
          <w:tcPr/>
          <w:p>
            <w:pPr>
              <w:pStyle w:val="Compact"/>
              <w:jc w:val="left"/>
            </w:pPr>
            <w:r>
              <w:t xml:space="preserve">26 semanas</w:t>
            </w:r>
          </w:p>
        </w:tc>
        <w:tc>
          <w:tcPr/>
          <w:p>
            <w:pPr>
              <w:pStyle w:val="Compact"/>
              <w:jc w:val="left"/>
            </w:pPr>
            <w:r>
              <w:t xml:space="preserve">HbA1c −1,12 frente a −0,79; objetivo &lt; 7 % en el 54 % frente al 43 %</w:t>
            </w:r>
          </w:p>
        </w:tc>
      </w:tr>
      <w:tr>
        <w:tc>
          <w:tcPr/>
          <w:p>
            <w:pPr>
              <w:pStyle w:val="Compact"/>
              <w:jc w:val="left"/>
            </w:pPr>
            <w:r>
              <w:t xml:space="preserve">DURATION-6 (Buse 2013), PMID 23141817</w:t>
            </w:r>
          </w:p>
        </w:tc>
        <w:tc>
          <w:tcPr/>
          <w:p>
            <w:pPr>
              <w:pStyle w:val="Compact"/>
              <w:jc w:val="left"/>
            </w:pPr>
            <w:r>
              <w:t xml:space="preserve">911 personas, frente a exenatida semanal</w:t>
            </w:r>
          </w:p>
        </w:tc>
        <w:tc>
          <w:tcPr/>
          <w:p>
            <w:pPr>
              <w:pStyle w:val="Compact"/>
              <w:jc w:val="left"/>
            </w:pPr>
            <w:r>
              <w:t xml:space="preserve">26 semanas</w:t>
            </w:r>
          </w:p>
        </w:tc>
        <w:tc>
          <w:tcPr/>
          <w:p>
            <w:pPr>
              <w:pStyle w:val="Compact"/>
              <w:jc w:val="left"/>
            </w:pPr>
            <w:r>
              <w:t xml:space="preserve">HbA1c −1,48 frente a −1,28; náuseas 21 % frente a 9 %</w:t>
            </w:r>
          </w:p>
        </w:tc>
      </w:tr>
      <w:tr>
        <w:tc>
          <w:tcPr/>
          <w:p>
            <w:pPr>
              <w:pStyle w:val="Compact"/>
              <w:jc w:val="left"/>
            </w:pPr>
            <w:r>
              <w:t xml:space="preserve">AWARD-6 (Dungan 2014), PMID 25018121</w:t>
            </w:r>
          </w:p>
        </w:tc>
        <w:tc>
          <w:tcPr/>
          <w:p>
            <w:pPr>
              <w:pStyle w:val="Compact"/>
              <w:jc w:val="left"/>
            </w:pPr>
            <w:r>
              <w:t xml:space="preserve">599 personas, frente a dulaglutida semanal</w:t>
            </w:r>
          </w:p>
        </w:tc>
        <w:tc>
          <w:tcPr/>
          <w:p>
            <w:pPr>
              <w:pStyle w:val="Compact"/>
              <w:jc w:val="left"/>
            </w:pPr>
            <w:r>
              <w:t xml:space="preserve">26 semanas</w:t>
            </w:r>
          </w:p>
        </w:tc>
        <w:tc>
          <w:tcPr/>
          <w:p>
            <w:pPr>
              <w:pStyle w:val="Compact"/>
              <w:jc w:val="left"/>
            </w:pPr>
            <w:r>
              <w:t xml:space="preserve">HbA1c −1,36 frente a −1,42; equivalentes</w:t>
            </w:r>
          </w:p>
        </w:tc>
      </w:tr>
      <w:tr>
        <w:tc>
          <w:tcPr/>
          <w:p>
            <w:pPr>
              <w:pStyle w:val="Compact"/>
              <w:jc w:val="left"/>
            </w:pPr>
            <w:r>
              <w:t xml:space="preserve">PIONEER 4 (Pratley 2019), PMID 31186120</w:t>
            </w:r>
          </w:p>
        </w:tc>
        <w:tc>
          <w:tcPr/>
          <w:p>
            <w:pPr>
              <w:pStyle w:val="Compact"/>
              <w:jc w:val="left"/>
            </w:pPr>
            <w:r>
              <w:t xml:space="preserve">711 personas, frente a semaglutida en comprimido y placebo</w:t>
            </w:r>
          </w:p>
        </w:tc>
        <w:tc>
          <w:tcPr/>
          <w:p>
            <w:pPr>
              <w:pStyle w:val="Compact"/>
              <w:jc w:val="left"/>
            </w:pPr>
            <w:r>
              <w:t xml:space="preserve">52 semanas</w:t>
            </w:r>
          </w:p>
        </w:tc>
        <w:tc>
          <w:tcPr/>
          <w:p>
            <w:pPr>
              <w:pStyle w:val="Compact"/>
              <w:jc w:val="left"/>
            </w:pPr>
            <w:r>
              <w:t xml:space="preserve">HbA1c −1,1 frente a −1,2 a las 26 semanas; peso −3,1 frente a −4,4 kg</w:t>
            </w:r>
          </w:p>
        </w:tc>
      </w:tr>
      <w:tr>
        <w:tc>
          <w:tcPr/>
          <w:p>
            <w:pPr>
              <w:pStyle w:val="Compact"/>
              <w:jc w:val="left"/>
            </w:pPr>
            <w:r>
              <w:t xml:space="preserve">SUSTAIN 10 (Capehorn 2020), PMID 31539622</w:t>
            </w:r>
          </w:p>
        </w:tc>
        <w:tc>
          <w:tcPr/>
          <w:p>
            <w:pPr>
              <w:pStyle w:val="Compact"/>
              <w:jc w:val="left"/>
            </w:pPr>
            <w:r>
              <w:t xml:space="preserve">liraglutida 1,2 mg frente a semaglutida 1,0 mg semanal</w:t>
            </w:r>
          </w:p>
        </w:tc>
        <w:tc>
          <w:tcPr/>
          <w:p>
            <w:pPr>
              <w:pStyle w:val="Compact"/>
              <w:jc w:val="left"/>
            </w:pPr>
            <w:r>
              <w:t xml:space="preserve">30 semanas</w:t>
            </w:r>
          </w:p>
        </w:tc>
        <w:tc>
          <w:tcPr/>
          <w:p>
            <w:pPr>
              <w:pStyle w:val="Compact"/>
              <w:jc w:val="left"/>
            </w:pPr>
            <w:r>
              <w:t xml:space="preserve">HbA1c −1,0 frente a −1,7; peso −1,9 frente a −5,8 kg</w:t>
            </w:r>
          </w:p>
        </w:tc>
      </w:tr>
      <w:tr>
        <w:tc>
          <w:tcPr/>
          <w:p>
            <w:pPr>
              <w:pStyle w:val="Compact"/>
              <w:jc w:val="left"/>
            </w:pPr>
            <w:r>
              <w:t xml:space="preserve">STEP 8 (Rubino 2022), PMID 35015037</w:t>
            </w:r>
          </w:p>
        </w:tc>
        <w:tc>
          <w:tcPr/>
          <w:p>
            <w:pPr>
              <w:pStyle w:val="Compact"/>
              <w:jc w:val="left"/>
            </w:pPr>
            <w:r>
              <w:t xml:space="preserve">338 personas con obesidad sin diabetes, liraglutida 3,0 mg frente a semaglutida 2,4 mg</w:t>
            </w:r>
          </w:p>
        </w:tc>
        <w:tc>
          <w:tcPr/>
          <w:p>
            <w:pPr>
              <w:pStyle w:val="Compact"/>
              <w:jc w:val="left"/>
            </w:pPr>
            <w:r>
              <w:t xml:space="preserve">68 semanas</w:t>
            </w:r>
          </w:p>
        </w:tc>
        <w:tc>
          <w:tcPr/>
          <w:p>
            <w:pPr>
              <w:pStyle w:val="Compact"/>
              <w:jc w:val="left"/>
            </w:pPr>
            <w:r>
              <w:t xml:space="preserve">peso −6,4 % frente a −15,8 %</w:t>
            </w:r>
          </w:p>
        </w:tc>
      </w:tr>
    </w:tbl>
    <w:p>
      <w:pPr>
        <w:pStyle w:val="BodyText"/>
      </w:pPr>
      <w:r>
        <w:t xml:space="preserve">En LEAD-6 (Buse 2009, PMID 19515413), la liraglutida redujo la glucemia en ayunas claramente más que la exenatida dos veces al día, pero la subida de la glucosa tras el desayuno y la cena en menor medida, un indicio de que las formas de acción corta actúan más a través del vaciamiento gástrico. Las náuseas duraron menos con liraglutida, y las hipoglucemias leves fueron menos frecuentes (25,5 % frente a 33,6 % de los participantes).</w:t>
      </w:r>
    </w:p>
    <w:p>
      <w:pPr>
        <w:pStyle w:val="BodyText"/>
      </w:pPr>
      <w:r>
        <w:t xml:space="preserve">Frente a la dulaglutida, la liraglutida fue equivalente en AWARD-6 (Dungan 2014, PMID 25018121), con una tolerabilidad similar; las náuseas aparecieron en el 18 % frente al 20 %.</w:t>
      </w:r>
    </w:p>
    <w:p>
      <w:pPr>
        <w:pStyle w:val="BodyText"/>
      </w:pPr>
      <w:r>
        <w:t xml:space="preserve">Frente a la semaglutida, la liraglutida perdió en todas las comparaciones. Donde más claro fue en STEP 8 (Rubino 2022, PMID 35015037), en cuanto al peso: con la dosis autorizada en cada caso para la obesidad, los participantes perdieron de media un 15,8 % con semaglutida y un 6,4 % con liraglutida (placebo: 1,9 %). Una pérdida de al menos el 15 % la alcanzó el 55,6 % frente al 12,0 %. Habían interrumpido el tratamiento prematuramente el 27,6 % con liraglutida y el 13,5 % con semaglutida. Con el comprimido de semaglutida, la diferencia en PIONEER 4 (Pratley 2019, PMID 31186120) fue menor: en la HbA1c, el comprimido no fue inferior según el método de análisis principal, y en el peso fue superior en 1,2 kg. Los detalles de estos estudios figuran en el capítulo Semaglutida.</w:t>
      </w:r>
    </w:p>
    <w:bookmarkEnd w:id="152"/>
    <w:bookmarkStart w:id="153" w:name="leader-corazón-circulación-y-riñones"/>
    <w:p>
      <w:pPr>
        <w:pStyle w:val="Heading4"/>
      </w:pPr>
      <w:r>
        <w:t xml:space="preserve">LEADER: corazón, circulación y riñones</w:t>
      </w:r>
    </w:p>
    <w:p>
      <w:pPr>
        <w:pStyle w:val="FirstParagraph"/>
      </w:pPr>
      <w:r>
        <w:t xml:space="preserve">LEADER fue el primer gran estudio que demostró para un agonista del receptor de GLP-1 una protección frente a eventos cardiovasculares. Cambió el papel de toda la clase en las guías de práctica clínica de la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LEADER (Marso 2016), PMID 27295427</w:t>
            </w:r>
          </w:p>
        </w:tc>
        <w:tc>
          <w:tcPr/>
          <w:p>
            <w:pPr>
              <w:pStyle w:val="Compact"/>
              <w:jc w:val="left"/>
            </w:pPr>
            <w:r>
              <w:t xml:space="preserve">9340 personas con diabetes tipo 2 y alto riesgo cardiovascular, RCT frente a placebo</w:t>
            </w:r>
          </w:p>
        </w:tc>
        <w:tc>
          <w:tcPr/>
          <w:p>
            <w:pPr>
              <w:pStyle w:val="Compact"/>
              <w:jc w:val="left"/>
            </w:pPr>
            <w:r>
              <w:t xml:space="preserve">mediana de 3,8 años</w:t>
            </w:r>
          </w:p>
        </w:tc>
        <w:tc>
          <w:tcPr/>
          <w:p>
            <w:pPr>
              <w:pStyle w:val="Compact"/>
              <w:jc w:val="left"/>
            </w:pPr>
            <w:r>
              <w:t xml:space="preserve">Eventos cardiovasculares graves 13,0 % frente a 14,9 %; HR 0,87 (0,78–0,97)</w:t>
            </w:r>
          </w:p>
        </w:tc>
      </w:tr>
      <w:tr>
        <w:tc>
          <w:tcPr/>
          <w:p>
            <w:pPr>
              <w:pStyle w:val="Compact"/>
              <w:jc w:val="left"/>
            </w:pPr>
            <w:r>
              <w:t xml:space="preserve">LEADER, análisis renal (Mann 2017), PMID 28854085</w:t>
            </w:r>
          </w:p>
        </w:tc>
        <w:tc>
          <w:tcPr/>
          <w:p>
            <w:pPr>
              <w:pStyle w:val="Compact"/>
              <w:jc w:val="left"/>
            </w:pPr>
            <w:r>
              <w:t xml:space="preserve">las mismas 9340 personas, análisis planificado de antemano</w:t>
            </w:r>
          </w:p>
        </w:tc>
        <w:tc>
          <w:tcPr/>
          <w:p>
            <w:pPr>
              <w:pStyle w:val="Compact"/>
              <w:jc w:val="left"/>
            </w:pPr>
            <w:r>
              <w:t xml:space="preserve">mediana de 3,84 años</w:t>
            </w:r>
          </w:p>
        </w:tc>
        <w:tc>
          <w:tcPr/>
          <w:p>
            <w:pPr>
              <w:pStyle w:val="Compact"/>
              <w:jc w:val="left"/>
            </w:pPr>
            <w:r>
              <w:t xml:space="preserve">variable renal 268 frente a 337 casos; HR 0,78, sobre todo menos macroalbuminuria nueva</w:t>
            </w:r>
          </w:p>
        </w:tc>
      </w:tr>
    </w:tbl>
    <w:p>
      <w:pPr>
        <w:pStyle w:val="BodyText"/>
      </w:pPr>
      <w:r>
        <w:t xml:space="preserve">La variable principal —muerte de causa cardiovascular, infarto de miocardio no mortal o ictus— se produjo con liraglutida en 608 de 4668 personas (13,0 %) y con placebo en 694 de 4672 (14,9 %) (Marso 2016, PMID 27295427). Esto corresponde a una reducción relativa del riesgo del 13 %. El efecto se debió sobre todo a un menor número de muertes cardiovasculares (4,7 % frente a 6,0 %; HR 0,78). También la mortalidad total fue menor (8,2 % frente a 9,6 %; HR 0,85). Los componentes individuales infarto de miocardio, ictus y hospitalización por insuficiencia cardíaca no se redujeron significativamente por sí solos.</w:t>
      </w:r>
    </w:p>
    <w:p>
      <w:pPr>
        <w:pStyle w:val="BodyText"/>
      </w:pPr>
      <w:r>
        <w:t xml:space="preserve">En cifras absolutas, esto significa que, a lo largo de casi cuatro años, unas dos de cada cien personas tratadas tuvieron un evento cardiovascular grave menos. Para un grupo de alto riesgo, es un efecto relevante.</w:t>
      </w:r>
    </w:p>
    <w:p>
      <w:pPr>
        <w:pStyle w:val="BodyText"/>
      </w:pPr>
      <w:r>
        <w:t xml:space="preserve">El análisis renal (Mann 2017, PMID 28854085) mostró menos casos de excreción intensa de proteínas en la orina de nueva aparición (macroalbuminuria). Las variables renales duras, como la necesidad de diálisis, fueron raras y no difirieron claramente. La insuficiencia renal aguda se produjo con una frecuencia similar a la del placebo.</w:t>
      </w:r>
    </w:p>
    <w:p>
      <w:pPr>
        <w:pStyle w:val="BodyText"/>
      </w:pPr>
      <w:r>
        <w:t xml:space="preserve">No todos los grupos de pacientes cardíacos se benefician. En el estudio FIGHT, con 300 personas que poco antes habían estado hospitalizadas por una insuficiencia cardíaca grave con función de bomba muy reducida, la liraglutida no mejoró la evolución (Margulies 2016, PMID 27483064). Incluso hubo algo más de nuevas hospitalizaciones por insuficiencia cardíaca (41 % frente a 34 %), sin que la diferencia fuera estadísticamente significativa. Los autores no vieron fundamento para su uso en esta situación.</w:t>
      </w:r>
    </w:p>
    <w:bookmarkEnd w:id="153"/>
    <w:bookmarkStart w:id="154" w:name="obesidad-el-programa-scale"/>
    <w:p>
      <w:pPr>
        <w:pStyle w:val="Heading4"/>
      </w:pPr>
      <w:r>
        <w:t xml:space="preserve">Obesidad: el programa SCALE</w:t>
      </w:r>
    </w:p>
    <w:p>
      <w:pPr>
        <w:pStyle w:val="FirstParagraph"/>
      </w:pPr>
      <w:r>
        <w:t xml:space="preserve">Con 3,0 mg al día —casi el doble de la dosis más alta para la diabetes—, la liraglutida se autorizó en 2014/2015 como primer medicamento GLP-1 para la reducción de peso. La base fue el programa de estudios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SCALE Obesity and Prediabetes (Pi-Sunyer 2015), PMID 26132939</w:t>
            </w:r>
          </w:p>
        </w:tc>
        <w:tc>
          <w:tcPr/>
          <w:p>
            <w:pPr>
              <w:pStyle w:val="Compact"/>
              <w:jc w:val="left"/>
            </w:pPr>
            <w:r>
              <w:t xml:space="preserve">3731 adultos con obesidad sin diabetes, RCT frente a placebo</w:t>
            </w:r>
          </w:p>
        </w:tc>
        <w:tc>
          <w:tcPr/>
          <w:p>
            <w:pPr>
              <w:pStyle w:val="Compact"/>
              <w:jc w:val="left"/>
            </w:pPr>
            <w:r>
              <w:t xml:space="preserve">56 semanas</w:t>
            </w:r>
          </w:p>
        </w:tc>
        <w:tc>
          <w:tcPr/>
          <w:p>
            <w:pPr>
              <w:pStyle w:val="Compact"/>
              <w:jc w:val="left"/>
            </w:pPr>
            <w:r>
              <w:t xml:space="preserve">−8,4 kg frente a −2,8 kg; pérdida ≥ 5 % en el 63,2 % frente al 27,1 %</w:t>
            </w:r>
          </w:p>
        </w:tc>
      </w:tr>
      <w:tr>
        <w:tc>
          <w:tcPr/>
          <w:p>
            <w:pPr>
              <w:pStyle w:val="Compact"/>
              <w:jc w:val="left"/>
            </w:pPr>
            <w:r>
              <w:t xml:space="preserve">SCALE, parte de 3 años (le Roux 2017), PMID 28237263</w:t>
            </w:r>
          </w:p>
        </w:tc>
        <w:tc>
          <w:tcPr/>
          <w:p>
            <w:pPr>
              <w:pStyle w:val="Compact"/>
              <w:jc w:val="left"/>
            </w:pPr>
            <w:r>
              <w:t xml:space="preserve">2254 personas con prediabetes</w:t>
            </w:r>
          </w:p>
        </w:tc>
        <w:tc>
          <w:tcPr/>
          <w:p>
            <w:pPr>
              <w:pStyle w:val="Compact"/>
              <w:jc w:val="left"/>
            </w:pPr>
            <w:r>
              <w:t xml:space="preserve">160 semanas</w:t>
            </w:r>
          </w:p>
        </w:tc>
        <w:tc>
          <w:tcPr/>
          <w:p>
            <w:pPr>
              <w:pStyle w:val="Compact"/>
              <w:jc w:val="left"/>
            </w:pPr>
            <w:r>
              <w:t xml:space="preserve">diabetes nueva en el 2 % frente al 6 %; peso −6,1 % frente a −1,9 %</w:t>
            </w:r>
          </w:p>
        </w:tc>
      </w:tr>
      <w:tr>
        <w:tc>
          <w:tcPr/>
          <w:p>
            <w:pPr>
              <w:pStyle w:val="Compact"/>
              <w:jc w:val="left"/>
            </w:pPr>
            <w:r>
              <w:t xml:space="preserve">SCALE Diabetes (Davies 2015), PMID 26284720</w:t>
            </w:r>
          </w:p>
        </w:tc>
        <w:tc>
          <w:tcPr/>
          <w:p>
            <w:pPr>
              <w:pStyle w:val="Compact"/>
              <w:jc w:val="left"/>
            </w:pPr>
            <w:r>
              <w:t xml:space="preserve">846 personas con diabetes tipo 2 y sobrepeso</w:t>
            </w:r>
          </w:p>
        </w:tc>
        <w:tc>
          <w:tcPr/>
          <w:p>
            <w:pPr>
              <w:pStyle w:val="Compact"/>
              <w:jc w:val="left"/>
            </w:pPr>
            <w:r>
              <w:t xml:space="preserve">56 semanas</w:t>
            </w:r>
          </w:p>
        </w:tc>
        <w:tc>
          <w:tcPr/>
          <w:p>
            <w:pPr>
              <w:pStyle w:val="Compact"/>
              <w:jc w:val="left"/>
            </w:pPr>
            <w:r>
              <w:t xml:space="preserve">−6,0 % (3,0 mg) frente a −2,0 %</w:t>
            </w:r>
          </w:p>
        </w:tc>
      </w:tr>
      <w:tr>
        <w:tc>
          <w:tcPr/>
          <w:p>
            <w:pPr>
              <w:pStyle w:val="Compact"/>
              <w:jc w:val="left"/>
            </w:pPr>
            <w:r>
              <w:t xml:space="preserve">SCALE Maintenance (Wadden 2013), PMID 23812094</w:t>
            </w:r>
          </w:p>
        </w:tc>
        <w:tc>
          <w:tcPr/>
          <w:p>
            <w:pPr>
              <w:pStyle w:val="Compact"/>
              <w:jc w:val="left"/>
            </w:pPr>
            <w:r>
              <w:t xml:space="preserve">422 personas tras una dieta con pérdida ≥ 5 %</w:t>
            </w:r>
          </w:p>
        </w:tc>
        <w:tc>
          <w:tcPr/>
          <w:p>
            <w:pPr>
              <w:pStyle w:val="Compact"/>
              <w:jc w:val="left"/>
            </w:pPr>
            <w:r>
              <w:t xml:space="preserve">56 semanas</w:t>
            </w:r>
          </w:p>
        </w:tc>
        <w:tc>
          <w:tcPr/>
          <w:p>
            <w:pPr>
              <w:pStyle w:val="Compact"/>
              <w:jc w:val="left"/>
            </w:pPr>
            <w:r>
              <w:t xml:space="preserve">−6,2 % adicional frente a −0,2 %</w:t>
            </w:r>
          </w:p>
        </w:tc>
      </w:tr>
      <w:tr>
        <w:tc>
          <w:tcPr/>
          <w:p>
            <w:pPr>
              <w:pStyle w:val="Compact"/>
              <w:jc w:val="left"/>
            </w:pPr>
            <w:r>
              <w:t xml:space="preserve">SCALE Sleep Apnea (Blackman 2016), PMID 27005405</w:t>
            </w:r>
          </w:p>
        </w:tc>
        <w:tc>
          <w:tcPr/>
          <w:p>
            <w:pPr>
              <w:pStyle w:val="Compact"/>
              <w:jc w:val="left"/>
            </w:pPr>
            <w:r>
              <w:t xml:space="preserve">adultos con obesidad y apnea del sueño moderada a grave</w:t>
            </w:r>
          </w:p>
        </w:tc>
        <w:tc>
          <w:tcPr/>
          <w:p>
            <w:pPr>
              <w:pStyle w:val="Compact"/>
              <w:jc w:val="left"/>
            </w:pPr>
            <w:r>
              <w:t xml:space="preserve">32 semanas</w:t>
            </w:r>
          </w:p>
        </w:tc>
        <w:tc>
          <w:tcPr/>
          <w:p>
            <w:pPr>
              <w:pStyle w:val="Compact"/>
              <w:jc w:val="left"/>
            </w:pPr>
            <w:r>
              <w:t xml:space="preserve">apneas −12,2 frente a −6,1 por hora; peso −5,7 % frente a −1,6 %</w:t>
            </w:r>
          </w:p>
        </w:tc>
      </w:tr>
    </w:tbl>
    <w:p>
      <w:pPr>
        <w:pStyle w:val="BodyText"/>
      </w:pPr>
      <w:r>
        <w:t xml:space="preserve">En el estudio más grande (Pi-Sunyer 2015, PMID 26132939), los participantes perdieron de media 8,4 kg con liraglutida y 2,8 kg con placebo, en ambos casos con asesoramiento sobre alimentación y actividad física. Un tercio (33,1 %) perdió más del 10 % de su peso corporal, frente al 10,6 % con placebo. Se produjeron acontecimientos adversos graves en el 6,2 % frente al 5,0 %.</w:t>
      </w:r>
    </w:p>
    <w:p>
      <w:pPr>
        <w:pStyle w:val="BodyText"/>
      </w:pPr>
      <w:r>
        <w:t xml:space="preserve">Los participantes con prediabetes (estadio previo de la diabetes) siguieron recibiendo tratamiento durante tres años (le Roux 2017, PMID 28237263). Con liraglutida, el 2 % desarrolló una diabetes tipo 2; con placebo, el 6 %. Sin embargo, el estudio tiene una debilidad importante: solo la mitad de los participantes (50 %) permaneció hasta el final, y quienes abandonaron no siguieron siendo observados. Por eso, los resultados deben leerse con cautela.</w:t>
      </w:r>
    </w:p>
    <w:p>
      <w:pPr>
        <w:pStyle w:val="BodyText"/>
      </w:pPr>
      <w:r>
        <w:t xml:space="preserve">En las personas con diabetes tipo 2, la pérdida de peso fue menor (Davies 2015, PMID 26284720), un patrón que se repite con todos los medicamentos GLP-1. En SCALE Maintenance (Wadden 2013, PMID 23812094), la liraglutida ayudó a mantener el peso tras una fase de dieta: el 81,4 % mantuvo la pérdida de peso alcanzada previamente, frente al 48,9 % con placebo.</w:t>
      </w:r>
    </w:p>
    <w:p>
      <w:pPr>
        <w:pStyle w:val="BodyText"/>
      </w:pPr>
      <w:r>
        <w:t xml:space="preserve">En retrospectiva, el efecto de la liraglutida sobre el peso parece modesto desde que la semaglutida y la tirzepatida alcanzan de media entre el 15 y más del 20 %. Para su época fue un gran avance: ningún fármaco autorizado anteriormente había mostrado valores similares en estudios de este tamaño.</w:t>
      </w:r>
    </w:p>
    <w:bookmarkEnd w:id="154"/>
    <w:bookmarkStart w:id="155" w:name="niños-y-adolescentes"/>
    <w:p>
      <w:pPr>
        <w:pStyle w:val="Heading4"/>
      </w:pPr>
      <w:r>
        <w:t xml:space="preserve">Niños y adolescentes</w:t>
      </w:r>
    </w:p>
    <w:p>
      <w:pPr>
        <w:pStyle w:val="FirstParagraph"/>
      </w:pPr>
      <w:r>
        <w:t xml:space="preserve">La liraglutida es uno de los pocos principios activos de esta clase que se han estudiado específicamente en niños y adolescentes.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ELLIPSE (Tamborlane 2019), PMID 31034184</w:t>
            </w:r>
          </w:p>
        </w:tc>
        <w:tc>
          <w:tcPr/>
          <w:p>
            <w:pPr>
              <w:pStyle w:val="Compact"/>
              <w:jc w:val="left"/>
            </w:pPr>
            <w:r>
              <w:t xml:space="preserve">134 niños y adolescentes (de 10 a menos de 17 años) con diabetes tipo 2, RCT frente a placebo</w:t>
            </w:r>
          </w:p>
        </w:tc>
        <w:tc>
          <w:tcPr/>
          <w:p>
            <w:pPr>
              <w:pStyle w:val="Compact"/>
              <w:jc w:val="left"/>
            </w:pPr>
            <w:r>
              <w:t xml:space="preserve">52 semanas</w:t>
            </w:r>
          </w:p>
        </w:tc>
        <w:tc>
          <w:tcPr/>
          <w:p>
            <w:pPr>
              <w:pStyle w:val="Compact"/>
              <w:jc w:val="left"/>
            </w:pPr>
            <w:r>
              <w:t xml:space="preserve">HbA1c −1,06 puntos porcentuales frente a placebo a las 26 semanas, −1,30 a las 52 semanas</w:t>
            </w:r>
          </w:p>
        </w:tc>
      </w:tr>
      <w:tr>
        <w:tc>
          <w:tcPr/>
          <w:p>
            <w:pPr>
              <w:pStyle w:val="Compact"/>
              <w:jc w:val="left"/>
            </w:pPr>
            <w:r>
              <w:t xml:space="preserve">SCALE Teens (Kelly 2020), PMID 32233338</w:t>
            </w:r>
          </w:p>
        </w:tc>
        <w:tc>
          <w:tcPr/>
          <w:p>
            <w:pPr>
              <w:pStyle w:val="Compact"/>
              <w:jc w:val="left"/>
            </w:pPr>
            <w:r>
              <w:t xml:space="preserve">251 adolescentes (de 12 a menos de 18 años) con obesidad, RCT frente a placebo</w:t>
            </w:r>
          </w:p>
        </w:tc>
        <w:tc>
          <w:tcPr/>
          <w:p>
            <w:pPr>
              <w:pStyle w:val="Compact"/>
              <w:jc w:val="left"/>
            </w:pPr>
            <w:r>
              <w:t xml:space="preserve">56 semanas</w:t>
            </w:r>
          </w:p>
        </w:tc>
        <w:tc>
          <w:tcPr/>
          <w:p>
            <w:pPr>
              <w:pStyle w:val="Compact"/>
              <w:jc w:val="left"/>
            </w:pPr>
            <w:r>
              <w:t xml:space="preserve">reducción del IMC ≥ 5 % en el 43,3 % frente al 18,7 %; peso −4,50 kg frente a placebo</w:t>
            </w:r>
          </w:p>
        </w:tc>
      </w:tr>
      <w:tr>
        <w:tc>
          <w:tcPr/>
          <w:p>
            <w:pPr>
              <w:pStyle w:val="Compact"/>
              <w:jc w:val="left"/>
            </w:pPr>
            <w:r>
              <w:t xml:space="preserve">SCALE Kids (Fox 2025), PMID 39258838</w:t>
            </w:r>
          </w:p>
        </w:tc>
        <w:tc>
          <w:tcPr/>
          <w:p>
            <w:pPr>
              <w:pStyle w:val="Compact"/>
              <w:jc w:val="left"/>
            </w:pPr>
            <w:r>
              <w:t xml:space="preserve">82 niños (de 6 a menos de 12 años) con obesidad, RCT frente a placebo</w:t>
            </w:r>
          </w:p>
        </w:tc>
        <w:tc>
          <w:tcPr/>
          <w:p>
            <w:pPr>
              <w:pStyle w:val="Compact"/>
              <w:jc w:val="left"/>
            </w:pPr>
            <w:r>
              <w:t xml:space="preserve">56 semanas</w:t>
            </w:r>
          </w:p>
        </w:tc>
        <w:tc>
          <w:tcPr/>
          <w:p>
            <w:pPr>
              <w:pStyle w:val="Compact"/>
              <w:jc w:val="left"/>
            </w:pPr>
            <w:r>
              <w:t xml:space="preserve">IMC −5,8 % frente a +1,6 %</w:t>
            </w:r>
          </w:p>
        </w:tc>
      </w:tr>
    </w:tbl>
    <w:p>
      <w:pPr>
        <w:pStyle w:val="BodyText"/>
      </w:pPr>
      <w:r>
        <w:t xml:space="preserve">En SCALE Teens (Kelly 2020, PMID 32233338), tras la suspensión se observó una nueva subida del IMC, mayor que con placebo. Las molestias gastrointestinales afectaron al 64,8 % frente al 36,5 %; el 10,4 % interrumpió el tratamiento por efectos adversos. En el grupo de liraglutida hubo un suicidio, que los investigadores clasificaron como probablemente no relacionado con el tratamiento.</w:t>
      </w:r>
    </w:p>
    <w:p>
      <w:pPr>
        <w:pStyle w:val="BodyText"/>
      </w:pPr>
      <w:r>
        <w:t xml:space="preserve">En SCALE Kids (Fox 2025, PMID 39258838), el peso corporal de los niños, que estaban en crecimiento, aumentó de media un 1,6 % con liraglutida y un 10,0 % con placebo. Las molestias gastrointestinales aparecieron en el 80 % frente al 54 %, y los acontecimientos adversos graves en el 12 % frente al 8 %. En los niños se plantea especialmente la cuestión de cuánto tiempo debe durar un tratamiento de este tipo y qué efectos a largo plazo tiene sobre el crecimiento y los huesos. Al respecto está en marcha, entre otros, un estudio sobre el metabolismo óseo en jóvenes de 12 a 21 años en tratamiento con GLP-1 (NCT06903923).</w:t>
      </w:r>
    </w:p>
    <w:bookmarkEnd w:id="155"/>
    <w:bookmarkStart w:id="156" w:name="otros-campos-de-aplicación-en-estudios-1"/>
    <w:p>
      <w:pPr>
        <w:pStyle w:val="Heading4"/>
      </w:pPr>
      <w:r>
        <w:t xml:space="preserve">Otros campos de aplicación en estudios</w:t>
      </w:r>
    </w:p>
    <w:p>
      <w:pPr>
        <w:numPr>
          <w:ilvl w:val="0"/>
          <w:numId w:val="1043"/>
        </w:numPr>
        <w:pStyle w:val="Compact"/>
      </w:pPr>
      <w:r>
        <w:rPr>
          <w:bCs/>
          <w:b/>
        </w:rPr>
        <w:t xml:space="preserve">Esteatohepatitis (NASH/MASH):</w:t>
      </w:r>
      <w:r>
        <w:t xml:space="preserve"> </w:t>
      </w:r>
      <w:r>
        <w:t xml:space="preserve">en el pequeño estudio de fase 2 LEAN, con 52 participantes, la inflamación en la biopsia hepática remitió en el 39 % con liraglutida y en el 9 % con placebo; el aumento de la cicatrización (fibrosis) fue menos frecuente (9 % frente a 36 %) (Armstrong 2016, PMID 26608256). Más tarde se realizaron estudios más grandes con semaglutida.</w:t>
      </w:r>
    </w:p>
    <w:p>
      <w:pPr>
        <w:numPr>
          <w:ilvl w:val="0"/>
          <w:numId w:val="1043"/>
        </w:numPr>
        <w:pStyle w:val="Compact"/>
      </w:pPr>
      <w:r>
        <w:rPr>
          <w:bCs/>
          <w:b/>
        </w:rPr>
        <w:t xml:space="preserve">Enfermedad de Alzheimer:</w:t>
      </w:r>
      <w:r>
        <w:t xml:space="preserve"> </w:t>
      </w:r>
      <w:r>
        <w:t xml:space="preserve">en el estudio de fase 2b ELAD, con 204 personas sin diabetes, la variable principal, el metabolismo de la glucosa en el cerebro, no se modificó (Edison 2026, PMID 41326666). En una variable secundaria sobre las funciones ejecutivas, la liraglutida obtuvo mejores resultados, pero no en las capacidades para la vida diaria ni en la gravedad de la demencia. Las variables secundarias sin corrección por comparaciones múltiples son solo indicios.</w:t>
      </w:r>
    </w:p>
    <w:p>
      <w:pPr>
        <w:numPr>
          <w:ilvl w:val="0"/>
          <w:numId w:val="1043"/>
        </w:numPr>
        <w:pStyle w:val="Compact"/>
      </w:pPr>
      <w:r>
        <w:rPr>
          <w:bCs/>
          <w:b/>
        </w:rPr>
        <w:t xml:space="preserve">Alcohol y otras adicciones:</w:t>
      </w:r>
      <w:r>
        <w:t xml:space="preserve"> </w:t>
      </w:r>
      <w:r>
        <w:t xml:space="preserve">en un estudio de registro sueco con 227.866 personas con dependencia del alcohol, el uso de liraglutida se asoció a un riesgo un 28 % menor de hospitalizaciones relacionadas con el alcohol (Lähteenvuo 2025, PMID 39535805). Los datos observacionales de este tipo muestran asociaciones, no relaciones de causa y efecto.</w:t>
      </w:r>
    </w:p>
    <w:bookmarkEnd w:id="156"/>
    <w:bookmarkEnd w:id="157"/>
    <w:bookmarkStart w:id="158" w:name="estudios-en-animales-y-de-laboratorio-1"/>
    <w:p>
      <w:pPr>
        <w:pStyle w:val="Heading3"/>
      </w:pPr>
      <w:r>
        <w:t xml:space="preserve">Estudios en animales y de laboratorio</w:t>
      </w:r>
    </w:p>
    <w:p>
      <w:pPr>
        <w:pStyle w:val="FirstParagraph"/>
      </w:pPr>
      <w:r>
        <w:t xml:space="preserve">Gran parte de lo que se sabe hoy sobre el efecto del GLP-1 en el cerebro procede de experimentos en animales con liraglutida. En ratas y ratones se demostró que la molécula, a pesar de su tamaño, llega a determinadas regiones cerebrales sin una barrera hematoencefálica densa y estimula allí neuronas que frenan el apetito (Secher 2014, PMID 25202980).</w:t>
      </w:r>
    </w:p>
    <w:p>
      <w:pPr>
        <w:pStyle w:val="BodyText"/>
      </w:pPr>
      <w:r>
        <w:t xml:space="preserve">Especialmente trascendentes fueron los hallazgos sobre la tiroides. En experimentos de larga duración con ratas y ratones, la liraglutida provocó una proliferación de las células C (que producen la hormona calcitonina) y tumores de células C. El estudio del mecanismo reveló que las células C de los roedores poseen abundantes receptores de GLP-1, mientras que las de los seres humanos y los monos apenas los tienen (Bjerre Knudsen 2010, PMID 20203154). En macacos cangrejeros, 20 meses de liraglutida con una exposición más de 60 veces superior a la del ser humano no provocaron proliferación de células C. Aun así, desde entonces figura en la ficha técnica de toda la clase una advertencia sobre el carcinoma medular de tiroides, en particular en Estados Unidos.</w:t>
      </w:r>
    </w:p>
    <w:p>
      <w:pPr>
        <w:pStyle w:val="BodyText"/>
      </w:pPr>
      <w:r>
        <w:t xml:space="preserve">Otros estudios en animales se ocuparon de la protección cardíaca, la neuroprotección (modelos de Alzheimer y Parkinson), la esteatosis hepática y el daño renal. Como en el caso de la exenatida, la extrapolación al ser humano es limitada: el estudio de Alzheimer ELAD, por ejemplo, no alcanzó su variable principal, aunque los datos en animales eran positivos.</w:t>
      </w:r>
    </w:p>
    <w:bookmarkEnd w:id="158"/>
    <w:bookmarkStart w:id="159" w:name="riesgos-y-efectos-adversos-1"/>
    <w:p>
      <w:pPr>
        <w:pStyle w:val="Heading3"/>
      </w:pPr>
      <w:r>
        <w:t xml:space="preserve">Riesgos y efectos adversos</w:t>
      </w:r>
    </w:p>
    <w:p>
      <w:pPr>
        <w:pStyle w:val="FirstParagraph"/>
      </w:pPr>
      <w:r>
        <w:rPr>
          <w:bCs/>
          <w:b/>
        </w:rPr>
        <w:t xml:space="preserve">Demostrados en estudios aleatorizados:</w:t>
      </w:r>
    </w:p>
    <w:p>
      <w:pPr>
        <w:numPr>
          <w:ilvl w:val="0"/>
          <w:numId w:val="1044"/>
        </w:numPr>
        <w:pStyle w:val="Compact"/>
      </w:pPr>
      <w:r>
        <w:rPr>
          <w:bCs/>
          <w:b/>
        </w:rPr>
        <w:t xml:space="preserve">Molestias gastrointestinales:</w:t>
      </w:r>
      <w:r>
        <w:t xml:space="preserve"> </w:t>
      </w:r>
      <w:r>
        <w:t xml:space="preserve">las náuseas, la diarrea, los vómitos y el estreñimiento son los efectos adversos más frecuentes y, por lo general, el motivo de las interrupciones del tratamiento (Marso 2016, PMID 27295427). Aparecen sobre todo al principio y tras los aumentos de dosis. Con la dosis más alta para la obesidad son más frecuentes que con la dosis para la diabetes (Davies 2015, PMID 26284720).</w:t>
      </w:r>
    </w:p>
    <w:p>
      <w:pPr>
        <w:numPr>
          <w:ilvl w:val="0"/>
          <w:numId w:val="1044"/>
        </w:numPr>
        <w:pStyle w:val="Compact"/>
      </w:pPr>
      <w:r>
        <w:rPr>
          <w:bCs/>
          <w:b/>
        </w:rPr>
        <w:t xml:space="preserve">Vesícula biliar:</w:t>
      </w:r>
      <w:r>
        <w:t xml:space="preserve"> </w:t>
      </w:r>
      <w:r>
        <w:t xml:space="preserve">un metaanálisis de 76 estudios aleatorizados con 103.371 participantes encontró para la clase GLP-1 un aumento del 37 % del riesgo relativo de enfermedades de la vesícula y las vías biliares, como cálculos biliares e inflamación de la vesícula (He 2022, PMID 35344001). El riesgo fue mayor con dosis más altas, con un uso más prolongado y en los estudios sobre pérdida de peso (riesgo relativo 2,29). Una parte probablemente esté relacionada con la propia pérdida de peso rápida.</w:t>
      </w:r>
    </w:p>
    <w:p>
      <w:pPr>
        <w:numPr>
          <w:ilvl w:val="0"/>
          <w:numId w:val="1044"/>
        </w:numPr>
        <w:pStyle w:val="Compact"/>
      </w:pPr>
      <w:r>
        <w:rPr>
          <w:bCs/>
          <w:b/>
        </w:rPr>
        <w:t xml:space="preserve">Hipoglucemia:</w:t>
      </w:r>
      <w:r>
        <w:t xml:space="preserve"> </w:t>
      </w:r>
      <w:r>
        <w:t xml:space="preserve">rara en monoterapia, más frecuente en combinación con sulfonilureas o insulina.</w:t>
      </w:r>
    </w:p>
    <w:p>
      <w:pPr>
        <w:numPr>
          <w:ilvl w:val="0"/>
          <w:numId w:val="1044"/>
        </w:numPr>
        <w:pStyle w:val="Compact"/>
      </w:pPr>
      <w:r>
        <w:rPr>
          <w:bCs/>
          <w:b/>
        </w:rPr>
        <w:t xml:space="preserve">Frecuencia cardíaca:</w:t>
      </w:r>
      <w:r>
        <w:t xml:space="preserve"> </w:t>
      </w:r>
      <w:r>
        <w:t xml:space="preserve">la liraglutida aumenta ligeramente el pulso en reposo en unos pocos latidos por minuto; a la vista de los resultados de LEADER, su relevancia clínica se considera escasa.</w:t>
      </w:r>
    </w:p>
    <w:p>
      <w:pPr>
        <w:pStyle w:val="FirstParagraph"/>
      </w:pPr>
      <w:r>
        <w:rPr>
          <w:bCs/>
          <w:b/>
        </w:rPr>
        <w:t xml:space="preserve">Investigados, pero inciertos o no confirmados:</w:t>
      </w:r>
    </w:p>
    <w:p>
      <w:pPr>
        <w:numPr>
          <w:ilvl w:val="0"/>
          <w:numId w:val="1045"/>
        </w:numPr>
        <w:pStyle w:val="Compact"/>
      </w:pPr>
      <w:r>
        <w:rPr>
          <w:bCs/>
          <w:b/>
        </w:rPr>
        <w:t xml:space="preserve">Inflamación del páncreas:</w:t>
      </w:r>
      <w:r>
        <w:t xml:space="preserve"> </w:t>
      </w:r>
      <w:r>
        <w:t xml:space="preserve">en LEADER no fue más frecuente con liraglutida que con placebo (Marso 2016, PMID 27295427). Un metaanálisis anterior tampoco encontró un aumento del riesgo (Alves 2012, PMID 23010561). No obstante, la ficha técnica la recoge como efecto adverso raro; ante un dolor abdominal intenso y persistente es necesaria una evaluación médica.</w:t>
      </w:r>
    </w:p>
    <w:p>
      <w:pPr>
        <w:numPr>
          <w:ilvl w:val="0"/>
          <w:numId w:val="1045"/>
        </w:numPr>
        <w:pStyle w:val="Compact"/>
      </w:pPr>
      <w:r>
        <w:rPr>
          <w:bCs/>
          <w:b/>
        </w:rPr>
        <w:t xml:space="preserve">Cáncer de tiroides:</w:t>
      </w:r>
      <w:r>
        <w:t xml:space="preserve"> </w:t>
      </w:r>
      <w:r>
        <w:t xml:space="preserve">los hallazgos en animales se describen más arriba. En el ser humano, los datos son contradictorios. Un estudio francés de casos y controles con 2562 casos encontró, tras uno a tres años de tratamiento con GLP-1, un aumento del riesgo de cáncer de tiroides en general (HR 1,58) y del raro carcinoma medular (HR 1,78) (Bezin 2023, PMID 36356111). Un metaanálisis de 50 estudios aleatorizados también mostró una señal (odds ratio 1,55) (Silverii 2025, PMID 40437949). Se discute si una parte se debe a que las personas tratadas se someten a más exploraciones. Según la ficha técnica, las personas con antecedentes personales o familiares de carcinoma medular de tiroides no deben utilizar agonistas del receptor de GLP-1.</w:t>
      </w:r>
    </w:p>
    <w:p>
      <w:pPr>
        <w:numPr>
          <w:ilvl w:val="0"/>
          <w:numId w:val="1045"/>
        </w:numPr>
        <w:pStyle w:val="Compact"/>
      </w:pPr>
      <w:r>
        <w:rPr>
          <w:bCs/>
          <w:b/>
        </w:rPr>
        <w:t xml:space="preserve">Efectos adversos psiquiátricos e ideas suicidas:</w:t>
      </w:r>
      <w:r>
        <w:t xml:space="preserve"> </w:t>
      </w:r>
      <w:r>
        <w:t xml:space="preserve">tras notificaciones aisladas, las autoridades europea y estadounidense examinaron en 2023/2024 una posible relación y no encontraron pruebas de una relación causal (estado en 2026; compruebe la información actualizada). En un estudio de cohortes escandinavo con 124.517 personas tratadas con agonistas del receptor de GLP-1, el riesgo de suicidio no estaba aumentado frente a los inhibidores de SGLT2 (HR 1,25; intervalo de confianza 0,83–1,88) (Ueda 2024, PMID 39226030). Un metaanálisis de 2026 tampoco encontró relación en los estudios aleatorizados (Choudhury 2026, PMID 41862354). La observación sigue siendo objeto de vigilancia.</w:t>
      </w:r>
    </w:p>
    <w:p>
      <w:pPr>
        <w:pStyle w:val="FirstParagraph"/>
      </w:pPr>
      <w:r>
        <w:rPr>
          <w:bCs/>
          <w:b/>
        </w:rPr>
        <w:t xml:space="preserve">Indicaciones para la práctica:</w:t>
      </w:r>
      <w:r>
        <w:t xml:space="preserve"> </w:t>
      </w:r>
      <w:r>
        <w:t xml:space="preserve">la liraglutida no está indicada durante el embarazo. Como todos los agonistas del receptor de GLP-1, ralentiza el vaciamiento gástrico, lo que puede tener importancia en las anestesias y en la absorción de otros medicamentos. Lo determinante son la ficha técnica y el seguimiento médico, también para el aumento progresivo de la dosis.</w:t>
      </w:r>
    </w:p>
    <w:bookmarkEnd w:id="159"/>
    <w:bookmarkStart w:id="160" w:name="situación-legal-1"/>
    <w:p>
      <w:pPr>
        <w:pStyle w:val="Heading3"/>
      </w:pPr>
      <w:r>
        <w:t xml:space="preserve">Situación legal</w:t>
      </w:r>
    </w:p>
    <w:p>
      <w:pPr>
        <w:numPr>
          <w:ilvl w:val="0"/>
          <w:numId w:val="1046"/>
        </w:numPr>
        <w:pStyle w:val="Compact"/>
      </w:pPr>
      <w:r>
        <w:rPr>
          <w:bCs/>
          <w:b/>
        </w:rPr>
        <w:t xml:space="preserve">UE:</w:t>
      </w:r>
      <w:r>
        <w:t xml:space="preserve"> </w:t>
      </w:r>
      <w:r>
        <w:t xml:space="preserve">Victoza está autorizado desde 2009 para el tratamiento de la diabetes tipo 2, y Saxenda desde 2015 para el control del peso en adultos y adolescentes. Ambos están sujetos a prescripción médica.</w:t>
      </w:r>
    </w:p>
    <w:p>
      <w:pPr>
        <w:numPr>
          <w:ilvl w:val="0"/>
          <w:numId w:val="1046"/>
        </w:numPr>
        <w:pStyle w:val="Compact"/>
      </w:pPr>
      <w:r>
        <w:rPr>
          <w:bCs/>
          <w:b/>
        </w:rPr>
        <w:t xml:space="preserve">Alemania:</w:t>
      </w:r>
      <w:r>
        <w:t xml:space="preserve"> </w:t>
      </w:r>
      <w:r>
        <w:t xml:space="preserve">en la diabetes, las cajas del seguro obligatorio de enfermedad financian la liraglutida. En cambio, los medicamentos para reducir peso están excluidos en principio de la financiación según el artículo 34 del Libro V del Código Social (SGB V); los asegurados suelen tener que pagar Saxenda de su bolsillo (estado en 2026; compruebe la información actualizada).</w:t>
      </w:r>
    </w:p>
    <w:p>
      <w:pPr>
        <w:numPr>
          <w:ilvl w:val="0"/>
          <w:numId w:val="1046"/>
        </w:numPr>
        <w:pStyle w:val="Compact"/>
      </w:pPr>
      <w:r>
        <w:rPr>
          <w:bCs/>
          <w:b/>
        </w:rPr>
        <w:t xml:space="preserve">Austria:</w:t>
      </w:r>
      <w:r>
        <w:t xml:space="preserve"> </w:t>
      </w:r>
      <w:r>
        <w:t xml:space="preserve">sujeta a prescripción médica; la financiación para el control del peso es limitada y está sujeta a condiciones (compruebe la información actualizada).</w:t>
      </w:r>
    </w:p>
    <w:p>
      <w:pPr>
        <w:numPr>
          <w:ilvl w:val="0"/>
          <w:numId w:val="1046"/>
        </w:numPr>
        <w:pStyle w:val="Compact"/>
      </w:pPr>
      <w:r>
        <w:rPr>
          <w:bCs/>
          <w:b/>
        </w:rPr>
        <w:t xml:space="preserve">EE. UU.:</w:t>
      </w:r>
      <w:r>
        <w:t xml:space="preserve"> </w:t>
      </w:r>
      <w:r>
        <w:t xml:space="preserve">Victoza y Saxenda autorizados; Victoza, además, para reducir el riesgo cardiovascular. Desde 2024 hay en el mercado genéricos de la forma para la diabetes, y desde 2025 también de la forma para la obesidad.</w:t>
      </w:r>
    </w:p>
    <w:p>
      <w:pPr>
        <w:numPr>
          <w:ilvl w:val="0"/>
          <w:numId w:val="1046"/>
        </w:numPr>
        <w:pStyle w:val="Compact"/>
      </w:pPr>
      <w:r>
        <w:rPr>
          <w:bCs/>
          <w:b/>
        </w:rPr>
        <w:t xml:space="preserve">Genéricos en Europa:</w:t>
      </w:r>
      <w:r>
        <w:t xml:space="preserve"> </w:t>
      </w:r>
      <w:r>
        <w:t xml:space="preserve">como la liraglutida es un péptido que puede fabricarse por síntesis o por ingeniería genética y cuya protección por patente ha expirado, también en Europa están llegando al mercado preparados de imitación. La situación varía según el país; compruebe la información actualizada.</w:t>
      </w:r>
    </w:p>
    <w:p>
      <w:pPr>
        <w:numPr>
          <w:ilvl w:val="0"/>
          <w:numId w:val="1046"/>
        </w:numPr>
        <w:pStyle w:val="Compact"/>
      </w:pPr>
      <w:r>
        <w:rPr>
          <w:bCs/>
          <w:b/>
        </w:rPr>
        <w:t xml:space="preserve">Deporte (WADA):</w:t>
      </w:r>
      <w:r>
        <w:t xml:space="preserve"> </w:t>
      </w:r>
      <w:r>
        <w:t xml:space="preserve">no figura en la lista (estado en 2026; compruebe la información actualizada).</w:t>
      </w:r>
    </w:p>
    <w:p>
      <w:pPr>
        <w:pStyle w:val="FirstParagraph"/>
      </w:pPr>
      <w:r>
        <w:t xml:space="preserve">Los genéricos convierten a la liraglutida en un caso especial dentro de la clase: es el primer principio activo GLP-1 con beneficio cardiovascular demostrado que puede abaratarse considerablemente. Esto tiene importancia sobre todo en países con presupuestos sanitarios limitados, aunque la inyección diaria y el menor efecto en comparación con la semaglutida siguen siendo inconvenientes. Más información sobre el vencimiento de patentes y los precios en la Parte V.</w:t>
      </w:r>
    </w:p>
    <w:bookmarkEnd w:id="160"/>
    <w:bookmarkStart w:id="161" w:name="estudios-en-curso-y-perspectivas-1"/>
    <w:p>
      <w:pPr>
        <w:pStyle w:val="Heading3"/>
      </w:pPr>
      <w:r>
        <w:t xml:space="preserve">Estudios en curso y perspectivas</w:t>
      </w:r>
    </w:p>
    <w:p>
      <w:pPr>
        <w:pStyle w:val="FirstParagraph"/>
      </w:pPr>
      <w:r>
        <w:rPr>
          <w:bCs/>
          <w:b/>
        </w:rPr>
        <w:t xml:space="preserve">Confirmado (estudios registrados):</w:t>
      </w:r>
      <w:r>
        <w:t xml:space="preserve"> </w:t>
      </w:r>
      <w:r>
        <w:t xml:space="preserve">apenas hay ya nuevos estudios de registro de Novo Nordisk; la investigación la llevan a cabo sobre todo hospitales y universidades. Ejemplos:</w:t>
      </w:r>
    </w:p>
    <w:p>
      <w:pPr>
        <w:numPr>
          <w:ilvl w:val="0"/>
          <w:numId w:val="1047"/>
        </w:numPr>
        <w:pStyle w:val="Compact"/>
      </w:pPr>
      <w:r>
        <w:t xml:space="preserve">Un estudio con 890 mujeres con obesidad, deseo gestacional no cumplido y síndrome de ovario poliquístico (SOP) evalúa la liraglutida antes de un tratamiento de fertilidad (NCT06742710).</w:t>
      </w:r>
    </w:p>
    <w:p>
      <w:pPr>
        <w:numPr>
          <w:ilvl w:val="0"/>
          <w:numId w:val="1047"/>
        </w:numPr>
        <w:pStyle w:val="Compact"/>
      </w:pPr>
      <w:r>
        <w:t xml:space="preserve">Un estudio de fase 3 con 260 personas mayores con diabetes investiga si la liraglutida puede prevenir el delirio tras una cirugía cardíaca (NCT06361238).</w:t>
      </w:r>
    </w:p>
    <w:p>
      <w:pPr>
        <w:numPr>
          <w:ilvl w:val="0"/>
          <w:numId w:val="1047"/>
        </w:numPr>
        <w:pStyle w:val="Compact"/>
      </w:pPr>
      <w:r>
        <w:t xml:space="preserve">En una forma hereditaria de diabetes (MODY), la liraglutida se investiga en un estudio de fase 2 (NCT07029009).</w:t>
      </w:r>
    </w:p>
    <w:p>
      <w:pPr>
        <w:numPr>
          <w:ilvl w:val="0"/>
          <w:numId w:val="1047"/>
        </w:numPr>
        <w:pStyle w:val="Compact"/>
      </w:pPr>
      <w:r>
        <w:t xml:space="preserve">Un gran estudio pragmático con 6000 participantes compara estrategias de tratamiento para prevenir enfermedades cardíacas y renales en la diabetes tipo 2 (NCT05390892).</w:t>
      </w:r>
    </w:p>
    <w:p>
      <w:pPr>
        <w:numPr>
          <w:ilvl w:val="0"/>
          <w:numId w:val="1047"/>
        </w:numPr>
        <w:pStyle w:val="Compact"/>
      </w:pPr>
      <w:r>
        <w:t xml:space="preserve">Continúa el seguimiento a largo plazo de los participantes de SCALE Kids (NCT04775082).</w:t>
      </w:r>
    </w:p>
    <w:p>
      <w:pPr>
        <w:pStyle w:val="FirstParagraph"/>
      </w:pPr>
      <w:r>
        <w:rPr>
          <w:bCs/>
          <w:b/>
        </w:rPr>
        <w:t xml:space="preserve">Valoración:</w:t>
      </w:r>
      <w:r>
        <w:t xml:space="preserve"> </w:t>
      </w:r>
      <w:r>
        <w:t xml:space="preserve">en los países ricos, la liraglutida está siendo desplazada cada vez más por principios activos semanales como la semaglutida y la tirzepatida. Sin embargo, gracias a los genéricos probablemente vivirá una segunda carrera como alternativa económica, sobre todo allí donde los fármacos más nuevos no son asequibles o no están disponibles. Científicamente sigue siendo una referencia de comparación importante.</w:t>
      </w:r>
    </w:p>
    <w:bookmarkEnd w:id="161"/>
    <w:bookmarkStart w:id="162" w:name="conclusión-1"/>
    <w:p>
      <w:pPr>
        <w:pStyle w:val="Heading3"/>
      </w:pPr>
      <w:r>
        <w:t xml:space="preserve">Conclusión</w:t>
      </w:r>
    </w:p>
    <w:p>
      <w:pPr>
        <w:pStyle w:val="FirstParagraph"/>
      </w:pPr>
      <w:r>
        <w:t xml:space="preserve">La liraglutida fue el primer principio activo GLP-1 casi idéntico al humano y el primero para el que un gran estudio demostró protección frente a eventos cardiovasculares (LEADER, 9340 participantes, reducción relativa del riesgo del 13 %). Como Saxenda, fue el primer medicamento GLP-1 para la reducción de peso; de media, los participantes sin diabetes perdieron unos 8 kg en un año. En la comparación directa es superior a la exenatida, equivalente a la dulaglutida y claramente inferior a la semaglutida. Los efectos adversos más frecuentes son las molestias gastrointestinales, a los que se suma un aumento del riesgo de problemas de la vesícula biliar; la cuestión del cáncer de tiroides no está definitivamente aclarada. Con el fin de la protección por patente se convierte en la primera opción económica de la clase; aun así, el tratamiento debe estar en manos médicas.</w:t>
      </w:r>
    </w:p>
    <w:bookmarkEnd w:id="162"/>
    <w:bookmarkEnd w:id="163"/>
    <w:bookmarkStart w:id="180" w:name="dulaglutida"/>
    <w:p>
      <w:pPr>
        <w:pStyle w:val="Heading2"/>
      </w:pPr>
      <w:r>
        <w:t xml:space="preserve">Dulaglutida</w:t>
      </w:r>
    </w:p>
    <w:bookmarkStart w:id="164" w:name="ficha-2"/>
    <w:p>
      <w:pPr>
        <w:pStyle w:val="Heading3"/>
      </w:pPr>
      <w:r>
        <w:t xml:space="preserve">Ficha</w:t>
      </w:r>
    </w:p>
    <w:p>
      <w:pPr>
        <w:numPr>
          <w:ilvl w:val="0"/>
          <w:numId w:val="1048"/>
        </w:numPr>
        <w:pStyle w:val="Compact"/>
      </w:pPr>
      <w:r>
        <w:rPr>
          <w:bCs/>
          <w:b/>
        </w:rPr>
        <w:t xml:space="preserve">Tipo/estructura:</w:t>
      </w:r>
      <w:r>
        <w:t xml:space="preserve"> </w:t>
      </w:r>
      <w:r>
        <w:t xml:space="preserve">proteína de fusión. Dos cadenas de GLP-1 ligeramente modificadas están acopladas mediante un breve espaciador a la parte constante (fragmento Fc) de un anticuerpo humano de tipo IgG4. Por tanto, la dulaglutida es muchas veces más grande que la liraglutida; en sentido estricto, más una proteína que un péptido pequeño.</w:t>
      </w:r>
    </w:p>
    <w:p>
      <w:pPr>
        <w:numPr>
          <w:ilvl w:val="0"/>
          <w:numId w:val="1048"/>
        </w:numPr>
        <w:pStyle w:val="Compact"/>
      </w:pPr>
      <w:r>
        <w:rPr>
          <w:bCs/>
          <w:b/>
        </w:rPr>
        <w:t xml:space="preserve">Origen:</w:t>
      </w:r>
      <w:r>
        <w:t xml:space="preserve"> </w:t>
      </w:r>
      <w:r>
        <w:t xml:space="preserve">desarrollada por Eli Lilly, producida por ingeniería genética en células de mamífero (Glaesner 2010, PMID 20503261).</w:t>
      </w:r>
    </w:p>
    <w:p>
      <w:pPr>
        <w:numPr>
          <w:ilvl w:val="0"/>
          <w:numId w:val="1048"/>
        </w:numPr>
        <w:pStyle w:val="Compact"/>
      </w:pPr>
      <w:r>
        <w:rPr>
          <w:bCs/>
          <w:b/>
        </w:rPr>
        <w:t xml:space="preserve">Principio de acción:</w:t>
      </w:r>
      <w:r>
        <w:t xml:space="preserve"> </w:t>
      </w:r>
      <w:r>
        <w:t xml:space="preserve">agonista del receptor de GLP-1. La parte de anticuerpo la protege de la degradación y de la eliminación renal; basta con una inyección semanal.</w:t>
      </w:r>
    </w:p>
    <w:p>
      <w:pPr>
        <w:numPr>
          <w:ilvl w:val="0"/>
          <w:numId w:val="1048"/>
        </w:numPr>
        <w:pStyle w:val="Compact"/>
      </w:pPr>
      <w:r>
        <w:rPr>
          <w:bCs/>
          <w:b/>
        </w:rPr>
        <w:t xml:space="preserve">Preparado:</w:t>
      </w:r>
      <w:r>
        <w:t xml:space="preserve"> </w:t>
      </w:r>
      <w:r>
        <w:t xml:space="preserve">Trulicity (pluma precargada, semanal; concentraciones autorizadas de hasta 4,5 mg).</w:t>
      </w:r>
    </w:p>
    <w:p>
      <w:pPr>
        <w:numPr>
          <w:ilvl w:val="0"/>
          <w:numId w:val="1048"/>
        </w:numPr>
        <w:pStyle w:val="Compact"/>
      </w:pPr>
      <w:r>
        <w:rPr>
          <w:bCs/>
          <w:b/>
        </w:rPr>
        <w:t xml:space="preserve">Autorización UE:</w:t>
      </w:r>
      <w:r>
        <w:t xml:space="preserve"> </w:t>
      </w:r>
      <w:r>
        <w:t xml:space="preserve">sí, diabetes tipo 2 en adultos y adolescentes a partir de 10 años. Sin autorización para la reducción de peso.</w:t>
      </w:r>
    </w:p>
    <w:p>
      <w:pPr>
        <w:numPr>
          <w:ilvl w:val="0"/>
          <w:numId w:val="1048"/>
        </w:numPr>
        <w:pStyle w:val="Compact"/>
      </w:pPr>
      <w:r>
        <w:rPr>
          <w:bCs/>
          <w:b/>
        </w:rPr>
        <w:t xml:space="preserve">Autorización EE. UU.:</w:t>
      </w:r>
      <w:r>
        <w:t xml:space="preserve"> </w:t>
      </w:r>
      <w:r>
        <w:t xml:space="preserve">sí, diabetes tipo 2 a partir de 10 años y reducción del riesgo cardiovascular en adultos con diabetes tipo 2.</w:t>
      </w:r>
    </w:p>
    <w:p>
      <w:pPr>
        <w:numPr>
          <w:ilvl w:val="0"/>
          <w:numId w:val="1048"/>
        </w:numPr>
        <w:pStyle w:val="Compact"/>
      </w:pPr>
      <w:r>
        <w:rPr>
          <w:bCs/>
          <w:b/>
        </w:rPr>
        <w:t xml:space="preserve">WADA:</w:t>
      </w:r>
      <w:r>
        <w:t xml:space="preserve"> </w:t>
      </w:r>
      <w:r>
        <w:t xml:space="preserve">no figura en la lista (estado en 2026; compruebe la información actualizada).</w:t>
      </w:r>
    </w:p>
    <w:p>
      <w:pPr>
        <w:numPr>
          <w:ilvl w:val="0"/>
          <w:numId w:val="1048"/>
        </w:numPr>
        <w:pStyle w:val="Compact"/>
      </w:pPr>
      <w:r>
        <w:rPr>
          <w:bCs/>
          <w:b/>
        </w:rPr>
        <w:t xml:space="preserve">Nivel de evidencia:</w:t>
      </w:r>
      <w:r>
        <w:t xml:space="preserve"> </w:t>
      </w:r>
      <w:r>
        <w:rPr>
          <w:bCs/>
          <w:b/>
        </w:rPr>
        <w:t xml:space="preserve">A</w:t>
      </w:r>
      <w:r>
        <w:t xml:space="preserve"> </w:t>
      </w:r>
      <w:r>
        <w:t xml:space="preserve">– programa de estudios AWARD con más de diez estudios aleatorizados de fase 3, estudio de resultados REWIND, estudio en adolescentes.</w:t>
      </w:r>
    </w:p>
    <w:bookmarkEnd w:id="164"/>
    <w:bookmarkStart w:id="165" w:name="cómo-se-supone-que-actúa-2"/>
    <w:p>
      <w:pPr>
        <w:pStyle w:val="Heading3"/>
      </w:pPr>
      <w:r>
        <w:t xml:space="preserve">Cómo se supone que actúa</w:t>
      </w:r>
    </w:p>
    <w:p>
      <w:pPr>
        <w:pStyle w:val="FirstParagraph"/>
      </w:pPr>
      <w:r>
        <w:t xml:space="preserve">La dulaglutida actúa sobre el receptor de GLP-1 igual que la exenatida, la liraglutida y la semaglutida: aumenta la secreción de insulina dependiente de la glucosa, frena la hormona glucagón, ralentiza el vaciamiento gástrico y atenúa el apetito. El mecanismo básico se explica en el capítulo Exenatida.</w:t>
      </w:r>
    </w:p>
    <w:p>
      <w:pPr>
        <w:pStyle w:val="BodyText"/>
      </w:pPr>
      <w:r>
        <w:t xml:space="preserve">La diferencia está en el «envoltorio». La liraglutida y la semaglutida se unen a las proteínas plasmáticas mediante un ácido graso. Lilly siguió otro camino y acopló la hormona al fragmento Fc de un anticuerpo. Este componente es conocido en biotecnología: hace que las moléculas sean tan grandes que los riñones ya no pueden filtrarlas y aprovecha una vía de reciclaje del propio organismo que protege a los anticuerpos de la degradación. En ratas y macacos cangrejeros, la semivida del principio activo fue de 1,5 a 2 días; en el ser humano es más larga y permite la administración semanal (Glaesner 2010, PMID 20503261).</w:t>
      </w:r>
    </w:p>
    <w:p>
      <w:pPr>
        <w:pStyle w:val="BodyText"/>
      </w:pPr>
      <w:r>
        <w:t xml:space="preserve">En las propias cadenas de GLP-1 se sustituyeron algunos aminoácidos, en parte para impedir la degradación por la enzima DPP-4 y en parte para reducir la formación de anticuerpos contra el principio activo. De hecho, en nueve estudios solo el 1,6 % de las personas tratadas con dulaglutida formaron anticuerpos contra el medicamento (Milicevic 2016, PMID 26847401), bastante menos que con exenatida.</w:t>
      </w:r>
    </w:p>
    <w:p>
      <w:pPr>
        <w:pStyle w:val="BodyText"/>
      </w:pPr>
      <w:r>
        <w:t xml:space="preserve">Un inconveniente del tamaño: es probable que la molécula llegue peor a las regiones cerebrales que regulan el apetito. Esto podría explicar por qué la dulaglutida, con una reducción de la glucemia comparable, provoca menos pérdida de peso que la semaglutida. Esta explicación es plausible, pero no está demostrada.</w:t>
      </w:r>
    </w:p>
    <w:bookmarkEnd w:id="165"/>
    <w:bookmarkStart w:id="174" w:name="estudios-en-humanos-2"/>
    <w:p>
      <w:pPr>
        <w:pStyle w:val="Heading3"/>
      </w:pPr>
      <w:r>
        <w:t xml:space="preserve">Estudios en humanos</w:t>
      </w:r>
    </w:p>
    <w:p>
      <w:pPr>
        <w:pStyle w:val="FirstParagraph"/>
      </w:pPr>
      <w:r>
        <w:t xml:space="preserve">La consulta de PubMed analizada para este libro (término de búsqueda «dulaglutide» en el título o el resumen, fecha de consulta octubre de 2026) arrojó 158 estudios en seres humanos; ClinicalTrials.gov recoge 143 registros. La cifra es menor que en el caso de la liraglutida o la semaglutida, pero los estudios están planteados de forma especialmente sistemática: el programa AWARD (Assessment of Weekly AdministRation of LY2189265 in Diabetes) evaluó la dulaglutida frente a casi todos los tratamientos habituales de la diabetes. Llama la atención, además, la frecuencia con que la propia dulaglutida sirve de medicamento comparador para principios activos más recientes: desde la semaglutida y la tirzepatida hasta nuevos desarrollos chinos.</w:t>
      </w:r>
    </w:p>
    <w:bookmarkStart w:id="166" w:name="el-programa-award"/>
    <w:p>
      <w:pPr>
        <w:pStyle w:val="Heading4"/>
      </w:pPr>
      <w:r>
        <w:t xml:space="preserve">El programa AWARD</w:t>
      </w:r>
    </w:p>
    <w:p>
      <w:pPr>
        <w:pStyle w:val="FirstParagraph"/>
      </w:pPr>
      <w:r>
        <w:t xml:space="preserve">En la mayoría de los estudios AWARD se evaluaron las dosis de 0,75 y 1,5 mg semanales. La tabla muestra en cada caso el resultado de la dosis más alta.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 (dulaglutida 1,5 mg frente a comparador)</w:t>
            </w:r>
          </w:p>
        </w:tc>
      </w:tr>
      <w:tr>
        <w:tc>
          <w:tcPr/>
          <w:p>
            <w:pPr>
              <w:pStyle w:val="Compact"/>
              <w:jc w:val="left"/>
            </w:pPr>
            <w:r>
              <w:t xml:space="preserve">AWARD-1 (Wysham 2014), PMID 24879836</w:t>
            </w:r>
          </w:p>
        </w:tc>
        <w:tc>
          <w:tcPr/>
          <w:p>
            <w:pPr>
              <w:pStyle w:val="Compact"/>
              <w:jc w:val="left"/>
            </w:pPr>
            <w:r>
              <w:t xml:space="preserve">diabetes tipo 2 con metformina y pioglitazona; frente a exenatida dos veces al día y placebo</w:t>
            </w:r>
          </w:p>
        </w:tc>
        <w:tc>
          <w:tcPr/>
          <w:p>
            <w:pPr>
              <w:pStyle w:val="Compact"/>
              <w:jc w:val="left"/>
            </w:pPr>
            <w:r>
              <w:t xml:space="preserve">52 semanas (variable principal a las 26)</w:t>
            </w:r>
          </w:p>
        </w:tc>
        <w:tc>
          <w:tcPr/>
          <w:p>
            <w:pPr>
              <w:pStyle w:val="Compact"/>
              <w:jc w:val="left"/>
            </w:pPr>
            <w:r>
              <w:t xml:space="preserve">HbA1c −1,51 frente a −0,99 (exenatida) frente a −0,46 (placebo)</w:t>
            </w:r>
          </w:p>
        </w:tc>
      </w:tr>
      <w:tr>
        <w:tc>
          <w:tcPr/>
          <w:p>
            <w:pPr>
              <w:pStyle w:val="Compact"/>
              <w:jc w:val="left"/>
            </w:pPr>
            <w:r>
              <w:t xml:space="preserve">AWARD-2 (Giorgino 2015), PMID 26089386</w:t>
            </w:r>
          </w:p>
        </w:tc>
        <w:tc>
          <w:tcPr/>
          <w:p>
            <w:pPr>
              <w:pStyle w:val="Compact"/>
              <w:jc w:val="left"/>
            </w:pPr>
            <w:r>
              <w:t xml:space="preserve">810 personas con metformina y glimepirida; abierto frente a insulina glargina</w:t>
            </w:r>
          </w:p>
        </w:tc>
        <w:tc>
          <w:tcPr/>
          <w:p>
            <w:pPr>
              <w:pStyle w:val="Compact"/>
              <w:jc w:val="left"/>
            </w:pPr>
            <w:r>
              <w:t xml:space="preserve">78 semanas</w:t>
            </w:r>
          </w:p>
        </w:tc>
        <w:tc>
          <w:tcPr/>
          <w:p>
            <w:pPr>
              <w:pStyle w:val="Compact"/>
              <w:jc w:val="left"/>
            </w:pPr>
            <w:r>
              <w:t xml:space="preserve">HbA1c −1,08 frente a −0,63; el peso disminuyó frente a aumentó</w:t>
            </w:r>
          </w:p>
        </w:tc>
      </w:tr>
      <w:tr>
        <w:tc>
          <w:tcPr/>
          <w:p>
            <w:pPr>
              <w:pStyle w:val="Compact"/>
              <w:jc w:val="left"/>
            </w:pPr>
            <w:r>
              <w:t xml:space="preserve">AWARD-3 (Umpierrez 2014), PMID 24842985</w:t>
            </w:r>
          </w:p>
        </w:tc>
        <w:tc>
          <w:tcPr/>
          <w:p>
            <w:pPr>
              <w:pStyle w:val="Compact"/>
              <w:jc w:val="left"/>
            </w:pPr>
            <w:r>
              <w:t xml:space="preserve">diabetes tipo 2 temprana, monoterapia; doble ciego frente a metformina</w:t>
            </w:r>
          </w:p>
        </w:tc>
        <w:tc>
          <w:tcPr/>
          <w:p>
            <w:pPr>
              <w:pStyle w:val="Compact"/>
              <w:jc w:val="left"/>
            </w:pPr>
            <w:r>
              <w:t xml:space="preserve">52 semanas (variable principal a las 26)</w:t>
            </w:r>
          </w:p>
        </w:tc>
        <w:tc>
          <w:tcPr/>
          <w:p>
            <w:pPr>
              <w:pStyle w:val="Compact"/>
              <w:jc w:val="left"/>
            </w:pPr>
            <w:r>
              <w:t xml:space="preserve">HbA1c −0,78 frente a −0,56</w:t>
            </w:r>
          </w:p>
        </w:tc>
      </w:tr>
      <w:tr>
        <w:tc>
          <w:tcPr/>
          <w:p>
            <w:pPr>
              <w:pStyle w:val="Compact"/>
              <w:jc w:val="left"/>
            </w:pPr>
            <w:r>
              <w:t xml:space="preserve">AWARD-4 (Blonde 2015), PMID 26009229</w:t>
            </w:r>
          </w:p>
        </w:tc>
        <w:tc>
          <w:tcPr/>
          <w:p>
            <w:pPr>
              <w:pStyle w:val="Compact"/>
              <w:jc w:val="left"/>
            </w:pPr>
            <w:r>
              <w:t xml:space="preserve">884 personas con insulina prandial; abierto frente a insulina glargina</w:t>
            </w:r>
          </w:p>
        </w:tc>
        <w:tc>
          <w:tcPr/>
          <w:p>
            <w:pPr>
              <w:pStyle w:val="Compact"/>
              <w:jc w:val="left"/>
            </w:pPr>
            <w:r>
              <w:t xml:space="preserve">52 semanas (variable principal a las 26)</w:t>
            </w:r>
          </w:p>
        </w:tc>
        <w:tc>
          <w:tcPr/>
          <w:p>
            <w:pPr>
              <w:pStyle w:val="Compact"/>
              <w:jc w:val="left"/>
            </w:pPr>
            <w:r>
              <w:t xml:space="preserve">HbA1c −1,64 frente a −1,41</w:t>
            </w:r>
          </w:p>
        </w:tc>
      </w:tr>
      <w:tr>
        <w:tc>
          <w:tcPr/>
          <w:p>
            <w:pPr>
              <w:pStyle w:val="Compact"/>
              <w:jc w:val="left"/>
            </w:pPr>
            <w:r>
              <w:t xml:space="preserve">AWARD-5 (Nauck 2014), PMID 24742660</w:t>
            </w:r>
          </w:p>
        </w:tc>
        <w:tc>
          <w:tcPr/>
          <w:p>
            <w:pPr>
              <w:pStyle w:val="Compact"/>
              <w:jc w:val="left"/>
            </w:pPr>
            <w:r>
              <w:t xml:space="preserve">1098 personas con metformina; frente a sitagliptina</w:t>
            </w:r>
          </w:p>
        </w:tc>
        <w:tc>
          <w:tcPr/>
          <w:p>
            <w:pPr>
              <w:pStyle w:val="Compact"/>
              <w:jc w:val="left"/>
            </w:pPr>
            <w:r>
              <w:t xml:space="preserve">52 semanas</w:t>
            </w:r>
          </w:p>
        </w:tc>
        <w:tc>
          <w:tcPr/>
          <w:p>
            <w:pPr>
              <w:pStyle w:val="Compact"/>
              <w:jc w:val="left"/>
            </w:pPr>
            <w:r>
              <w:t xml:space="preserve">HbA1c −1,10 frente a −0,39; peso −3,03 frente a −1,53 kg</w:t>
            </w:r>
          </w:p>
        </w:tc>
      </w:tr>
      <w:tr>
        <w:tc>
          <w:tcPr/>
          <w:p>
            <w:pPr>
              <w:pStyle w:val="Compact"/>
              <w:jc w:val="left"/>
            </w:pPr>
            <w:r>
              <w:t xml:space="preserve">AWARD-6 (Dungan 2014), PMID 25018121</w:t>
            </w:r>
          </w:p>
        </w:tc>
        <w:tc>
          <w:tcPr/>
          <w:p>
            <w:pPr>
              <w:pStyle w:val="Compact"/>
              <w:jc w:val="left"/>
            </w:pPr>
            <w:r>
              <w:t xml:space="preserve">599 personas con metformina; abierto frente a liraglutida</w:t>
            </w:r>
          </w:p>
        </w:tc>
        <w:tc>
          <w:tcPr/>
          <w:p>
            <w:pPr>
              <w:pStyle w:val="Compact"/>
              <w:jc w:val="left"/>
            </w:pPr>
            <w:r>
              <w:t xml:space="preserve">26 semanas</w:t>
            </w:r>
          </w:p>
        </w:tc>
        <w:tc>
          <w:tcPr/>
          <w:p>
            <w:pPr>
              <w:pStyle w:val="Compact"/>
              <w:jc w:val="left"/>
            </w:pPr>
            <w:r>
              <w:t xml:space="preserve">HbA1c −1,42 frente a −1,36; equivalentes</w:t>
            </w:r>
          </w:p>
        </w:tc>
      </w:tr>
      <w:tr>
        <w:tc>
          <w:tcPr/>
          <w:p>
            <w:pPr>
              <w:pStyle w:val="Compact"/>
              <w:jc w:val="left"/>
            </w:pPr>
            <w:r>
              <w:t xml:space="preserve">AWARD-7 (Tuttle 2018), PMID 29910024</w:t>
            </w:r>
          </w:p>
        </w:tc>
        <w:tc>
          <w:tcPr/>
          <w:p>
            <w:pPr>
              <w:pStyle w:val="Compact"/>
              <w:jc w:val="left"/>
            </w:pPr>
            <w:r>
              <w:t xml:space="preserve">577 personas con enfermedad renal crónica moderada a grave; frente a insulina glargina</w:t>
            </w:r>
          </w:p>
        </w:tc>
        <w:tc>
          <w:tcPr/>
          <w:p>
            <w:pPr>
              <w:pStyle w:val="Compact"/>
              <w:jc w:val="left"/>
            </w:pPr>
            <w:r>
              <w:t xml:space="preserve">52 semanas</w:t>
            </w:r>
          </w:p>
        </w:tc>
        <w:tc>
          <w:tcPr/>
          <w:p>
            <w:pPr>
              <w:pStyle w:val="Compact"/>
              <w:jc w:val="left"/>
            </w:pPr>
            <w:r>
              <w:t xml:space="preserve">HbA1c −1,2 frente a −1,1; función renal mejor conservada a las 52 semanas</w:t>
            </w:r>
          </w:p>
        </w:tc>
      </w:tr>
      <w:tr>
        <w:tc>
          <w:tcPr/>
          <w:p>
            <w:pPr>
              <w:pStyle w:val="Compact"/>
              <w:jc w:val="left"/>
            </w:pPr>
            <w:r>
              <w:t xml:space="preserve">AWARD-8 (Dungan 2016), PMID 26799540</w:t>
            </w:r>
          </w:p>
        </w:tc>
        <w:tc>
          <w:tcPr/>
          <w:p>
            <w:pPr>
              <w:pStyle w:val="Compact"/>
              <w:jc w:val="left"/>
            </w:pPr>
            <w:r>
              <w:t xml:space="preserve">diabetes tipo 2 con glimepirida; frente a placebo</w:t>
            </w:r>
          </w:p>
        </w:tc>
        <w:tc>
          <w:tcPr/>
          <w:p>
            <w:pPr>
              <w:pStyle w:val="Compact"/>
              <w:jc w:val="left"/>
            </w:pPr>
            <w:r>
              <w:t xml:space="preserve">24 semanas</w:t>
            </w:r>
          </w:p>
        </w:tc>
        <w:tc>
          <w:tcPr/>
          <w:p>
            <w:pPr>
              <w:pStyle w:val="Compact"/>
              <w:jc w:val="left"/>
            </w:pPr>
            <w:r>
              <w:t xml:space="preserve">diferencia de HbA1c −1,3 puntos porcentuales; más hipoglucemias</w:t>
            </w:r>
          </w:p>
        </w:tc>
      </w:tr>
      <w:tr>
        <w:tc>
          <w:tcPr/>
          <w:p>
            <w:pPr>
              <w:pStyle w:val="Compact"/>
              <w:jc w:val="left"/>
            </w:pPr>
            <w:r>
              <w:t xml:space="preserve">AWARD-10 (Ludvik 2018), PMID 29483060</w:t>
            </w:r>
          </w:p>
        </w:tc>
        <w:tc>
          <w:tcPr/>
          <w:p>
            <w:pPr>
              <w:pStyle w:val="Compact"/>
              <w:jc w:val="left"/>
            </w:pPr>
            <w:r>
              <w:t xml:space="preserve">424 personas con inhibidor de SGLT2; frente a placebo</w:t>
            </w:r>
          </w:p>
        </w:tc>
        <w:tc>
          <w:tcPr/>
          <w:p>
            <w:pPr>
              <w:pStyle w:val="Compact"/>
              <w:jc w:val="left"/>
            </w:pPr>
            <w:r>
              <w:t xml:space="preserve">24 semanas</w:t>
            </w:r>
          </w:p>
        </w:tc>
        <w:tc>
          <w:tcPr/>
          <w:p>
            <w:pPr>
              <w:pStyle w:val="Compact"/>
              <w:jc w:val="left"/>
            </w:pPr>
            <w:r>
              <w:t xml:space="preserve">HbA1c −1,34 frente a −0,54</w:t>
            </w:r>
          </w:p>
        </w:tc>
      </w:tr>
      <w:tr>
        <w:tc>
          <w:tcPr/>
          <w:p>
            <w:pPr>
              <w:pStyle w:val="Compact"/>
              <w:jc w:val="left"/>
            </w:pPr>
            <w:r>
              <w:t xml:space="preserve">AWARD-11 (Frias 2021), PMID 33397768</w:t>
            </w:r>
          </w:p>
        </w:tc>
        <w:tc>
          <w:tcPr/>
          <w:p>
            <w:pPr>
              <w:pStyle w:val="Compact"/>
              <w:jc w:val="left"/>
            </w:pPr>
            <w:r>
              <w:t xml:space="preserve">1842 personas con metformina; 4,5 y 3,0 mg frente a 1,5 mg</w:t>
            </w:r>
          </w:p>
        </w:tc>
        <w:tc>
          <w:tcPr/>
          <w:p>
            <w:pPr>
              <w:pStyle w:val="Compact"/>
              <w:jc w:val="left"/>
            </w:pPr>
            <w:r>
              <w:t xml:space="preserve">36 semanas</w:t>
            </w:r>
          </w:p>
        </w:tc>
        <w:tc>
          <w:tcPr/>
          <w:p>
            <w:pPr>
              <w:pStyle w:val="Compact"/>
              <w:jc w:val="left"/>
            </w:pPr>
            <w:r>
              <w:t xml:space="preserve">HbA1c −1,77 (4,5 mg) frente a −1,54; peso −4,6 frente a −3,0 kg</w:t>
            </w:r>
          </w:p>
        </w:tc>
      </w:tr>
    </w:tbl>
    <w:p>
      <w:pPr>
        <w:pStyle w:val="BodyText"/>
      </w:pPr>
      <w:r>
        <w:t xml:space="preserve">Algunos resultados merecen una explicación:</w:t>
      </w:r>
    </w:p>
    <w:p>
      <w:pPr>
        <w:pStyle w:val="BodyText"/>
      </w:pPr>
      <w:r>
        <w:rPr>
          <w:bCs/>
          <w:b/>
        </w:rPr>
        <w:t xml:space="preserve">Frente a la insulina</w:t>
      </w:r>
      <w:r>
        <w:t xml:space="preserve"> </w:t>
      </w:r>
      <w:r>
        <w:t xml:space="preserve">(AWARD-2 y AWARD-4), la dulaglutida redujo algo más la glucemia a largo plazo, con menos hipoglucemias y sin aumento de peso (Giorgino 2015, PMID 26089386; Blonde 2015, PMID 26009229). No obstante, en AWARD-2 la dosis de insulina no se aumentó de forma sistemática; la dosis final media fue de 29 unidades. Una insulina titulada con más decisión quizá habría obtenido mejores resultados. Las náuseas aparecieron con dulaglutida 1,5 mg en el 15,4 % y con insulina en el 1,5 %.</w:t>
      </w:r>
    </w:p>
    <w:p>
      <w:pPr>
        <w:pStyle w:val="BodyText"/>
      </w:pPr>
      <w:r>
        <w:rPr>
          <w:bCs/>
          <w:b/>
        </w:rPr>
        <w:t xml:space="preserve">En la enfermedad renal</w:t>
      </w:r>
      <w:r>
        <w:t xml:space="preserve"> </w:t>
      </w:r>
      <w:r>
        <w:t xml:space="preserve">(AWARD-7), el resultado es especialmente interesante: la glucemia disminuyó en la misma medida que con insulina, pero la función renal estimada (FGe) era más alta con dulaglutida a las 52 semanas: 34,0 frente a 31,3 ml/min por 1,73 m² (Tuttle 2018, PMID 29910024). La excreción de proteínas en la orina no difirió significativamente. Es un indicio, pero no una prueba, de protección renal.</w:t>
      </w:r>
    </w:p>
    <w:p>
      <w:pPr>
        <w:pStyle w:val="BodyText"/>
      </w:pPr>
      <w:r>
        <w:rPr>
          <w:bCs/>
          <w:b/>
        </w:rPr>
        <w:t xml:space="preserve">Con una sulfonilurea</w:t>
      </w:r>
      <w:r>
        <w:t xml:space="preserve"> </w:t>
      </w:r>
      <w:r>
        <w:t xml:space="preserve">(AWARD-8) se ve la otra cara: la dulaglutida redujo la HbA1c 1,3 puntos porcentuales más que el placebo, y el 55,3 % frente al 18,9 % alcanzó un valor inferior al 7 %. Pero las hipoglucemias fueron claramente más frecuentes (2,37 frente a 0,07 episodios por persona y año), porque la sulfonilurea libera insulina con independencia de la glucemia (Dungan 2016, PMID 26799540). No se produjeron hipoglucemias graves.</w:t>
      </w:r>
    </w:p>
    <w:p>
      <w:pPr>
        <w:pStyle w:val="BodyText"/>
      </w:pPr>
      <w:r>
        <w:rPr>
          <w:bCs/>
          <w:b/>
        </w:rPr>
        <w:t xml:space="preserve">Dosis más altas</w:t>
      </w:r>
      <w:r>
        <w:t xml:space="preserve"> </w:t>
      </w:r>
      <w:r>
        <w:t xml:space="preserve">(AWARD-11): para estar a la altura de la semaglutida, Lilly evaluó 3,0 y 4,5 mg. La dosis más alta redujo la HbA1c otros 0,24 puntos porcentuales y el peso otros 1,6 kg frente a 1,5 mg (Frias 2021, PMID 33397768). Las náuseas aumentaron ligeramente (16,4 % frente a 13,4 %), al igual que los vómitos (9,3 % frente a 5,6 %). La ganancia es medible, pero limitada.</w:t>
      </w:r>
    </w:p>
    <w:bookmarkEnd w:id="166"/>
    <w:bookmarkStart w:id="167" w:name="X20df5d0370ec577a75a04b5aaa39ddf0104f5cd"/>
    <w:p>
      <w:pPr>
        <w:pStyle w:val="Heading4"/>
      </w:pPr>
      <w:r>
        <w:t xml:space="preserve">Comparaciones directas dentro de la clase GLP-1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Diseño</w:t>
            </w:r>
          </w:p>
        </w:tc>
        <w:tc>
          <w:tcPr/>
          <w:p>
            <w:pPr>
              <w:pStyle w:val="Compact"/>
              <w:jc w:val="left"/>
            </w:pPr>
            <w:r>
              <w:t xml:space="preserve">Duración</w:t>
            </w:r>
          </w:p>
        </w:tc>
        <w:tc>
          <w:tcPr/>
          <w:p>
            <w:pPr>
              <w:pStyle w:val="Compact"/>
              <w:jc w:val="left"/>
            </w:pPr>
            <w:r>
              <w:t xml:space="preserve">Resultado (dulaglutida frente a comparador)</w:t>
            </w:r>
          </w:p>
        </w:tc>
      </w:tr>
      <w:tr>
        <w:tc>
          <w:tcPr/>
          <w:p>
            <w:pPr>
              <w:pStyle w:val="Compact"/>
              <w:jc w:val="left"/>
            </w:pPr>
            <w:r>
              <w:t xml:space="preserve">AWARD-1 (Wysham 2014), PMID 24879836</w:t>
            </w:r>
          </w:p>
        </w:tc>
        <w:tc>
          <w:tcPr/>
          <w:p>
            <w:pPr>
              <w:pStyle w:val="Compact"/>
              <w:jc w:val="left"/>
            </w:pPr>
            <w:r>
              <w:t xml:space="preserve">frente a exenatida dos veces al día</w:t>
            </w:r>
          </w:p>
        </w:tc>
        <w:tc>
          <w:tcPr/>
          <w:p>
            <w:pPr>
              <w:pStyle w:val="Compact"/>
              <w:jc w:val="left"/>
            </w:pPr>
            <w:r>
              <w:t xml:space="preserve">26 semanas</w:t>
            </w:r>
          </w:p>
        </w:tc>
        <w:tc>
          <w:tcPr/>
          <w:p>
            <w:pPr>
              <w:pStyle w:val="Compact"/>
              <w:jc w:val="left"/>
            </w:pPr>
            <w:r>
              <w:t xml:space="preserve">HbA1c −1,51 frente a −0,99; menos hipoglucemias</w:t>
            </w:r>
          </w:p>
        </w:tc>
      </w:tr>
      <w:tr>
        <w:tc>
          <w:tcPr/>
          <w:p>
            <w:pPr>
              <w:pStyle w:val="Compact"/>
              <w:jc w:val="left"/>
            </w:pPr>
            <w:r>
              <w:t xml:space="preserve">AWARD-6 (Dungan 2014), PMID 25018121</w:t>
            </w:r>
          </w:p>
        </w:tc>
        <w:tc>
          <w:tcPr/>
          <w:p>
            <w:pPr>
              <w:pStyle w:val="Compact"/>
              <w:jc w:val="left"/>
            </w:pPr>
            <w:r>
              <w:t xml:space="preserve">599 personas, frente a liraglutida 1,8 mg diaria</w:t>
            </w:r>
          </w:p>
        </w:tc>
        <w:tc>
          <w:tcPr/>
          <w:p>
            <w:pPr>
              <w:pStyle w:val="Compact"/>
              <w:jc w:val="left"/>
            </w:pPr>
            <w:r>
              <w:t xml:space="preserve">26 semanas</w:t>
            </w:r>
          </w:p>
        </w:tc>
        <w:tc>
          <w:tcPr/>
          <w:p>
            <w:pPr>
              <w:pStyle w:val="Compact"/>
              <w:jc w:val="left"/>
            </w:pPr>
            <w:r>
              <w:t xml:space="preserve">HbA1c −1,42 frente a −1,36; náuseas 20 % frente a 18 %</w:t>
            </w:r>
          </w:p>
        </w:tc>
      </w:tr>
      <w:tr>
        <w:tc>
          <w:tcPr/>
          <w:p>
            <w:pPr>
              <w:pStyle w:val="Compact"/>
              <w:jc w:val="left"/>
            </w:pPr>
            <w:r>
              <w:t xml:space="preserve">SUSTAIN 7 (Pratley 2018), PMID 29397376</w:t>
            </w:r>
          </w:p>
        </w:tc>
        <w:tc>
          <w:tcPr/>
          <w:p>
            <w:pPr>
              <w:pStyle w:val="Compact"/>
              <w:jc w:val="left"/>
            </w:pPr>
            <w:r>
              <w:t xml:space="preserve">1201 personas, dulaglutida 0,75/1,5 mg frente a semaglutida 0,5/1,0 mg</w:t>
            </w:r>
          </w:p>
        </w:tc>
        <w:tc>
          <w:tcPr/>
          <w:p>
            <w:pPr>
              <w:pStyle w:val="Compact"/>
              <w:jc w:val="left"/>
            </w:pPr>
            <w:r>
              <w:t xml:space="preserve">40 semanas</w:t>
            </w:r>
          </w:p>
        </w:tc>
        <w:tc>
          <w:tcPr/>
          <w:p>
            <w:pPr>
              <w:pStyle w:val="Compact"/>
              <w:jc w:val="left"/>
            </w:pPr>
            <w:r>
              <w:t xml:space="preserve">HbA1c −1,4 frente a −1,8 (dosis altas); peso −3,0 frente a −6,5 kg</w:t>
            </w:r>
          </w:p>
        </w:tc>
      </w:tr>
    </w:tbl>
    <w:p>
      <w:pPr>
        <w:pStyle w:val="BodyText"/>
      </w:pPr>
      <w:r>
        <w:t xml:space="preserve">La clasificación es clara. La dulaglutida fue claramente superior a la exenatida dos veces al día (Wysham 2014, PMID 24879836) y equivalente a la liraglutida (Dungan 2014, PMID 25018121). En AWARD-6 fue así el primer agonista semanal del receptor de GLP-1 que, en la comparación directa, se mantuvo a la altura de la liraglutida, el estándar de entonces, con muchas menos inyecciones.</w:t>
      </w:r>
    </w:p>
    <w:p>
      <w:pPr>
        <w:pStyle w:val="BodyText"/>
      </w:pPr>
      <w:r>
        <w:t xml:space="preserve">Frente a la semaglutida, la dulaglutida perdió en SUSTAIN 7 (Pratley 2018, PMID 29397376) en ambos niveles de dosis. Con las dosis altas, la HbA1c disminuyó 1,4 frente a 1,8 puntos porcentuales, y el peso 3,0 frente a 6,5 kg. Las molestias gastrointestinales fueron de frecuencia similar (48 % con dulaglutida 1,5 mg, 44 % con semaglutida 1,0 mg). Posteriormente se criticó que en SUSTAIN 7 la dulaglutida solo se dosificara hasta 1,5 mg; las dosis más altas de AWARD-11 aún no estaban disponibles entonces. Aun así, es probable que la diferencia de peso se mantuviera también con 4,5 mg.</w:t>
      </w:r>
    </w:p>
    <w:bookmarkEnd w:id="167"/>
    <w:bookmarkStart w:id="168" w:name="rewind-el-estudio-cardiovascular"/>
    <w:p>
      <w:pPr>
        <w:pStyle w:val="Heading4"/>
      </w:pPr>
      <w:r>
        <w:t xml:space="preserve">REWIND: el estudio cardiovascular</w:t>
      </w:r>
    </w:p>
    <w:p>
      <w:pPr>
        <w:pStyle w:val="FirstParagraph"/>
      </w:pPr>
      <w:r>
        <w:t xml:space="preserve">REWIND se diferenciaba de otros estudios de resultados con GLP-1: duró más, incluyó a personas mayores con una glucemia relativamente bien controlada (HbA1c mediana del 7,2 %) y admitió también a muchas personas sin enfermedad cardiovascular previa que solo tenían factores de riesgo. Por ello, su población se parece más a la de las consultas de atención primaria que la de otros estudios de resultados.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REWIND (Gerstein 2019), PMID 31189511</w:t>
            </w:r>
          </w:p>
        </w:tc>
        <w:tc>
          <w:tcPr/>
          <w:p>
            <w:pPr>
              <w:pStyle w:val="Compact"/>
              <w:jc w:val="left"/>
            </w:pPr>
            <w:r>
              <w:t xml:space="preserve">9901 personas con diabetes tipo 2, edad media 66,2 años, 46,3 % mujeres; RCT frente a placebo</w:t>
            </w:r>
          </w:p>
        </w:tc>
        <w:tc>
          <w:tcPr/>
          <w:p>
            <w:pPr>
              <w:pStyle w:val="Compact"/>
              <w:jc w:val="left"/>
            </w:pPr>
            <w:r>
              <w:t xml:space="preserve">mediana de 5,4 años</w:t>
            </w:r>
          </w:p>
        </w:tc>
        <w:tc>
          <w:tcPr/>
          <w:p>
            <w:pPr>
              <w:pStyle w:val="Compact"/>
              <w:jc w:val="left"/>
            </w:pPr>
            <w:r>
              <w:t xml:space="preserve">Eventos cardiovasculares graves 12,0 % frente a 13,4 %; HR 0,88 (0,79–0,99)</w:t>
            </w:r>
          </w:p>
        </w:tc>
      </w:tr>
      <w:tr>
        <w:tc>
          <w:tcPr/>
          <w:p>
            <w:pPr>
              <w:pStyle w:val="Compact"/>
              <w:jc w:val="left"/>
            </w:pPr>
            <w:r>
              <w:t xml:space="preserve">REWIND, riñón (Gerstein 2019), PMID 31189509</w:t>
            </w:r>
          </w:p>
        </w:tc>
        <w:tc>
          <w:tcPr/>
          <w:p>
            <w:pPr>
              <w:pStyle w:val="Compact"/>
              <w:jc w:val="left"/>
            </w:pPr>
            <w:r>
              <w:t xml:space="preserve">el mismo estudio, análisis exploratorio</w:t>
            </w:r>
          </w:p>
        </w:tc>
        <w:tc>
          <w:tcPr/>
          <w:p>
            <w:pPr>
              <w:pStyle w:val="Compact"/>
              <w:jc w:val="left"/>
            </w:pPr>
            <w:r>
              <w:t xml:space="preserve">mediana de 5,4 años</w:t>
            </w:r>
          </w:p>
        </w:tc>
        <w:tc>
          <w:tcPr/>
          <w:p>
            <w:pPr>
              <w:pStyle w:val="Compact"/>
              <w:jc w:val="left"/>
            </w:pPr>
            <w:r>
              <w:t xml:space="preserve">variable renal 17,1 % frente a 19,6 %; HR 0,85, sobre todo menos macroalbuminuria nueva</w:t>
            </w:r>
          </w:p>
        </w:tc>
      </w:tr>
      <w:tr>
        <w:tc>
          <w:tcPr/>
          <w:p>
            <w:pPr>
              <w:pStyle w:val="Compact"/>
              <w:jc w:val="left"/>
            </w:pPr>
            <w:r>
              <w:t xml:space="preserve">REWIND, cognición (Cukierman-Yaffe 2020), PMID 32562683</w:t>
            </w:r>
          </w:p>
        </w:tc>
        <w:tc>
          <w:tcPr/>
          <w:p>
            <w:pPr>
              <w:pStyle w:val="Compact"/>
              <w:jc w:val="left"/>
            </w:pPr>
            <w:r>
              <w:t xml:space="preserve">8828 personas con pruebas de memoria</w:t>
            </w:r>
          </w:p>
        </w:tc>
        <w:tc>
          <w:tcPr/>
          <w:p>
            <w:pPr>
              <w:pStyle w:val="Compact"/>
              <w:jc w:val="left"/>
            </w:pPr>
            <w:r>
              <w:t xml:space="preserve">mediana de 5,4 años</w:t>
            </w:r>
          </w:p>
        </w:tc>
        <w:tc>
          <w:tcPr/>
          <w:p>
            <w:pPr>
              <w:pStyle w:val="Compact"/>
              <w:jc w:val="left"/>
            </w:pPr>
            <w:r>
              <w:t xml:space="preserve">HR 0,93 (no significativo); tras un ajuste a posteriori, HR 0,86</w:t>
            </w:r>
          </w:p>
        </w:tc>
      </w:tr>
    </w:tbl>
    <w:p>
      <w:pPr>
        <w:pStyle w:val="BodyText"/>
      </w:pPr>
      <w:r>
        <w:t xml:space="preserve">La variable principal —muerte de causa cardiovascular, infarto de miocardio no mortal o ictus— se produjo con dulaglutida en 594 de 4949 personas (12,0 %) y con placebo en 663 de 4952 (13,4 %) (Gerstein 2019, PMID 31189511). Esto corresponde a una reducción relativa del 12 %. La mortalidad total no difirió significativamente (10,8 % frente a 12,0 %; HR 0,90). Comunicaron efectos adversos gastrointestinales el 47,4 % frente al 34,1 %.</w:t>
      </w:r>
    </w:p>
    <w:p>
      <w:pPr>
        <w:pStyle w:val="BodyText"/>
      </w:pPr>
      <w:r>
        <w:t xml:space="preserve">En el análisis renal (Gerstein 2019, PMID 31189509), el efecto se debió sobre todo a una macroalbuminuria de nueva aparición (HR 0,77). Para una disminución persistente de la función renal de al menos el 30 %, la estimación fue de 0,89, y para diálisis o trasplante renal, de 0,75; ambas sin significación estadística.</w:t>
      </w:r>
    </w:p>
    <w:p>
      <w:pPr>
        <w:pStyle w:val="BodyText"/>
      </w:pPr>
      <w:r>
        <w:t xml:space="preserve">El análisis sobre el rendimiento cognitivo (Cukierman-Yaffe 2020, PMID 32562683) se cita a veces como prueba de protección frente a la demencia. Eso va demasiado lejos: la comparación fijada de antemano no fue significativa. Solo tras un ajuste estadístico a posteriori se obtuvo un riesgo relativo un 14 % menor de deterioro claro del rendimiento cognitivo (hazard ratio 0,86). Los propios autores hablan de un análisis exploratorio que justifica más estudios.</w:t>
      </w:r>
    </w:p>
    <w:p>
      <w:pPr>
        <w:pStyle w:val="BodyText"/>
      </w:pPr>
      <w:r>
        <w:t xml:space="preserve">En un metaanálisis de todos los grandes estudios de resultados con GLP-1, REWIND encajó bien en el panorama general, según el cual la clase reduce los eventos cardiovasculares graves en aproximadamente un 12 % (Kristensen 2019, PMID 31422062).</w:t>
      </w:r>
    </w:p>
    <w:bookmarkEnd w:id="168"/>
    <w:bookmarkStart w:id="169" w:name="qué-explica-el-beneficio-y-qué-no"/>
    <w:p>
      <w:pPr>
        <w:pStyle w:val="Heading4"/>
      </w:pPr>
      <w:r>
        <w:t xml:space="preserve">¿Qué explica el beneficio y qué no?</w:t>
      </w:r>
    </w:p>
    <w:p>
      <w:pPr>
        <w:pStyle w:val="FirstParagraph"/>
      </w:pPr>
      <w:r>
        <w:t xml:space="preserve">Varios análisis a posteriori de REWIND han intentado comprender mejor el efecto cardiovascular. En un análisis parcial con 9543 personas sin fibrilación auricular al inicio del estudio, el 31 % ya tenía una enfermedad cardiovascular, y el resto «solo» factores de riesgo (Raubenheimer 2022, PMID 34984808). Esto subraya que REWIND estudió a personas en prevención mucho más que otros estudios de resultados.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Análisis</w:t>
            </w:r>
          </w:p>
        </w:tc>
        <w:tc>
          <w:tcPr/>
          <w:p>
            <w:pPr>
              <w:pStyle w:val="Compact"/>
              <w:jc w:val="left"/>
            </w:pPr>
            <w:r>
              <w:t xml:space="preserve">Pregunta</w:t>
            </w:r>
          </w:p>
        </w:tc>
        <w:tc>
          <w:tcPr/>
          <w:p>
            <w:pPr>
              <w:pStyle w:val="Compact"/>
              <w:jc w:val="left"/>
            </w:pPr>
            <w:r>
              <w:t xml:space="preserve">Resultado</w:t>
            </w:r>
          </w:p>
        </w:tc>
      </w:tr>
      <w:tr>
        <w:tc>
          <w:tcPr/>
          <w:p>
            <w:pPr>
              <w:pStyle w:val="Compact"/>
              <w:jc w:val="left"/>
            </w:pPr>
            <w:r>
              <w:t xml:space="preserve">Konig 2021, PMID 34563178</w:t>
            </w:r>
          </w:p>
        </w:tc>
        <w:tc>
          <w:tcPr/>
          <w:p>
            <w:pPr>
              <w:pStyle w:val="Compact"/>
              <w:jc w:val="left"/>
            </w:pPr>
            <w:r>
              <w:t xml:space="preserve">¿Qué cambios explican el beneficio?</w:t>
            </w:r>
          </w:p>
        </w:tc>
        <w:tc>
          <w:tcPr/>
          <w:p>
            <w:pPr>
              <w:pStyle w:val="Compact"/>
              <w:jc w:val="left"/>
            </w:pPr>
            <w:r>
              <w:t xml:space="preserve">En parte la reducción de la HbA1c y de la excreción de proteínas en la orina, no el peso, la presión arterial ni el colesterol LDL</w:t>
            </w:r>
          </w:p>
        </w:tc>
      </w:tr>
      <w:tr>
        <w:tc>
          <w:tcPr/>
          <w:p>
            <w:pPr>
              <w:pStyle w:val="Compact"/>
              <w:jc w:val="left"/>
            </w:pPr>
            <w:r>
              <w:t xml:space="preserve">Branch 2022, PMID 36073143</w:t>
            </w:r>
          </w:p>
        </w:tc>
        <w:tc>
          <w:tcPr/>
          <w:p>
            <w:pPr>
              <w:pStyle w:val="Compact"/>
              <w:jc w:val="left"/>
            </w:pPr>
            <w:r>
              <w:t xml:space="preserve">Eventos de insuficiencia cardíaca</w:t>
            </w:r>
          </w:p>
        </w:tc>
        <w:tc>
          <w:tcPr/>
          <w:p>
            <w:pPr>
              <w:pStyle w:val="Compact"/>
              <w:jc w:val="left"/>
            </w:pPr>
            <w:r>
              <w:t xml:space="preserve">4,3 % frente a 4,6 %; HR 0,93, sin diferencia significativa</w:t>
            </w:r>
          </w:p>
        </w:tc>
      </w:tr>
      <w:tr>
        <w:tc>
          <w:tcPr/>
          <w:p>
            <w:pPr>
              <w:pStyle w:val="Compact"/>
              <w:jc w:val="left"/>
            </w:pPr>
            <w:r>
              <w:t xml:space="preserve">Raubenheimer 2022, PMID 34984808</w:t>
            </w:r>
          </w:p>
        </w:tc>
        <w:tc>
          <w:tcPr/>
          <w:p>
            <w:pPr>
              <w:pStyle w:val="Compact"/>
              <w:jc w:val="left"/>
            </w:pPr>
            <w:r>
              <w:t xml:space="preserve">Fibrilación o flúter auricular nuevos</w:t>
            </w:r>
          </w:p>
        </w:tc>
        <w:tc>
          <w:tcPr/>
          <w:p>
            <w:pPr>
              <w:pStyle w:val="Compact"/>
              <w:jc w:val="left"/>
            </w:pPr>
            <w:r>
              <w:t xml:space="preserve">5,6 % frente a 5,3 %; sin diferencias</w:t>
            </w:r>
          </w:p>
        </w:tc>
      </w:tr>
    </w:tbl>
    <w:p>
      <w:pPr>
        <w:pStyle w:val="BodyText"/>
      </w:pPr>
      <w:r>
        <w:t xml:space="preserve">Según el análisis de Konig 2021 (PMID 34563178), una parte del efecto podía explicarse estadísticamente por el mejor control de la glucemia y la menor excreción de proteínas en la orina; otra parte quedó sin explicar. La pérdida de peso no desempeñó en este análisis ningún papel medible. Esto encaja con la suposición extendida de que los agonistas del receptor de GLP-1 tienen también efectos directos sobre los vasos y los procesos inflamatorios, aunque esto no está demostrado en el ser humano.</w:t>
      </w:r>
    </w:p>
    <w:p>
      <w:pPr>
        <w:pStyle w:val="BodyText"/>
      </w:pPr>
      <w:r>
        <w:t xml:space="preserve">La dulaglutida no mostró protección frente a los eventos de insuficiencia cardíaca (Branch 2022, PMID 36073143) ni frente a la fibrilación auricular de nueva aparición (Raubenheimer 2022, PMID 34984808). Tampoco en los 853 participantes que ya tenían insuficiencia cardíaca al inicio del estudio se obtuvo un panorama distinto. Para la insuficiencia cardíaca con función de bomba conservada en la obesidad existen ya datos de la semaglutida y la tirzepatida; para la dulaglutida faltan.</w:t>
      </w:r>
    </w:p>
    <w:bookmarkEnd w:id="169"/>
    <w:bookmarkStart w:id="170" w:name="Xeb6140d24e60570c06d2b8ca2367eace42d2fdc"/>
    <w:p>
      <w:pPr>
        <w:pStyle w:val="Heading4"/>
      </w:pPr>
      <w:r>
        <w:t xml:space="preserve">La dulaglutida como referencia para nuevos principios activos</w:t>
      </w:r>
    </w:p>
    <w:p>
      <w:pPr>
        <w:pStyle w:val="FirstParagraph"/>
      </w:pPr>
      <w:r>
        <w:t xml:space="preserve">Como la dulaglutida se utiliza ampliamente en todo el mundo, se tolera bien y tiene un beneficio cardiovascular demostrado, los fabricantes la eligen a menudo como comparador activo. Los resultados de estos estudios corresponden por su contenido a los capítulos de los respectivos principios activos nuevos; aquí solo se ofrece una visión de conjunto: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SURPASS-CVOT (Nicholls 2025), PMID 41406444</w:t>
            </w:r>
          </w:p>
        </w:tc>
        <w:tc>
          <w:tcPr/>
          <w:p>
            <w:pPr>
              <w:pStyle w:val="Compact"/>
              <w:jc w:val="left"/>
            </w:pPr>
            <w:r>
              <w:t xml:space="preserve">13.165 personas con diabetes tipo 2 y enfermedad vascular; tirzepatida frente a dulaglutida</w:t>
            </w:r>
          </w:p>
        </w:tc>
        <w:tc>
          <w:tcPr/>
          <w:p>
            <w:pPr>
              <w:pStyle w:val="Compact"/>
              <w:jc w:val="left"/>
            </w:pPr>
            <w:r>
              <w:t xml:space="preserve">varios años</w:t>
            </w:r>
          </w:p>
        </w:tc>
        <w:tc>
          <w:tcPr/>
          <w:p>
            <w:pPr>
              <w:pStyle w:val="Compact"/>
              <w:jc w:val="left"/>
            </w:pPr>
            <w:r>
              <w:t xml:space="preserve">Eventos cardiovasculares graves 12,2 % frente a 13,1 %; HR 0,92, no inferior, superioridad no demostrada</w:t>
            </w:r>
          </w:p>
        </w:tc>
      </w:tr>
      <w:tr>
        <w:tc>
          <w:tcPr/>
          <w:p>
            <w:pPr>
              <w:pStyle w:val="Compact"/>
              <w:jc w:val="left"/>
            </w:pPr>
            <w:r>
              <w:t xml:space="preserve">SURPASS J-mono (Inagaki 2022), PMID 35914543</w:t>
            </w:r>
          </w:p>
        </w:tc>
        <w:tc>
          <w:tcPr/>
          <w:p>
            <w:pPr>
              <w:pStyle w:val="Compact"/>
              <w:jc w:val="left"/>
            </w:pPr>
            <w:r>
              <w:t xml:space="preserve">636 personas en Japón; tirzepatida frente a dulaglutida 0,75 mg</w:t>
            </w:r>
          </w:p>
        </w:tc>
        <w:tc>
          <w:tcPr/>
          <w:p>
            <w:pPr>
              <w:pStyle w:val="Compact"/>
              <w:jc w:val="left"/>
            </w:pPr>
            <w:r>
              <w:t xml:space="preserve">52 semanas</w:t>
            </w:r>
          </w:p>
        </w:tc>
        <w:tc>
          <w:tcPr/>
          <w:p>
            <w:pPr>
              <w:pStyle w:val="Compact"/>
              <w:jc w:val="left"/>
            </w:pPr>
            <w:r>
              <w:t xml:space="preserve">HbA1c −2,4 a −2,8 frente a −1,3</w:t>
            </w:r>
          </w:p>
        </w:tc>
      </w:tr>
      <w:tr>
        <w:tc>
          <w:tcPr/>
          <w:p>
            <w:pPr>
              <w:pStyle w:val="Compact"/>
              <w:jc w:val="left"/>
            </w:pPr>
            <w:r>
              <w:t xml:space="preserve">Guo 2026, PMID 41407860</w:t>
            </w:r>
          </w:p>
        </w:tc>
        <w:tc>
          <w:tcPr/>
          <w:p>
            <w:pPr>
              <w:pStyle w:val="Compact"/>
              <w:jc w:val="left"/>
            </w:pPr>
            <w:r>
              <w:t xml:space="preserve">731 personas en China; mazdutida frente a dulaglutida 1,5 mg</w:t>
            </w:r>
          </w:p>
        </w:tc>
        <w:tc>
          <w:tcPr/>
          <w:p>
            <w:pPr>
              <w:pStyle w:val="Compact"/>
              <w:jc w:val="left"/>
            </w:pPr>
            <w:r>
              <w:t xml:space="preserve">28 semanas</w:t>
            </w:r>
          </w:p>
        </w:tc>
        <w:tc>
          <w:tcPr/>
          <w:p>
            <w:pPr>
              <w:pStyle w:val="Compact"/>
              <w:jc w:val="left"/>
            </w:pPr>
            <w:r>
              <w:t xml:space="preserve">diferencia de HbA1c −0,24 y −0,30 puntos porcentuales, respectivamente, a favor de la mazdutida</w:t>
            </w:r>
          </w:p>
        </w:tc>
      </w:tr>
      <w:tr>
        <w:tc>
          <w:tcPr/>
          <w:p>
            <w:pPr>
              <w:pStyle w:val="Compact"/>
              <w:jc w:val="left"/>
            </w:pPr>
            <w:r>
              <w:t xml:space="preserve">EECOH-2 (He 2025), PMID 40854315</w:t>
            </w:r>
          </w:p>
        </w:tc>
        <w:tc>
          <w:tcPr/>
          <w:p>
            <w:pPr>
              <w:pStyle w:val="Compact"/>
              <w:jc w:val="left"/>
            </w:pPr>
            <w:r>
              <w:t xml:space="preserve">621 personas en China; ecnoglutida frente a dulaglutida 1,5 mg</w:t>
            </w:r>
          </w:p>
        </w:tc>
        <w:tc>
          <w:tcPr/>
          <w:p>
            <w:pPr>
              <w:pStyle w:val="Compact"/>
              <w:jc w:val="left"/>
            </w:pPr>
            <w:r>
              <w:t xml:space="preserve">52 semanas (variable principal a las 32)</w:t>
            </w:r>
          </w:p>
        </w:tc>
        <w:tc>
          <w:tcPr/>
          <w:p>
            <w:pPr>
              <w:pStyle w:val="Compact"/>
              <w:jc w:val="left"/>
            </w:pPr>
            <w:r>
              <w:t xml:space="preserve">HbA1c −1,89 a −1,91 frente a −1,65</w:t>
            </w:r>
          </w:p>
        </w:tc>
      </w:tr>
    </w:tbl>
    <w:p>
      <w:pPr>
        <w:pStyle w:val="BodyText"/>
      </w:pPr>
      <w:r>
        <w:t xml:space="preserve">Especialmente reveladora es SURPASS-CVOT (Nicholls 2025, PMID 41406444), el primer gran estudio de resultados en el que dos medicamentos incretínicos se enfrentaron directamente. La tirzepatida no fue inferior, pero tampoco se demostró que fuera mejor que la dulaglutida. Como la propia dulaglutida había reducido el riesgo en REWIND, un «empate» frente a ella es un resultado sólido para ambos principios activos. Un análisis a posteriori con una variable cardiorrenal más amplia encontró una ventaja para la tirzepatida (23,7 % frente a 27,4 %; HR 0,84) (Nissen 2026, PMID 41903177). No obstante, los análisis a posteriori son menos sólidos que la variable principal fijada de antemano.</w:t>
      </w:r>
    </w:p>
    <w:bookmarkEnd w:id="170"/>
    <w:bookmarkStart w:id="171" w:name="manejo-la-pluma-precargada"/>
    <w:p>
      <w:pPr>
        <w:pStyle w:val="Heading4"/>
      </w:pPr>
      <w:r>
        <w:t xml:space="preserve">Manejo: la pluma precargada</w:t>
      </w:r>
    </w:p>
    <w:p>
      <w:pPr>
        <w:pStyle w:val="FirstParagraph"/>
      </w:pPr>
      <w:r>
        <w:t xml:space="preserve">Un aspecto práctico que rara vez se valora en los estudios es el uso. La dulaglutida se suministra en una pluma precargada de un solo uso en la que no hay que colocar una aguja ni ajustar la dosis. En un estudio con 211 personas con diabetes tipo 2 que nunca se habían inyectado, la inyección se realizó con éxito al final en el 99,1 % de los casos; el miedo a inyectarse disminuyó (Matfin 2015, PMID 25901022). En un estudio comparativo financiado por el fabricante con 310 participantes, el 84,2 % prefirió la pluma de dulaglutida a la pluma de semaglutida de entonces (Matza 2020, PMID 31646727). Estos estudios de preferencia no dicen nada sobre la eficacia, pero pueden explicar por qué la dulaglutida está extendida precisamente entre las personas mayores.</w:t>
      </w:r>
    </w:p>
    <w:bookmarkEnd w:id="171"/>
    <w:bookmarkStart w:id="172" w:name="niños-y-adolescentes-1"/>
    <w:p>
      <w:pPr>
        <w:pStyle w:val="Heading4"/>
      </w:pPr>
      <w:r>
        <w:t xml:space="preserve">Niños y adolescentes</w:t>
      </w:r>
    </w:p>
    <w:p>
      <w:pPr>
        <w:pStyle w:val="FirstParagraph"/>
      </w:pPr>
      <w:r>
        <w:t xml:space="preserve">En AWARD-PEDS, con 154 adolescentes con diabetes tipo 2, la HbA1c aumentó con placebo 0,6 puntos porcentuales al cabo de 26 semanas y disminuyó con dulaglutida 0,6 (0,75 mg) y 0,9 puntos porcentuales (1,5 mg), respectivamente (Arslanian 2022, PMID 35658022). Una HbA1c inferior al 7 % la alcanzó el 51 % frente al 14 %. La dulaglutida no influyó en el índice de masa corporal en este grupo de edad. Este estudio fue la base de la autorización a partir de 10 años.</w:t>
      </w:r>
    </w:p>
    <w:bookmarkEnd w:id="172"/>
    <w:bookmarkStart w:id="173" w:name="otros-campos-de-aplicación-en-estudios-2"/>
    <w:p>
      <w:pPr>
        <w:pStyle w:val="Heading4"/>
      </w:pPr>
      <w:r>
        <w:t xml:space="preserve">Otros campos de aplicación en estudios</w:t>
      </w:r>
    </w:p>
    <w:p>
      <w:pPr>
        <w:numPr>
          <w:ilvl w:val="0"/>
          <w:numId w:val="1049"/>
        </w:numPr>
        <w:pStyle w:val="Compact"/>
      </w:pPr>
      <w:r>
        <w:rPr>
          <w:bCs/>
          <w:b/>
        </w:rPr>
        <w:t xml:space="preserve">Dejar de fumar:</w:t>
      </w:r>
      <w:r>
        <w:t xml:space="preserve"> </w:t>
      </w:r>
      <w:r>
        <w:t xml:space="preserve">en un estudio con 255 personas, la dulaglutida no mejoró la tasa de abstinencia; al cabo de 52 semanas, en ambos grupos el 32 % no fumaba (Lüthi 2024, PMID 38371479). El aumento de peso habitual tras dejar de fumar se evitó en las primeras 12 semanas, pero al cabo de un año la diferencia había desaparecido.</w:t>
      </w:r>
    </w:p>
    <w:p>
      <w:pPr>
        <w:numPr>
          <w:ilvl w:val="0"/>
          <w:numId w:val="1049"/>
        </w:numPr>
        <w:pStyle w:val="Compact"/>
      </w:pPr>
      <w:r>
        <w:rPr>
          <w:bCs/>
          <w:b/>
        </w:rPr>
        <w:t xml:space="preserve">Alcohol:</w:t>
      </w:r>
      <w:r>
        <w:t xml:space="preserve"> </w:t>
      </w:r>
      <w:r>
        <w:t xml:space="preserve">en un análisis adicional planificado de antemano del mismo estudio, los participantes con dulaglutida bebieron al cabo de 12 semanas un 29 % menos de alcohol que con placebo (Probst 2023, PMID 37991022). El estudio no estaba diseñado para esta pregunta.</w:t>
      </w:r>
    </w:p>
    <w:p>
      <w:pPr>
        <w:numPr>
          <w:ilvl w:val="0"/>
          <w:numId w:val="1049"/>
        </w:numPr>
        <w:pStyle w:val="Compact"/>
      </w:pPr>
      <w:r>
        <w:rPr>
          <w:bCs/>
          <w:b/>
        </w:rPr>
        <w:t xml:space="preserve">Polidipsia primaria</w:t>
      </w:r>
      <w:r>
        <w:t xml:space="preserve"> </w:t>
      </w:r>
      <w:r>
        <w:t xml:space="preserve">(ingesta excesiva patológica de líquidos): en un estudio cruzado con 34 personas, la dulaglutida redujo la cantidad bebida durante una prueba de ocho horas en 490 ml, lo que corresponde a un 17 % (Winzeler 2021, PMID 34473645). Un indicio de que el GLP-1 influye también en la sensación de sed.</w:t>
      </w:r>
    </w:p>
    <w:bookmarkEnd w:id="173"/>
    <w:bookmarkEnd w:id="174"/>
    <w:bookmarkStart w:id="175" w:name="estudios-en-animales-y-de-laboratorio-2"/>
    <w:p>
      <w:pPr>
        <w:pStyle w:val="Heading3"/>
      </w:pPr>
      <w:r>
        <w:t xml:space="preserve">Estudios en animales y de laboratorio</w:t>
      </w:r>
    </w:p>
    <w:p>
      <w:pPr>
        <w:pStyle w:val="FirstParagraph"/>
      </w:pPr>
      <w:r>
        <w:t xml:space="preserve">La caracterización preclínica de la dulaglutida (entonces LY2189265) se llevó a cabo en células, ratas, ratones y macacos cangrejeros (Glaesner 2010, PMID 20503261). En experimentos de laboratorio, la proteína de fusión conservó todo su efecto sobre el receptor de GLP-1. En ratones diabéticos, una sola administración mejoró la tolerancia a la glucosa; las administraciones dos veces por semana durante cuatro semanas redujeron el peso y retrasaron el aumento de la glucemia. En monos, el efecto sobre la secreción de insulina se mantuvo hasta una semana tras una dosis.</w:t>
      </w:r>
    </w:p>
    <w:p>
      <w:pPr>
        <w:pStyle w:val="BodyText"/>
      </w:pPr>
      <w:r>
        <w:t xml:space="preserve">Como con todos los agonistas del receptor de GLP-1, en estudios de larga duración en roedores aparecieron alteraciones de las células C de la tiroides; el mecanismo y su limitada extrapolación al ser humano se describen en el capítulo Liraglutida (Bjerre Knudsen 2010, PMID 20203154).</w:t>
      </w:r>
    </w:p>
    <w:bookmarkEnd w:id="175"/>
    <w:bookmarkStart w:id="176" w:name="riesgos-y-efectos-adversos-2"/>
    <w:p>
      <w:pPr>
        <w:pStyle w:val="Heading3"/>
      </w:pPr>
      <w:r>
        <w:t xml:space="preserve">Riesgos y efectos adversos</w:t>
      </w:r>
    </w:p>
    <w:p>
      <w:pPr>
        <w:pStyle w:val="FirstParagraph"/>
      </w:pPr>
      <w:r>
        <w:rPr>
          <w:bCs/>
          <w:b/>
        </w:rPr>
        <w:t xml:space="preserve">Demostrados en estudios aleatorizados:</w:t>
      </w:r>
    </w:p>
    <w:p>
      <w:pPr>
        <w:numPr>
          <w:ilvl w:val="0"/>
          <w:numId w:val="1050"/>
        </w:numPr>
        <w:pStyle w:val="Compact"/>
      </w:pPr>
      <w:r>
        <w:rPr>
          <w:bCs/>
          <w:b/>
        </w:rPr>
        <w:t xml:space="preserve">Molestias gastrointestinales:</w:t>
      </w:r>
      <w:r>
        <w:t xml:space="preserve"> </w:t>
      </w:r>
      <w:r>
        <w:t xml:space="preserve">las náuseas, la diarrea y los vómitos son los efectos adversos más frecuentes. En REWIND, el 47,4 % de las personas tratadas comunicó molestias gastrointestinales, frente al 34,1 % con placebo (Gerstein 2019, PMID 31189511). Aumentan con dosis más altas (Frias 2021, PMID 33397768).</w:t>
      </w:r>
    </w:p>
    <w:p>
      <w:pPr>
        <w:numPr>
          <w:ilvl w:val="0"/>
          <w:numId w:val="1050"/>
        </w:numPr>
        <w:pStyle w:val="Compact"/>
      </w:pPr>
      <w:r>
        <w:rPr>
          <w:bCs/>
          <w:b/>
        </w:rPr>
        <w:t xml:space="preserve">Hipoglucemia:</w:t>
      </w:r>
      <w:r>
        <w:t xml:space="preserve"> </w:t>
      </w:r>
      <w:r>
        <w:t xml:space="preserve">rara en monoterapia; más frecuente en combinación con insulina o sulfonilureas, pero menos que con insulina sola (Giorgino 2015, PMID 26089386).</w:t>
      </w:r>
    </w:p>
    <w:p>
      <w:pPr>
        <w:numPr>
          <w:ilvl w:val="0"/>
          <w:numId w:val="1050"/>
        </w:numPr>
        <w:pStyle w:val="Compact"/>
      </w:pPr>
      <w:r>
        <w:rPr>
          <w:bCs/>
          <w:b/>
        </w:rPr>
        <w:t xml:space="preserve">Enzimas pancreáticas:</w:t>
      </w:r>
      <w:r>
        <w:t xml:space="preserve"> </w:t>
      </w:r>
      <w:r>
        <w:t xml:space="preserve">en AWARD-2, las enzimas del páncreas aumentaron con dulaglutida (Giorgino 2015, PMID 26089386). La relevancia clínica de estos aumentos sin síntomas no está clara.</w:t>
      </w:r>
    </w:p>
    <w:p>
      <w:pPr>
        <w:numPr>
          <w:ilvl w:val="0"/>
          <w:numId w:val="1050"/>
        </w:numPr>
        <w:pStyle w:val="Compact"/>
      </w:pPr>
      <w:r>
        <w:rPr>
          <w:bCs/>
          <w:b/>
        </w:rPr>
        <w:t xml:space="preserve">Anticuerpos:</w:t>
      </w:r>
      <w:r>
        <w:t xml:space="preserve"> </w:t>
      </w:r>
      <w:r>
        <w:t xml:space="preserve">raros (1,6 % de las personas tratadas), sin acumulación de reacciones de hipersensibilidad (Milicevic 2016, PMID 26847401).</w:t>
      </w:r>
    </w:p>
    <w:p>
      <w:pPr>
        <w:numPr>
          <w:ilvl w:val="0"/>
          <w:numId w:val="1050"/>
        </w:numPr>
        <w:pStyle w:val="Compact"/>
      </w:pPr>
      <w:r>
        <w:rPr>
          <w:bCs/>
          <w:b/>
        </w:rPr>
        <w:t xml:space="preserve">Vesícula biliar:</w:t>
      </w:r>
      <w:r>
        <w:t xml:space="preserve"> </w:t>
      </w:r>
      <w:r>
        <w:t xml:space="preserve">para toda la clase está demostrado un aumento del riesgo de cálculos biliares e inflamación de la vesícula (He 2022, PMID 35344001); detalles en el capítulo Liraglutida.</w:t>
      </w:r>
    </w:p>
    <w:p>
      <w:pPr>
        <w:pStyle w:val="FirstParagraph"/>
      </w:pPr>
      <w:r>
        <w:rPr>
          <w:bCs/>
          <w:b/>
        </w:rPr>
        <w:t xml:space="preserve">Investigados, pero inciertos:</w:t>
      </w:r>
    </w:p>
    <w:p>
      <w:pPr>
        <w:numPr>
          <w:ilvl w:val="0"/>
          <w:numId w:val="1051"/>
        </w:numPr>
        <w:pStyle w:val="Compact"/>
      </w:pPr>
      <w:r>
        <w:rPr>
          <w:bCs/>
          <w:b/>
        </w:rPr>
        <w:t xml:space="preserve">Inflamación y cáncer de páncreas:</w:t>
      </w:r>
      <w:r>
        <w:t xml:space="preserve"> </w:t>
      </w:r>
      <w:r>
        <w:t xml:space="preserve">en el metaanálisis de los estudios de resultados, sin aumento del riesgo para la clase (Kristensen 2019, PMID 31422062). No obstante, la pancreatitis figura en la ficha técnica como efecto adverso raro.</w:t>
      </w:r>
    </w:p>
    <w:p>
      <w:pPr>
        <w:numPr>
          <w:ilvl w:val="0"/>
          <w:numId w:val="1051"/>
        </w:numPr>
        <w:pStyle w:val="Compact"/>
      </w:pPr>
      <w:r>
        <w:rPr>
          <w:bCs/>
          <w:b/>
        </w:rPr>
        <w:t xml:space="preserve">Cáncer de tiroides:</w:t>
      </w:r>
      <w:r>
        <w:t xml:space="preserve"> </w:t>
      </w:r>
      <w:r>
        <w:t xml:space="preserve">señal en estudios observacionales y metaanálisis para toda la clase (Silverii 2025, PMID 40437949), no específica de la dulaglutida; véanse el capítulo Liraglutida y la Parte IV.</w:t>
      </w:r>
    </w:p>
    <w:p>
      <w:pPr>
        <w:pStyle w:val="FirstParagraph"/>
      </w:pPr>
      <w:r>
        <w:rPr>
          <w:bCs/>
          <w:b/>
        </w:rPr>
        <w:t xml:space="preserve">Indicaciones para la práctica:</w:t>
      </w:r>
      <w:r>
        <w:t xml:space="preserve"> </w:t>
      </w:r>
      <w:r>
        <w:t xml:space="preserve">la dulaglutida ralentiza el vaciamiento gástrico, lo que tiene importancia en las anestesias y las gastroscopias; al respecto está en marcha un gran estudio sobre si los agonistas del receptor de GLP-1 deben suspenderse antes de una gastroscopia (NCT07276763). Lo determinante son la ficha técnica y el seguimiento médico.</w:t>
      </w:r>
    </w:p>
    <w:bookmarkEnd w:id="176"/>
    <w:bookmarkStart w:id="177" w:name="situación-legal-2"/>
    <w:p>
      <w:pPr>
        <w:pStyle w:val="Heading3"/>
      </w:pPr>
      <w:r>
        <w:t xml:space="preserve">Situación legal</w:t>
      </w:r>
    </w:p>
    <w:p>
      <w:pPr>
        <w:numPr>
          <w:ilvl w:val="0"/>
          <w:numId w:val="1052"/>
        </w:numPr>
        <w:pStyle w:val="Compact"/>
      </w:pPr>
      <w:r>
        <w:rPr>
          <w:bCs/>
          <w:b/>
        </w:rPr>
        <w:t xml:space="preserve">UE:</w:t>
      </w:r>
      <w:r>
        <w:t xml:space="preserve"> </w:t>
      </w:r>
      <w:r>
        <w:t xml:space="preserve">Trulicity está autorizado por el procedimiento centralizado desde 2014 para el tratamiento de la diabetes tipo 2, actualmente también para adolescentes a partir de 10 años. Sujeto a prescripción médica. Sin autorización para la reducción de peso.</w:t>
      </w:r>
    </w:p>
    <w:p>
      <w:pPr>
        <w:numPr>
          <w:ilvl w:val="0"/>
          <w:numId w:val="1052"/>
        </w:numPr>
        <w:pStyle w:val="Compact"/>
      </w:pPr>
      <w:r>
        <w:rPr>
          <w:bCs/>
          <w:b/>
        </w:rPr>
        <w:t xml:space="preserve">Alemania y Austria:</w:t>
      </w:r>
      <w:r>
        <w:t xml:space="preserve"> </w:t>
      </w:r>
      <w:r>
        <w:t xml:space="preserve">sujeta a prescripción médica; financiable en la diabetes tipo 2. A partir de 2022 se produjeron, como con otros preparados de GLP-1, problemas de suministro temporales (compruebe la información actualizada).</w:t>
      </w:r>
    </w:p>
    <w:p>
      <w:pPr>
        <w:numPr>
          <w:ilvl w:val="0"/>
          <w:numId w:val="1052"/>
        </w:numPr>
        <w:pStyle w:val="Compact"/>
      </w:pPr>
      <w:r>
        <w:rPr>
          <w:bCs/>
          <w:b/>
        </w:rPr>
        <w:t xml:space="preserve">EE. UU.:</w:t>
      </w:r>
      <w:r>
        <w:t xml:space="preserve"> </w:t>
      </w:r>
      <w:r>
        <w:t xml:space="preserve">autorizada para la diabetes tipo 2 a partir de 10 años y para reducir el riesgo cardiovascular.</w:t>
      </w:r>
    </w:p>
    <w:p>
      <w:pPr>
        <w:numPr>
          <w:ilvl w:val="0"/>
          <w:numId w:val="1052"/>
        </w:numPr>
        <w:pStyle w:val="Compact"/>
      </w:pPr>
      <w:r>
        <w:rPr>
          <w:bCs/>
          <w:b/>
        </w:rPr>
        <w:t xml:space="preserve">Genéricos:</w:t>
      </w:r>
      <w:r>
        <w:t xml:space="preserve"> </w:t>
      </w:r>
      <w:r>
        <w:t xml:space="preserve">como la dulaglutida es una proteína de fusión obtenida por ingeniería genética, los preparados de imitación serían biosimilares, con un procedimiento de autorización más complejo que en el caso de la liraglutida o la semaglutida. En el momento de la impresión, según el leal saber y entender del autor, no hay ningún biosimilar comercializado en la UE (compruebe la información actualizada).</w:t>
      </w:r>
    </w:p>
    <w:p>
      <w:pPr>
        <w:numPr>
          <w:ilvl w:val="0"/>
          <w:numId w:val="1052"/>
        </w:numPr>
        <w:pStyle w:val="Compact"/>
      </w:pPr>
      <w:r>
        <w:rPr>
          <w:bCs/>
          <w:b/>
        </w:rPr>
        <w:t xml:space="preserve">Deporte (WADA):</w:t>
      </w:r>
      <w:r>
        <w:t xml:space="preserve"> </w:t>
      </w:r>
      <w:r>
        <w:t xml:space="preserve">no figura en la lista (estado en 2026; compruebe la información actualizada).</w:t>
      </w:r>
    </w:p>
    <w:p>
      <w:pPr>
        <w:numPr>
          <w:ilvl w:val="0"/>
          <w:numId w:val="1052"/>
        </w:numPr>
        <w:pStyle w:val="Compact"/>
      </w:pPr>
      <w:r>
        <w:rPr>
          <w:bCs/>
          <w:b/>
        </w:rPr>
        <w:t xml:space="preserve">Mercado gris:</w:t>
      </w:r>
      <w:r>
        <w:t xml:space="preserve"> </w:t>
      </w:r>
      <w:r>
        <w:t xml:space="preserve">la dulaglutida prácticamente no desempeña ningún papel en el mercado gris, porque una gran proteína de fusión no puede fabricarse por síntesis como los péptidos pequeños.</w:t>
      </w:r>
    </w:p>
    <w:bookmarkEnd w:id="177"/>
    <w:bookmarkStart w:id="178" w:name="estudios-en-curso-y-perspectivas-2"/>
    <w:p>
      <w:pPr>
        <w:pStyle w:val="Heading3"/>
      </w:pPr>
      <w:r>
        <w:t xml:space="preserve">Estudios en curso y perspectivas</w:t>
      </w:r>
    </w:p>
    <w:p>
      <w:pPr>
        <w:pStyle w:val="FirstParagraph"/>
      </w:pPr>
      <w:r>
        <w:rPr>
          <w:bCs/>
          <w:b/>
        </w:rPr>
        <w:t xml:space="preserve">Confirmado (estudios registrados):</w:t>
      </w:r>
    </w:p>
    <w:p>
      <w:pPr>
        <w:numPr>
          <w:ilvl w:val="0"/>
          <w:numId w:val="1053"/>
        </w:numPr>
        <w:pStyle w:val="Compact"/>
      </w:pPr>
      <w:r>
        <w:rPr>
          <w:bCs/>
          <w:b/>
        </w:rPr>
        <w:t xml:space="preserve">Niños y adolescentes:</w:t>
      </w:r>
      <w:r>
        <w:t xml:space="preserve"> </w:t>
      </w:r>
      <w:r>
        <w:t xml:space="preserve">Lilly evalúa las dosis más altas de 3,0 y 4,5 mg en adolescentes con diabetes tipo 2 (NCT06739122) y compara el comprimido de orforglipron con la dulaglutida en este grupo de edad (NCT07668336).</w:t>
      </w:r>
    </w:p>
    <w:p>
      <w:pPr>
        <w:numPr>
          <w:ilvl w:val="0"/>
          <w:numId w:val="1053"/>
        </w:numPr>
        <w:pStyle w:val="Compact"/>
      </w:pPr>
      <w:r>
        <w:rPr>
          <w:bCs/>
          <w:b/>
        </w:rPr>
        <w:t xml:space="preserve">Vasos y cirugías:</w:t>
      </w:r>
      <w:r>
        <w:t xml:space="preserve"> </w:t>
      </w:r>
      <w:r>
        <w:t xml:space="preserve">un estudio investiga la dulaglutida en la estenosis grave de los vasos cerebrales (NCT07282041), y otro si reduce el daño del músculo cardíaco tras cirugías no cardíacas (NCT06324461).</w:t>
      </w:r>
    </w:p>
    <w:p>
      <w:pPr>
        <w:numPr>
          <w:ilvl w:val="0"/>
          <w:numId w:val="1053"/>
        </w:numPr>
        <w:pStyle w:val="Compact"/>
      </w:pPr>
      <w:r>
        <w:rPr>
          <w:bCs/>
          <w:b/>
        </w:rPr>
        <w:t xml:space="preserve">Fibrosis quística:</w:t>
      </w:r>
      <w:r>
        <w:t xml:space="preserve"> </w:t>
      </w:r>
      <w:r>
        <w:t xml:space="preserve">un pequeño estudio de fase 2 investiga la dulaglutida en la alteración del metabolismo de la glucosa asociada a la enfermedad (NCT04731272).</w:t>
      </w:r>
    </w:p>
    <w:p>
      <w:pPr>
        <w:numPr>
          <w:ilvl w:val="0"/>
          <w:numId w:val="1053"/>
        </w:numPr>
        <w:pStyle w:val="Compact"/>
      </w:pPr>
      <w:r>
        <w:rPr>
          <w:bCs/>
          <w:b/>
        </w:rPr>
        <w:t xml:space="preserve">Como comparador:</w:t>
      </w:r>
      <w:r>
        <w:t xml:space="preserve"> </w:t>
      </w:r>
      <w:r>
        <w:t xml:space="preserve">numerosos principios activos nuevos se evalúan en estudios de fase 3 frente a la dulaglutida, entre ellos la proteína de fusión de exendina-4 JY09 (NCT06257966).</w:t>
      </w:r>
    </w:p>
    <w:p>
      <w:pPr>
        <w:pStyle w:val="FirstParagraph"/>
      </w:pPr>
      <w:r>
        <w:rPr>
          <w:bCs/>
          <w:b/>
        </w:rPr>
        <w:t xml:space="preserve">Valoración:</w:t>
      </w:r>
      <w:r>
        <w:t xml:space="preserve"> </w:t>
      </w:r>
      <w:r>
        <w:t xml:space="preserve">la dulaglutida es un principio activo sólido y bien estudiado, con beneficio cardiovascular demostrado, pero superado en glucemia y peso por la semaglutida y la tirzepatida. Es probable que su papel se desplace cada vez más hacia el de referencia de comparación en los estudios. Como Lilly ofrece con la tirzepatida y el orforglipron sus propios sucesores, es poco probable que la dulaglutida siga desarrollándose para nuevas indicaciones.</w:t>
      </w:r>
    </w:p>
    <w:bookmarkEnd w:id="178"/>
    <w:bookmarkStart w:id="179" w:name="conclusión-2"/>
    <w:p>
      <w:pPr>
        <w:pStyle w:val="Heading3"/>
      </w:pPr>
      <w:r>
        <w:t xml:space="preserve">Conclusión</w:t>
      </w:r>
    </w:p>
    <w:p>
      <w:pPr>
        <w:pStyle w:val="FirstParagraph"/>
      </w:pPr>
      <w:r>
        <w:t xml:space="preserve">La dulaglutida es una proteína de fusión de GLP-1 de inyección semanal que se evaluó en el programa AWARD frente a casi todos los antidiabéticos habituales. Redujo la glucemia a largo plazo aproximadamente tanto como la liraglutida y más que la exenatida, la sitagliptina o la metformina, pero quedó por detrás de la semaglutida en SUSTAIN 7, sobre todo en el peso. En REWIND, con 9901 participantes, muchos de ellos sin enfermedad cardiovascular conocida, redujo los eventos cardiovasculares graves en un 12 %. Los efectos adversos corresponden a los de la clase; los anticuerpos son raros. No está autorizada para la reducción de peso, y el tratamiento debe estar en manos médicas.</w:t>
      </w:r>
    </w:p>
    <w:bookmarkEnd w:id="179"/>
    <w:bookmarkEnd w:id="180"/>
    <w:bookmarkStart w:id="200" w:name="semaglutida"/>
    <w:p>
      <w:pPr>
        <w:pStyle w:val="Heading2"/>
      </w:pPr>
      <w:r>
        <w:t xml:space="preserve">Semaglutida</w:t>
      </w:r>
    </w:p>
    <w:bookmarkStart w:id="181" w:name="ficha-3"/>
    <w:p>
      <w:pPr>
        <w:pStyle w:val="Heading3"/>
      </w:pPr>
      <w:r>
        <w:t xml:space="preserve">Ficha</w:t>
      </w:r>
    </w:p>
    <w:p>
      <w:pPr>
        <w:numPr>
          <w:ilvl w:val="0"/>
          <w:numId w:val="1054"/>
        </w:numPr>
        <w:pStyle w:val="Compact"/>
      </w:pPr>
      <w:r>
        <w:rPr>
          <w:bCs/>
          <w:b/>
        </w:rPr>
        <w:t xml:space="preserve">Tipo/estructura:</w:t>
      </w:r>
      <w:r>
        <w:t xml:space="preserve"> </w:t>
      </w:r>
      <w:r>
        <w:t xml:space="preserve">GLP-1 humano modificado de 31 aminoácidos. Respecto a la hormona endógena se han sustituido dos aminoácidos; en una tercera posición se ha unido, mediante un espaciador, una cadena de ácido graso que une con fuerza la molécula a la proteína plasmática albúmina (Lau 2015, PMID 26308095).</w:t>
      </w:r>
    </w:p>
    <w:p>
      <w:pPr>
        <w:numPr>
          <w:ilvl w:val="0"/>
          <w:numId w:val="1054"/>
        </w:numPr>
        <w:pStyle w:val="Compact"/>
      </w:pPr>
      <w:r>
        <w:rPr>
          <w:bCs/>
          <w:b/>
        </w:rPr>
        <w:t xml:space="preserve">Origen:</w:t>
      </w:r>
      <w:r>
        <w:t xml:space="preserve"> </w:t>
      </w:r>
      <w:r>
        <w:t xml:space="preserve">desarrollada por Novo Nordisk como evolución de la liraglutida.</w:t>
      </w:r>
    </w:p>
    <w:p>
      <w:pPr>
        <w:numPr>
          <w:ilvl w:val="0"/>
          <w:numId w:val="1054"/>
        </w:numPr>
        <w:pStyle w:val="Compact"/>
      </w:pPr>
      <w:r>
        <w:rPr>
          <w:bCs/>
          <w:b/>
        </w:rPr>
        <w:t xml:space="preserve">Principio de acción:</w:t>
      </w:r>
      <w:r>
        <w:t xml:space="preserve"> </w:t>
      </w:r>
      <w:r>
        <w:t xml:space="preserve">agonista del receptor de GLP-1 de acción muy prolongada: una inyección a la semana o un comprimido al día.</w:t>
      </w:r>
    </w:p>
    <w:p>
      <w:pPr>
        <w:numPr>
          <w:ilvl w:val="0"/>
          <w:numId w:val="1054"/>
        </w:numPr>
        <w:pStyle w:val="Compact"/>
      </w:pPr>
      <w:r>
        <w:rPr>
          <w:bCs/>
          <w:b/>
        </w:rPr>
        <w:t xml:space="preserve">Preparados:</w:t>
      </w:r>
      <w:r>
        <w:t xml:space="preserve"> </w:t>
      </w:r>
      <w:r>
        <w:t xml:space="preserve">Ozempic (inyección, diabetes tipo 2), Wegovy (inyección, control del peso y reducción del riesgo cardiovascular), Rybelsus (comprimido, diabetes tipo 2). En Estados Unidos está autorizado desde finales de 2025 también un comprimido de Wegovy para el control del peso (compruebe la información actualizada).</w:t>
      </w:r>
    </w:p>
    <w:p>
      <w:pPr>
        <w:numPr>
          <w:ilvl w:val="0"/>
          <w:numId w:val="1054"/>
        </w:numPr>
        <w:pStyle w:val="Compact"/>
      </w:pPr>
      <w:r>
        <w:rPr>
          <w:bCs/>
          <w:b/>
        </w:rPr>
        <w:t xml:space="preserve">Autorización UE:</w:t>
      </w:r>
      <w:r>
        <w:t xml:space="preserve"> </w:t>
      </w:r>
      <w:r>
        <w:t xml:space="preserve">sí, diabetes tipo 2 (inyección desde 2018, comprimido desde 2020) y control del peso (desde 2022, también para adolescentes a partir de 12 años).</w:t>
      </w:r>
    </w:p>
    <w:p>
      <w:pPr>
        <w:numPr>
          <w:ilvl w:val="0"/>
          <w:numId w:val="1054"/>
        </w:numPr>
        <w:pStyle w:val="Compact"/>
      </w:pPr>
      <w:r>
        <w:rPr>
          <w:bCs/>
          <w:b/>
        </w:rPr>
        <w:t xml:space="preserve">Autorización EE. UU.:</w:t>
      </w:r>
      <w:r>
        <w:t xml:space="preserve"> </w:t>
      </w:r>
      <w:r>
        <w:t xml:space="preserve">sí, diabetes tipo 2, control del peso, reducción del riesgo cardiovascular en el exceso de peso con enfermedad cardiovascular, protección renal en la diabetes tipo 2 con enfermedad renal crónica y esteatohepatitis (MASH) con fibrosis (estado en 2026; compruebe la información actualizada).</w:t>
      </w:r>
    </w:p>
    <w:p>
      <w:pPr>
        <w:numPr>
          <w:ilvl w:val="0"/>
          <w:numId w:val="1054"/>
        </w:numPr>
        <w:pStyle w:val="Compact"/>
      </w:pPr>
      <w:r>
        <w:rPr>
          <w:bCs/>
          <w:b/>
        </w:rPr>
        <w:t xml:space="preserve">WADA:</w:t>
      </w:r>
      <w:r>
        <w:t xml:space="preserve"> </w:t>
      </w:r>
      <w:r>
        <w:t xml:space="preserve">no figura en la lista (estado en 2026; compruebe la información actualizada).</w:t>
      </w:r>
    </w:p>
    <w:p>
      <w:pPr>
        <w:numPr>
          <w:ilvl w:val="0"/>
          <w:numId w:val="1054"/>
        </w:numPr>
        <w:pStyle w:val="Compact"/>
      </w:pPr>
      <w:r>
        <w:rPr>
          <w:bCs/>
          <w:b/>
        </w:rPr>
        <w:t xml:space="preserve">Nivel de evidencia:</w:t>
      </w:r>
      <w:r>
        <w:t xml:space="preserve"> </w:t>
      </w:r>
      <w:r>
        <w:rPr>
          <w:bCs/>
          <w:b/>
        </w:rPr>
        <w:t xml:space="preserve">A</w:t>
      </w:r>
      <w:r>
        <w:t xml:space="preserve"> </w:t>
      </w:r>
      <w:r>
        <w:t xml:space="preserve">– cuatro grandes programas de registro (SUSTAIN, PIONEER, STEP, OASIS), varios estudios de resultados con un total de más de 40.000 participantes.</w:t>
      </w:r>
    </w:p>
    <w:bookmarkEnd w:id="181"/>
    <w:bookmarkStart w:id="182" w:name="cómo-se-supone-que-actúa-3"/>
    <w:p>
      <w:pPr>
        <w:pStyle w:val="Heading3"/>
      </w:pPr>
      <w:r>
        <w:t xml:space="preserve">Cómo se supone que actúa</w:t>
      </w:r>
    </w:p>
    <w:p>
      <w:pPr>
        <w:pStyle w:val="FirstParagraph"/>
      </w:pPr>
      <w:r>
        <w:t xml:space="preserve">La semaglutida actúa como la hormona intestinal GLP-1: aumenta la secreción de insulina dependiente de la glucosa, inhibe el glucagón, que eleva la glucemia, ralentiza el vaciamiento gástrico y atenúa en el cerebro el hambre y el deseo de comer. El mecanismo básico de la clase se explica en el capítulo Exenatida.</w:t>
      </w:r>
    </w:p>
    <w:p>
      <w:pPr>
        <w:pStyle w:val="BodyText"/>
      </w:pPr>
      <w:r>
        <w:t xml:space="preserve">La novedad de la semaglutida es su duración. Los desarrolladores partieron de la liraglutida y cambiaron dos cosas (Lau 2015, PMID 26308095): una sustitución de aminoácido en la posición 8 hace que la molécula sea totalmente insensible a la enzima degradadora DPP-4. Y una cadena de ácido graso más larga con otro espaciador se une con mucha más firmeza a la albúmina. Por ello, la semaglutida se libera y se elimina lentamente. En minicerdos, la semivida tras la administración intravenosa fue de 46,1 horas; en el ser humano es aún más larga y permite una inyección semanal.</w:t>
      </w:r>
    </w:p>
    <w:p>
      <w:pPr>
        <w:pStyle w:val="BodyText"/>
      </w:pPr>
      <w:r>
        <w:t xml:space="preserve">Para la pérdida de peso son decisivos sobre todo los efectos en el cerebro. La semaglutida reduce la ingesta de alimentos, la sensación de hambre y las ganas de comer alimentos especialmente ricos en grasa y azúcar. No está demostrado un gasto energético apreciablemente mayor.</w:t>
      </w:r>
    </w:p>
    <w:p>
      <w:pPr>
        <w:pStyle w:val="BodyText"/>
      </w:pPr>
      <w:r>
        <w:rPr>
          <w:bCs/>
          <w:b/>
        </w:rPr>
        <w:t xml:space="preserve">El comprimido:</w:t>
      </w:r>
      <w:r>
        <w:t xml:space="preserve"> </w:t>
      </w:r>
      <w:r>
        <w:t xml:space="preserve">normalmente, los péptidos se digieren en el estómago y apenas se absorben. Para Rybelsus, la semaglutida se combina con el excipiente SNAC. Este amortigua el ácido gástrico directamente en la superficie del comprimido, protege así frente a la degradación y facilita durante un breve tiempo la absorción a través de la mucosa gástrica; en estudios en seres humanos y perros, exclusivamente en el estómago, no en el intestino (Buckley 2018, PMID 30429357). Aun así, solo una fracción muy pequeña del principio activo llega a la sangre. Por eso, el comprimido contiene una dosis muchas veces mayor que la inyección y debe tomarse en ayunas con poca agua; la ficha técnica regula los detalles.</w:t>
      </w:r>
    </w:p>
    <w:bookmarkEnd w:id="182"/>
    <w:bookmarkStart w:id="193" w:name="estudios-en-humanos-3"/>
    <w:p>
      <w:pPr>
        <w:pStyle w:val="Heading3"/>
      </w:pPr>
      <w:r>
        <w:t xml:space="preserve">Estudios en humanos</w:t>
      </w:r>
    </w:p>
    <w:p>
      <w:pPr>
        <w:pStyle w:val="FirstParagraph"/>
      </w:pPr>
      <w:r>
        <w:t xml:space="preserve">La semaglutida es actualmente el principio activo más estudiado de su clase. La consulta de PubMed analizada para este libro (término de búsqueda «semaglutide» en el título o el resumen, fecha de consulta octubre de 2026) arrojó 342 estudios en seres humanos. Esta cifra subestima el volumen real de investigación, porque muchos análisis de grandes estudios se publican con el nombre de estos. En ClinicalTrials.gov figuran 793 registros, más que para cualquier otro péptido de este libro.</w:t>
      </w:r>
    </w:p>
    <w:p>
      <w:pPr>
        <w:pStyle w:val="BodyText"/>
      </w:pPr>
      <w:r>
        <w:t xml:space="preserve">Los estudios pueden agruparse en cuatro programas: SUSTAIN (inyección en la diabetes tipo 2), PIONEER (comprimido en la diabetes tipo 2), STEP (inyección en la obesidad) y OASIS (comprimido en la obesidad). A ellos se suman grandes estudios de resultados sobre el corazón (SUSTAIN 6, PIONEER 6, SOUL, SELECT), los riñones (FLOW), el hígado (ESSENCE), la insuficiencia cardíaca, las articulaciones y el cerebro (evoke).</w:t>
      </w:r>
    </w:p>
    <w:bookmarkStart w:id="183" w:name="diabetes-tipo-2-con-la-inyección-sustain"/>
    <w:p>
      <w:pPr>
        <w:pStyle w:val="Heading4"/>
      </w:pPr>
      <w:r>
        <w:t xml:space="preserve">Diabetes tipo 2 con la inyección: SUSTAIN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SUSTAIN 1 (Sorli 2017), PMID 28110911</w:t>
            </w:r>
          </w:p>
        </w:tc>
        <w:tc>
          <w:tcPr/>
          <w:p>
            <w:pPr>
              <w:pStyle w:val="Compact"/>
              <w:jc w:val="left"/>
            </w:pPr>
            <w:r>
              <w:t xml:space="preserve">388 personas, monoterapia frente a placebo</w:t>
            </w:r>
          </w:p>
        </w:tc>
        <w:tc>
          <w:tcPr/>
          <w:p>
            <w:pPr>
              <w:pStyle w:val="Compact"/>
              <w:jc w:val="left"/>
            </w:pPr>
            <w:r>
              <w:t xml:space="preserve">30 semanas</w:t>
            </w:r>
          </w:p>
        </w:tc>
        <w:tc>
          <w:tcPr/>
          <w:p>
            <w:pPr>
              <w:pStyle w:val="Compact"/>
              <w:jc w:val="left"/>
            </w:pPr>
            <w:r>
              <w:t xml:space="preserve">HbA1c −1,55 (1,0 mg) frente a −0,02 puntos porcentuales; peso −4,53 frente a −0,98 kg</w:t>
            </w:r>
          </w:p>
        </w:tc>
      </w:tr>
      <w:tr>
        <w:tc>
          <w:tcPr/>
          <w:p>
            <w:pPr>
              <w:pStyle w:val="Compact"/>
              <w:jc w:val="left"/>
            </w:pPr>
            <w:r>
              <w:t xml:space="preserve">SUSTAIN FORTE (Frías 2021), PMID 34293304</w:t>
            </w:r>
          </w:p>
        </w:tc>
        <w:tc>
          <w:tcPr/>
          <w:p>
            <w:pPr>
              <w:pStyle w:val="Compact"/>
              <w:jc w:val="left"/>
            </w:pPr>
            <w:r>
              <w:t xml:space="preserve">961 personas; 2,0 mg frente a 1,0 mg</w:t>
            </w:r>
          </w:p>
        </w:tc>
        <w:tc>
          <w:tcPr/>
          <w:p>
            <w:pPr>
              <w:pStyle w:val="Compact"/>
              <w:jc w:val="left"/>
            </w:pPr>
            <w:r>
              <w:t xml:space="preserve">40 semanas</w:t>
            </w:r>
          </w:p>
        </w:tc>
        <w:tc>
          <w:tcPr/>
          <w:p>
            <w:pPr>
              <w:pStyle w:val="Compact"/>
              <w:jc w:val="left"/>
            </w:pPr>
            <w:r>
              <w:t xml:space="preserve">HbA1c −2,2 frente a −1,9; peso −6,9 frente a −6,0 kg</w:t>
            </w:r>
          </w:p>
        </w:tc>
      </w:tr>
      <w:tr>
        <w:tc>
          <w:tcPr/>
          <w:p>
            <w:pPr>
              <w:pStyle w:val="Compact"/>
              <w:jc w:val="left"/>
            </w:pPr>
            <w:r>
              <w:t xml:space="preserve">SUSTAIN 6 (Marso 2016), PMID 27633186</w:t>
            </w:r>
          </w:p>
        </w:tc>
        <w:tc>
          <w:tcPr/>
          <w:p>
            <w:pPr>
              <w:pStyle w:val="Compact"/>
              <w:jc w:val="left"/>
            </w:pPr>
            <w:r>
              <w:t xml:space="preserve">3297 personas con alto riesgo cardiovascular, frente a placebo</w:t>
            </w:r>
          </w:p>
        </w:tc>
        <w:tc>
          <w:tcPr/>
          <w:p>
            <w:pPr>
              <w:pStyle w:val="Compact"/>
              <w:jc w:val="left"/>
            </w:pPr>
            <w:r>
              <w:t xml:space="preserve">104 semanas</w:t>
            </w:r>
          </w:p>
        </w:tc>
        <w:tc>
          <w:tcPr/>
          <w:p>
            <w:pPr>
              <w:pStyle w:val="Compact"/>
              <w:jc w:val="left"/>
            </w:pPr>
            <w:r>
              <w:t xml:space="preserve">Eventos cardiovasculares graves 6,6 % frente a 8,9 %; HR 0,74</w:t>
            </w:r>
          </w:p>
        </w:tc>
      </w:tr>
    </w:tbl>
    <w:p>
      <w:pPr>
        <w:pStyle w:val="BodyText"/>
      </w:pPr>
      <w:r>
        <w:t xml:space="preserve">Ya el estudio de monoterapia SUSTAIN 1 (Sorli 2017, PMID 28110911) mostró que la semaglutida reduce la glucemia a largo plazo (HbA1c) en alrededor de 1,5 puntos porcentuales. En estudios posteriores con participantes con valores iniciales más altos, la reducción fue mayor; con la dosis de 2,0 mg alcanzó 2,2 puntos porcentuales en SUSTAIN FORTE (Frías 2021, PMID 34293304).</w:t>
      </w:r>
    </w:p>
    <w:p>
      <w:pPr>
        <w:pStyle w:val="BodyText"/>
      </w:pPr>
      <w:r>
        <w:rPr>
          <w:bCs/>
          <w:b/>
        </w:rPr>
        <w:t xml:space="preserve">SUSTAIN 6</w:t>
      </w:r>
      <w:r>
        <w:t xml:space="preserve"> </w:t>
      </w:r>
      <w:r>
        <w:t xml:space="preserve">(Marso 2016, PMID 27633186) se planteó como estudio de seguridad, pero mostró una clara ventaja: la muerte de causa cardiovascular, el infarto de miocardio no mortal o el ictus se produjeron en 108 de 1648 personas con semaglutida (6,6 %) frente a 146 de 1649 con placebo (8,9 %). Los ictus fueron significativamente menos frecuentes (1,6 % frente a 2,7 %). Al mismo tiempo apareció una señal de alarma: las complicaciones de la enfermedad diabética de la retina (retinopatía) —como hemorragias vítreas o hallazgos que requerían tratamiento— fueron más frecuentes con semaglutida (HR 1,76). Esta señal se comenta en el apartado de riesgos.</w:t>
      </w:r>
    </w:p>
    <w:bookmarkEnd w:id="183"/>
    <w:bookmarkStart w:id="184" w:name="X51d0b76a47e9016e42fc140355b2931c80effe0"/>
    <w:p>
      <w:pPr>
        <w:pStyle w:val="Heading4"/>
      </w:pPr>
      <w:r>
        <w:t xml:space="preserve">Comparaciones directas dentro de la clase GLP-1</w:t>
      </w:r>
    </w:p>
    <w:p>
      <w:pPr>
        <w:pStyle w:val="FirstParagraph"/>
      </w:pPr>
      <w:r>
        <w:t xml:space="preserve">La semaglutida se ha enfrentado en estudios comparativos directos a todos los agonistas del receptor de GLP-1 anteriores y los ha superado a todos.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Diseño</w:t>
            </w:r>
          </w:p>
        </w:tc>
        <w:tc>
          <w:tcPr/>
          <w:p>
            <w:pPr>
              <w:pStyle w:val="Compact"/>
              <w:jc w:val="left"/>
            </w:pPr>
            <w:r>
              <w:t xml:space="preserve">Duración</w:t>
            </w:r>
          </w:p>
        </w:tc>
        <w:tc>
          <w:tcPr/>
          <w:p>
            <w:pPr>
              <w:pStyle w:val="Compact"/>
              <w:jc w:val="left"/>
            </w:pPr>
            <w:r>
              <w:t xml:space="preserve">Resultado (semaglutida frente a comparador)</w:t>
            </w:r>
          </w:p>
        </w:tc>
      </w:tr>
      <w:tr>
        <w:tc>
          <w:tcPr/>
          <w:p>
            <w:pPr>
              <w:pStyle w:val="Compact"/>
              <w:jc w:val="left"/>
            </w:pPr>
            <w:r>
              <w:t xml:space="preserve">SUSTAIN 3 (Ahmann 2018), PMID 29246950</w:t>
            </w:r>
          </w:p>
        </w:tc>
        <w:tc>
          <w:tcPr/>
          <w:p>
            <w:pPr>
              <w:pStyle w:val="Compact"/>
              <w:jc w:val="left"/>
            </w:pPr>
            <w:r>
              <w:t xml:space="preserve">frente a exenatida semanal, abierto</w:t>
            </w:r>
          </w:p>
        </w:tc>
        <w:tc>
          <w:tcPr/>
          <w:p>
            <w:pPr>
              <w:pStyle w:val="Compact"/>
              <w:jc w:val="left"/>
            </w:pPr>
            <w:r>
              <w:t xml:space="preserve">56 semanas</w:t>
            </w:r>
          </w:p>
        </w:tc>
        <w:tc>
          <w:tcPr/>
          <w:p>
            <w:pPr>
              <w:pStyle w:val="Compact"/>
              <w:jc w:val="left"/>
            </w:pPr>
            <w:r>
              <w:t xml:space="preserve">HbA1c −1,5 frente a −0,9; peso −5,6 frente a −1,9 kg</w:t>
            </w:r>
          </w:p>
        </w:tc>
      </w:tr>
      <w:tr>
        <w:tc>
          <w:tcPr/>
          <w:p>
            <w:pPr>
              <w:pStyle w:val="Compact"/>
              <w:jc w:val="left"/>
            </w:pPr>
            <w:r>
              <w:t xml:space="preserve">SUSTAIN 7 (Pratley 2018), PMID 29397376</w:t>
            </w:r>
          </w:p>
        </w:tc>
        <w:tc>
          <w:tcPr/>
          <w:p>
            <w:pPr>
              <w:pStyle w:val="Compact"/>
              <w:jc w:val="left"/>
            </w:pPr>
            <w:r>
              <w:t xml:space="preserve">1201 personas; 0,5/1,0 mg frente a dulaglutida 0,75/1,5 mg</w:t>
            </w:r>
          </w:p>
        </w:tc>
        <w:tc>
          <w:tcPr/>
          <w:p>
            <w:pPr>
              <w:pStyle w:val="Compact"/>
              <w:jc w:val="left"/>
            </w:pPr>
            <w:r>
              <w:t xml:space="preserve">40 semanas</w:t>
            </w:r>
          </w:p>
        </w:tc>
        <w:tc>
          <w:tcPr/>
          <w:p>
            <w:pPr>
              <w:pStyle w:val="Compact"/>
              <w:jc w:val="left"/>
            </w:pPr>
            <w:r>
              <w:t xml:space="preserve">HbA1c −1,8 frente a −1,4; peso −6,5 frente a −3,0 kg (dosis altas)</w:t>
            </w:r>
          </w:p>
        </w:tc>
      </w:tr>
      <w:tr>
        <w:tc>
          <w:tcPr/>
          <w:p>
            <w:pPr>
              <w:pStyle w:val="Compact"/>
              <w:jc w:val="left"/>
            </w:pPr>
            <w:r>
              <w:t xml:space="preserve">SUSTAIN 10 (Capehorn 2020), PMID 31539622</w:t>
            </w:r>
          </w:p>
        </w:tc>
        <w:tc>
          <w:tcPr/>
          <w:p>
            <w:pPr>
              <w:pStyle w:val="Compact"/>
              <w:jc w:val="left"/>
            </w:pPr>
            <w:r>
              <w:t xml:space="preserve">1,0 mg frente a liraglutida 1,2 mg</w:t>
            </w:r>
          </w:p>
        </w:tc>
        <w:tc>
          <w:tcPr/>
          <w:p>
            <w:pPr>
              <w:pStyle w:val="Compact"/>
              <w:jc w:val="left"/>
            </w:pPr>
            <w:r>
              <w:t xml:space="preserve">30 semanas</w:t>
            </w:r>
          </w:p>
        </w:tc>
        <w:tc>
          <w:tcPr/>
          <w:p>
            <w:pPr>
              <w:pStyle w:val="Compact"/>
              <w:jc w:val="left"/>
            </w:pPr>
            <w:r>
              <w:t xml:space="preserve">HbA1c −1,7 frente a −1,0; peso −5,8 frente a −1,9 kg</w:t>
            </w:r>
          </w:p>
        </w:tc>
      </w:tr>
      <w:tr>
        <w:tc>
          <w:tcPr/>
          <w:p>
            <w:pPr>
              <w:pStyle w:val="Compact"/>
              <w:jc w:val="left"/>
            </w:pPr>
            <w:r>
              <w:t xml:space="preserve">PIONEER 4 (Pratley 2019), PMID 31186120</w:t>
            </w:r>
          </w:p>
        </w:tc>
        <w:tc>
          <w:tcPr/>
          <w:p>
            <w:pPr>
              <w:pStyle w:val="Compact"/>
              <w:jc w:val="left"/>
            </w:pPr>
            <w:r>
              <w:t xml:space="preserve">711 personas; comprimido de 14 mg frente a inyección de liraglutida 1,8 mg frente a placebo</w:t>
            </w:r>
          </w:p>
        </w:tc>
        <w:tc>
          <w:tcPr/>
          <w:p>
            <w:pPr>
              <w:pStyle w:val="Compact"/>
              <w:jc w:val="left"/>
            </w:pPr>
            <w:r>
              <w:t xml:space="preserve">52 semanas (análisis principal a las 26 semanas)</w:t>
            </w:r>
          </w:p>
        </w:tc>
        <w:tc>
          <w:tcPr/>
          <w:p>
            <w:pPr>
              <w:pStyle w:val="Compact"/>
              <w:jc w:val="left"/>
            </w:pPr>
            <w:r>
              <w:t xml:space="preserve">HbA1c −1,2 frente a −1,1 (no inferior); peso −4,4 frente a −3,1 kg</w:t>
            </w:r>
          </w:p>
        </w:tc>
      </w:tr>
      <w:tr>
        <w:tc>
          <w:tcPr/>
          <w:p>
            <w:pPr>
              <w:pStyle w:val="Compact"/>
              <w:jc w:val="left"/>
            </w:pPr>
            <w:r>
              <w:t xml:space="preserve">STEP 8 (Rubino 2022), PMID 35015037</w:t>
            </w:r>
          </w:p>
        </w:tc>
        <w:tc>
          <w:tcPr/>
          <w:p>
            <w:pPr>
              <w:pStyle w:val="Compact"/>
              <w:jc w:val="left"/>
            </w:pPr>
            <w:r>
              <w:t xml:space="preserve">338 personas con obesidad sin diabetes; 2,4 mg frente a liraglutida 3,0 mg</w:t>
            </w:r>
          </w:p>
        </w:tc>
        <w:tc>
          <w:tcPr/>
          <w:p>
            <w:pPr>
              <w:pStyle w:val="Compact"/>
              <w:jc w:val="left"/>
            </w:pPr>
            <w:r>
              <w:t xml:space="preserve">68 semanas</w:t>
            </w:r>
          </w:p>
        </w:tc>
        <w:tc>
          <w:tcPr/>
          <w:p>
            <w:pPr>
              <w:pStyle w:val="Compact"/>
              <w:jc w:val="left"/>
            </w:pPr>
            <w:r>
              <w:t xml:space="preserve">peso −15,8 % frente a −6,4 %</w:t>
            </w:r>
          </w:p>
        </w:tc>
      </w:tr>
    </w:tbl>
    <w:p>
      <w:pPr>
        <w:pStyle w:val="BodyText"/>
      </w:pPr>
      <w:r>
        <w:t xml:space="preserve">Las diferencias en la glucemia a largo plazo oscilan entre 0,1 y 0,7 puntos porcentuales a favor de la semaglutida, y en el peso, entre 1,2 y unos 4 kg en la diabetes. La distancia fue mayor en la obesidad: en STEP 8 (Rubino 2022, PMID 35015037), el 38,5 % con semaglutida perdió al menos el 20 % de su peso, frente al 6,0 % con liraglutida. El precio, en algunas comparaciones, es una tasa algo mayor de molestias gastrointestinales: en SUSTAIN 10, el 11,4 % frente al 6,6 % interrumpió el tratamiento por efectos adversos (Capehorn 2020, PMID 31539622). En SUSTAIN 3, en cambio, las reacciones en el lugar de inyección fueron mucho más frecuentes con exenatida (22,0 % frente a 1,2 %) (Ahmann 2018, PMID 29246950).</w:t>
      </w:r>
    </w:p>
    <w:p>
      <w:pPr>
        <w:pStyle w:val="BodyText"/>
      </w:pPr>
      <w:r>
        <w:t xml:space="preserve">PIONEER 4 (Pratley 2019, PMID 31186120) es destacable porque en él un comprimido se enfrentó a una inyección: en la HbA1c, el comprimido de semaglutida no fue inferior a la inyección de liraglutida, y en el peso fue superior en 1,2 kg.</w:t>
      </w:r>
    </w:p>
    <w:p>
      <w:pPr>
        <w:pStyle w:val="BodyText"/>
      </w:pPr>
      <w:r>
        <w:t xml:space="preserve">Fuera de la clase GLP-1, la semaglutida fue superada a su vez: en la comparación directa con el agonista dual GIP/GLP-1 tirzepatida en 751 personas con obesidad, la pérdida de peso al cabo de 72 semanas fue del −13,7 % frente al −20,2 % (Aronne 2025, PMID 40353578). Los detalles figuran en el capítulo Tirzepatida.</w:t>
      </w:r>
    </w:p>
    <w:bookmarkEnd w:id="184"/>
    <w:bookmarkStart w:id="185" w:name="X98f0bd1ffd25145dc1dc4e2385d76e42aef33ef"/>
    <w:p>
      <w:pPr>
        <w:pStyle w:val="Heading4"/>
      </w:pPr>
      <w:r>
        <w:t xml:space="preserve">Diabetes tipo 2 con el comprimido: PIONEER y SOUL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PIONEER 1 (Aroda 2019), PMID 31186300</w:t>
            </w:r>
          </w:p>
        </w:tc>
        <w:tc>
          <w:tcPr/>
          <w:p>
            <w:pPr>
              <w:pStyle w:val="Compact"/>
              <w:jc w:val="left"/>
            </w:pPr>
            <w:r>
              <w:t xml:space="preserve">703 personas, monoterapia; 3/7/14 mg frente a placebo</w:t>
            </w:r>
          </w:p>
        </w:tc>
        <w:tc>
          <w:tcPr/>
          <w:p>
            <w:pPr>
              <w:pStyle w:val="Compact"/>
              <w:jc w:val="left"/>
            </w:pPr>
            <w:r>
              <w:t xml:space="preserve">26 semanas</w:t>
            </w:r>
          </w:p>
        </w:tc>
        <w:tc>
          <w:tcPr/>
          <w:p>
            <w:pPr>
              <w:pStyle w:val="Compact"/>
              <w:jc w:val="left"/>
            </w:pPr>
            <w:r>
              <w:t xml:space="preserve">HbA1c −1,1 puntos porcentuales (14 mg) frente a placebo; peso −2,3 kg frente a placebo</w:t>
            </w:r>
          </w:p>
        </w:tc>
      </w:tr>
      <w:tr>
        <w:tc>
          <w:tcPr/>
          <w:p>
            <w:pPr>
              <w:pStyle w:val="Compact"/>
              <w:jc w:val="left"/>
            </w:pPr>
            <w:r>
              <w:t xml:space="preserve">PIONEER 6 (Husain 2019), PMID 31185157</w:t>
            </w:r>
          </w:p>
        </w:tc>
        <w:tc>
          <w:tcPr/>
          <w:p>
            <w:pPr>
              <w:pStyle w:val="Compact"/>
              <w:jc w:val="left"/>
            </w:pPr>
            <w:r>
              <w:t xml:space="preserve">3183 personas de alto riesgo; frente a placebo</w:t>
            </w:r>
          </w:p>
        </w:tc>
        <w:tc>
          <w:tcPr/>
          <w:p>
            <w:pPr>
              <w:pStyle w:val="Compact"/>
              <w:jc w:val="left"/>
            </w:pPr>
            <w:r>
              <w:t xml:space="preserve">mediana de 15,9 meses</w:t>
            </w:r>
          </w:p>
        </w:tc>
        <w:tc>
          <w:tcPr/>
          <w:p>
            <w:pPr>
              <w:pStyle w:val="Compact"/>
              <w:jc w:val="left"/>
            </w:pPr>
            <w:r>
              <w:t xml:space="preserve">Eventos 3,8 % frente a 4,8 %; HR 0,79, no inferior</w:t>
            </w:r>
          </w:p>
        </w:tc>
      </w:tr>
      <w:tr>
        <w:tc>
          <w:tcPr/>
          <w:p>
            <w:pPr>
              <w:pStyle w:val="Compact"/>
              <w:jc w:val="left"/>
            </w:pPr>
            <w:r>
              <w:t xml:space="preserve">PIONEER PLUS (Aroda 2023), PMID 37385279</w:t>
            </w:r>
          </w:p>
        </w:tc>
        <w:tc>
          <w:tcPr/>
          <w:p>
            <w:pPr>
              <w:pStyle w:val="Compact"/>
              <w:jc w:val="left"/>
            </w:pPr>
            <w:r>
              <w:t xml:space="preserve">1606 personas; 25 y 50 mg frente a 14 mg</w:t>
            </w:r>
          </w:p>
        </w:tc>
        <w:tc>
          <w:tcPr/>
          <w:p>
            <w:pPr>
              <w:pStyle w:val="Compact"/>
              <w:jc w:val="left"/>
            </w:pPr>
            <w:r>
              <w:t xml:space="preserve">52 semanas</w:t>
            </w:r>
          </w:p>
        </w:tc>
        <w:tc>
          <w:tcPr/>
          <w:p>
            <w:pPr>
              <w:pStyle w:val="Compact"/>
              <w:jc w:val="left"/>
            </w:pPr>
            <w:r>
              <w:t xml:space="preserve">HbA1c −2,0 (50 mg) frente a −1,5 (14 mg)</w:t>
            </w:r>
          </w:p>
        </w:tc>
      </w:tr>
      <w:tr>
        <w:tc>
          <w:tcPr/>
          <w:p>
            <w:pPr>
              <w:pStyle w:val="Compact"/>
              <w:jc w:val="left"/>
            </w:pPr>
            <w:r>
              <w:t xml:space="preserve">SOUL (McGuire 2025), PMID 40162642</w:t>
            </w:r>
          </w:p>
        </w:tc>
        <w:tc>
          <w:tcPr/>
          <w:p>
            <w:pPr>
              <w:pStyle w:val="Compact"/>
              <w:jc w:val="left"/>
            </w:pPr>
            <w:r>
              <w:t xml:space="preserve">9650 personas con enfermedad vascular y/o renal; frente a placebo</w:t>
            </w:r>
          </w:p>
        </w:tc>
        <w:tc>
          <w:tcPr/>
          <w:p>
            <w:pPr>
              <w:pStyle w:val="Compact"/>
              <w:jc w:val="left"/>
            </w:pPr>
            <w:r>
              <w:t xml:space="preserve">mediana de 49,5 meses</w:t>
            </w:r>
          </w:p>
        </w:tc>
        <w:tc>
          <w:tcPr/>
          <w:p>
            <w:pPr>
              <w:pStyle w:val="Compact"/>
              <w:jc w:val="left"/>
            </w:pPr>
            <w:r>
              <w:t xml:space="preserve">Eventos 12,0 % frente a 13,8 %; HR 0,86 (0,77–0,96)</w:t>
            </w:r>
          </w:p>
        </w:tc>
      </w:tr>
    </w:tbl>
    <w:p>
      <w:pPr>
        <w:pStyle w:val="BodyText"/>
      </w:pPr>
      <w:r>
        <w:t xml:space="preserve">Con la dosis estándar de 14 mg, el comprimido actúa algo menos que la inyección. PIONEER PLUS (Aroda 2023, PMID 37385279) mostró que dosis más altas del comprimido reducen la distancia. PIONEER 6 (Husain 2019, PMID 31185157) fue un estudio de seguridad breve; demostró que el comprimido no aumenta el riesgo cardiovascular, pero era demasiado pequeño para demostrar un beneficio.</w:t>
      </w:r>
    </w:p>
    <w:p>
      <w:pPr>
        <w:pStyle w:val="BodyText"/>
      </w:pPr>
      <w:r>
        <w:t xml:space="preserve">Esa demostración la aportó</w:t>
      </w:r>
      <w:r>
        <w:t xml:space="preserve"> </w:t>
      </w:r>
      <w:r>
        <w:rPr>
          <w:bCs/>
          <w:b/>
        </w:rPr>
        <w:t xml:space="preserve">SOUL</w:t>
      </w:r>
      <w:r>
        <w:t xml:space="preserve"> </w:t>
      </w:r>
      <w:r>
        <w:t xml:space="preserve">(McGuire 2025, PMID 40162642): en 9650 personas con diabetes tipo 2 y enfermedad vascular o renal, el comprimido de semaglutida redujo a lo largo de unos cuatro años los eventos cardiovasculares graves en un 14 %. Las variables secundarias confirmatorias, entre ellas los resultados renales, no difirieron significativamente. Los acontecimientos adversos graves no fueron más frecuentes con semaglutida (47,9 % frente a 50,3 %).</w:t>
      </w:r>
    </w:p>
    <w:bookmarkEnd w:id="185"/>
    <w:bookmarkStart w:id="186" w:name="obesidad-con-la-inyección-step"/>
    <w:p>
      <w:pPr>
        <w:pStyle w:val="Heading4"/>
      </w:pPr>
      <w:r>
        <w:t xml:space="preserve">Obesidad con la inyección: STEP</w:t>
      </w:r>
    </w:p>
    <w:p>
      <w:pPr>
        <w:pStyle w:val="FirstParagraph"/>
      </w:pPr>
      <w:r>
        <w:t xml:space="preserve">Con la dosis de 2,4 mg semanales, la semaglutida, como Wegovy, se convirtió en el primer medicamento con el que las personas con obesidad perdieron en grandes estudios una media de alrededor del 15 % de su peso corporal.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STEP 1 (Wilding 2021), PMID 33567185</w:t>
            </w:r>
          </w:p>
        </w:tc>
        <w:tc>
          <w:tcPr/>
          <w:p>
            <w:pPr>
              <w:pStyle w:val="Compact"/>
              <w:jc w:val="left"/>
            </w:pPr>
            <w:r>
              <w:t xml:space="preserve">1961 adultos con obesidad sin diabetes, RCT frente a placebo</w:t>
            </w:r>
          </w:p>
        </w:tc>
        <w:tc>
          <w:tcPr/>
          <w:p>
            <w:pPr>
              <w:pStyle w:val="Compact"/>
              <w:jc w:val="left"/>
            </w:pPr>
            <w:r>
              <w:t xml:space="preserve">68 semanas</w:t>
            </w:r>
          </w:p>
        </w:tc>
        <w:tc>
          <w:tcPr/>
          <w:p>
            <w:pPr>
              <w:pStyle w:val="Compact"/>
              <w:jc w:val="left"/>
            </w:pPr>
            <w:r>
              <w:t xml:space="preserve">−14,9 % del peso corporal frente a −2,4 %</w:t>
            </w:r>
          </w:p>
        </w:tc>
      </w:tr>
      <w:tr>
        <w:tc>
          <w:tcPr/>
          <w:p>
            <w:pPr>
              <w:pStyle w:val="Compact"/>
              <w:jc w:val="left"/>
            </w:pPr>
            <w:r>
              <w:t xml:space="preserve">STEP 2 (Davies 2021), PMID 33667417</w:t>
            </w:r>
          </w:p>
        </w:tc>
        <w:tc>
          <w:tcPr/>
          <w:p>
            <w:pPr>
              <w:pStyle w:val="Compact"/>
              <w:jc w:val="left"/>
            </w:pPr>
            <w:r>
              <w:t xml:space="preserve">1210 personas con sobrepeso y diabetes tipo 2</w:t>
            </w:r>
          </w:p>
        </w:tc>
        <w:tc>
          <w:tcPr/>
          <w:p>
            <w:pPr>
              <w:pStyle w:val="Compact"/>
              <w:jc w:val="left"/>
            </w:pPr>
            <w:r>
              <w:t xml:space="preserve">68 semanas</w:t>
            </w:r>
          </w:p>
        </w:tc>
        <w:tc>
          <w:tcPr/>
          <w:p>
            <w:pPr>
              <w:pStyle w:val="Compact"/>
              <w:jc w:val="left"/>
            </w:pPr>
            <w:r>
              <w:t xml:space="preserve">−9,6 % frente a −3,4 %</w:t>
            </w:r>
          </w:p>
        </w:tc>
      </w:tr>
      <w:tr>
        <w:tc>
          <w:tcPr/>
          <w:p>
            <w:pPr>
              <w:pStyle w:val="Compact"/>
              <w:jc w:val="left"/>
            </w:pPr>
            <w:r>
              <w:t xml:space="preserve">STEP 3 (Wadden 2021), PMID 33625476</w:t>
            </w:r>
          </w:p>
        </w:tc>
        <w:tc>
          <w:tcPr/>
          <w:p>
            <w:pPr>
              <w:pStyle w:val="Compact"/>
              <w:jc w:val="left"/>
            </w:pPr>
            <w:r>
              <w:t xml:space="preserve">611 personas, con terapia conductual intensiva adicional</w:t>
            </w:r>
          </w:p>
        </w:tc>
        <w:tc>
          <w:tcPr/>
          <w:p>
            <w:pPr>
              <w:pStyle w:val="Compact"/>
              <w:jc w:val="left"/>
            </w:pPr>
            <w:r>
              <w:t xml:space="preserve">68 semanas</w:t>
            </w:r>
          </w:p>
        </w:tc>
        <w:tc>
          <w:tcPr/>
          <w:p>
            <w:pPr>
              <w:pStyle w:val="Compact"/>
              <w:jc w:val="left"/>
            </w:pPr>
            <w:r>
              <w:t xml:space="preserve">−16,0 % frente a −5,7 %</w:t>
            </w:r>
          </w:p>
        </w:tc>
      </w:tr>
      <w:tr>
        <w:tc>
          <w:tcPr/>
          <w:p>
            <w:pPr>
              <w:pStyle w:val="Compact"/>
              <w:jc w:val="left"/>
            </w:pPr>
            <w:r>
              <w:t xml:space="preserve">STEP 4 (Rubino 2021), PMID 33755728</w:t>
            </w:r>
          </w:p>
        </w:tc>
        <w:tc>
          <w:tcPr/>
          <w:p>
            <w:pPr>
              <w:pStyle w:val="Compact"/>
              <w:jc w:val="left"/>
            </w:pPr>
            <w:r>
              <w:t xml:space="preserve">803 personas tras 20 semanas de semaglutida: continuar o cambiar a placebo</w:t>
            </w:r>
          </w:p>
        </w:tc>
        <w:tc>
          <w:tcPr/>
          <w:p>
            <w:pPr>
              <w:pStyle w:val="Compact"/>
              <w:jc w:val="left"/>
            </w:pPr>
            <w:r>
              <w:t xml:space="preserve">48 semanas</w:t>
            </w:r>
          </w:p>
        </w:tc>
        <w:tc>
          <w:tcPr/>
          <w:p>
            <w:pPr>
              <w:pStyle w:val="Compact"/>
              <w:jc w:val="left"/>
            </w:pPr>
            <w:r>
              <w:t xml:space="preserve">−7,9 % (continuación) frente a +6,9 % (suspensión)</w:t>
            </w:r>
          </w:p>
        </w:tc>
      </w:tr>
      <w:tr>
        <w:tc>
          <w:tcPr/>
          <w:p>
            <w:pPr>
              <w:pStyle w:val="Compact"/>
              <w:jc w:val="left"/>
            </w:pPr>
            <w:r>
              <w:t xml:space="preserve">STEP 5 (Garvey 2022), PMID 36216945</w:t>
            </w:r>
          </w:p>
        </w:tc>
        <w:tc>
          <w:tcPr/>
          <w:p>
            <w:pPr>
              <w:pStyle w:val="Compact"/>
              <w:jc w:val="left"/>
            </w:pPr>
            <w:r>
              <w:t xml:space="preserve">304 personas</w:t>
            </w:r>
          </w:p>
        </w:tc>
        <w:tc>
          <w:tcPr/>
          <w:p>
            <w:pPr>
              <w:pStyle w:val="Compact"/>
              <w:jc w:val="left"/>
            </w:pPr>
            <w:r>
              <w:t xml:space="preserve">104 semanas</w:t>
            </w:r>
          </w:p>
        </w:tc>
        <w:tc>
          <w:tcPr/>
          <w:p>
            <w:pPr>
              <w:pStyle w:val="Compact"/>
              <w:jc w:val="left"/>
            </w:pPr>
            <w:r>
              <w:t xml:space="preserve">−15,2 % frente a −2,6 %</w:t>
            </w:r>
          </w:p>
        </w:tc>
      </w:tr>
      <w:tr>
        <w:tc>
          <w:tcPr/>
          <w:p>
            <w:pPr>
              <w:pStyle w:val="Compact"/>
              <w:jc w:val="left"/>
            </w:pPr>
            <w:r>
              <w:t xml:space="preserve">STEP 6 (Kadowaki 2022), PMID 35131037</w:t>
            </w:r>
          </w:p>
        </w:tc>
        <w:tc>
          <w:tcPr/>
          <w:p>
            <w:pPr>
              <w:pStyle w:val="Compact"/>
              <w:jc w:val="left"/>
            </w:pPr>
            <w:r>
              <w:t xml:space="preserve">401 personas en Asia oriental</w:t>
            </w:r>
          </w:p>
        </w:tc>
        <w:tc>
          <w:tcPr/>
          <w:p>
            <w:pPr>
              <w:pStyle w:val="Compact"/>
              <w:jc w:val="left"/>
            </w:pPr>
            <w:r>
              <w:t xml:space="preserve">68 semanas</w:t>
            </w:r>
          </w:p>
        </w:tc>
        <w:tc>
          <w:tcPr/>
          <w:p>
            <w:pPr>
              <w:pStyle w:val="Compact"/>
              <w:jc w:val="left"/>
            </w:pPr>
            <w:r>
              <w:t xml:space="preserve">−13,2 % frente a −2,1 %</w:t>
            </w:r>
          </w:p>
        </w:tc>
      </w:tr>
      <w:tr>
        <w:tc>
          <w:tcPr/>
          <w:p>
            <w:pPr>
              <w:pStyle w:val="Compact"/>
              <w:jc w:val="left"/>
            </w:pPr>
            <w:r>
              <w:t xml:space="preserve">STEP UP (Wharton 2025), PMID 40961952</w:t>
            </w:r>
          </w:p>
        </w:tc>
        <w:tc>
          <w:tcPr/>
          <w:p>
            <w:pPr>
              <w:pStyle w:val="Compact"/>
              <w:jc w:val="left"/>
            </w:pPr>
            <w:r>
              <w:t xml:space="preserve">1407 personas; 7,2 mg frente a 2,4 mg frente a placebo</w:t>
            </w:r>
          </w:p>
        </w:tc>
        <w:tc>
          <w:tcPr/>
          <w:p>
            <w:pPr>
              <w:pStyle w:val="Compact"/>
              <w:jc w:val="left"/>
            </w:pPr>
            <w:r>
              <w:t xml:space="preserve">72 semanas</w:t>
            </w:r>
          </w:p>
        </w:tc>
        <w:tc>
          <w:tcPr/>
          <w:p>
            <w:pPr>
              <w:pStyle w:val="Compact"/>
              <w:jc w:val="left"/>
            </w:pPr>
            <w:r>
              <w:t xml:space="preserve">−18,7 % frente a −15,6 % frente a −3,9 %</w:t>
            </w:r>
          </w:p>
        </w:tc>
      </w:tr>
    </w:tbl>
    <w:p>
      <w:pPr>
        <w:pStyle w:val="BodyText"/>
      </w:pPr>
      <w:r>
        <w:t xml:space="preserve">En</w:t>
      </w:r>
      <w:r>
        <w:t xml:space="preserve"> </w:t>
      </w:r>
      <w:r>
        <w:rPr>
          <w:bCs/>
          <w:b/>
        </w:rPr>
        <w:t xml:space="preserve">STEP 1</w:t>
      </w:r>
      <w:r>
        <w:t xml:space="preserve"> </w:t>
      </w:r>
      <w:r>
        <w:t xml:space="preserve">(Wilding 2021, PMID 33567185), los participantes perdieron de media 15,3 kg, frente a 2,6 kg con placebo. La mitad (50,5 %) perdió al menos el 15 % de su peso. Por molestias gastrointestinales, el 4,5 % interrumpió el tratamiento, frente al 0,8 % con placebo.</w:t>
      </w:r>
    </w:p>
    <w:p>
      <w:pPr>
        <w:pStyle w:val="BodyText"/>
      </w:pPr>
      <w:r>
        <w:t xml:space="preserve">En las personas con diabetes tipo 2, la pérdida fue menor (STEP 2, Davies 2021, PMID 33667417), un patrón que aparece con todos los principios activos de esta clase. En</w:t>
      </w:r>
      <w:r>
        <w:t xml:space="preserve"> </w:t>
      </w:r>
      <w:r>
        <w:rPr>
          <w:bCs/>
          <w:b/>
        </w:rPr>
        <w:t xml:space="preserve">STEP 5</w:t>
      </w:r>
      <w:r>
        <w:t xml:space="preserve"> </w:t>
      </w:r>
      <w:r>
        <w:t xml:space="preserve">(Garvey 2022, PMID 36216945), el efecto se mantuvo estable durante dos años.</w:t>
      </w:r>
    </w:p>
    <w:p>
      <w:pPr>
        <w:pStyle w:val="BodyText"/>
      </w:pPr>
      <w:r>
        <w:rPr>
          <w:bCs/>
          <w:b/>
        </w:rPr>
        <w:t xml:space="preserve">¿Qué ocurre tras la suspensión?</w:t>
      </w:r>
      <w:r>
        <w:t xml:space="preserve"> </w:t>
      </w:r>
      <w:r>
        <w:t xml:space="preserve">Esta pregunta es central para la práctica. En STEP 4 (Rubino 2021, PMID 33755728), todos los participantes recibieron primero semaglutida durante 20 semanas y perdieron en ese tiempo una media del 10,6 %. Quienes después cambiaron a placebo volvieron a ganar un 6,9 % en las 48 semanas siguientes; quienes continuaron con el tratamiento perdieron otro 7,9 %. En la extensión de STEP 1 (Wilding 2022, PMID 35441470), un año después de la suspensión los participantes habían recuperado aproximadamente dos tercios del peso perdido; también la presión arterial, los lípidos sanguíneos y la glucemia se acercaron de nuevo a los valores iniciales. Los autores concluyen que la obesidad es una enfermedad crónica y que el tratamiento probablemente deba ser permanente.</w:t>
      </w:r>
    </w:p>
    <w:p>
      <w:pPr>
        <w:pStyle w:val="BodyText"/>
      </w:pPr>
      <w:r>
        <w:rPr>
          <w:bCs/>
          <w:b/>
        </w:rPr>
        <w:t xml:space="preserve">Dosis más alta:</w:t>
      </w:r>
      <w:r>
        <w:t xml:space="preserve"> </w:t>
      </w:r>
      <w:r>
        <w:t xml:space="preserve">en STEP UP (Wharton 2025, PMID 40961952), el triple de dosis, 7,2 mg, produjo una pérdida de peso del 18,7 %. Las molestias gastrointestinales fueron más frecuentes (70,8 % frente al 61,2 % con 2,4 mg), y el 22,9 % comunicó sensaciones anómalas en la piel (disestesia), frente al 6,0 % con 2,4 mg.</w:t>
      </w:r>
    </w:p>
    <w:bookmarkEnd w:id="186"/>
    <w:bookmarkStart w:id="187" w:name="obesidad-con-el-comprimido-oasis"/>
    <w:p>
      <w:pPr>
        <w:pStyle w:val="Heading4"/>
      </w:pPr>
      <w:r>
        <w:t xml:space="preserve">Obesidad con el comprimido: OASIS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OASIS 1 (Knop 2023), PMID 37385278</w:t>
            </w:r>
          </w:p>
        </w:tc>
        <w:tc>
          <w:tcPr/>
          <w:p>
            <w:pPr>
              <w:pStyle w:val="Compact"/>
              <w:jc w:val="left"/>
            </w:pPr>
            <w:r>
              <w:t xml:space="preserve">667 personas con obesidad sin diabetes; 50 mg diarios frente a placebo</w:t>
            </w:r>
          </w:p>
        </w:tc>
        <w:tc>
          <w:tcPr/>
          <w:p>
            <w:pPr>
              <w:pStyle w:val="Compact"/>
              <w:jc w:val="left"/>
            </w:pPr>
            <w:r>
              <w:t xml:space="preserve">68 semanas</w:t>
            </w:r>
          </w:p>
        </w:tc>
        <w:tc>
          <w:tcPr/>
          <w:p>
            <w:pPr>
              <w:pStyle w:val="Compact"/>
              <w:jc w:val="left"/>
            </w:pPr>
            <w:r>
              <w:t xml:space="preserve">−15,1 % frente a −2,4 %</w:t>
            </w:r>
          </w:p>
        </w:tc>
      </w:tr>
      <w:tr>
        <w:tc>
          <w:tcPr/>
          <w:p>
            <w:pPr>
              <w:pStyle w:val="Compact"/>
              <w:jc w:val="left"/>
            </w:pPr>
            <w:r>
              <w:t xml:space="preserve">OASIS 4 (Wharton 2025), PMID 40934115</w:t>
            </w:r>
          </w:p>
        </w:tc>
        <w:tc>
          <w:tcPr/>
          <w:p>
            <w:pPr>
              <w:pStyle w:val="Compact"/>
              <w:jc w:val="left"/>
            </w:pPr>
            <w:r>
              <w:t xml:space="preserve">307 personas; 25 mg diarios frente a placebo</w:t>
            </w:r>
          </w:p>
        </w:tc>
        <w:tc>
          <w:tcPr/>
          <w:p>
            <w:pPr>
              <w:pStyle w:val="Compact"/>
              <w:jc w:val="left"/>
            </w:pPr>
            <w:r>
              <w:t xml:space="preserve">64 semanas</w:t>
            </w:r>
          </w:p>
        </w:tc>
        <w:tc>
          <w:tcPr/>
          <w:p>
            <w:pPr>
              <w:pStyle w:val="Compact"/>
              <w:jc w:val="left"/>
            </w:pPr>
            <w:r>
              <w:t xml:space="preserve">−13,6 % frente a −2,2 %</w:t>
            </w:r>
          </w:p>
        </w:tc>
      </w:tr>
    </w:tbl>
    <w:p>
      <w:pPr>
        <w:pStyle w:val="BodyText"/>
      </w:pPr>
      <w:r>
        <w:t xml:space="preserve">En estos estudios, los comprimidos alcanzaron valores similares a los de la inyección en STEP 1 (Knop 2023, PMID 37385278; Wharton 2025, PMID 40934115). Las molestias gastrointestinales aparecieron en el 74 % al 80 %. El comprimido de 25 mg de OASIS 4 es la base del comprimido de Wegovy autorizado en Estados Unidos. Hasta ahora falta una comparación directa con la inyección en un estudio grande.</w:t>
      </w:r>
    </w:p>
    <w:bookmarkEnd w:id="187"/>
    <w:bookmarkStart w:id="188" w:name="niños-y-adolescentes-2"/>
    <w:p>
      <w:pPr>
        <w:pStyle w:val="Heading4"/>
      </w:pPr>
      <w:r>
        <w:t xml:space="preserve">Niños y adolescentes</w:t>
      </w:r>
    </w:p>
    <w:p>
      <w:pPr>
        <w:pStyle w:val="FirstParagraph"/>
      </w:pPr>
      <w:r>
        <w:t xml:space="preserve">En</w:t>
      </w:r>
      <w:r>
        <w:t xml:space="preserve"> </w:t>
      </w:r>
      <w:r>
        <w:rPr>
          <w:bCs/>
          <w:b/>
        </w:rPr>
        <w:t xml:space="preserve">STEP TEENS</w:t>
      </w:r>
      <w:r>
        <w:t xml:space="preserve">, con 201 adolescentes con obesidad, el índice de masa corporal (IMC) disminuyó al cabo de 68 semanas un 16,1 %, mientras que con placebo aumentó un 0,6 % (Weghuber 2022, PMID 36322838). El 73 % perdió al menos el 5 % de su peso, frente al 18 % con placebo. Cinco adolescentes (4 %) con semaglutida desarrollaron cálculos biliares, ninguno con placebo. Está en marcha un estudio con niños a partir de 6 años (NCT05726227).</w:t>
      </w:r>
    </w:p>
    <w:bookmarkEnd w:id="188"/>
    <w:bookmarkStart w:id="189" w:name="X6e93e5263ddca90f272553ae2935acc89a5b4d3"/>
    <w:p>
      <w:pPr>
        <w:pStyle w:val="Heading4"/>
      </w:pPr>
      <w:r>
        <w:t xml:space="preserve">SELECT: protección cardíaca también sin diabetes</w:t>
      </w:r>
    </w:p>
    <w:p>
      <w:pPr>
        <w:pStyle w:val="FirstParagraph"/>
      </w:pPr>
      <w:r>
        <w:t xml:space="preserve">SELECT fue un hito porque mostró por primera vez que un medicamento para reducir el peso disminuye los infartos de miocardio, los ictus y las muertes cardiovasculares en personas sin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SELECT (Lincoff 2023), PMID 37952131</w:t>
            </w:r>
          </w:p>
        </w:tc>
        <w:tc>
          <w:tcPr/>
          <w:p>
            <w:pPr>
              <w:pStyle w:val="Compact"/>
              <w:jc w:val="left"/>
            </w:pPr>
            <w:r>
              <w:t xml:space="preserve">17.604 personas con sobrepeso u obesidad y enfermedad cardiovascular, sin diabetes; 2,4 mg frente a placebo</w:t>
            </w:r>
          </w:p>
        </w:tc>
        <w:tc>
          <w:tcPr/>
          <w:p>
            <w:pPr>
              <w:pStyle w:val="Compact"/>
              <w:jc w:val="left"/>
            </w:pPr>
            <w:r>
              <w:t xml:space="preserve">seguimiento medio de 39,8 meses</w:t>
            </w:r>
          </w:p>
        </w:tc>
        <w:tc>
          <w:tcPr/>
          <w:p>
            <w:pPr>
              <w:pStyle w:val="Compact"/>
              <w:jc w:val="left"/>
            </w:pPr>
            <w:r>
              <w:t xml:space="preserve">Eventos cardiovasculares graves 6,5 % frente a 8,0 %; HR 0,80 (0,72–0,90)</w:t>
            </w:r>
          </w:p>
        </w:tc>
      </w:tr>
    </w:tbl>
    <w:p>
      <w:pPr>
        <w:pStyle w:val="BodyText"/>
      </w:pPr>
      <w:r>
        <w:t xml:space="preserve">La reducción relativa del riesgo fue del 20 % (Lincoff 2023, PMID 37952131). En cifras absolutas, a lo largo de algo más de tres años, unas 1,5 de cada cien personas tratadas tuvieron un evento de este tipo menos. Llamó la atención la elevada tasa de abandono: el 16,6 % interrumpió el tratamiento de forma permanente por efectos adversos, frente al 8,2 % con placebo. No está definitivamente aclarado si el beneficio se debe solo a la pérdida de peso o también a efectos directos sobre los vasos y la inflamación.</w:t>
      </w:r>
    </w:p>
    <w:bookmarkEnd w:id="189"/>
    <w:bookmarkStart w:id="190" w:name="flow-protección-de-los-riñones"/>
    <w:p>
      <w:pPr>
        <w:pStyle w:val="Heading4"/>
      </w:pPr>
      <w:r>
        <w:t xml:space="preserve">FLOW: protección de los riñones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FLOW (Perkovic 2024), PMID 38785209</w:t>
            </w:r>
          </w:p>
        </w:tc>
        <w:tc>
          <w:tcPr/>
          <w:p>
            <w:pPr>
              <w:pStyle w:val="Compact"/>
              <w:jc w:val="left"/>
            </w:pPr>
            <w:r>
              <w:t xml:space="preserve">3533 personas con diabetes tipo 2 y enfermedad renal crónica; 1,0 mg frente a placebo</w:t>
            </w:r>
          </w:p>
        </w:tc>
        <w:tc>
          <w:tcPr/>
          <w:p>
            <w:pPr>
              <w:pStyle w:val="Compact"/>
              <w:jc w:val="left"/>
            </w:pPr>
            <w:r>
              <w:t xml:space="preserve">mediana de 3,4 años (finalizado prematuramente por eficacia)</w:t>
            </w:r>
          </w:p>
        </w:tc>
        <w:tc>
          <w:tcPr/>
          <w:p>
            <w:pPr>
              <w:pStyle w:val="Compact"/>
              <w:jc w:val="left"/>
            </w:pPr>
            <w:r>
              <w:t xml:space="preserve">variable renal 331 frente a 410 eventos; HR 0,76; mortalidad total HR 0,80</w:t>
            </w:r>
          </w:p>
        </w:tc>
      </w:tr>
    </w:tbl>
    <w:p>
      <w:pPr>
        <w:pStyle w:val="BodyText"/>
      </w:pPr>
      <w:r>
        <w:t xml:space="preserve">FLOW (Perkovic 2024, PMID 38785209) fue el primer gran estudio con un agonista del receptor de GLP-1 cuyo objetivo principal era una variable renal dura: insuficiencia renal, pérdida grave de función o muerte de causa renal o cardiovascular. Se interrumpió prematuramente tras un análisis intermedio por su clara eficacia. La pérdida anual de función renal (FGe) fue 1,16 ml/min por 1,73 m² menor con semaglutida. También se redujeron los eventos cardiovasculares (HR 0,82) y la mortalidad total (HR 0,80).</w:t>
      </w:r>
    </w:p>
    <w:bookmarkEnd w:id="190"/>
    <w:bookmarkStart w:id="191" w:name="Xbe13d503502a4e2839a8a1bc618a23e6ab99ba4"/>
    <w:p>
      <w:pPr>
        <w:pStyle w:val="Heading4"/>
      </w:pPr>
      <w:r>
        <w:t xml:space="preserve">Otros órganos: hígado, insuficiencia cardíaca, vasos, articulaciones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ESSENCE (Sanyal 2025), PMID 40305708</w:t>
            </w:r>
          </w:p>
        </w:tc>
        <w:tc>
          <w:tcPr/>
          <w:p>
            <w:pPr>
              <w:pStyle w:val="Compact"/>
              <w:jc w:val="left"/>
            </w:pPr>
            <w:r>
              <w:t xml:space="preserve">1197 personas con esteatohepatitis (MASH) y fibrosis en estadio 2–3; análisis intermedio de los primeros 800</w:t>
            </w:r>
          </w:p>
        </w:tc>
        <w:tc>
          <w:tcPr/>
          <w:p>
            <w:pPr>
              <w:pStyle w:val="Compact"/>
              <w:jc w:val="left"/>
            </w:pPr>
            <w:r>
              <w:t xml:space="preserve">72 semanas (primera parte)</w:t>
            </w:r>
          </w:p>
        </w:tc>
        <w:tc>
          <w:tcPr/>
          <w:p>
            <w:pPr>
              <w:pStyle w:val="Compact"/>
              <w:jc w:val="left"/>
            </w:pPr>
            <w:r>
              <w:t xml:space="preserve">resolución de la inflamación 62,9 % frente a 34,3 %; menos fibrosis 36,8 % frente a 22,4 %</w:t>
            </w:r>
          </w:p>
        </w:tc>
      </w:tr>
      <w:tr>
        <w:tc>
          <w:tcPr/>
          <w:p>
            <w:pPr>
              <w:pStyle w:val="Compact"/>
              <w:jc w:val="left"/>
            </w:pPr>
            <w:r>
              <w:t xml:space="preserve">STEP-HFpEF (Kosiborod 2023), PMID 37622681</w:t>
            </w:r>
          </w:p>
        </w:tc>
        <w:tc>
          <w:tcPr/>
          <w:p>
            <w:pPr>
              <w:pStyle w:val="Compact"/>
              <w:jc w:val="left"/>
            </w:pPr>
            <w:r>
              <w:t xml:space="preserve">529 personas con insuficiencia cardíaca con función de bomba conservada y obesidad; 2,4 mg frente a placebo</w:t>
            </w:r>
          </w:p>
        </w:tc>
        <w:tc>
          <w:tcPr/>
          <w:p>
            <w:pPr>
              <w:pStyle w:val="Compact"/>
              <w:jc w:val="left"/>
            </w:pPr>
            <w:r>
              <w:t xml:space="preserve">52 semanas</w:t>
            </w:r>
          </w:p>
        </w:tc>
        <w:tc>
          <w:tcPr/>
          <w:p>
            <w:pPr>
              <w:pStyle w:val="Compact"/>
              <w:jc w:val="left"/>
            </w:pPr>
            <w:r>
              <w:t xml:space="preserve">puntuación de síntomas +16,6 frente a +8,7 puntos; distancia caminada +21,5 frente a +1,2 m</w:t>
            </w:r>
          </w:p>
        </w:tc>
      </w:tr>
      <w:tr>
        <w:tc>
          <w:tcPr/>
          <w:p>
            <w:pPr>
              <w:pStyle w:val="Compact"/>
              <w:jc w:val="left"/>
            </w:pPr>
            <w:r>
              <w:t xml:space="preserve">STRIDE (Bonaca 2025), PMID 40169145</w:t>
            </w:r>
          </w:p>
        </w:tc>
        <w:tc>
          <w:tcPr/>
          <w:p>
            <w:pPr>
              <w:pStyle w:val="Compact"/>
              <w:jc w:val="left"/>
            </w:pPr>
            <w:r>
              <w:t xml:space="preserve">792 personas con claudicación intermitente y diabetes tipo 2; 1,0 mg frente a placebo</w:t>
            </w:r>
          </w:p>
        </w:tc>
        <w:tc>
          <w:tcPr/>
          <w:p>
            <w:pPr>
              <w:pStyle w:val="Compact"/>
              <w:jc w:val="left"/>
            </w:pPr>
            <w:r>
              <w:t xml:space="preserve">52 semanas</w:t>
            </w:r>
          </w:p>
        </w:tc>
        <w:tc>
          <w:tcPr/>
          <w:p>
            <w:pPr>
              <w:pStyle w:val="Compact"/>
              <w:jc w:val="left"/>
            </w:pPr>
            <w:r>
              <w:t xml:space="preserve">distancia máxima caminada mejorada un 13 % más</w:t>
            </w:r>
          </w:p>
        </w:tc>
      </w:tr>
      <w:tr>
        <w:tc>
          <w:tcPr/>
          <w:p>
            <w:pPr>
              <w:pStyle w:val="Compact"/>
              <w:jc w:val="left"/>
            </w:pPr>
            <w:r>
              <w:t xml:space="preserve">STEP 9 (Bliddal 2024), PMID 39476339</w:t>
            </w:r>
          </w:p>
        </w:tc>
        <w:tc>
          <w:tcPr/>
          <w:p>
            <w:pPr>
              <w:pStyle w:val="Compact"/>
              <w:jc w:val="left"/>
            </w:pPr>
            <w:r>
              <w:t xml:space="preserve">407 personas con obesidad y artrosis de rodilla</w:t>
            </w:r>
          </w:p>
        </w:tc>
        <w:tc>
          <w:tcPr/>
          <w:p>
            <w:pPr>
              <w:pStyle w:val="Compact"/>
              <w:jc w:val="left"/>
            </w:pPr>
            <w:r>
              <w:t xml:space="preserve">68 semanas</w:t>
            </w:r>
          </w:p>
        </w:tc>
        <w:tc>
          <w:tcPr/>
          <w:p>
            <w:pPr>
              <w:pStyle w:val="Compact"/>
              <w:jc w:val="left"/>
            </w:pPr>
            <w:r>
              <w:t xml:space="preserve">puntuación de dolor −41,7 frente a −27,5 puntos; peso −13,7 % frente a −3,2 %</w:t>
            </w:r>
          </w:p>
        </w:tc>
      </w:tr>
    </w:tbl>
    <w:p>
      <w:pPr>
        <w:pStyle w:val="BodyText"/>
      </w:pPr>
      <w:r>
        <w:rPr>
          <w:bCs/>
          <w:b/>
        </w:rPr>
        <w:t xml:space="preserve">Hígado:</w:t>
      </w:r>
      <w:r>
        <w:t xml:space="preserve"> </w:t>
      </w:r>
      <w:r>
        <w:t xml:space="preserve">en ESSENCE (Sanyal 2025, PMID 40305708), la esteatohepatitis remitió en la muestra de tejido en casi dos tercios de las personas tratadas, sin que aumentara la cicatrización. Una reducción de la fibrosis —el objetivo clínicamente más importante— la alcanzó el 36,8 % frente al 22,4 %. La segunda parte del estudio, con variables hepáticas duras como la cirrosis, se prolonga hasta 2029 (NCT04822181).</w:t>
      </w:r>
    </w:p>
    <w:p>
      <w:pPr>
        <w:pStyle w:val="BodyText"/>
      </w:pPr>
      <w:r>
        <w:rPr>
          <w:bCs/>
          <w:b/>
        </w:rPr>
        <w:t xml:space="preserve">Insuficiencia cardíaca:</w:t>
      </w:r>
      <w:r>
        <w:t xml:space="preserve"> </w:t>
      </w:r>
      <w:r>
        <w:t xml:space="preserve">en la insuficiencia cardíaca con función de bomba conservada y obesidad, los síntomas y la capacidad de esfuerzo mejoraron claramente (Kosiborod 2023, PMID 37622681). Los acontecimientos adversos graves fueron menos frecuentes con semaglutida (13,3 % frente a 26,7 %). Si la semaglutida reduce también las hospitalizaciones o las muertes por insuficiencia cardíaca no era el objetivo principal de este estudio.</w:t>
      </w:r>
    </w:p>
    <w:p>
      <w:pPr>
        <w:pStyle w:val="BodyText"/>
      </w:pPr>
      <w:r>
        <w:rPr>
          <w:bCs/>
          <w:b/>
        </w:rPr>
        <w:t xml:space="preserve">Claudicación intermitente:</w:t>
      </w:r>
      <w:r>
        <w:t xml:space="preserve"> </w:t>
      </w:r>
      <w:r>
        <w:t xml:space="preserve">en la enfermedad arterial periférica, la semaglutida aumentó la distancia máxima caminada (Bonaca 2025, PMID 40169145).</w:t>
      </w:r>
    </w:p>
    <w:p>
      <w:pPr>
        <w:pStyle w:val="BodyText"/>
      </w:pPr>
      <w:r>
        <w:rPr>
          <w:bCs/>
          <w:b/>
        </w:rPr>
        <w:t xml:space="preserve">Artrosis de rodilla:</w:t>
      </w:r>
      <w:r>
        <w:t xml:space="preserve"> </w:t>
      </w:r>
      <w:r>
        <w:t xml:space="preserve">en STEP 9 (Bliddal 2024, PMID 39476339), el dolor de rodilla disminuyó más que con placebo. El estudio deja abierto si esto se debe solo a la pérdida de peso.</w:t>
      </w:r>
    </w:p>
    <w:bookmarkEnd w:id="191"/>
    <w:bookmarkStart w:id="192" w:name="cerebro-y-adicciones"/>
    <w:p>
      <w:pPr>
        <w:pStyle w:val="Heading4"/>
      </w:pPr>
      <w:r>
        <w:t xml:space="preserve">Cerebro y adicciones</w:t>
      </w:r>
    </w:p>
    <w:p>
      <w:pPr>
        <w:pStyle w:val="FirstParagraph"/>
      </w:pPr>
      <w:r>
        <w:rPr>
          <w:bCs/>
          <w:b/>
        </w:rPr>
        <w:t xml:space="preserve">Enfermedad de Alzheimer:</w:t>
      </w:r>
      <w:r>
        <w:t xml:space="preserve"> </w:t>
      </w:r>
      <w:r>
        <w:t xml:space="preserve">la esperanza de que los agonistas del receptor de GLP-1 pudieran frenar el deterioro cognitivo se basaba en experimentos con animales y datos observacionales. Novo Nordisk lo evaluó en dos grandes estudios de fase 3, evoke y evoke+, con un total de 3808 personas con enfermedad de Alzheimer temprana que recibieron durante 104 semanas comprimidos diarios de semaglutida o placebo (Cummings 2026, PMID 41865758). El resultado fue claramente negativo: la enfermedad avanzó igual de rápido en ambos grupos (diferencia en la escala de demencia CDR-SB de −0,08 y +0,10 puntos, respectivamente, no significativa). Así pues, según el estado actual, la semaglutida ha fracasado como medicamento contra el Alzheimer; un comentario en la misma revista analiza las consecuencias para este campo de investigación (Schneider 2026, PMID 41865757).</w:t>
      </w:r>
    </w:p>
    <w:p>
      <w:pPr>
        <w:pStyle w:val="BodyText"/>
      </w:pPr>
      <w:r>
        <w:rPr>
          <w:bCs/>
          <w:b/>
        </w:rPr>
        <w:t xml:space="preserve">Alcohol:</w:t>
      </w:r>
      <w:r>
        <w:t xml:space="preserve"> </w:t>
      </w:r>
      <w:r>
        <w:t xml:space="preserve">en un pequeño estudio aleatorizado con 48 personas con trastorno por consumo de alcohol, la semaglutida a dosis bajas redujo la cantidad de alcohol bebida en una prueba de laboratorio, el deseo de beber y el número de bebidas en los días de consumo; el número de días de consumo no cambió (Hendershot 2025, PMID 39937469). En un estudio de registro sueco, la semaglutida se asoció a un riesgo un 36 % menor de hospitalizaciones relacionadas con el alcohol (Lähteenvuo 2025, PMID 39535805). Hay en marcha estudios aleatorizados más grandes.</w:t>
      </w:r>
    </w:p>
    <w:bookmarkEnd w:id="192"/>
    <w:bookmarkEnd w:id="193"/>
    <w:bookmarkStart w:id="194" w:name="estudios-en-animales-y-de-laboratorio-3"/>
    <w:p>
      <w:pPr>
        <w:pStyle w:val="Heading3"/>
      </w:pPr>
      <w:r>
        <w:t xml:space="preserve">Estudios en animales y de laboratorio</w:t>
      </w:r>
    </w:p>
    <w:p>
      <w:pPr>
        <w:pStyle w:val="FirstParagraph"/>
      </w:pPr>
      <w:r>
        <w:t xml:space="preserve">La semaglutida se diseñó deliberadamente sobre el papel: de entre numerosas variantes, los desarrolladores eligieron la que ofrecía la mejor combinación de unión a la albúmina, efecto sobre el receptor y estabilidad (Lau 2015, PMID 26308095). La semivida se determinó primero en minicerdos. La absorción del comprimido a través de la mucosa gástrica se estudió en perros y en seres humanos (Buckley 2018, PMID 30429357).</w:t>
      </w:r>
    </w:p>
    <w:p>
      <w:pPr>
        <w:pStyle w:val="BodyText"/>
      </w:pPr>
      <w:r>
        <w:t xml:space="preserve">Como con la liraglutida, los experimentos de larga duración en roedores provocaron tumores de células C de la tiroides; su extrapolación al ser humano se considera dudosa por la baja densidad de receptores en las células C humanas (Bjerre Knudsen 2010, PMID 20203154). Los experimentos en animales sobre neuroprotección, adicciones e inflamación sentaron las bases de los estudios en seres humanos descritos más arriba, con resultados dispares, como muestra el fracaso de evoke.</w:t>
      </w:r>
    </w:p>
    <w:bookmarkEnd w:id="194"/>
    <w:bookmarkStart w:id="195" w:name="riesgos-y-efectos-adversos-3"/>
    <w:p>
      <w:pPr>
        <w:pStyle w:val="Heading3"/>
      </w:pPr>
      <w:r>
        <w:t xml:space="preserve">Riesgos y efectos adversos</w:t>
      </w:r>
    </w:p>
    <w:p>
      <w:pPr>
        <w:pStyle w:val="FirstParagraph"/>
      </w:pPr>
      <w:r>
        <w:rPr>
          <w:bCs/>
          <w:b/>
        </w:rPr>
        <w:t xml:space="preserve">Demostrados en estudios aleatorizados:</w:t>
      </w:r>
    </w:p>
    <w:p>
      <w:pPr>
        <w:numPr>
          <w:ilvl w:val="0"/>
          <w:numId w:val="1055"/>
        </w:numPr>
        <w:pStyle w:val="Compact"/>
      </w:pPr>
      <w:r>
        <w:rPr>
          <w:bCs/>
          <w:b/>
        </w:rPr>
        <w:t xml:space="preserve">Molestias gastrointestinales:</w:t>
      </w:r>
      <w:r>
        <w:t xml:space="preserve"> </w:t>
      </w:r>
      <w:r>
        <w:t xml:space="preserve">las náuseas, la diarrea, los vómitos y el estreñimiento afectan en los estudios de obesidad a la mayoría de las personas tratadas, por lo general de forma leve a moderada y transitoria, sobre todo durante el aumento de la dosis (Wilding 2021, PMID 33567185). Son el motivo más frecuente de interrupción del tratamiento.</w:t>
      </w:r>
    </w:p>
    <w:p>
      <w:pPr>
        <w:numPr>
          <w:ilvl w:val="0"/>
          <w:numId w:val="1055"/>
        </w:numPr>
        <w:pStyle w:val="Compact"/>
      </w:pPr>
      <w:r>
        <w:rPr>
          <w:bCs/>
          <w:b/>
        </w:rPr>
        <w:t xml:space="preserve">Cálculos biliares e inflamación de la vesícula:</w:t>
      </w:r>
      <w:r>
        <w:t xml:space="preserve"> </w:t>
      </w:r>
      <w:r>
        <w:t xml:space="preserve">aumentados en la clase en su conjunto, sobre todo con dosis altas y en la reducción de peso (He 2022, PMID 35344001); en STEP TEENS, en el 4 % de los adolescentes (Weghuber 2022, PMID 36322838).</w:t>
      </w:r>
    </w:p>
    <w:p>
      <w:pPr>
        <w:numPr>
          <w:ilvl w:val="0"/>
          <w:numId w:val="1055"/>
        </w:numPr>
        <w:pStyle w:val="Compact"/>
      </w:pPr>
      <w:r>
        <w:rPr>
          <w:bCs/>
          <w:b/>
        </w:rPr>
        <w:t xml:space="preserve">Empeoramiento de una retinopatía diabética:</w:t>
      </w:r>
      <w:r>
        <w:t xml:space="preserve"> </w:t>
      </w:r>
      <w:r>
        <w:t xml:space="preserve">más frecuente en SUSTAIN 6 (HR 1,76) (Marso 2016, PMID 27633186). Se sospecha que una reducción muy rápida de la glucemia en una retinopatía ya existente es perjudicial de forma transitoria, un efecto que también se conoce con la insulina. Está en marcha un estudio propio con 1500 participantes sobre esta cuestión (NCT03811561). Las personas con retinopatía deben tener seguimiento oftalmológico.</w:t>
      </w:r>
    </w:p>
    <w:p>
      <w:pPr>
        <w:numPr>
          <w:ilvl w:val="0"/>
          <w:numId w:val="1055"/>
        </w:numPr>
        <w:pStyle w:val="Compact"/>
      </w:pPr>
      <w:r>
        <w:rPr>
          <w:bCs/>
          <w:b/>
        </w:rPr>
        <w:t xml:space="preserve">Pérdida de masa muscular:</w:t>
      </w:r>
      <w:r>
        <w:t xml:space="preserve"> </w:t>
      </w:r>
      <w:r>
        <w:t xml:space="preserve">con cualquier pérdida de peso importante se pierde también masa magra. Qué relevancia tiene esto con semaglutida, sobre todo en las personas mayores, todavía se está investigando; la Parte IV lo aborda.</w:t>
      </w:r>
    </w:p>
    <w:p>
      <w:pPr>
        <w:pStyle w:val="FirstParagraph"/>
      </w:pPr>
      <w:r>
        <w:rPr>
          <w:bCs/>
          <w:b/>
        </w:rPr>
        <w:t xml:space="preserve">Datos observacionales y señales:</w:t>
      </w:r>
    </w:p>
    <w:p>
      <w:pPr>
        <w:numPr>
          <w:ilvl w:val="0"/>
          <w:numId w:val="1056"/>
        </w:numPr>
        <w:pStyle w:val="Compact"/>
      </w:pPr>
      <w:r>
        <w:rPr>
          <w:bCs/>
          <w:b/>
        </w:rPr>
        <w:t xml:space="preserve">NAION (trastorno circulatorio del nervio óptico):</w:t>
      </w:r>
      <w:r>
        <w:t xml:space="preserve"> </w:t>
      </w:r>
      <w:r>
        <w:t xml:space="preserve">en 2024, un estudio estadounidense de una clínica oftalmológica comunicó un riesgo claramente aumentado de neuropatía óptica isquémica anterior no arterítica, una pérdida de visión súbita y generalmente indolora en un ojo (Hathaway 2024, PMID 38958939). En este estudio, el hazard ratio fue de 4,28 (diabetes) y 7,64 (obesidad), respectivamente, aunque con un número de casos muy pequeño. Un estudio de registro danés-noruego con más de 60.000 personas con diabetes tipo 2 confirmó un aumento del riesgo relativo (HR 2,81), con un riesgo absoluto bajo: unos 1,4 casos adicionales por cada 10.000 personas-año (Simonsen 2025, PMID 40098249). Un metaanálisis de 2026 encontró la señal solo en estudios observacionales en la diabetes (HR 1,85), no en estudios aleatorizados ni en la obesidad (Liu 2026, PMID 41475544). La Agencia Europea de Medicamentos incluyó en 2025 la NAION en la ficha técnica como efecto adverso muy raro (estado en 2026; compruebe la información actualizada). Quien vea peor de repente durante el tratamiento con semaglutida debe buscar ayuda médica de inmediato.</w:t>
      </w:r>
    </w:p>
    <w:p>
      <w:pPr>
        <w:numPr>
          <w:ilvl w:val="0"/>
          <w:numId w:val="1056"/>
        </w:numPr>
        <w:pStyle w:val="Compact"/>
      </w:pPr>
      <w:r>
        <w:rPr>
          <w:bCs/>
          <w:b/>
        </w:rPr>
        <w:t xml:space="preserve">Inflamación del páncreas y obstrucción intestinal:</w:t>
      </w:r>
      <w:r>
        <w:t xml:space="preserve"> </w:t>
      </w:r>
      <w:r>
        <w:t xml:space="preserve">un análisis de datos de aseguradoras encontró con los agonistas del receptor de GLP-1 para perder peso un aumento del riesgo de pancreatitis, obstrucción intestinal y parálisis gástrica (Sodhi 2023, PMID 37796527). En los grandes estudios aleatorizados, la pancreatitis fue rara. La ficha técnica la menciona como posible efecto adverso.</w:t>
      </w:r>
    </w:p>
    <w:p>
      <w:pPr>
        <w:numPr>
          <w:ilvl w:val="0"/>
          <w:numId w:val="1056"/>
        </w:numPr>
        <w:pStyle w:val="Compact"/>
      </w:pPr>
      <w:r>
        <w:rPr>
          <w:bCs/>
          <w:b/>
        </w:rPr>
        <w:t xml:space="preserve">Cáncer de tiroides:</w:t>
      </w:r>
      <w:r>
        <w:t xml:space="preserve"> </w:t>
      </w:r>
      <w:r>
        <w:t xml:space="preserve">señal en estudios observacionales y metaanálisis para la clase (Bezin 2023, PMID 36356111; Silverii 2025, PMID 40437949); véase el capítulo Liraglutida.</w:t>
      </w:r>
    </w:p>
    <w:p>
      <w:pPr>
        <w:numPr>
          <w:ilvl w:val="0"/>
          <w:numId w:val="1056"/>
        </w:numPr>
        <w:pStyle w:val="Compact"/>
      </w:pPr>
      <w:r>
        <w:rPr>
          <w:bCs/>
          <w:b/>
        </w:rPr>
        <w:t xml:space="preserve">Efectos adversos psiquiátricos:</w:t>
      </w:r>
      <w:r>
        <w:t xml:space="preserve"> </w:t>
      </w:r>
      <w:r>
        <w:t xml:space="preserve">tras notificaciones de ideas suicidas, las autoridades realizaron una evaluación en 2023/2024 y no encontraron pruebas de una relación causal. En una gran cohorte estadounidense con 240.618 personas con exceso de peso, la semaglutida se asoció incluso a menos ideas suicidas de nueva aparición que otros medicamentos para reducir peso (Wang 2024, PMID 38182782). Los datos observacionales no pueden descartar con seguridad los sesgos.</w:t>
      </w:r>
    </w:p>
    <w:p>
      <w:pPr>
        <w:pStyle w:val="FirstParagraph"/>
      </w:pPr>
      <w:r>
        <w:rPr>
          <w:bCs/>
          <w:b/>
        </w:rPr>
        <w:t xml:space="preserve">Indicaciones para la práctica:</w:t>
      </w:r>
      <w:r>
        <w:t xml:space="preserve"> </w:t>
      </w:r>
      <w:r>
        <w:t xml:space="preserve">la semaglutida no está indicada durante el embarazo; la ficha técnica recomienda suspenderla con suficiente antelación antes de un embarazo planificado. Debido al retraso del vaciamiento gástrico, en las anestesias puede existir un mayor riesgo de que el contenido gástrico pase a los pulmones; las personas tratadas deben indicarlo antes de cirugías y gastroscopias. Para el uso, el aumento de dosis y las contraindicaciones, lo determinante son la ficha técnica y el seguimiento médico.</w:t>
      </w:r>
    </w:p>
    <w:bookmarkEnd w:id="195"/>
    <w:bookmarkStart w:id="196" w:name="Xf69fe3076df3b0b76b7da911870cedac0fc405f"/>
    <w:p>
      <w:pPr>
        <w:pStyle w:val="Heading3"/>
      </w:pPr>
      <w:r>
        <w:t xml:space="preserve">Mercado gris, compounding y falsificaciones</w:t>
      </w:r>
    </w:p>
    <w:p>
      <w:pPr>
        <w:pStyle w:val="FirstParagraph"/>
      </w:pPr>
      <w:r>
        <w:t xml:space="preserve">Ningún otro péptido de este libro se obtiene con tanta frecuencia fuera de las vías regulares como la semaglutida. A partir de 2022, la demanda superó durante años la oferta. Hay que distinguir tres problemas.</w:t>
      </w:r>
    </w:p>
    <w:p>
      <w:pPr>
        <w:pStyle w:val="BodyText"/>
      </w:pPr>
      <w:r>
        <w:rPr>
          <w:bCs/>
          <w:b/>
        </w:rPr>
        <w:t xml:space="preserve">Compounding (EE. UU.):</w:t>
      </w:r>
      <w:r>
        <w:t xml:space="preserve"> </w:t>
      </w:r>
      <w:r>
        <w:t xml:space="preserve">durante los problemas de suministro oficiales, las farmacias estadounidenses pudieron elaborar semaglutida por sí mismas («compounding»), a menudo como polvo o solución en viales, en parte con otras formas salinas del principio activo. Tras el fin de la escasez, la FDA ha restringido fuertemente esta práctica (estado en 2026; compruebe la información actualizada). Una serie de casos de un centro de información toxicológica describió sobredosis de diez veces la dosis porque los pacientes manejaban jeringas y viales en lugar de plumas precargadas y confundían mililitros, unidades y miligramos (Lambson 2023, PMID 37392810). En un análisis de la base de datos estadounidense de efectos adversos, las notificaciones de errores de elaboración, contaminación y hospitalizaciones fueron desproporcionadamente frecuentes con los productos elaborados en farmacia (McCall 2026, PMID 40285721).</w:t>
      </w:r>
    </w:p>
    <w:p>
      <w:pPr>
        <w:pStyle w:val="BodyText"/>
      </w:pPr>
      <w:r>
        <w:rPr>
          <w:bCs/>
          <w:b/>
        </w:rPr>
        <w:t xml:space="preserve">Tiendas en línea ilegales:</w:t>
      </w:r>
      <w:r>
        <w:t xml:space="preserve"> </w:t>
      </w:r>
      <w:r>
        <w:t xml:space="preserve">en un estudio de mercado, el 42,3 % de los enlaces a farmacias en línea encontrados conducían a vendedores ilegales que vendían semaglutida sin receta (Ashraf 2024, PMID 39509151). En las compras de prueba, las plumas de Ozempic encargadas ni siquiera llegaron. Los viales entregados contenían semaglutida, pero la pureza era solo del 7,7 % al 14,37 % en lugar del 99 % declarado, y en todas las muestras se detectaron endotoxinas (componentes de bacterias que pueden provocar fiebre e inflamación).</w:t>
      </w:r>
    </w:p>
    <w:p>
      <w:pPr>
        <w:pStyle w:val="BodyText"/>
      </w:pPr>
      <w:r>
        <w:rPr>
          <w:bCs/>
          <w:b/>
        </w:rPr>
        <w:t xml:space="preserve">Falsificaciones:</w:t>
      </w:r>
      <w:r>
        <w:t xml:space="preserve"> </w:t>
      </w:r>
      <w:r>
        <w:t xml:space="preserve">han aparecido plumas de Ozempic falsificadas en Europa y Estados Unidos, en parte rellenas de insulina o sin principio activo; las autoridades sanitarias y la Organización Mundial de la Salud han emitido varias advertencias. Encontrará información general sobre los productos del mercado gris en la Parte I y la Parte IV. Solo la vía regular es segura: prescripción médica y dispensación en la farmacia.</w:t>
      </w:r>
    </w:p>
    <w:bookmarkEnd w:id="196"/>
    <w:bookmarkStart w:id="197" w:name="situación-legal-3"/>
    <w:p>
      <w:pPr>
        <w:pStyle w:val="Heading3"/>
      </w:pPr>
      <w:r>
        <w:t xml:space="preserve">Situación legal</w:t>
      </w:r>
    </w:p>
    <w:p>
      <w:pPr>
        <w:numPr>
          <w:ilvl w:val="0"/>
          <w:numId w:val="1057"/>
        </w:numPr>
        <w:pStyle w:val="Compact"/>
      </w:pPr>
      <w:r>
        <w:rPr>
          <w:bCs/>
          <w:b/>
        </w:rPr>
        <w:t xml:space="preserve">UE:</w:t>
      </w:r>
      <w:r>
        <w:t xml:space="preserve"> </w:t>
      </w:r>
      <w:r>
        <w:t xml:space="preserve">Ozempic (2018), Rybelsus (2020) y Wegovy (2022) están autorizados por el procedimiento centralizado y sujetos a prescripción médica. Wegovy está autorizado para el control del peso en adultos y adolescentes a partir de 12 años; la ficha técnica contiene ya también datos sobre la reducción del riesgo cardiovascular procedentes de SELECT.</w:t>
      </w:r>
    </w:p>
    <w:p>
      <w:pPr>
        <w:numPr>
          <w:ilvl w:val="0"/>
          <w:numId w:val="1057"/>
        </w:numPr>
        <w:pStyle w:val="Compact"/>
      </w:pPr>
      <w:r>
        <w:rPr>
          <w:bCs/>
          <w:b/>
        </w:rPr>
        <w:t xml:space="preserve">Alemania:</w:t>
      </w:r>
      <w:r>
        <w:t xml:space="preserve"> </w:t>
      </w:r>
      <w:r>
        <w:t xml:space="preserve">Ozempic y Rybelsus se financian en la diabetes tipo 2. Wegovy se considera un medicamento para reducir peso y, según el artículo 34 del Libro V del Código Social (SGB V), está excluido en principio de la financiación del seguro obligatorio de enfermedad; se está debatiendo políticamente un cambio (estado en 2026; compruebe la información actualizada). La prescripción de Ozempic solo para perder peso es un uso fuera de indicación y fue criticada expresamente por las autoridades durante los problemas de suministro.</w:t>
      </w:r>
    </w:p>
    <w:p>
      <w:pPr>
        <w:numPr>
          <w:ilvl w:val="0"/>
          <w:numId w:val="1057"/>
        </w:numPr>
        <w:pStyle w:val="Compact"/>
      </w:pPr>
      <w:r>
        <w:rPr>
          <w:bCs/>
          <w:b/>
        </w:rPr>
        <w:t xml:space="preserve">Austria:</w:t>
      </w:r>
      <w:r>
        <w:t xml:space="preserve"> </w:t>
      </w:r>
      <w:r>
        <w:t xml:space="preserve">sujeta a prescripción médica; financiación del control del peso solo limitada (compruebe la información actualizada).</w:t>
      </w:r>
    </w:p>
    <w:p>
      <w:pPr>
        <w:numPr>
          <w:ilvl w:val="0"/>
          <w:numId w:val="1057"/>
        </w:numPr>
        <w:pStyle w:val="Compact"/>
      </w:pPr>
      <w:r>
        <w:rPr>
          <w:bCs/>
          <w:b/>
        </w:rPr>
        <w:t xml:space="preserve">EE. UU.:</w:t>
      </w:r>
      <w:r>
        <w:t xml:space="preserve"> </w:t>
      </w:r>
      <w:r>
        <w:t xml:space="preserve">Ozempic, Rybelsus y Wegovy (inyección y comprimido) autorizados, con indicaciones ampliadas para el corazón, los riñones y la MASH.</w:t>
      </w:r>
    </w:p>
    <w:p>
      <w:pPr>
        <w:numPr>
          <w:ilvl w:val="0"/>
          <w:numId w:val="1057"/>
        </w:numPr>
        <w:pStyle w:val="Compact"/>
      </w:pPr>
      <w:r>
        <w:rPr>
          <w:bCs/>
          <w:b/>
        </w:rPr>
        <w:t xml:space="preserve">Patentes y genéricos:</w:t>
      </w:r>
      <w:r>
        <w:t xml:space="preserve"> </w:t>
      </w:r>
      <w:r>
        <w:t xml:space="preserve">en varios grandes mercados fuera de la UE y Estados Unidos —entre ellos Canadá, China, India y Brasil— la protección por patente de la semaglutida expira en 2026; allí se han anunciado o ya están en el mercado los primeros preparados de imitación. En la UE y Estados Unidos no se esperan genéricos hasta 2031/2032 aproximadamente (estado en 2026; compruebe la información actualizada). Más información en la Parte V.</w:t>
      </w:r>
    </w:p>
    <w:p>
      <w:pPr>
        <w:numPr>
          <w:ilvl w:val="0"/>
          <w:numId w:val="1057"/>
        </w:numPr>
        <w:pStyle w:val="Compact"/>
      </w:pPr>
      <w:r>
        <w:rPr>
          <w:bCs/>
          <w:b/>
        </w:rPr>
        <w:t xml:space="preserve">Deporte (WADA):</w:t>
      </w:r>
      <w:r>
        <w:t xml:space="preserve"> </w:t>
      </w:r>
      <w:r>
        <w:t xml:space="preserve">no figura en la lista (estado en 2026; compruebe la información actualizada).</w:t>
      </w:r>
    </w:p>
    <w:bookmarkEnd w:id="197"/>
    <w:bookmarkStart w:id="198" w:name="estudios-en-curso-y-perspectivas-3"/>
    <w:p>
      <w:pPr>
        <w:pStyle w:val="Heading3"/>
      </w:pPr>
      <w:r>
        <w:t xml:space="preserve">Estudios en curso y perspectivas</w:t>
      </w:r>
    </w:p>
    <w:p>
      <w:pPr>
        <w:pStyle w:val="FirstParagraph"/>
      </w:pPr>
      <w:r>
        <w:rPr>
          <w:bCs/>
          <w:b/>
        </w:rPr>
        <w:t xml:space="preserve">Confirmado (estudios registrados):</w:t>
      </w:r>
      <w:r>
        <w:t xml:space="preserve"> </w:t>
      </w:r>
      <w:r>
        <w:t xml:space="preserve">de los 793 registros, una gran parte se refiere a combinaciones y sucesores. Ejemplos:</w:t>
      </w:r>
    </w:p>
    <w:p>
      <w:pPr>
        <w:numPr>
          <w:ilvl w:val="0"/>
          <w:numId w:val="1058"/>
        </w:numPr>
        <w:pStyle w:val="Compact"/>
      </w:pPr>
      <w:r>
        <w:rPr>
          <w:bCs/>
          <w:b/>
        </w:rPr>
        <w:t xml:space="preserve">Ojos:</w:t>
      </w:r>
      <w:r>
        <w:t xml:space="preserve"> </w:t>
      </w:r>
      <w:r>
        <w:t xml:space="preserve">un estudio con 1500 participantes investiga específicamente el efecto sobre la retinopatía diabética (NCT03811561).</w:t>
      </w:r>
    </w:p>
    <w:p>
      <w:pPr>
        <w:numPr>
          <w:ilvl w:val="0"/>
          <w:numId w:val="1058"/>
        </w:numPr>
        <w:pStyle w:val="Compact"/>
      </w:pPr>
      <w:r>
        <w:rPr>
          <w:bCs/>
          <w:b/>
        </w:rPr>
        <w:t xml:space="preserve">Hígado:</w:t>
      </w:r>
      <w:r>
        <w:t xml:space="preserve"> </w:t>
      </w:r>
      <w:r>
        <w:t xml:space="preserve">la segunda parte de ESSENCE, con 1205 participantes, debe aclarar si la semaglutida previene la cirrosis hepática y las complicaciones hepáticas (NCT04822181).</w:t>
      </w:r>
    </w:p>
    <w:p>
      <w:pPr>
        <w:numPr>
          <w:ilvl w:val="0"/>
          <w:numId w:val="1058"/>
        </w:numPr>
        <w:pStyle w:val="Compact"/>
      </w:pPr>
      <w:r>
        <w:rPr>
          <w:bCs/>
          <w:b/>
        </w:rPr>
        <w:t xml:space="preserve">Niños:</w:t>
      </w:r>
      <w:r>
        <w:t xml:space="preserve"> </w:t>
      </w:r>
      <w:r>
        <w:t xml:space="preserve">está en marcha un estudio con 212 niños y adolescentes (NCT05726227).</w:t>
      </w:r>
    </w:p>
    <w:p>
      <w:pPr>
        <w:numPr>
          <w:ilvl w:val="0"/>
          <w:numId w:val="1058"/>
        </w:numPr>
        <w:pStyle w:val="Compact"/>
      </w:pPr>
      <w:r>
        <w:rPr>
          <w:bCs/>
          <w:b/>
        </w:rPr>
        <w:t xml:space="preserve">Comprimido:</w:t>
      </w:r>
      <w:r>
        <w:t xml:space="preserve"> </w:t>
      </w:r>
      <w:r>
        <w:t xml:space="preserve">se han iniciado otros estudios de fase 3 con el comprimido en la obesidad (NCT07770841).</w:t>
      </w:r>
    </w:p>
    <w:p>
      <w:pPr>
        <w:numPr>
          <w:ilvl w:val="0"/>
          <w:numId w:val="1058"/>
        </w:numPr>
        <w:pStyle w:val="Compact"/>
      </w:pPr>
      <w:r>
        <w:rPr>
          <w:bCs/>
          <w:b/>
        </w:rPr>
        <w:t xml:space="preserve">Combinación CagriSema:</w:t>
      </w:r>
      <w:r>
        <w:t xml:space="preserve"> </w:t>
      </w:r>
      <w:r>
        <w:t xml:space="preserve">la semaglutida en combinación fija con el análogo de amilina cagrilintida se evalúa en un estudio cardiovascular con 7101 participantes (NCT05669755); detalles en el capítulo Cagrilintida/CagriSema.</w:t>
      </w:r>
    </w:p>
    <w:p>
      <w:pPr>
        <w:pStyle w:val="FirstParagraph"/>
      </w:pPr>
      <w:r>
        <w:rPr>
          <w:bCs/>
          <w:b/>
        </w:rPr>
        <w:t xml:space="preserve">Valoración:</w:t>
      </w:r>
      <w:r>
        <w:t xml:space="preserve"> </w:t>
      </w:r>
      <w:r>
        <w:t xml:space="preserve">en los próximos años, la semaglutida estará sometida a presión por dos frentes: por sucesores más eficaces como la tirzepatida, CagriSema o la retatrutida, y por los genéricos en grandes mercados. Al mismo tiempo, es el principio activo con la base de pruebas más amplia en variables duras (corazón, riñones, hígado). La forma en comprimido podría ampliar considerablemente el acceso. Los estudios fallidos en el Alzheimer muestran que no todas las esperanzas surgidas de los experimentos en animales y de los datos observacionales se cumplen.</w:t>
      </w:r>
    </w:p>
    <w:bookmarkEnd w:id="198"/>
    <w:bookmarkStart w:id="199" w:name="conclusión-3"/>
    <w:p>
      <w:pPr>
        <w:pStyle w:val="Heading3"/>
      </w:pPr>
      <w:r>
        <w:t xml:space="preserve">Conclusión</w:t>
      </w:r>
    </w:p>
    <w:p>
      <w:pPr>
        <w:pStyle w:val="FirstParagraph"/>
      </w:pPr>
      <w:r>
        <w:t xml:space="preserve">La semaglutida es el agonista del receptor de GLP-1 estudiado de forma más exhaustiva y ha superado en comparaciones directas a la exenatida, la liraglutida y la dulaglutida. Con la dosis de 2,4 mg semanales, las personas con obesidad perdieron en STEP 1 una media del 14,9 % de su peso; tras la suspensión se recupera la mayor parte del peso. Grandes estudios de resultados mostraron una reducción de los eventos cardiovasculares graves —también sin diabetes (SELECT, 20 %)—, así como protección renal (FLOW) y mejoras en la esteatohepatitis. Los efectos adversos frecuentes afectan al tubo digestivo y a la vesícula biliar; señales raras como la NAION siguen vigilándose, mientras que los estudios en el Alzheimer no mostraron beneficio. Los productos del mercado gris entrañan riesgos considerables; el tratamiento debe estar en manos médicas y pasar por la farmacia.</w:t>
      </w:r>
    </w:p>
    <w:bookmarkEnd w:id="199"/>
    <w:bookmarkEnd w:id="200"/>
    <w:bookmarkStart w:id="218" w:name="tirzepatida"/>
    <w:p>
      <w:pPr>
        <w:pStyle w:val="Heading2"/>
      </w:pPr>
      <w:r>
        <w:t xml:space="preserve">Tirzepatida</w:t>
      </w:r>
    </w:p>
    <w:bookmarkStart w:id="201" w:name="ficha-4"/>
    <w:p>
      <w:pPr>
        <w:pStyle w:val="Heading3"/>
      </w:pPr>
      <w:r>
        <w:t xml:space="preserve">Ficha</w:t>
      </w:r>
    </w:p>
    <w:p>
      <w:pPr>
        <w:numPr>
          <w:ilvl w:val="0"/>
          <w:numId w:val="1059"/>
        </w:numPr>
        <w:pStyle w:val="Compact"/>
      </w:pPr>
      <w:r>
        <w:rPr>
          <w:bCs/>
          <w:b/>
        </w:rPr>
        <w:t xml:space="preserve">Tipo/estructura:</w:t>
      </w:r>
      <w:r>
        <w:t xml:space="preserve"> </w:t>
      </w:r>
      <w:r>
        <w:t xml:space="preserve">péptido sintético cuyo esqueleto básico se inspira en la hormona intestinal endógena GIP; una cadena de ácido graso unida a él lo fija a la albúmina en la sangre y prolonga la duración del efecto hasta el punto de que basta con una inyección semanal.</w:t>
      </w:r>
    </w:p>
    <w:p>
      <w:pPr>
        <w:numPr>
          <w:ilvl w:val="0"/>
          <w:numId w:val="1059"/>
        </w:numPr>
        <w:pStyle w:val="Compact"/>
      </w:pPr>
      <w:r>
        <w:rPr>
          <w:bCs/>
          <w:b/>
        </w:rPr>
        <w:t xml:space="preserve">Origen:</w:t>
      </w:r>
      <w:r>
        <w:t xml:space="preserve"> </w:t>
      </w:r>
      <w:r>
        <w:t xml:space="preserve">desarrollada por Eli Lilly; en los primeros estudios figuraba con el código LY3298176.</w:t>
      </w:r>
    </w:p>
    <w:p>
      <w:pPr>
        <w:numPr>
          <w:ilvl w:val="0"/>
          <w:numId w:val="1059"/>
        </w:numPr>
        <w:pStyle w:val="Compact"/>
      </w:pPr>
      <w:r>
        <w:rPr>
          <w:bCs/>
          <w:b/>
        </w:rPr>
        <w:t xml:space="preserve">Principio de acción:</w:t>
      </w:r>
      <w:r>
        <w:t xml:space="preserve"> </w:t>
      </w:r>
      <w:r>
        <w:t xml:space="preserve">agonista (activador) doble de dos receptores: el receptor de GIP y el receptor de GLP-1. Por eso se la llama también «twincretina» o «agonista incretínico dual».</w:t>
      </w:r>
    </w:p>
    <w:p>
      <w:pPr>
        <w:numPr>
          <w:ilvl w:val="0"/>
          <w:numId w:val="1059"/>
        </w:numPr>
        <w:pStyle w:val="Compact"/>
      </w:pPr>
      <w:r>
        <w:rPr>
          <w:bCs/>
          <w:b/>
        </w:rPr>
        <w:t xml:space="preserve">Autorización UE:</w:t>
      </w:r>
      <w:r>
        <w:t xml:space="preserve"> </w:t>
      </w:r>
      <w:r>
        <w:t xml:space="preserve">sí (Mounjaro) para la diabetes tipo 2 y para el control del peso en la obesidad y el sobrepeso con enfermedades asociadas.</w:t>
      </w:r>
    </w:p>
    <w:p>
      <w:pPr>
        <w:numPr>
          <w:ilvl w:val="0"/>
          <w:numId w:val="1059"/>
        </w:numPr>
        <w:pStyle w:val="Compact"/>
      </w:pPr>
      <w:r>
        <w:rPr>
          <w:bCs/>
          <w:b/>
        </w:rPr>
        <w:t xml:space="preserve">Autorización EE. UU.:</w:t>
      </w:r>
      <w:r>
        <w:t xml:space="preserve"> </w:t>
      </w:r>
      <w:r>
        <w:t xml:space="preserve">sí (Mounjaro para la diabetes tipo 2; Zepbound para la obesidad y para la apnea obstructiva del sueño moderada a grave en la obesidad).</w:t>
      </w:r>
    </w:p>
    <w:p>
      <w:pPr>
        <w:numPr>
          <w:ilvl w:val="0"/>
          <w:numId w:val="1059"/>
        </w:numPr>
        <w:pStyle w:val="Compact"/>
      </w:pPr>
      <w:r>
        <w:rPr>
          <w:bCs/>
          <w:b/>
        </w:rPr>
        <w:t xml:space="preserve">WADA:</w:t>
      </w:r>
      <w:r>
        <w:t xml:space="preserve"> </w:t>
      </w:r>
      <w:r>
        <w:t xml:space="preserve">no figura en la Lista de Prohibiciones (estado en 2026; compruebe la información actualizada).</w:t>
      </w:r>
    </w:p>
    <w:p>
      <w:pPr>
        <w:numPr>
          <w:ilvl w:val="0"/>
          <w:numId w:val="1059"/>
        </w:numPr>
        <w:pStyle w:val="Compact"/>
      </w:pPr>
      <w:r>
        <w:rPr>
          <w:bCs/>
          <w:b/>
        </w:rPr>
        <w:t xml:space="preserve">Nivel de evidencia:</w:t>
      </w:r>
      <w:r>
        <w:t xml:space="preserve"> </w:t>
      </w:r>
      <w:r>
        <w:rPr>
          <w:bCs/>
          <w:b/>
        </w:rPr>
        <w:t xml:space="preserve">A</w:t>
      </w:r>
      <w:r>
        <w:t xml:space="preserve"> </w:t>
      </w:r>
      <w:r>
        <w:t xml:space="preserve">– numerosos estudios aleatorizados grandes, estudios de resultados sobre el corazón y la insuficiencia cardíaca, autorización en muchos países.</w:t>
      </w:r>
    </w:p>
    <w:bookmarkEnd w:id="201"/>
    <w:bookmarkStart w:id="202" w:name="cómo-se-supone-que-actúa-4"/>
    <w:p>
      <w:pPr>
        <w:pStyle w:val="Heading3"/>
      </w:pPr>
      <w:r>
        <w:t xml:space="preserve">Cómo se supone que actúa</w:t>
      </w:r>
    </w:p>
    <w:p>
      <w:pPr>
        <w:pStyle w:val="FirstParagraph"/>
      </w:pPr>
      <w:r>
        <w:t xml:space="preserve">Después de una comida, el intestino libera dos hormonas llamadas incretinas: el GLP-1 (péptido similar al glucagón tipo 1) y el GIP (polipéptido insulinotrópico dependiente de glucosa). Ambas comunican al páncreas que «llega comida» y aumentan la secreción de insulina, pero solo mientras la glucemia esté elevada. Por eso los medicamentos incretínicos por sí solos rara vez provocan hipoglucemias. El GLP-1 frena además el vaciamiento gástrico y actúa en el cerebro sobre los centros de la saciedad. Qué papel desempeña el GIP en el apetito está menos claro y fue objeto de controversia durante mucho tiempo; en algunos trabajos antiguos, el GIP llegó a considerarse más bien una «hormona que engorda».</w:t>
      </w:r>
    </w:p>
    <w:p>
      <w:pPr>
        <w:pStyle w:val="BodyText"/>
      </w:pPr>
      <w:r>
        <w:t xml:space="preserve">La tirzepatida combina ambas señales en una sola molécula. Los estudios de laboratorio en líneas celulares mostraron dos particularidades (Willard 2020, PMID 32730231): en primer lugar, la tirzepatida está «desequilibrada»: a las concentraciones que se alcanzan con las dosis de tratamiento, ocupa el receptor de GIP más que el de GLP-1. En segundo lugar, en el receptor de GLP-1 activa preferentemente una determinada vía de señalización (AMPc) y desencadena en menor medida la internalización del receptor, por la que este es arrastrado al interior de la célula y queda así desactivado temporalmente. Si esta señalización «sesgada» desempeña algún papel en el ser humano es una hipótesis basada en datos de laboratorio.</w:t>
      </w:r>
    </w:p>
    <w:p>
      <w:pPr>
        <w:pStyle w:val="BodyText"/>
      </w:pPr>
      <w:r>
        <w:t xml:space="preserve">En ratones con sobrepeso, la tirzepatida mejoró la sensibilidad a la insulina más que un agonista puro del GLP-1, y en parte con independencia de la pérdida de peso, a través del receptor de GIP y de una mejor captación de glucosa en el tejido adiposo (Samms 2021, PMID 34003802). En el ser humano disminuye sobre todo la ingesta de alimentos; en un estudio con 117 personas con diabetes tipo 2, la tirzepatida redujo el apetito, la ingesta energética y la masa grasa frente a placebo. Sin embargo, en el apetito no se diferenció de forma medible de la semaglutida, aunque la pérdida de peso fue mayor; por eso los autores consideran posibles otros mecanismos (Heise 2023, PMID 36857477).</w:t>
      </w:r>
    </w:p>
    <w:p>
      <w:pPr>
        <w:pStyle w:val="BodyText"/>
      </w:pPr>
      <w:r>
        <w:t xml:space="preserve">Dicho de forma simplificada: la tirzepatida actúa como un medicamento GLP-1 con un «amplificador» adicional de GIP. Los estudios muestran que este paquete logra más en el peso y la glucemia que los agonistas puros del GLP-1 disponibles hasta ahora; el porqué exacto todavía no se comprende del todo.</w:t>
      </w:r>
    </w:p>
    <w:bookmarkEnd w:id="202"/>
    <w:bookmarkStart w:id="212" w:name="estudios-en-humanos-4"/>
    <w:p>
      <w:pPr>
        <w:pStyle w:val="Heading3"/>
      </w:pPr>
      <w:r>
        <w:t xml:space="preserve">Estudios en humanos</w:t>
      </w:r>
    </w:p>
    <w:p>
      <w:pPr>
        <w:pStyle w:val="FirstParagraph"/>
      </w:pPr>
      <w:r>
        <w:rPr>
          <w:bCs/>
          <w:b/>
        </w:rPr>
        <w:t xml:space="preserve">Magnitud de los datos:</w:t>
      </w:r>
      <w:r>
        <w:t xml:space="preserve"> </w:t>
      </w:r>
      <w:r>
        <w:t xml:space="preserve">la consulta automatizada de PubMed (octubre de 2026) arrojó 144 publicaciones clasificadas como estudios en seres humanos con «tirzepatide» en el título o el resumen, además de muchísimos artículos de revisión y metaanálisis. En ClinicalTrials.gov había 307 estudios registrados, más de 100 de ellos aún en fase de reclutamiento (no se ha contado un registro de ejemplo manifiestamente ficticio de un promotor desconocido). La tirzepatida figura así entre los principios activos mejor estudiados de este libro. El peso principal lo soportan dos programas de registro:</w:t>
      </w:r>
      <w:r>
        <w:t xml:space="preserve"> </w:t>
      </w:r>
      <w:r>
        <w:rPr>
          <w:bCs/>
          <w:b/>
        </w:rPr>
        <w:t xml:space="preserve">SURPASS</w:t>
      </w:r>
      <w:r>
        <w:t xml:space="preserve"> </w:t>
      </w:r>
      <w:r>
        <w:t xml:space="preserve">(diabetes tipo 2) y</w:t>
      </w:r>
      <w:r>
        <w:t xml:space="preserve"> </w:t>
      </w:r>
      <w:r>
        <w:rPr>
          <w:bCs/>
          <w:b/>
        </w:rPr>
        <w:t xml:space="preserve">SURMOUNT</w:t>
      </w:r>
      <w:r>
        <w:t xml:space="preserve"> </w:t>
      </w:r>
      <w:r>
        <w:t xml:space="preserve">(obesidad), completados con estudios sobre insuficiencia cardíaca, apnea del sueño e hígado graso.</w:t>
      </w:r>
    </w:p>
    <w:bookmarkStart w:id="203" w:name="del-laboratorio-a-la-clínica-fases-1-y-2"/>
    <w:p>
      <w:pPr>
        <w:pStyle w:val="Heading4"/>
      </w:pPr>
      <w:r>
        <w:t xml:space="preserve">Del laboratorio a la clínica: fases 1 y 2</w:t>
      </w:r>
    </w:p>
    <w:p>
      <w:pPr>
        <w:pStyle w:val="FirstParagraph"/>
      </w:pPr>
      <w:r>
        <w:t xml:space="preserve">Los primeros datos en seres humanos proceden de un estudio combinado de fase 1 con 142 personas que recibieron tirzepatida, dulaglutida o placebo. En personas con diabetes tipo 2, las dosis más altas redujeron claramente la glucemia en ayunas al cabo de cuatro semanas; los efectos adversos más frecuentes afectaron al tubo digestivo (Coskun 2018, PMID 30473097).</w:t>
      </w:r>
    </w:p>
    <w:p>
      <w:pPr>
        <w:pStyle w:val="BodyText"/>
      </w:pPr>
      <w:r>
        <w:t xml:space="preserve">En el estudio de fase 2, 318 personas con diabetes tipo 2 recibieron durante 26 semanas una de cuatro dosis de tirzepatida, dulaglutida o placebo. El valor de glucemia a largo plazo HbA1c disminuyó de forma dependiente de la dosis hasta 1,94 puntos porcentuales (dulaglutida: −1,21; placebo: −0,06). El peso corporal varió con tirzepatida entre −0,9 y −11,3 kg, y con dulaglutida −2,7 kg (Frias 2018, PMID 30293770). Esta magnitud de pérdida de peso —en un estudio de diabetes— fue el motivo del gran programa sobre obesidad.</w:t>
      </w:r>
    </w:p>
    <w:bookmarkEnd w:id="203"/>
    <w:bookmarkStart w:id="204" w:name="surpass-diabetes-tipo-2"/>
    <w:p>
      <w:pPr>
        <w:pStyle w:val="Heading4"/>
      </w:pPr>
      <w:r>
        <w:t xml:space="preserve">SURPASS: diabetes tipo 2</w:t>
      </w:r>
    </w:p>
    <w:p>
      <w:pPr>
        <w:pStyle w:val="FirstParagraph"/>
      </w:pPr>
      <w:r>
        <w:t xml:space="preserve">El programa SURPASS evaluó la tirzepatida en tres dosis (5, 10 y 15 mg semanales) frente a placebo, frente a semaglutida y frente a insulinas. El valor de HbA1c refleja la glucemia media de los últimos dos o tres meses; un valor inferior al 7 % se considera el objetivo terapéutico para muchas personas con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SURPASS-1 (Rosenstock 2021), PMID 34186022</w:t>
            </w:r>
          </w:p>
        </w:tc>
        <w:tc>
          <w:tcPr/>
          <w:p>
            <w:pPr>
              <w:pStyle w:val="Compact"/>
              <w:jc w:val="left"/>
            </w:pPr>
            <w:r>
              <w:t xml:space="preserve">478 adultos, solo dieta/ejercicio, frente a placebo</w:t>
            </w:r>
          </w:p>
        </w:tc>
        <w:tc>
          <w:tcPr/>
          <w:p>
            <w:pPr>
              <w:pStyle w:val="Compact"/>
              <w:jc w:val="left"/>
            </w:pPr>
            <w:r>
              <w:t xml:space="preserve">40 semanas</w:t>
            </w:r>
          </w:p>
        </w:tc>
        <w:tc>
          <w:tcPr/>
          <w:p>
            <w:pPr>
              <w:pStyle w:val="Compact"/>
              <w:jc w:val="left"/>
            </w:pPr>
            <w:r>
              <w:t xml:space="preserve">HbA1c −1,87 a −2,07 puntos frente a +0,04; peso −7,0 a −9,5 kg</w:t>
            </w:r>
          </w:p>
        </w:tc>
      </w:tr>
      <w:tr>
        <w:tc>
          <w:tcPr/>
          <w:p>
            <w:pPr>
              <w:pStyle w:val="Compact"/>
              <w:jc w:val="left"/>
            </w:pPr>
            <w:r>
              <w:t xml:space="preserve">SURPASS-2 (Frías 2021), PMID 34170647</w:t>
            </w:r>
          </w:p>
        </w:tc>
        <w:tc>
          <w:tcPr/>
          <w:p>
            <w:pPr>
              <w:pStyle w:val="Compact"/>
              <w:jc w:val="left"/>
            </w:pPr>
            <w:r>
              <w:t xml:space="preserve">1879 adultos con metformina, abierto frente a semaglutida 1 mg</w:t>
            </w:r>
          </w:p>
        </w:tc>
        <w:tc>
          <w:tcPr/>
          <w:p>
            <w:pPr>
              <w:pStyle w:val="Compact"/>
              <w:jc w:val="left"/>
            </w:pPr>
            <w:r>
              <w:t xml:space="preserve">40 semanas</w:t>
            </w:r>
          </w:p>
        </w:tc>
        <w:tc>
          <w:tcPr/>
          <w:p>
            <w:pPr>
              <w:pStyle w:val="Compact"/>
              <w:jc w:val="left"/>
            </w:pPr>
            <w:r>
              <w:t xml:space="preserve">HbA1c −2,01 a −2,30 frente a −1,86; peso adicional −1,9 a −5,5 kg</w:t>
            </w:r>
          </w:p>
        </w:tc>
      </w:tr>
      <w:tr>
        <w:tc>
          <w:tcPr/>
          <w:p>
            <w:pPr>
              <w:pStyle w:val="Compact"/>
              <w:jc w:val="left"/>
            </w:pPr>
            <w:r>
              <w:t xml:space="preserve">SURPASS-3 (Ludvik 2021), PMID 34370970</w:t>
            </w:r>
          </w:p>
        </w:tc>
        <w:tc>
          <w:tcPr/>
          <w:p>
            <w:pPr>
              <w:pStyle w:val="Compact"/>
              <w:jc w:val="left"/>
            </w:pPr>
            <w:r>
              <w:t xml:space="preserve">1444 adultos, abierto frente a insulina degludec</w:t>
            </w:r>
          </w:p>
        </w:tc>
        <w:tc>
          <w:tcPr/>
          <w:p>
            <w:pPr>
              <w:pStyle w:val="Compact"/>
              <w:jc w:val="left"/>
            </w:pPr>
            <w:r>
              <w:t xml:space="preserve">52 semanas</w:t>
            </w:r>
          </w:p>
        </w:tc>
        <w:tc>
          <w:tcPr/>
          <w:p>
            <w:pPr>
              <w:pStyle w:val="Compact"/>
              <w:jc w:val="left"/>
            </w:pPr>
            <w:r>
              <w:t xml:space="preserve">HbA1c −1,93 a −2,37 frente a −1,34; peso −7,5 a −12,9 kg frente a +2,3 kg</w:t>
            </w:r>
          </w:p>
        </w:tc>
      </w:tr>
      <w:tr>
        <w:tc>
          <w:tcPr/>
          <w:p>
            <w:pPr>
              <w:pStyle w:val="Compact"/>
              <w:jc w:val="left"/>
            </w:pPr>
            <w:r>
              <w:t xml:space="preserve">SURPASS-4 (Del Prato 2021), PMID 34672967</w:t>
            </w:r>
          </w:p>
        </w:tc>
        <w:tc>
          <w:tcPr/>
          <w:p>
            <w:pPr>
              <w:pStyle w:val="Compact"/>
              <w:jc w:val="left"/>
            </w:pPr>
            <w:r>
              <w:t xml:space="preserve">2002 adultos con alto riesgo cardiovascular, abierto frente a insulina glargina</w:t>
            </w:r>
          </w:p>
        </w:tc>
        <w:tc>
          <w:tcPr/>
          <w:p>
            <w:pPr>
              <w:pStyle w:val="Compact"/>
              <w:jc w:val="left"/>
            </w:pPr>
            <w:r>
              <w:t xml:space="preserve">52 a 104 semanas</w:t>
            </w:r>
          </w:p>
        </w:tc>
        <w:tc>
          <w:tcPr/>
          <w:p>
            <w:pPr>
              <w:pStyle w:val="Compact"/>
              <w:jc w:val="left"/>
            </w:pPr>
            <w:r>
              <w:t xml:space="preserve">HbA1c −2,43/−2,58 frente a −1,44; MACE-4 no aumentado (HR 0,74)</w:t>
            </w:r>
          </w:p>
        </w:tc>
      </w:tr>
      <w:tr>
        <w:tc>
          <w:tcPr/>
          <w:p>
            <w:pPr>
              <w:pStyle w:val="Compact"/>
              <w:jc w:val="left"/>
            </w:pPr>
            <w:r>
              <w:t xml:space="preserve">SURPASS-5 (Dahl 2022), PMID 35133415</w:t>
            </w:r>
          </w:p>
        </w:tc>
        <w:tc>
          <w:tcPr/>
          <w:p>
            <w:pPr>
              <w:pStyle w:val="Compact"/>
              <w:jc w:val="left"/>
            </w:pPr>
            <w:r>
              <w:t xml:space="preserve">475 adultos con insulina glargina, frente a placebo</w:t>
            </w:r>
          </w:p>
        </w:tc>
        <w:tc>
          <w:tcPr/>
          <w:p>
            <w:pPr>
              <w:pStyle w:val="Compact"/>
              <w:jc w:val="left"/>
            </w:pPr>
            <w:r>
              <w:t xml:space="preserve">40 semanas</w:t>
            </w:r>
          </w:p>
        </w:tc>
        <w:tc>
          <w:tcPr/>
          <w:p>
            <w:pPr>
              <w:pStyle w:val="Compact"/>
              <w:jc w:val="left"/>
            </w:pPr>
            <w:r>
              <w:t xml:space="preserve">HbA1c −2,11 a −2,40 frente a −0,86; peso −5,4 a −8,8 kg frente a +1,6 kg</w:t>
            </w:r>
          </w:p>
        </w:tc>
      </w:tr>
      <w:tr>
        <w:tc>
          <w:tcPr/>
          <w:p>
            <w:pPr>
              <w:pStyle w:val="Compact"/>
              <w:jc w:val="left"/>
            </w:pPr>
            <w:r>
              <w:t xml:space="preserve">SURPASS-PEDS (Hannon 2025), PMID 40975112</w:t>
            </w:r>
          </w:p>
        </w:tc>
        <w:tc>
          <w:tcPr/>
          <w:p>
            <w:pPr>
              <w:pStyle w:val="Compact"/>
              <w:jc w:val="left"/>
            </w:pPr>
            <w:r>
              <w:t xml:space="preserve">99 adolescentes (10–17 años) con diabetes tipo 2, frente a placebo</w:t>
            </w:r>
          </w:p>
        </w:tc>
        <w:tc>
          <w:tcPr/>
          <w:p>
            <w:pPr>
              <w:pStyle w:val="Compact"/>
              <w:jc w:val="left"/>
            </w:pPr>
            <w:r>
              <w:t xml:space="preserve">30 semanas (+22 abierto)</w:t>
            </w:r>
          </w:p>
        </w:tc>
        <w:tc>
          <w:tcPr/>
          <w:p>
            <w:pPr>
              <w:pStyle w:val="Compact"/>
              <w:jc w:val="left"/>
            </w:pPr>
            <w:r>
              <w:t xml:space="preserve">HbA1c −2,23 frente a +0,05; IMC −7,4 a −11,2 %</w:t>
            </w:r>
          </w:p>
        </w:tc>
      </w:tr>
    </w:tbl>
    <w:p>
      <w:pPr>
        <w:pStyle w:val="BodyText"/>
      </w:pPr>
      <w:r>
        <w:t xml:space="preserve">Algunos puntos merecen destacarse:</w:t>
      </w:r>
    </w:p>
    <w:p>
      <w:pPr>
        <w:numPr>
          <w:ilvl w:val="0"/>
          <w:numId w:val="1060"/>
        </w:numPr>
        <w:pStyle w:val="Compact"/>
      </w:pPr>
      <w:r>
        <w:rPr>
          <w:bCs/>
          <w:b/>
        </w:rPr>
        <w:t xml:space="preserve">En la comparación directa con la semaglutida</w:t>
      </w:r>
      <w:r>
        <w:t xml:space="preserve"> </w:t>
      </w:r>
      <w:r>
        <w:t xml:space="preserve">(SURPASS-2), la tirzepatida no fue inferior y fue superior en la HbA1c con las tres dosis. No obstante, el estudio utilizó la semaglutida a la dosis de 1 mg; la dosis más alta para la diabetes, autorizada más tarde, no fue el comparador. La frecuencia de náuseas (17–22 % frente a 18 %) y de vómitos (6–10 % frente a 8 %) fue similar; los acontecimientos adversos graves se produjeron con tirzepatida en el 5–7 % frente al 3 % con semaglutida (Frías 2021, PMID 34170647).</w:t>
      </w:r>
    </w:p>
    <w:p>
      <w:pPr>
        <w:numPr>
          <w:ilvl w:val="0"/>
          <w:numId w:val="1060"/>
        </w:numPr>
        <w:pStyle w:val="Compact"/>
      </w:pPr>
      <w:r>
        <w:rPr>
          <w:bCs/>
          <w:b/>
        </w:rPr>
        <w:t xml:space="preserve">Frente a la insulina</w:t>
      </w:r>
      <w:r>
        <w:t xml:space="preserve">, la tirzepatida logró una mayor reducción de la glucemia y, al mismo tiempo, pérdida de peso en lugar de aumento. Las hipoglucemias (por debajo de 54 mg/dl o graves) fueron claramente menos frecuentes en SURPASS-3: 1–2 % frente al 7 % con insulina degludec (Ludvik 2021, PMID 34370970).</w:t>
      </w:r>
    </w:p>
    <w:p>
      <w:pPr>
        <w:numPr>
          <w:ilvl w:val="0"/>
          <w:numId w:val="1060"/>
        </w:numPr>
        <w:pStyle w:val="Compact"/>
      </w:pPr>
      <w:r>
        <w:rPr>
          <w:bCs/>
          <w:b/>
        </w:rPr>
        <w:t xml:space="preserve">Niños y adolescentes:</w:t>
      </w:r>
      <w:r>
        <w:t xml:space="preserve"> </w:t>
      </w:r>
      <w:r>
        <w:t xml:space="preserve">SURPASS-PEDS es uno de los pocos estudios con incretinas en la diabetes tipo 2 juvenil. El efecto se mantuvo en la extensión abierta hasta la semana 52; el perfil de efectos adversos correspondió al de los adultos (Hannon 2025, PMID 40975112).</w:t>
      </w:r>
    </w:p>
    <w:p>
      <w:pPr>
        <w:numPr>
          <w:ilvl w:val="0"/>
          <w:numId w:val="1060"/>
        </w:numPr>
        <w:pStyle w:val="Compact"/>
      </w:pPr>
      <w:r>
        <w:rPr>
          <w:bCs/>
          <w:b/>
        </w:rPr>
        <w:t xml:space="preserve">Diabetes tipo 1:</w:t>
      </w:r>
      <w:r>
        <w:t xml:space="preserve"> </w:t>
      </w:r>
      <w:r>
        <w:t xml:space="preserve">un pequeño estudio de fase 2 con 24 adultos con diabetes tipo 1 y obesidad mostró al cabo de doce semanas una pérdida de peso de 10,3 kg frente a 0,7 kg con placebo y una necesidad de insulina un 35 % menor (Snaith 2026, PMID 41264593). La tirzepatida no está autorizada para la diabetes tipo 1; hay estudios más grandes en curso (véanse las perspectivas).</w:t>
      </w:r>
    </w:p>
    <w:p>
      <w:pPr>
        <w:pStyle w:val="FirstParagraph"/>
      </w:pPr>
      <w:r>
        <w:t xml:space="preserve">Un metaanálisis planificado de antemano de los siete estudios SURPASS de al menos 26 semanas de duración (4887 personas con tirzepatida, 2328 en los grupos de control) no encontró un aumento del riesgo de eventos cardiovasculares graves (MACE-4, hazard ratio 0,80; intervalo de confianza del 95 % 0,57–1,11) (Sattar 2022, PMID 35210595). Es una afirmación de seguridad, no de beneficio; para ello fue necesario el estudio de resultados SURPASS-CVOT.</w:t>
      </w:r>
    </w:p>
    <w:bookmarkEnd w:id="204"/>
    <w:bookmarkStart w:id="205" w:name="surpass-cvot-variables-cardiovasculares"/>
    <w:p>
      <w:pPr>
        <w:pStyle w:val="Heading4"/>
      </w:pPr>
      <w:r>
        <w:t xml:space="preserve">SURPASS-CVOT: variables cardiovasculares</w:t>
      </w:r>
    </w:p>
    <w:p>
      <w:pPr>
        <w:pStyle w:val="FirstParagraph"/>
      </w:pPr>
      <w:r>
        <w:t xml:space="preserve">Para los medicamentos contra la diabetes, las autoridades exigen la demostración de que no ponen en peligro el corazón. SURPASS-CVOT fue un paso más allá: en lugar de frente a placebo, la tirzepatida se enfrentó a la dulaglutida, un medicamento GLP-1 que en el estudio REWIND había reducido por sí mismo los eventos cardiovasculares. Se aleatorizó a 13.299 personas con diabetes tipo 2 y enfermedad aterosclerótica establecida; se analizaron 13.165 (Nicholls 2025, PMID 41406444).</w:t>
      </w:r>
    </w:p>
    <w:p>
      <w:pPr>
        <w:pStyle w:val="BodyText"/>
      </w:pPr>
      <w:r>
        <w:t xml:space="preserve">La variable principal —muerte cardiovascular, infarto de miocardio o ictus— se produjo en 801 personas (12,2 %) con tirzepatida y en 862 (13,1 %) con dulaglutida (hazard ratio 0,92; IC del 95,3 % 0,83–1,01). Así, la tirzepatida</w:t>
      </w:r>
      <w:r>
        <w:t xml:space="preserve"> </w:t>
      </w:r>
      <w:r>
        <w:rPr>
          <w:bCs/>
          <w:b/>
        </w:rPr>
        <w:t xml:space="preserve">no fue inferior</w:t>
      </w:r>
      <w:r>
        <w:t xml:space="preserve">; la superioridad formal no se alcanzó por poco (p = 0,09). Los efectos adversos gastrointestinales fueron más frecuentes con tirzepatida.</w:t>
      </w:r>
    </w:p>
    <w:p>
      <w:pPr>
        <w:pStyle w:val="BodyText"/>
      </w:pPr>
      <w:r>
        <w:t xml:space="preserve">Un análisis a posteriori (post hoc) con una variable más amplia de seis componentes —muerte por cualquier causa, infarto de miocardio, ictus, revascularización, hospitalización por insuficiencia cardíaca y eventos renales— encontró, tras una duración mediana del tratamiento de casi cuatro años, eventos en el 23,7 % frente al 27,4 % (hazard ratio 0,84; IC del 95 % 0,79–0,90) (Nissen 2026, PMID 41903177). Los análisis post hoc generan hipótesis; no pueden sustituir a un análisis principal fijado de antemano.</w:t>
      </w:r>
    </w:p>
    <w:p>
      <w:pPr>
        <w:pStyle w:val="BodyText"/>
      </w:pPr>
      <w:r>
        <w:t xml:space="preserve">Cuál sería el beneficio frente a</w:t>
      </w:r>
      <w:r>
        <w:t xml:space="preserve"> </w:t>
      </w:r>
      <w:r>
        <w:rPr>
          <w:iCs/>
          <w:i/>
        </w:rPr>
        <w:t xml:space="preserve">ningún</w:t>
      </w:r>
      <w:r>
        <w:t xml:space="preserve"> </w:t>
      </w:r>
      <w:r>
        <w:t xml:space="preserve">tratamiento no puede deducirse directamente de una comparación con un medicamento eficaz. Un análisis planificado de antemano, pero indirecto, calculó un «grupo placebo» a partir de los datos del estudio REWIND y obtuvo para la tirzepatida frente a este placebo calculado un hazard ratio de 0,72 (IC del 95 % 0,55–0,94) para muerte cardiovascular, infarto de miocardio o ictus (Sattar 2026, PMID 41940793). Estos cálculos de modelización se basan en supuestos y no sustituyen a una comparación real con placebo.</w:t>
      </w:r>
    </w:p>
    <w:bookmarkEnd w:id="205"/>
    <w:bookmarkStart w:id="206" w:name="surmount-obesidad"/>
    <w:p>
      <w:pPr>
        <w:pStyle w:val="Heading4"/>
      </w:pPr>
      <w:r>
        <w:t xml:space="preserve">SURMOUNT: obesidad</w:t>
      </w:r>
    </w:p>
    <w:p>
      <w:pPr>
        <w:pStyle w:val="FirstParagraph"/>
      </w:pPr>
      <w:r>
        <w:t xml:space="preserve">En el programa de obesidad, la tirzepatida se estudió en personas con un índice de masa corporal (IMC) a partir de 30, o a partir de 27 con una enfermedad asociada, siempre junto con asesoramiento sobre alimentación y actividad física.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SURMOUNT-1 (Jastreboff 2022), PMID 35658024</w:t>
            </w:r>
          </w:p>
        </w:tc>
        <w:tc>
          <w:tcPr/>
          <w:p>
            <w:pPr>
              <w:pStyle w:val="Compact"/>
              <w:jc w:val="left"/>
            </w:pPr>
            <w:r>
              <w:t xml:space="preserve">2539 adultos sin diabetes, frente a placebo</w:t>
            </w:r>
          </w:p>
        </w:tc>
        <w:tc>
          <w:tcPr/>
          <w:p>
            <w:pPr>
              <w:pStyle w:val="Compact"/>
              <w:jc w:val="left"/>
            </w:pPr>
            <w:r>
              <w:t xml:space="preserve">72 semanas</w:t>
            </w:r>
          </w:p>
        </w:tc>
        <w:tc>
          <w:tcPr/>
          <w:p>
            <w:pPr>
              <w:pStyle w:val="Compact"/>
              <w:jc w:val="left"/>
            </w:pPr>
            <w:r>
              <w:t xml:space="preserve">−15,0 / −19,5 / −20,9 % de peso (5/10/15 mg) frente a −3,1 %</w:t>
            </w:r>
          </w:p>
        </w:tc>
      </w:tr>
      <w:tr>
        <w:tc>
          <w:tcPr/>
          <w:p>
            <w:pPr>
              <w:pStyle w:val="Compact"/>
              <w:jc w:val="left"/>
            </w:pPr>
            <w:r>
              <w:t xml:space="preserve">SURMOUNT-2 (Garvey 2023), PMID 37385275</w:t>
            </w:r>
          </w:p>
        </w:tc>
        <w:tc>
          <w:tcPr/>
          <w:p>
            <w:pPr>
              <w:pStyle w:val="Compact"/>
              <w:jc w:val="left"/>
            </w:pPr>
            <w:r>
              <w:t xml:space="preserve">938 adultos con diabetes tipo 2, frente a placebo</w:t>
            </w:r>
          </w:p>
        </w:tc>
        <w:tc>
          <w:tcPr/>
          <w:p>
            <w:pPr>
              <w:pStyle w:val="Compact"/>
              <w:jc w:val="left"/>
            </w:pPr>
            <w:r>
              <w:t xml:space="preserve">72 semanas</w:t>
            </w:r>
          </w:p>
        </w:tc>
        <w:tc>
          <w:tcPr/>
          <w:p>
            <w:pPr>
              <w:pStyle w:val="Compact"/>
              <w:jc w:val="left"/>
            </w:pPr>
            <w:r>
              <w:t xml:space="preserve">−12,8 / −14,7 % frente a −3,2 %</w:t>
            </w:r>
          </w:p>
        </w:tc>
      </w:tr>
      <w:tr>
        <w:tc>
          <w:tcPr/>
          <w:p>
            <w:pPr>
              <w:pStyle w:val="Compact"/>
              <w:jc w:val="left"/>
            </w:pPr>
            <w:r>
              <w:t xml:space="preserve">SURMOUNT-3 (Wadden 2023), PMID 37840095</w:t>
            </w:r>
          </w:p>
        </w:tc>
        <w:tc>
          <w:tcPr/>
          <w:p>
            <w:pPr>
              <w:pStyle w:val="Compact"/>
              <w:jc w:val="left"/>
            </w:pPr>
            <w:r>
              <w:t xml:space="preserve">579 adultos tras una intervención de estilo de vida exitosa de 12 semanas</w:t>
            </w:r>
          </w:p>
        </w:tc>
        <w:tc>
          <w:tcPr/>
          <w:p>
            <w:pPr>
              <w:pStyle w:val="Compact"/>
              <w:jc w:val="left"/>
            </w:pPr>
            <w:r>
              <w:t xml:space="preserve">72 semanas</w:t>
            </w:r>
          </w:p>
        </w:tc>
        <w:tc>
          <w:tcPr/>
          <w:p>
            <w:pPr>
              <w:pStyle w:val="Compact"/>
              <w:jc w:val="left"/>
            </w:pPr>
            <w:r>
              <w:t xml:space="preserve">−18,4 % adicional frente a +2,5 %</w:t>
            </w:r>
          </w:p>
        </w:tc>
      </w:tr>
      <w:tr>
        <w:tc>
          <w:tcPr/>
          <w:p>
            <w:pPr>
              <w:pStyle w:val="Compact"/>
              <w:jc w:val="left"/>
            </w:pPr>
            <w:r>
              <w:t xml:space="preserve">SURMOUNT-4 (Aronne 2024), PMID 38078870</w:t>
            </w:r>
          </w:p>
        </w:tc>
        <w:tc>
          <w:tcPr/>
          <w:p>
            <w:pPr>
              <w:pStyle w:val="Compact"/>
              <w:jc w:val="left"/>
            </w:pPr>
            <w:r>
              <w:t xml:space="preserve">670 adultos tras 36 semanas de tirzepatida, continuación frente a suspensión</w:t>
            </w:r>
          </w:p>
        </w:tc>
        <w:tc>
          <w:tcPr/>
          <w:p>
            <w:pPr>
              <w:pStyle w:val="Compact"/>
              <w:jc w:val="left"/>
            </w:pPr>
            <w:r>
              <w:t xml:space="preserve">52 semanas (tras la fase inicial)</w:t>
            </w:r>
          </w:p>
        </w:tc>
        <w:tc>
          <w:tcPr/>
          <w:p>
            <w:pPr>
              <w:pStyle w:val="Compact"/>
              <w:jc w:val="left"/>
            </w:pPr>
            <w:r>
              <w:t xml:space="preserve">−5,5 % con continuación frente a +14,0 % de recuperación</w:t>
            </w:r>
          </w:p>
        </w:tc>
      </w:tr>
      <w:tr>
        <w:tc>
          <w:tcPr/>
          <w:p>
            <w:pPr>
              <w:pStyle w:val="Compact"/>
              <w:jc w:val="left"/>
            </w:pPr>
            <w:r>
              <w:t xml:space="preserve">SURMOUNT-5 (Aronne 2025), PMID 40353578</w:t>
            </w:r>
          </w:p>
        </w:tc>
        <w:tc>
          <w:tcPr/>
          <w:p>
            <w:pPr>
              <w:pStyle w:val="Compact"/>
              <w:jc w:val="left"/>
            </w:pPr>
            <w:r>
              <w:t xml:space="preserve">751 adultos sin diabetes, abierto frente a semaglutida 2,4 mg</w:t>
            </w:r>
          </w:p>
        </w:tc>
        <w:tc>
          <w:tcPr/>
          <w:p>
            <w:pPr>
              <w:pStyle w:val="Compact"/>
              <w:jc w:val="left"/>
            </w:pPr>
            <w:r>
              <w:t xml:space="preserve">72 semanas</w:t>
            </w:r>
          </w:p>
        </w:tc>
        <w:tc>
          <w:tcPr/>
          <w:p>
            <w:pPr>
              <w:pStyle w:val="Compact"/>
              <w:jc w:val="left"/>
            </w:pPr>
            <w:r>
              <w:t xml:space="preserve">−20,2 % frente a −13,7 %</w:t>
            </w:r>
          </w:p>
        </w:tc>
      </w:tr>
      <w:tr>
        <w:tc>
          <w:tcPr/>
          <w:p>
            <w:pPr>
              <w:pStyle w:val="Compact"/>
              <w:jc w:val="left"/>
            </w:pPr>
            <w:r>
              <w:t xml:space="preserve">SURMOUNT-1, datos a 3 años (Jastreboff 2025), PMID 39536238</w:t>
            </w:r>
          </w:p>
        </w:tc>
        <w:tc>
          <w:tcPr/>
          <w:p>
            <w:pPr>
              <w:pStyle w:val="Compact"/>
              <w:jc w:val="left"/>
            </w:pPr>
            <w:r>
              <w:t xml:space="preserve">1032 adultos con obesidad y prediabetes</w:t>
            </w:r>
          </w:p>
        </w:tc>
        <w:tc>
          <w:tcPr/>
          <w:p>
            <w:pPr>
              <w:pStyle w:val="Compact"/>
              <w:jc w:val="left"/>
            </w:pPr>
            <w:r>
              <w:t xml:space="preserve">176 semanas</w:t>
            </w:r>
          </w:p>
        </w:tc>
        <w:tc>
          <w:tcPr/>
          <w:p>
            <w:pPr>
              <w:pStyle w:val="Compact"/>
              <w:jc w:val="left"/>
            </w:pPr>
            <w:r>
              <w:t xml:space="preserve">−12,3 a −19,7 % frente a −1,3 %; diabetes tipo 2 1,3 % frente a 13,3 %</w:t>
            </w:r>
          </w:p>
        </w:tc>
      </w:tr>
    </w:tbl>
    <w:p>
      <w:pPr>
        <w:pStyle w:val="BodyText"/>
      </w:pPr>
      <w:r>
        <w:rPr>
          <w:bCs/>
          <w:b/>
        </w:rPr>
        <w:t xml:space="preserve">SURMOUNT-1</w:t>
      </w:r>
      <w:r>
        <w:t xml:space="preserve"> </w:t>
      </w:r>
      <w:r>
        <w:t xml:space="preserve">fue el estudio que dio a conocer la tirzepatida como medicamento contra la obesidad. Con un peso inicial medio de 104,8 kg, los participantes con la dosis más alta perdieron de media el 20,9 % de su peso corporal. El 57 % del grupo de 15 mg alcanzó una pérdida de peso de al menos el 20 %, frente al 3 % con placebo. Por efectos adversos interrumpieron el tratamiento el 4,3–7,1 % con tirzepatida y el 2,6 % con placebo (Jastreboff 2022, PMID 35658024).</w:t>
      </w:r>
    </w:p>
    <w:p>
      <w:pPr>
        <w:pStyle w:val="BodyText"/>
      </w:pPr>
      <w:r>
        <w:rPr>
          <w:bCs/>
          <w:b/>
        </w:rPr>
        <w:t xml:space="preserve">Las personas con diabetes tipo 2</w:t>
      </w:r>
      <w:r>
        <w:t xml:space="preserve"> </w:t>
      </w:r>
      <w:r>
        <w:t xml:space="preserve">pierden menos peso con todos los medicamentos incretínicos que las personas sin diabetes. Así lo mostró también SURMOUNT-2: la diferencia frente a placebo fue de 9,6 y 11,6 puntos porcentuales, respectivamente (Garvey 2023, PMID 37385275).</w:t>
      </w:r>
    </w:p>
    <w:p>
      <w:pPr>
        <w:pStyle w:val="BodyText"/>
      </w:pPr>
      <w:r>
        <w:rPr>
          <w:bCs/>
          <w:b/>
        </w:rPr>
        <w:t xml:space="preserve">¿Qué ocurre tras la suspensión?</w:t>
      </w:r>
      <w:r>
        <w:t xml:space="preserve"> </w:t>
      </w:r>
      <w:r>
        <w:t xml:space="preserve">SURMOUNT-4 respondió a esta pregunta con un diseño de «retirada aleatorizada»: todos recibieron primero 36 semanas de tirzepatida y perdieron de media un 20,9 %. Después se sorteó quién seguía recibiendo tirzepatida y quién, sin saberlo, placebo. En las 52 semanas siguientes, el grupo de placebo recuperó un 14,0 %, y el grupo de tirzepatida perdió otro 5,5 %. A lo largo de todo el estudio, la pérdida de peso fue del 25,3 % frente al 9,9 % (Aronne 2024, PMID 38078870). El mensaje de los autores: la obesidad se comporta como una enfermedad crónica cuyo tratamiento suele tener que ser permanente.</w:t>
      </w:r>
    </w:p>
    <w:p>
      <w:pPr>
        <w:pStyle w:val="BodyText"/>
      </w:pPr>
      <w:r>
        <w:rPr>
          <w:bCs/>
          <w:b/>
        </w:rPr>
        <w:t xml:space="preserve">Dosis de mantenimiento más baja:</w:t>
      </w:r>
      <w:r>
        <w:t xml:space="preserve"> </w:t>
      </w:r>
      <w:r>
        <w:t xml:space="preserve">si tras adelgazar es posible pasar a una dosis menor lo investigó SURMOUNT-MAINTAIN, con 378 personas aleatorizadas en Estados Unidos. Tras 60 semanas con la dosis máxima, se repartieron en tres grupos. En la semana 112, la pérdida de peso desde el inicio del estudio era del −21,9 % (continuación con la dosis máxima), del −16,6 % (reducción a 5 mg) y del −9,9 % (placebo). Necesitaron un tratamiento de rescate por recuperación de al menos el 50 % el 8 %, el 25 % y el 67 %, respectivamente (Horn 2026, PMID 42119587). La reducción de dosis es, por tanto, una solución intermedia con un éxito individual muy variable.</w:t>
      </w:r>
    </w:p>
    <w:p>
      <w:pPr>
        <w:pStyle w:val="BodyText"/>
      </w:pPr>
      <w:r>
        <w:rPr>
          <w:bCs/>
          <w:b/>
        </w:rPr>
        <w:t xml:space="preserve">Prevención de la diabetes:</w:t>
      </w:r>
      <w:r>
        <w:t xml:space="preserve"> </w:t>
      </w:r>
      <w:r>
        <w:t xml:space="preserve">en el análisis a tres años de SURMOUNT-1 en personas con prediabetes (estadio previo de la diabetes), desarrollaron diabetes tipo 2 el 1,3 % con tirzepatida y el 13,3 % con placebo. Incluso 17 semanas después de la suspensión, la diferencia seguía siendo clara (2,4 % frente a 13,7 %). En estos tres años no aparecieron nuevas señales de seguridad (Jastreboff 2025, PMID 39536238).</w:t>
      </w:r>
    </w:p>
    <w:bookmarkEnd w:id="206"/>
    <w:bookmarkStart w:id="207" w:name="X5216730ff2a8a8a5842f7f6366cb1742c84f5d4"/>
    <w:p>
      <w:pPr>
        <w:pStyle w:val="Heading4"/>
      </w:pPr>
      <w:r>
        <w:t xml:space="preserve">SURMOUNT-5: tirzepatida frente a semaglutida</w:t>
      </w:r>
    </w:p>
    <w:p>
      <w:pPr>
        <w:pStyle w:val="FirstParagraph"/>
      </w:pPr>
      <w:r>
        <w:t xml:space="preserve">La comparación directa en la obesidad sin diabetes, esperada por muchos, la aportó SURMOUNT-5 (Aronne 2025, PMID 40353578). 751 adultos recibieron de forma abierta (es decir, sin enmascaramiento) la dosis máxima tolerada de tirzepatida (10 o 15 mg) o de semaglutida (1,7 o 2,4 mg). Al cabo de 72 semanas:</w:t>
      </w:r>
    </w:p>
    <w:p>
      <w:pPr>
        <w:numPr>
          <w:ilvl w:val="0"/>
          <w:numId w:val="1061"/>
        </w:numPr>
        <w:pStyle w:val="Compact"/>
      </w:pPr>
      <w:r>
        <w:t xml:space="preserve">Cambio de peso: −20,2 % con tirzepatida frente a −13,7 % con semaglutida.</w:t>
      </w:r>
    </w:p>
    <w:p>
      <w:pPr>
        <w:numPr>
          <w:ilvl w:val="0"/>
          <w:numId w:val="1061"/>
        </w:numPr>
        <w:pStyle w:val="Compact"/>
      </w:pPr>
      <w:r>
        <w:t xml:space="preserve">Perímetro de cintura: −18,4 cm frente a −13,0 cm.</w:t>
      </w:r>
    </w:p>
    <w:p>
      <w:pPr>
        <w:numPr>
          <w:ilvl w:val="0"/>
          <w:numId w:val="1061"/>
        </w:numPr>
        <w:pStyle w:val="Compact"/>
      </w:pPr>
      <w:r>
        <w:t xml:space="preserve">Más participantes con tirzepatida alcanzaron cada uno de los umbrales del 10, 15, 20 y 25 %.</w:t>
      </w:r>
    </w:p>
    <w:p>
      <w:pPr>
        <w:numPr>
          <w:ilvl w:val="0"/>
          <w:numId w:val="1061"/>
        </w:numPr>
        <w:pStyle w:val="Compact"/>
      </w:pPr>
      <w:r>
        <w:t xml:space="preserve">Los efectos adversos en ambos grupos fueron mayoritariamente molestias gastrointestinales, por lo general leves a moderadas y sobre todo en la fase de aumento de la dosis.</w:t>
      </w:r>
    </w:p>
    <w:p>
      <w:pPr>
        <w:pStyle w:val="FirstParagraph"/>
      </w:pPr>
      <w:r>
        <w:t xml:space="preserve">Un análisis posterior mostró que el 44 % con tirzepatida y el 21 % con semaglutida ya habían perdido al menos el 15 % hasta la semana 24 («respondedores rápidos»). Estos tuvieron algo más de eventos gastrointestinales y biliares, pero no interrumpieron el tratamiento con más frecuencia (Aronne 2026, PMID 41865857).</w:t>
      </w:r>
    </w:p>
    <w:p>
      <w:pPr>
        <w:pStyle w:val="BodyText"/>
      </w:pPr>
      <w:r>
        <w:t xml:space="preserve">Para situarlo en contexto: SURMOUNT-5 fue financiado por el fabricante de la tirzepatida y se realizó de forma abierta. Aun así, la diferencia es lo bastante grande como para que difícilmente pueda explicarse solo por estas limitaciones. Encontrará una comparación de todos los medicamentos GLP-1 en la Parte III.</w:t>
      </w:r>
    </w:p>
    <w:bookmarkEnd w:id="207"/>
    <w:bookmarkStart w:id="208" w:name="insuficiencia-cardíaca-summit"/>
    <w:p>
      <w:pPr>
        <w:pStyle w:val="Heading4"/>
      </w:pPr>
      <w:r>
        <w:t xml:space="preserve">Insuficiencia cardíaca: SUMMIT</w:t>
      </w:r>
    </w:p>
    <w:p>
      <w:pPr>
        <w:pStyle w:val="FirstParagraph"/>
      </w:pPr>
      <w:r>
        <w:t xml:space="preserve">La insuficiencia cardíaca con fracción de eyección conservada (ICFEp) es una forma frecuente de insuficiencia cardíaca en la que el corazón bombea con normalidad, pero se llena mal. La obesidad es un factor impulsor importante. En SUMMIT se aleatorizó a 731 personas con ICFEp e IMC a partir de 30 a tirzepatida o placebo, con un seguimiento mediano de 104 semanas (Packer 2025, PMID 39555826).</w:t>
      </w:r>
    </w:p>
    <w:p>
      <w:pPr>
        <w:numPr>
          <w:ilvl w:val="0"/>
          <w:numId w:val="1062"/>
        </w:numPr>
        <w:pStyle w:val="Compact"/>
      </w:pPr>
      <w:r>
        <w:t xml:space="preserve">Muerte cardiovascular o empeoramiento de la insuficiencia cardíaca: 9,9 % con tirzepatida frente a 15,3 % con placebo (hazard ratio 0,62; IC del 95 % 0,41–0,95).</w:t>
      </w:r>
    </w:p>
    <w:p>
      <w:pPr>
        <w:numPr>
          <w:ilvl w:val="0"/>
          <w:numId w:val="1062"/>
        </w:numPr>
        <w:pStyle w:val="Compact"/>
      </w:pPr>
      <w:r>
        <w:t xml:space="preserve">Esta diferencia se debió a menos eventos de empeoramiento (8,0 % frente a 14,2 %). Las muertes cardiovasculares fueron raras y, en números, incluso algo más frecuentes con tirzepatida (2,2 % frente a 1,4 %), con un margen de incertidumbre muy amplio.</w:t>
      </w:r>
    </w:p>
    <w:p>
      <w:pPr>
        <w:numPr>
          <w:ilvl w:val="0"/>
          <w:numId w:val="1062"/>
        </w:numPr>
        <w:pStyle w:val="Compact"/>
      </w:pPr>
      <w:r>
        <w:t xml:space="preserve">La calidad de vida (cuestionario KCCQ) mejoró más: +19,5 frente a +12,7 puntos.</w:t>
      </w:r>
    </w:p>
    <w:p>
      <w:pPr>
        <w:numPr>
          <w:ilvl w:val="0"/>
          <w:numId w:val="1062"/>
        </w:numPr>
        <w:pStyle w:val="Compact"/>
      </w:pPr>
      <w:r>
        <w:t xml:space="preserve">Interrupciones por efectos adversos: 6,3 % frente a 1,4 %.</w:t>
      </w:r>
    </w:p>
    <w:p>
      <w:pPr>
        <w:pStyle w:val="FirstParagraph"/>
      </w:pPr>
      <w:r>
        <w:t xml:space="preserve">Un subestudio con resonancia magnética cardíaca mostró una disminución de la masa muscular del ventrículo izquierdo y del tejido graso alrededor del corazón (Kramer 2025, PMID 39566869). Con 731 personas y 92 eventos de la variable principal, SUMMIT es un estudio de resultados relativamente pequeño; los resultados son alentadores, pero no tan sólidos como los datos de estudios con miles de participantes.</w:t>
      </w:r>
    </w:p>
    <w:bookmarkEnd w:id="208"/>
    <w:bookmarkStart w:id="209" w:name="apnea-obstructiva-del-sueño-surmount-osa"/>
    <w:p>
      <w:pPr>
        <w:pStyle w:val="Heading4"/>
      </w:pPr>
      <w:r>
        <w:t xml:space="preserve">Apnea obstructiva del sueño: SURMOUNT-OSA</w:t>
      </w:r>
    </w:p>
    <w:p>
      <w:pPr>
        <w:pStyle w:val="FirstParagraph"/>
      </w:pPr>
      <w:r>
        <w:t xml:space="preserve">En la apnea obstructiva del sueño, las vías respiratorias superiores se colapsan repetidamente durante el sueño; la respiración se interrumpe (apnea) o se vuelve superficial (hipopnea). El índice de apnea-hipopnea (IAH) cuenta estos eventos por hora; a partir de 30, la apnea del sueño se considera grave. El exceso de peso es un factor de riesgo principal.</w:t>
      </w:r>
    </w:p>
    <w:p>
      <w:pPr>
        <w:pStyle w:val="BodyText"/>
      </w:pPr>
      <w:r>
        <w:t xml:space="preserve">SURMOUNT-OSA constaba de dos estudios paralelos con personas con obesidad y apnea del sueño moderada a grave: sin tratamiento con mascarilla respiratoria (estudio 1) y con mascarilla (CPAP, estudio 2). IAH inicial de unos 50 eventos por hora. Al cabo de 52 semanas (Malhotra 2024, PMID 38912654):</w:t>
      </w:r>
    </w:p>
    <w:p>
      <w:pPr>
        <w:numPr>
          <w:ilvl w:val="0"/>
          <w:numId w:val="1063"/>
        </w:numPr>
        <w:pStyle w:val="Compact"/>
      </w:pPr>
      <w:r>
        <w:t xml:space="preserve">Estudio 1: IAH −25,3 eventos/hora con tirzepatida frente a −5,3 con placebo.</w:t>
      </w:r>
    </w:p>
    <w:p>
      <w:pPr>
        <w:numPr>
          <w:ilvl w:val="0"/>
          <w:numId w:val="1063"/>
        </w:numPr>
        <w:pStyle w:val="Compact"/>
      </w:pPr>
      <w:r>
        <w:t xml:space="preserve">Estudio 2: IAH −29,3 frente a −5,5.</w:t>
      </w:r>
    </w:p>
    <w:p>
      <w:pPr>
        <w:numPr>
          <w:ilvl w:val="0"/>
          <w:numId w:val="1063"/>
        </w:numPr>
        <w:pStyle w:val="Compact"/>
      </w:pPr>
      <w:r>
        <w:t xml:space="preserve">Además mejoraron la carga de hipoxia, los marcadores de inflamación (PCR-us), la presión arterial y los trastornos del sueño comunicados por los participantes.</w:t>
      </w:r>
    </w:p>
    <w:p>
      <w:pPr>
        <w:pStyle w:val="FirstParagraph"/>
      </w:pPr>
      <w:r>
        <w:t xml:space="preserve">Sobre esta base, la tirzepatida se autorizó en Estados Unidos como el primer medicamento para el tratamiento de la apnea del sueño en la obesidad. No sustituye automáticamente a la mascarilla respiratoria: incluso tras la reducción, el IAH de muchos participantes seguía en un rango que requería tratamiento. La decisión sobre el tratamiento corresponde a especialistas en medicina del sueño.</w:t>
      </w:r>
    </w:p>
    <w:bookmarkEnd w:id="209"/>
    <w:bookmarkStart w:id="210" w:name="hígado-graso-mash"/>
    <w:p>
      <w:pPr>
        <w:pStyle w:val="Heading4"/>
      </w:pPr>
      <w:r>
        <w:t xml:space="preserve">Hígado graso (MASH)</w:t>
      </w:r>
    </w:p>
    <w:p>
      <w:pPr>
        <w:pStyle w:val="FirstParagraph"/>
      </w:pPr>
      <w:r>
        <w:t xml:space="preserve">La esteatohepatitis asociada a disfunción metabólica (MASH, antes NASH) es una forma inflamatoria del hígado graso que puede progresar a cicatrización (fibrosis) y cirrosis. En el estudio de fase 2 SYNERGY-NASH, 190 personas con MASH confirmada por biopsia y fibrosis moderada a grave recibieron tirzepatida o placebo. Al cabo de 52 semanas, la MASH desapareció sin empeoramiento de la fibrosis en el 44–62 % con tirzepatida frente al 10 % con placebo; una mejora de la fibrosis de al menos un estadio la mostraron el 51–55 % frente al 30 % (Loomba 2024, PMID 38856224). Está en curso un estudio de fase 3 (véanse las perspectivas).</w:t>
      </w:r>
    </w:p>
    <w:bookmarkEnd w:id="210"/>
    <w:bookmarkStart w:id="211" w:name="X03e885f1b8f434791fdd716336d63711d7c94b3"/>
    <w:p>
      <w:pPr>
        <w:pStyle w:val="Heading4"/>
      </w:pPr>
      <w:r>
        <w:t xml:space="preserve">Otros campos de aplicación y metaanálisis</w:t>
      </w:r>
    </w:p>
    <w:p>
      <w:pPr>
        <w:pStyle w:val="FirstParagraph"/>
      </w:pPr>
      <w:r>
        <w:t xml:space="preserve">La literatura sobre la tirzepatida crece muy rápido. Además de los grandes programas, hay estudios sobre psoriasis y artritis psoriásica en combinación con fármacos biológicos: en un estudio abierto de fase 3b con 274 personas, con ixekizumab más tirzepatida el 27,1 % alcanzó simultáneamente la curación completa de las lesiones cutáneas (PASI 100) y al menos un 10 % de pérdida de peso, frente al 5,8 % con ixekizumab solo (Lebwohl 2026, PMID 42139049). Otros trabajos se ocupan del síndrome de ovario poliquístico, de la función renal y de poblaciones específicas de Asia (SURMOUNT-J, SURMOUNT-CN, SURPASS-AP-Combo). Una exposición completa de todos los estudios individuales excedería el marco de este libro; figuran en el índice de estudios del anexo.</w:t>
      </w:r>
    </w:p>
    <w:p>
      <w:pPr>
        <w:pStyle w:val="BodyText"/>
      </w:pPr>
      <w:r>
        <w:t xml:space="preserve">Sobre la composición corporal: en un subestudio con DXA de SURMOUNT-1 con 160 personas, aproximadamente el 75 % del peso perdido era grasa y aproximadamente el 25 %, masa magra (a la que pertenece la musculatura), en la misma proporción que en el grupo de placebo (Look 2025, PMID 39996356). La preocupación por la pérdida de músculo está, por tanto, justificada, pero no es un efecto específico de la tirzepatida, sino típico de cualquier pérdida de peso importante.</w:t>
      </w:r>
    </w:p>
    <w:bookmarkEnd w:id="211"/>
    <w:bookmarkEnd w:id="212"/>
    <w:bookmarkStart w:id="213" w:name="estudios-en-animales-y-de-laboratorio-4"/>
    <w:p>
      <w:pPr>
        <w:pStyle w:val="Heading3"/>
      </w:pPr>
      <w:r>
        <w:t xml:space="preserve">Estudios en animales y de laboratorio</w:t>
      </w:r>
    </w:p>
    <w:p>
      <w:pPr>
        <w:pStyle w:val="FirstParagraph"/>
      </w:pPr>
      <w:r>
        <w:t xml:space="preserve">El desarrollo preclínico está publicado de forma inusualmente completa. En cultivos celulares, la tirzepatida activa ambos receptores; en ratones redujo el peso y la ingesta de alimentos más que un agonista puro del GLP-1 (Coskun 2018, PMID 30473097). Los estudios en ratones sin receptor de GLP-1 funcional mostraron que el componente GIP mejora la sensibilidad a la insulina en el tejido adiposo (Samms 2021, PMID 34003802). Sobre la distribución y la degradación en el organismo existen estudios en seres humanos, ratas y monos: la molécula se metaboliza mediante la escisión del esqueleto peptídico y la degradación de la cadena de ácido graso; en el ser humano se encontró aproximadamente el 66 % de la sustancia marcada en la orina y aproximadamente el 33 % en las heces, pero tirzepatida sin modificar en ninguna de las dos (Martin 2024, PMID 39243911).</w:t>
      </w:r>
    </w:p>
    <w:p>
      <w:pPr>
        <w:pStyle w:val="BodyText"/>
      </w:pPr>
      <w:r>
        <w:t xml:space="preserve">Como con todos los agonistas del GLP-1 de acción prolongada, en estudios de larga duración en roedores aparecieron tumores de las células C de la tiroides. No está claro si este hallazgo es trasladable al ser humano, porque los roedores tienen muchos más receptores de GLP-1 en estas células. Este resultado en animales es la base de las advertencias de la ficha técnica (véase más abajo).</w:t>
      </w:r>
    </w:p>
    <w:bookmarkEnd w:id="213"/>
    <w:bookmarkStart w:id="214" w:name="riesgos-y-efectos-adversos-4"/>
    <w:p>
      <w:pPr>
        <w:pStyle w:val="Heading3"/>
      </w:pPr>
      <w:r>
        <w:t xml:space="preserve">Riesgos y efectos adversos</w:t>
      </w:r>
    </w:p>
    <w:p>
      <w:pPr>
        <w:pStyle w:val="FirstParagraph"/>
      </w:pPr>
      <w:r>
        <w:rPr>
          <w:bCs/>
          <w:b/>
        </w:rPr>
        <w:t xml:space="preserve">Demostrados en estudios:</w:t>
      </w:r>
    </w:p>
    <w:p>
      <w:pPr>
        <w:numPr>
          <w:ilvl w:val="0"/>
          <w:numId w:val="1064"/>
        </w:numPr>
        <w:pStyle w:val="Compact"/>
      </w:pPr>
      <w:r>
        <w:rPr>
          <w:bCs/>
          <w:b/>
        </w:rPr>
        <w:t xml:space="preserve">Las molestias gastrointestinales</w:t>
      </w:r>
      <w:r>
        <w:t xml:space="preserve"> </w:t>
      </w:r>
      <w:r>
        <w:t xml:space="preserve">son con diferencia las más frecuentes: náuseas, diarrea, vómitos, estreñimiento, disminución del apetito. En SURPASS-3, el 12–24 % comunicó náuseas, el 15–17 % diarrea y el 6–10 % vómitos (Ludvik 2021, PMID 34370970). Las molestias aparecen sobre todo en la fase de aumento de la dosis y suelen remitir. Son el motivo más frecuente de interrupción del tratamiento.</w:t>
      </w:r>
    </w:p>
    <w:p>
      <w:pPr>
        <w:numPr>
          <w:ilvl w:val="0"/>
          <w:numId w:val="1064"/>
        </w:numPr>
        <w:pStyle w:val="Compact"/>
      </w:pPr>
      <w:r>
        <w:rPr>
          <w:bCs/>
          <w:b/>
        </w:rPr>
        <w:t xml:space="preserve">Vesícula y vías biliares:</w:t>
      </w:r>
      <w:r>
        <w:t xml:space="preserve"> </w:t>
      </w:r>
      <w:r>
        <w:t xml:space="preserve">un metaanálisis de nueve estudios con 9871 participantes encontró un aumento del riesgo de la categoría agrupada de enfermedades de la vesícula o de las vías biliares frente a placebo o insulina (riesgo relativo 1,97; IC del 95 % 1,14–3,42), pero no un aumento estadísticamente significativo de la inflamación del páncreas (pancreatitis) (Zeng 2023, PMID 37908750). La propia pérdida de peso rápida favorece los cálculos biliares.</w:t>
      </w:r>
    </w:p>
    <w:p>
      <w:pPr>
        <w:numPr>
          <w:ilvl w:val="0"/>
          <w:numId w:val="1064"/>
        </w:numPr>
        <w:pStyle w:val="Compact"/>
      </w:pPr>
      <w:r>
        <w:rPr>
          <w:bCs/>
          <w:b/>
        </w:rPr>
        <w:t xml:space="preserve">Hipoglucemia:</w:t>
      </w:r>
      <w:r>
        <w:t xml:space="preserve"> </w:t>
      </w:r>
      <w:r>
        <w:t xml:space="preserve">rara en monoterapia. El riesgo aumenta si se toman simultáneamente insulina o sulfonilureas; en SURPASS-4, las hipoglucemias sin sulfonilurea se produjeron en el 1–3 % (Del Prato 2021, PMID 34672967).</w:t>
      </w:r>
    </w:p>
    <w:p>
      <w:pPr>
        <w:numPr>
          <w:ilvl w:val="0"/>
          <w:numId w:val="1064"/>
        </w:numPr>
        <w:pStyle w:val="Compact"/>
      </w:pPr>
      <w:r>
        <w:rPr>
          <w:bCs/>
          <w:b/>
        </w:rPr>
        <w:t xml:space="preserve">Salud mental:</w:t>
      </w:r>
      <w:r>
        <w:t xml:space="preserve"> </w:t>
      </w:r>
      <w:r>
        <w:t xml:space="preserve">un análisis posterior de SURMOUNT-1 a -3 con 4056 personas sin enfermedad psiquiátrica grave conocida no encontró indicios de un aumento de las depresiones; las ideas suicidas se comunicaron en ambos grupos en el 0,6 % (Wadden 2026, PMID 41537305). Para las personas con enfermedades psiquiátricas graves faltan datos suficientes.</w:t>
      </w:r>
    </w:p>
    <w:p>
      <w:pPr>
        <w:numPr>
          <w:ilvl w:val="0"/>
          <w:numId w:val="1064"/>
        </w:numPr>
        <w:pStyle w:val="Compact"/>
      </w:pPr>
      <w:r>
        <w:rPr>
          <w:bCs/>
          <w:b/>
        </w:rPr>
        <w:t xml:space="preserve">Pérdida de masa magra:</w:t>
      </w:r>
      <w:r>
        <w:t xml:space="preserve"> </w:t>
      </w:r>
      <w:r>
        <w:t xml:space="preserve">aproximadamente una cuarta parte del peso perdido (Look 2025, PMID 39996356). En los círculos especializados se recomiendan el entrenamiento de fuerza y una ingesta suficiente de proteínas para contrarrestarla; los datos sólidos de estudios sobre el beneficio funcional son limitados.</w:t>
      </w:r>
    </w:p>
    <w:p>
      <w:pPr>
        <w:pStyle w:val="FirstParagraph"/>
      </w:pPr>
      <w:r>
        <w:rPr>
          <w:bCs/>
          <w:b/>
        </w:rPr>
        <w:t xml:space="preserve">Datos posteriores a la comercialización:</w:t>
      </w:r>
      <w:r>
        <w:t xml:space="preserve"> </w:t>
      </w:r>
      <w:r>
        <w:t xml:space="preserve">un análisis de la base de datos estadounidense de efectos adversos FAERS encontró notificaciones desproporcionadamente numerosas de náuseas, pancreatitis, retinopatía diabética y cáncer medular de tiroides, pero ningún aumento del riesgo en comparación con otros agonistas del GLP-1 (Caruso 2024, PMID 39141075). Estos datos de notificación muestran señales, no causas: los riesgos conocidos se notifican con más frecuencia. En un gran estudio de cohortes con más de 46.000 parejas en tratamiento habitual, el riesgo de eventos gastrointestinales graves (pancreatitis, enfermedades de las vías biliares, obstrucción intestinal, parálisis gástrica, estreñimiento grave) no difirió sustancialmente entre tirzepatida y semaglutida (hazard ratio 1,07; IC del 95 % 0,90–1,26) (Crisafulli 2026, PMID 41183330).</w:t>
      </w:r>
    </w:p>
    <w:p>
      <w:pPr>
        <w:pStyle w:val="BodyText"/>
      </w:pPr>
      <w:r>
        <w:rPr>
          <w:bCs/>
          <w:b/>
        </w:rPr>
        <w:t xml:space="preserve">Teóricos o derivados de datos en animales:</w:t>
      </w:r>
      <w:r>
        <w:t xml:space="preserve"> </w:t>
      </w:r>
      <w:r>
        <w:t xml:space="preserve">cáncer medular de tiroides (hallazgo en animales, véase más arriba). Por eso, las fichas técnicas incluyen una advertencia o una contraindicación en caso de antecedentes personales o familiares de carcinoma medular de tiroides y en el síndrome MEN 2.</w:t>
      </w:r>
    </w:p>
    <w:p>
      <w:pPr>
        <w:pStyle w:val="BodyText"/>
      </w:pPr>
      <w:r>
        <w:rPr>
          <w:bCs/>
          <w:b/>
        </w:rPr>
        <w:t xml:space="preserve">Importante para la práctica (según la ficha técnica, no debe entenderse como instrucciones):</w:t>
      </w:r>
      <w:r>
        <w:t xml:space="preserve"> </w:t>
      </w:r>
      <w:r>
        <w:t xml:space="preserve">el retraso del vaciamiento gástrico puede influir en la absorción de comprimidos, lo que es relevante, por ejemplo, para la píldora anticonceptiva. Durante el embarazo y la lactancia no se utiliza la tirzepatida. Antes de cirugías con anestesia hay que tener en cuenta el retraso del vaciamiento gástrico. Sobre todos los detalles informan la ficha técnica y el médico o la médica responsable del tratamiento.</w:t>
      </w:r>
    </w:p>
    <w:p>
      <w:pPr>
        <w:pStyle w:val="BodyText"/>
      </w:pPr>
      <w:r>
        <w:rPr>
          <w:bCs/>
          <w:b/>
        </w:rPr>
        <w:t xml:space="preserve">Productos de imitación:</w:t>
      </w:r>
      <w:r>
        <w:t xml:space="preserve"> </w:t>
      </w:r>
      <w:r>
        <w:t xml:space="preserve">durante los problemas de suministro de los años 2022 a 2024 se elaboraron en farmacias estadounidenses preparados de tirzepatida («compounding»), y paralelamente surgió un gran mercado gris en línea. Un estudio de 2025 encontró 33 preparados con semaglutida o tirzepatida en formas de administración no autorizadas, como pastillas para chupar o mezclas con vitaminas; para estos productos faltan datos de eficacia y seguridad (Belcourt 2026, PMID 41689811). Para la mercancía «Research» sin autorización como medicamento esto se aplica en mayor medida aún (véanse la Parte I y la Parte IV).</w:t>
      </w:r>
    </w:p>
    <w:bookmarkEnd w:id="214"/>
    <w:bookmarkStart w:id="215" w:name="situación-legal-4"/>
    <w:p>
      <w:pPr>
        <w:pStyle w:val="Heading3"/>
      </w:pPr>
      <w:r>
        <w:t xml:space="preserve">Situación legal</w:t>
      </w:r>
    </w:p>
    <w:p>
      <w:pPr>
        <w:numPr>
          <w:ilvl w:val="0"/>
          <w:numId w:val="1065"/>
        </w:numPr>
        <w:pStyle w:val="Compact"/>
      </w:pPr>
      <w:r>
        <w:rPr>
          <w:bCs/>
          <w:b/>
        </w:rPr>
        <w:t xml:space="preserve">UE / Austria / Alemania:</w:t>
      </w:r>
      <w:r>
        <w:t xml:space="preserve"> </w:t>
      </w:r>
      <w:r>
        <w:t xml:space="preserve">la tirzepatida está autorizada por el procedimiento centralizado en la UE como Mounjaro (en 2022 para la diabetes tipo 2 y, desde finales de 2023, también para el control del peso). Está sujeta a prescripción médica. Que el seguro de enfermedad asuma los costes depende de la indicación: para la diabetes tipo 2, la financiación es en principio posible; los medicamentos para reducir peso están en Alemania excluidos legalmente en gran medida de la financiación, y en Austria rigen normas propias y restrictivas. Los detalles cambian; compruebe la información actualizada.</w:t>
      </w:r>
    </w:p>
    <w:p>
      <w:pPr>
        <w:numPr>
          <w:ilvl w:val="0"/>
          <w:numId w:val="1065"/>
        </w:numPr>
        <w:pStyle w:val="Compact"/>
      </w:pPr>
      <w:r>
        <w:rPr>
          <w:bCs/>
          <w:b/>
        </w:rPr>
        <w:t xml:space="preserve">EE. UU.:</w:t>
      </w:r>
      <w:r>
        <w:t xml:space="preserve"> </w:t>
      </w:r>
      <w:r>
        <w:t xml:space="preserve">autorizada como Mounjaro (2022, diabetes tipo 2) y como Zepbound (2023, control crónico del peso; en 2024 además apnea obstructiva del sueño en la obesidad). Tras el fin de la escasez oficial, la FDA ha restringido fuertemente la elaboración de copias en farmacias.</w:t>
      </w:r>
    </w:p>
    <w:p>
      <w:pPr>
        <w:numPr>
          <w:ilvl w:val="0"/>
          <w:numId w:val="1065"/>
        </w:numPr>
        <w:pStyle w:val="Compact"/>
      </w:pPr>
      <w:r>
        <w:rPr>
          <w:bCs/>
          <w:b/>
        </w:rPr>
        <w:t xml:space="preserve">Deporte:</w:t>
      </w:r>
      <w:r>
        <w:t xml:space="preserve"> </w:t>
      </w:r>
      <w:r>
        <w:t xml:space="preserve">la tirzepatida no figura en la Lista de Prohibiciones de la WADA (estado en 2026; compruebe la información actualizada).</w:t>
      </w:r>
    </w:p>
    <w:p>
      <w:pPr>
        <w:numPr>
          <w:ilvl w:val="0"/>
          <w:numId w:val="1065"/>
        </w:numPr>
        <w:pStyle w:val="Compact"/>
      </w:pPr>
      <w:r>
        <w:rPr>
          <w:bCs/>
          <w:b/>
        </w:rPr>
        <w:t xml:space="preserve">Mercado gris:</w:t>
      </w:r>
      <w:r>
        <w:t xml:space="preserve"> </w:t>
      </w:r>
      <w:r>
        <w:t xml:space="preserve">el comercio con productos de tirzepatida no autorizados («for research use only») no es en la UE una vía legal para obtener el medicamento; los productos no están sujetos a ningún control de calidad.</w:t>
      </w:r>
    </w:p>
    <w:bookmarkEnd w:id="215"/>
    <w:bookmarkStart w:id="216" w:name="estudios-en-curso-y-perspectivas-4"/>
    <w:p>
      <w:pPr>
        <w:pStyle w:val="Heading3"/>
      </w:pPr>
      <w:r>
        <w:t xml:space="preserve">Estudios en curso y perspectivas</w:t>
      </w:r>
    </w:p>
    <w:p>
      <w:pPr>
        <w:pStyle w:val="FirstParagraph"/>
      </w:pPr>
      <w:r>
        <w:rPr>
          <w:bCs/>
          <w:b/>
        </w:rPr>
        <w:t xml:space="preserve">Confirmado (estudios registrados, estado en octubre de 2026):</w:t>
      </w:r>
    </w:p>
    <w:p>
      <w:pPr>
        <w:numPr>
          <w:ilvl w:val="0"/>
          <w:numId w:val="1066"/>
        </w:numPr>
        <w:pStyle w:val="Compact"/>
      </w:pPr>
      <w:r>
        <w:rPr>
          <w:bCs/>
          <w:b/>
        </w:rPr>
        <w:t xml:space="preserve">SURMOUNT-MMO</w:t>
      </w:r>
      <w:r>
        <w:t xml:space="preserve"> </w:t>
      </w:r>
      <w:r>
        <w:t xml:space="preserve">(NCT05556512): estudio de resultados con unas 15.000 personas con obesidad sin diabetes y alto riesgo cardiovascular, tirzepatida frente a placebo. La variable principal incluye infarto de miocardio, ictus, revascularización, eventos de insuficiencia cardíaca y muerte por cualquier causa; final previsto en 2027. Según la publicación del diseño, es el primer estudio de resultados con incretinas que investiga tanto la prevención primaria como la secundaria de las enfermedades cardiovasculares (Lam 2025, PMID 40545827).</w:t>
      </w:r>
    </w:p>
    <w:p>
      <w:pPr>
        <w:numPr>
          <w:ilvl w:val="0"/>
          <w:numId w:val="1066"/>
        </w:numPr>
        <w:pStyle w:val="Compact"/>
      </w:pPr>
      <w:r>
        <w:rPr>
          <w:bCs/>
          <w:b/>
        </w:rPr>
        <w:t xml:space="preserve">SYNERGY-Outcomes</w:t>
      </w:r>
      <w:r>
        <w:t xml:space="preserve"> </w:t>
      </w:r>
      <w:r>
        <w:t xml:space="preserve">(NCT07165028): protocolo maestro de fase 3 sobre la enfermedad del hígado graso con 4500 participantes previstos.</w:t>
      </w:r>
    </w:p>
    <w:p>
      <w:pPr>
        <w:numPr>
          <w:ilvl w:val="0"/>
          <w:numId w:val="1066"/>
        </w:numPr>
        <w:pStyle w:val="Compact"/>
      </w:pPr>
      <w:r>
        <w:rPr>
          <w:bCs/>
          <w:b/>
        </w:rPr>
        <w:t xml:space="preserve">Diabetes tipo 1 con obesidad</w:t>
      </w:r>
      <w:r>
        <w:t xml:space="preserve"> </w:t>
      </w:r>
      <w:r>
        <w:t xml:space="preserve">(NCT06914895, NCT06962280): dos estudios de fase 3.</w:t>
      </w:r>
    </w:p>
    <w:p>
      <w:pPr>
        <w:numPr>
          <w:ilvl w:val="0"/>
          <w:numId w:val="1066"/>
        </w:numPr>
        <w:pStyle w:val="Compact"/>
      </w:pPr>
      <w:r>
        <w:rPr>
          <w:bCs/>
          <w:b/>
        </w:rPr>
        <w:t xml:space="preserve">Adolescentes con obesidad</w:t>
      </w:r>
      <w:r>
        <w:t xml:space="preserve"> </w:t>
      </w:r>
      <w:r>
        <w:t xml:space="preserve">(NCT06439277, SURMOUNT-ADOLESCENTS-2) y niños (NCT07817875).</w:t>
      </w:r>
    </w:p>
    <w:p>
      <w:pPr>
        <w:numPr>
          <w:ilvl w:val="0"/>
          <w:numId w:val="1066"/>
        </w:numPr>
        <w:pStyle w:val="Compact"/>
      </w:pPr>
      <w:r>
        <w:rPr>
          <w:bCs/>
          <w:b/>
        </w:rPr>
        <w:t xml:space="preserve">Comparación directa con su sucesora, la retatrutida</w:t>
      </w:r>
      <w:r>
        <w:t xml:space="preserve"> </w:t>
      </w:r>
      <w:r>
        <w:t xml:space="preserve">(NCT06662383; véase el capítulo Retatrutida).</w:t>
      </w:r>
    </w:p>
    <w:p>
      <w:pPr>
        <w:numPr>
          <w:ilvl w:val="0"/>
          <w:numId w:val="1066"/>
        </w:numPr>
        <w:pStyle w:val="Compact"/>
      </w:pPr>
      <w:r>
        <w:t xml:space="preserve">Numerosos estudios sobre artrosis de rodilla, psoriasis, enfermedades renales e ictus.</w:t>
      </w:r>
    </w:p>
    <w:p>
      <w:pPr>
        <w:pStyle w:val="FirstParagraph"/>
      </w:pPr>
      <w:r>
        <w:rPr>
          <w:bCs/>
          <w:b/>
        </w:rPr>
        <w:t xml:space="preserve">Valoración:</w:t>
      </w:r>
      <w:r>
        <w:t xml:space="preserve"> </w:t>
      </w:r>
      <w:r>
        <w:t xml:space="preserve">en 2026, la tirzepatida es la referencia con la que deben medirse los nuevos medicamentos para adelgazar. La siguiente gran pregunta es si SURMOUNT-MMO mostrará en personas sin diabetes un beneficio cardiovascular similar al del estudio SELECT para la semaglutida. La competencia procede de los agonistas triples (retatrutida), las combinaciones con amilina (CagriSema, amicretina) y los comprimidos (orforglipron). Cuándo expirarán las patentes y serán posibles preparados de imitación más baratos se trata en la Parte V.</w:t>
      </w:r>
    </w:p>
    <w:bookmarkEnd w:id="216"/>
    <w:bookmarkStart w:id="217" w:name="conclusión-4"/>
    <w:p>
      <w:pPr>
        <w:pStyle w:val="Heading3"/>
      </w:pPr>
      <w:r>
        <w:t xml:space="preserve">Conclusión</w:t>
      </w:r>
    </w:p>
    <w:p>
      <w:pPr>
        <w:pStyle w:val="FirstParagraph"/>
      </w:pPr>
      <w:r>
        <w:t xml:space="preserve">La tirzepatida es un agonista doble GIP/GLP-1 que se ha estudiado en uno de los mayores programas de estudios de la medicina de la diabetes y la obesidad. En SURMOUNT-1, el peso corporal disminuyó con la dosis más alta una media de alrededor del 21 %, y en la comparación directa con la semaglutida (SURMOUNT-5), un 20,2 % frente a un 13,7 %. Frente a la dulaglutida no fue inferior en los eventos cardiovasculares, y en la insuficiencia cardíaca con fracción de eyección conservada y en la apnea del sueño mostró efectos favorables. Los efectos adversos afectan sobre todo al tubo digestivo y a la vesícula biliar; tras la suspensión se recupera gran parte del peso. El tratamiento debe estar en manos médicas, con el preparado original y no con mercancía del mercado gris.</w:t>
      </w:r>
    </w:p>
    <w:bookmarkEnd w:id="217"/>
    <w:bookmarkEnd w:id="218"/>
    <w:bookmarkStart w:id="230" w:name="retatrutida"/>
    <w:p>
      <w:pPr>
        <w:pStyle w:val="Heading2"/>
      </w:pPr>
      <w:r>
        <w:t xml:space="preserve">Retatrutida</w:t>
      </w:r>
    </w:p>
    <w:bookmarkStart w:id="219" w:name="ficha-5"/>
    <w:p>
      <w:pPr>
        <w:pStyle w:val="Heading3"/>
      </w:pPr>
      <w:r>
        <w:t xml:space="preserve">Ficha</w:t>
      </w:r>
    </w:p>
    <w:p>
      <w:pPr>
        <w:numPr>
          <w:ilvl w:val="0"/>
          <w:numId w:val="1067"/>
        </w:numPr>
        <w:pStyle w:val="Compact"/>
      </w:pPr>
      <w:r>
        <w:rPr>
          <w:bCs/>
          <w:b/>
        </w:rPr>
        <w:t xml:space="preserve">Tipo/estructura:</w:t>
      </w:r>
      <w:r>
        <w:t xml:space="preserve"> </w:t>
      </w:r>
      <w:r>
        <w:t xml:space="preserve">péptido sintético con una cadena de ácido graso unida, para administración subcutánea una vez por semana; código de desarrollo LY3437943.</w:t>
      </w:r>
    </w:p>
    <w:p>
      <w:pPr>
        <w:numPr>
          <w:ilvl w:val="0"/>
          <w:numId w:val="1067"/>
        </w:numPr>
        <w:pStyle w:val="Compact"/>
      </w:pPr>
      <w:r>
        <w:rPr>
          <w:bCs/>
          <w:b/>
        </w:rPr>
        <w:t xml:space="preserve">Origen:</w:t>
      </w:r>
      <w:r>
        <w:t xml:space="preserve"> </w:t>
      </w:r>
      <w:r>
        <w:t xml:space="preserve">desarrollada por Eli Lilly como sucesora de la tirzepatida.</w:t>
      </w:r>
    </w:p>
    <w:p>
      <w:pPr>
        <w:numPr>
          <w:ilvl w:val="0"/>
          <w:numId w:val="1067"/>
        </w:numPr>
        <w:pStyle w:val="Compact"/>
      </w:pPr>
      <w:r>
        <w:rPr>
          <w:bCs/>
          <w:b/>
        </w:rPr>
        <w:t xml:space="preserve">Mecanismo de acción:</w:t>
      </w:r>
      <w:r>
        <w:t xml:space="preserve"> </w:t>
      </w:r>
      <w:r>
        <w:t xml:space="preserve">«agonista triple» en tres receptores: GIP, GLP-1 y glucagón. En los medios se la llama a menudo «Triple G».</w:t>
      </w:r>
    </w:p>
    <w:p>
      <w:pPr>
        <w:numPr>
          <w:ilvl w:val="0"/>
          <w:numId w:val="1067"/>
        </w:numPr>
        <w:pStyle w:val="Compact"/>
      </w:pPr>
      <w:r>
        <w:rPr>
          <w:bCs/>
          <w:b/>
        </w:rPr>
        <w:t xml:space="preserve">Autorización UE:</w:t>
      </w:r>
      <w:r>
        <w:t xml:space="preserve"> </w:t>
      </w:r>
      <w:r>
        <w:t xml:space="preserve">no (a octubre de 2026; programa de fase 3 TRIUMPH parcialmente concluido).</w:t>
      </w:r>
    </w:p>
    <w:p>
      <w:pPr>
        <w:numPr>
          <w:ilvl w:val="0"/>
          <w:numId w:val="1067"/>
        </w:numPr>
        <w:pStyle w:val="Compact"/>
      </w:pPr>
      <w:r>
        <w:rPr>
          <w:bCs/>
          <w:b/>
        </w:rPr>
        <w:t xml:space="preserve">Autorización EE. UU.:</w:t>
      </w:r>
      <w:r>
        <w:t xml:space="preserve"> </w:t>
      </w:r>
      <w:r>
        <w:t xml:space="preserve">no (a octubre de 2026, compruébelo en su versión actual).</w:t>
      </w:r>
    </w:p>
    <w:p>
      <w:pPr>
        <w:numPr>
          <w:ilvl w:val="0"/>
          <w:numId w:val="1067"/>
        </w:numPr>
        <w:pStyle w:val="Compact"/>
      </w:pPr>
      <w:r>
        <w:rPr>
          <w:bCs/>
          <w:b/>
        </w:rPr>
        <w:t xml:space="preserve">AMA (WADA):</w:t>
      </w:r>
      <w:r>
        <w:t xml:space="preserve"> </w:t>
      </w:r>
      <w:r>
        <w:t xml:space="preserve">no figura por su nombre; sin embargo, como principio activo no autorizado en ningún país, la retatrutida entra en la clase S0 «Sustancias no aprobadas» y, por tanto, está prohibida en el deporte en todo momento (situación en 2026, compruébelo en su versión actual).</w:t>
      </w:r>
    </w:p>
    <w:p>
      <w:pPr>
        <w:numPr>
          <w:ilvl w:val="0"/>
          <w:numId w:val="1067"/>
        </w:numPr>
        <w:pStyle w:val="Compact"/>
      </w:pPr>
      <w:r>
        <w:rPr>
          <w:bCs/>
          <w:b/>
        </w:rPr>
        <w:t xml:space="preserve">Nivel de evidencia:</w:t>
      </w:r>
      <w:r>
        <w:t xml:space="preserve"> </w:t>
      </w:r>
      <w:r>
        <w:rPr>
          <w:bCs/>
          <w:b/>
        </w:rPr>
        <w:t xml:space="preserve">B</w:t>
      </w:r>
      <w:r>
        <w:t xml:space="preserve"> </w:t>
      </w:r>
      <w:r>
        <w:t xml:space="preserve">– varios grandes estudios de fase 3 publicados, pero todavía sin autorización y sin datos de criterios de valoración clínicos sobre corazón y riñón. Con una autorización se alcanzaría el nivel A.</w:t>
      </w:r>
    </w:p>
    <w:bookmarkEnd w:id="219"/>
    <w:bookmarkStart w:id="220" w:name="cómo-se-supone-que-actúa-5"/>
    <w:p>
      <w:pPr>
        <w:pStyle w:val="Heading3"/>
      </w:pPr>
      <w:r>
        <w:t xml:space="preserve">Cómo se supone que actúa</w:t>
      </w:r>
    </w:p>
    <w:p>
      <w:pPr>
        <w:pStyle w:val="FirstParagraph"/>
      </w:pPr>
      <w:r>
        <w:t xml:space="preserve">La retatrutida se basa en el principio de la tirzepatida (véase ese capítulo) y añade una tercera diana: el receptor del glucagón. A primera vista parece contradictorio, ya que el glucagón es la «hormona antagonista» de la insulina: hace que el hígado libere azúcar y eleva la glucemia. Pero el glucagón tiene otros efectos: aumenta el gasto energético, favorece la degradación de grasa en el hígado y contribuye a la saciedad. La idea detrás de la retatrutida es aprovechar estos efectos favorables, mientras que el componente GLP-1 y GIP compensa el efecto hiperglucemiante.</w:t>
      </w:r>
    </w:p>
    <w:p>
      <w:pPr>
        <w:pStyle w:val="BodyText"/>
      </w:pPr>
      <w:r>
        <w:t xml:space="preserve">En ensayos celulares, la retatrutida actúa con una potencia aproximadamente igual sobre los receptores de glucagón y de GLP-1, y con mayor potencia sobre el receptor de GIP. En ratones con sobrepeso, el componente de glucagón potenció la pérdida de peso a través de un mayor gasto energético, mientras que el GIP y el GLP-1 redujeron la ingesta calórica (Coskun 2022, PMID 35985340). Todavía no se ha estudiado suficientemente si el gasto energético también aumenta de forma apreciable en el ser humano; hay registrado un estudio de fase 1 al respecto (NCT06313528).</w:t>
      </w:r>
    </w:p>
    <w:p>
      <w:pPr>
        <w:pStyle w:val="BodyText"/>
      </w:pPr>
      <w:r>
        <w:t xml:space="preserve">En humanos, los participantes de un estudio de fase 2 refirieron con las dosis más altas menos hambre y menos tendencia a la «pérdida de control» al comer; estos cambios se relacionaban con la pérdida de peso (Kanu 2025, PMID 40916752).</w:t>
      </w:r>
    </w:p>
    <w:bookmarkEnd w:id="220"/>
    <w:bookmarkStart w:id="224" w:name="estudios-en-humanos-5"/>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 arrojó 10 estudios en humanos, completados con la búsqueda específica de las publicaciones de fase 1 y fase 3. En ClinicalTrials.gov había 32 estudios registrados (sin contar una entrada de ejemplo claramente ficticia), entre ellos el programa de registro TRIUMPH (obesidad) y TRANSCEND (diabetes tipo 2). Para un principio activo sin autorización, se trata de una base de datos inusualmente sólida, aunque procede casi por completo de estudios financiados por el fabricante.</w:t>
      </w:r>
    </w:p>
    <w:bookmarkStart w:id="221" w:name="estudios-iniciales"/>
    <w:p>
      <w:pPr>
        <w:pStyle w:val="Heading4"/>
      </w:pPr>
      <w:r>
        <w:t xml:space="preserve">Estudios iniciales</w:t>
      </w:r>
    </w:p>
    <w:p>
      <w:pPr>
        <w:pStyle w:val="FirstParagraph"/>
      </w:pPr>
      <w:r>
        <w:t xml:space="preserve">Tras un estudio de dosis única en personas sanas, en el que el peso corporal se mantuvo reducido hasta 43 días después de una sola inyección (Coskun 2022, PMID 35985340), se realizó un estudio de fase 1b de doce semanas con 72 personas con diabetes tipo 2. La semivida fue de unos seis días, lo que permite la administración semanal. En el grupo de dosis más alta, la pérdida de peso frente a placebo llegó a casi 9 kg (Urva 2022, PMID 36354040).</w:t>
      </w:r>
    </w:p>
    <w:bookmarkEnd w:id="221"/>
    <w:bookmarkStart w:id="222" w:name="fase-2-obesidad-y-diabetes-tipo-2"/>
    <w:p>
      <w:pPr>
        <w:pStyle w:val="Heading4"/>
      </w:pPr>
      <w:r>
        <w:t xml:space="preserve">Fase 2: obesidad y diabetes tipo 2</w:t>
      </w:r>
    </w:p>
    <w:p>
      <w:pPr>
        <w:pStyle w:val="FirstParagraph"/>
      </w:pPr>
      <w:r>
        <w:t xml:space="preserve">El estudio de fase 2 en obesidad acaparó titulares en 2023 (Jastreboff 2023, PMID 37366315). 338 adultos recibieron durante 48 semanas distintas dosis o placebo. En el grupo de dosis más alta, el peso corporal se redujo en promedio un 24,2 % (placebo: −2,1 %); el 83 % de este grupo perdió al menos un 15 %. Eran los valores más altos medidos hasta entonces en un estudio farmacológico sobre obesidad. Los efectos secundarios gastrointestinales aumentaron con la dosis y fueron menores con un escalado de dosis más lento. La frecuencia cardíaca aumentó de forma dependiente de la dosis, alcanzó su valor máximo a las 24 semanas y después disminuyó.</w:t>
      </w:r>
    </w:p>
    <w:p>
      <w:pPr>
        <w:pStyle w:val="BodyText"/>
      </w:pPr>
      <w:r>
        <w:t xml:space="preserve">El estudio paralelo de fase 2 en 281 personas con diabetes tipo 2 mostró a las 24 semanas reducciones de HbA1c de hasta 2,02 puntos porcentuales (dulaglutida: −1,41) y a las 36 semanas una pérdida de peso de hasta el 16,94 % (Rosenstock 2023, PMID 37385280). En un subestudio con medición de la composición corporal (DXA), la masa grasa disminuyó un 23–26 % con las dosis más altas (Coskun 2025, PMID 40609566).</w:t>
      </w:r>
    </w:p>
    <w:p>
      <w:pPr>
        <w:pStyle w:val="BodyText"/>
      </w:pPr>
      <w:r>
        <w:t xml:space="preserve">Un subestudio con 98 participantes con hígado graso (al menos un 10 % de grasa hepática) observó a las 24 semanas una reducción relativa de la grasa hepática de hasta el 82,4 %; con la dosis más alta, el 86 % presentaba después valores normales de grasa hepática, y con placebo nadie (Sanyal 2024, PMID 38858523). El contenido de grasa hepática es un parámetro subrogado: aún no se ha demostrado que con ello disminuyan la inflamación hepática, la fibrosis y la cirrosis.</w:t>
      </w:r>
    </w:p>
    <w:p>
      <w:pPr>
        <w:pStyle w:val="BodyText"/>
      </w:pPr>
      <w:r>
        <w:t xml:space="preserve">Los análisis posteriores de los estudios de fase 2 mostraron mejoras en los lípidos sanguíneos y en los marcadores de inflamación, por ejemplo un colesterol no HDL hasta un 26,9 % más bajo y un valor de PCR un 54,8 % más bajo en el estudio de obesidad (Ruotolo 2026, PMID 42608321). También estos son valores de laboratorio, no criterios de valoración clínicos duros.</w:t>
      </w:r>
    </w:p>
    <w:bookmarkEnd w:id="222"/>
    <w:bookmarkStart w:id="223" w:name="fase-3-los-programas-triumph-y-transcend"/>
    <w:p>
      <w:pPr>
        <w:pStyle w:val="Heading4"/>
      </w:pPr>
      <w:r>
        <w:t xml:space="preserve">Fase 3: los programas TRIUMPH y TRANSCEND</w:t>
      </w:r>
    </w:p>
    <w:p>
      <w:pPr>
        <w:pStyle w:val="FirstParagraph"/>
      </w:pPr>
      <w:r>
        <w:t xml:space="preserve">El programa de registro para la obesidad, TRIUMPH, comprende cuatro estudios con más de 5800 participantes en total. Una particularidad es el diseño «basket» (en cesta): dentro de los grandes estudios de peso se evaluaron subgrupos con artrosis de rodilla o apnea del sueño con sus propios criterios de valoración principales (Giblin 2026, PMID 41090431).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Fase 2 obesidad (Jastreboff 2023), PMID 37366315</w:t>
            </w:r>
          </w:p>
        </w:tc>
        <w:tc>
          <w:tcPr/>
          <w:p>
            <w:pPr>
              <w:pStyle w:val="Compact"/>
              <w:jc w:val="left"/>
            </w:pPr>
            <w:r>
              <w:t xml:space="preserve">338 adultos sin diabetes, frente a placebo</w:t>
            </w:r>
          </w:p>
        </w:tc>
        <w:tc>
          <w:tcPr/>
          <w:p>
            <w:pPr>
              <w:pStyle w:val="Compact"/>
              <w:jc w:val="left"/>
            </w:pPr>
            <w:r>
              <w:t xml:space="preserve">48 semanas</w:t>
            </w:r>
          </w:p>
        </w:tc>
        <w:tc>
          <w:tcPr/>
          <w:p>
            <w:pPr>
              <w:pStyle w:val="Compact"/>
              <w:jc w:val="left"/>
            </w:pPr>
            <w:r>
              <w:t xml:space="preserve">hasta −24,2 % de peso frente a −2,1 %</w:t>
            </w:r>
          </w:p>
        </w:tc>
      </w:tr>
      <w:tr>
        <w:tc>
          <w:tcPr/>
          <w:p>
            <w:pPr>
              <w:pStyle w:val="Compact"/>
              <w:jc w:val="left"/>
            </w:pPr>
            <w:r>
              <w:t xml:space="preserve">Fase 2 diabetes tipo 2 (Rosenstock 2023), PMID 37385280</w:t>
            </w:r>
          </w:p>
        </w:tc>
        <w:tc>
          <w:tcPr/>
          <w:p>
            <w:pPr>
              <w:pStyle w:val="Compact"/>
              <w:jc w:val="left"/>
            </w:pPr>
            <w:r>
              <w:t xml:space="preserve">281 adultos, frente a placebo y dulaglutida</w:t>
            </w:r>
          </w:p>
        </w:tc>
        <w:tc>
          <w:tcPr/>
          <w:p>
            <w:pPr>
              <w:pStyle w:val="Compact"/>
              <w:jc w:val="left"/>
            </w:pPr>
            <w:r>
              <w:t xml:space="preserve">36 semanas</w:t>
            </w:r>
          </w:p>
        </w:tc>
        <w:tc>
          <w:tcPr/>
          <w:p>
            <w:pPr>
              <w:pStyle w:val="Compact"/>
              <w:jc w:val="left"/>
            </w:pPr>
            <w:r>
              <w:t xml:space="preserve">HbA1c hasta −2,02 puntos; peso hasta −16,94 %</w:t>
            </w:r>
          </w:p>
        </w:tc>
      </w:tr>
      <w:tr>
        <w:tc>
          <w:tcPr/>
          <w:p>
            <w:pPr>
              <w:pStyle w:val="Compact"/>
              <w:jc w:val="left"/>
            </w:pPr>
            <w:r>
              <w:t xml:space="preserve">TRIUMPH-1 (Jastreboff 2026), PMID 42814954</w:t>
            </w:r>
          </w:p>
        </w:tc>
        <w:tc>
          <w:tcPr/>
          <w:p>
            <w:pPr>
              <w:pStyle w:val="Compact"/>
              <w:jc w:val="left"/>
            </w:pPr>
            <w:r>
              <w:t xml:space="preserve">2339 adultos con obesidad sin diabetes, frente a placebo</w:t>
            </w:r>
          </w:p>
        </w:tc>
        <w:tc>
          <w:tcPr/>
          <w:p>
            <w:pPr>
              <w:pStyle w:val="Compact"/>
              <w:jc w:val="left"/>
            </w:pPr>
            <w:r>
              <w:t xml:space="preserve">80 semanas</w:t>
            </w:r>
          </w:p>
        </w:tc>
        <w:tc>
          <w:tcPr/>
          <w:p>
            <w:pPr>
              <w:pStyle w:val="Compact"/>
              <w:jc w:val="left"/>
            </w:pPr>
            <w:r>
              <w:t xml:space="preserve">−17,6 / −23,7 / −25,0 % (4/9/12 mg) frente a −3,9 %</w:t>
            </w:r>
          </w:p>
        </w:tc>
      </w:tr>
      <w:tr>
        <w:tc>
          <w:tcPr/>
          <w:p>
            <w:pPr>
              <w:pStyle w:val="Compact"/>
              <w:jc w:val="left"/>
            </w:pPr>
            <w:r>
              <w:t xml:space="preserve">TRIUMPH-2 (Bellido 2026), PMID 42810372</w:t>
            </w:r>
          </w:p>
        </w:tc>
        <w:tc>
          <w:tcPr/>
          <w:p>
            <w:pPr>
              <w:pStyle w:val="Compact"/>
              <w:jc w:val="left"/>
            </w:pPr>
            <w:r>
              <w:t xml:space="preserve">1152 adultos con obesidad y diabetes tipo 2, frente a placebo</w:t>
            </w:r>
          </w:p>
        </w:tc>
        <w:tc>
          <w:tcPr/>
          <w:p>
            <w:pPr>
              <w:pStyle w:val="Compact"/>
              <w:jc w:val="left"/>
            </w:pPr>
            <w:r>
              <w:t xml:space="preserve">80 semanas</w:t>
            </w:r>
          </w:p>
        </w:tc>
        <w:tc>
          <w:tcPr/>
          <w:p>
            <w:pPr>
              <w:pStyle w:val="Compact"/>
              <w:jc w:val="left"/>
            </w:pPr>
            <w:r>
              <w:t xml:space="preserve">−11,9 / −16,8 / −18,8 % frente a −5,1 %</w:t>
            </w:r>
          </w:p>
        </w:tc>
      </w:tr>
      <w:tr>
        <w:tc>
          <w:tcPr/>
          <w:p>
            <w:pPr>
              <w:pStyle w:val="Compact"/>
              <w:jc w:val="left"/>
            </w:pPr>
            <w:r>
              <w:t xml:space="preserve">TRANSCEND-T2D-1 (Bajaj 2026), PMID 42250575</w:t>
            </w:r>
          </w:p>
        </w:tc>
        <w:tc>
          <w:tcPr/>
          <w:p>
            <w:pPr>
              <w:pStyle w:val="Compact"/>
              <w:jc w:val="left"/>
            </w:pPr>
            <w:r>
              <w:t xml:space="preserve">537 adultos con diabetes tipo 2 sin medicación, frente a placebo</w:t>
            </w:r>
          </w:p>
        </w:tc>
        <w:tc>
          <w:tcPr/>
          <w:p>
            <w:pPr>
              <w:pStyle w:val="Compact"/>
              <w:jc w:val="left"/>
            </w:pPr>
            <w:r>
              <w:t xml:space="preserve">40 semanas</w:t>
            </w:r>
          </w:p>
        </w:tc>
        <w:tc>
          <w:tcPr/>
          <w:p>
            <w:pPr>
              <w:pStyle w:val="Compact"/>
              <w:jc w:val="left"/>
            </w:pPr>
            <w:r>
              <w:t xml:space="preserve">HbA1c −1,69 a −1,94 frente a −0,81; peso hasta −15,3 %</w:t>
            </w:r>
          </w:p>
        </w:tc>
      </w:tr>
    </w:tbl>
    <w:p>
      <w:pPr>
        <w:pStyle w:val="BodyText"/>
      </w:pPr>
      <w:r>
        <w:rPr>
          <w:bCs/>
          <w:b/>
        </w:rPr>
        <w:t xml:space="preserve">TRIUMPH-1</w:t>
      </w:r>
      <w:r>
        <w:t xml:space="preserve"> </w:t>
      </w:r>
      <w:r>
        <w:t xml:space="preserve">(Jastreboff 2026, PMID 42814954) es el estudio principal. En 2339 adultos con obesidad sin diabetes, el peso corporal se redujo a las 80 semanas con la dosis más alta un 25,0 % en promedio. A modo de comparación: en SURMOUNT-1, la tirzepatida alcanzó con la dosis más alta un 20,9 % a las 72 semanas. No obstante, una comparación cruzada de este tipo entre estudios con distinta duración y población solo ofrece una orientación aproximada; la comparación directa la aportará un estudio en curso (véase Perspectivas).</w:t>
      </w:r>
    </w:p>
    <w:p>
      <w:pPr>
        <w:pStyle w:val="BodyText"/>
      </w:pPr>
      <w:r>
        <w:t xml:space="preserve">En los subestudios integrados:</w:t>
      </w:r>
    </w:p>
    <w:p>
      <w:pPr>
        <w:numPr>
          <w:ilvl w:val="0"/>
          <w:numId w:val="1068"/>
        </w:numPr>
        <w:pStyle w:val="Compact"/>
      </w:pPr>
      <w:r>
        <w:rPr>
          <w:bCs/>
          <w:b/>
        </w:rPr>
        <w:t xml:space="preserve">Artrosis de rodilla</w:t>
      </w:r>
      <w:r>
        <w:t xml:space="preserve"> </w:t>
      </w:r>
      <w:r>
        <w:t xml:space="preserve">(574 participantes): la puntuación de dolor (WOMAC, escala de 1 a 10) disminuyó 3,5 y 3,6 puntos con 9 y 12 mg, respectivamente, frente a 1,9 puntos con placebo.</w:t>
      </w:r>
    </w:p>
    <w:p>
      <w:pPr>
        <w:numPr>
          <w:ilvl w:val="0"/>
          <w:numId w:val="1068"/>
        </w:numPr>
        <w:pStyle w:val="Compact"/>
      </w:pPr>
      <w:r>
        <w:rPr>
          <w:bCs/>
          <w:b/>
        </w:rPr>
        <w:t xml:space="preserve">Apnea del sueño</w:t>
      </w:r>
      <w:r>
        <w:t xml:space="preserve"> </w:t>
      </w:r>
      <w:r>
        <w:t xml:space="preserve">(243 participantes): el índice de apnea-hipopnea se redujo en unos 32 a 34 eventos por hora, y con placebo en casi 10.</w:t>
      </w:r>
    </w:p>
    <w:p>
      <w:pPr>
        <w:pStyle w:val="FirstParagraph"/>
      </w:pPr>
      <w:r>
        <w:rPr>
          <w:bCs/>
          <w:b/>
        </w:rPr>
        <w:t xml:space="preserve">TRIUMPH-2</w:t>
      </w:r>
      <w:r>
        <w:t xml:space="preserve"> </w:t>
      </w:r>
      <w:r>
        <w:t xml:space="preserve">(Bellido 2026, PMID 42810372) confirmó el patrón conocido de que las personas con diabetes tipo 2 pierden menos peso: −18,8 % con la dosis más alta frente a −5,1 % con placebo. Este estudio aportó también los datos de seguridad más precisos hasta la fecha (véase más abajo).</w:t>
      </w:r>
    </w:p>
    <w:p>
      <w:pPr>
        <w:pStyle w:val="BodyText"/>
      </w:pPr>
      <w:r>
        <w:rPr>
          <w:bCs/>
          <w:b/>
        </w:rPr>
        <w:t xml:space="preserve">TRANSCEND-T2D-1</w:t>
      </w:r>
      <w:r>
        <w:t xml:space="preserve"> </w:t>
      </w:r>
      <w:r>
        <w:t xml:space="preserve">(Bajaj 2026, PMID 42250575) evaluó la retatrutida como único tratamiento de la diabetes en personas con diabetes de corta evolución. La HbA1c disminuyó hasta 1,94 puntos porcentuales y el peso hasta un 15,3 %; no se produjeron hipoglucemias graves.</w:t>
      </w:r>
    </w:p>
    <w:p>
      <w:pPr>
        <w:pStyle w:val="BodyText"/>
      </w:pPr>
      <w:r>
        <w:t xml:space="preserve">Según el registro, TRIUMPH-3 (obesidad con enfermedad cardiovascular, NCT05882045) y TRIUMPH-4 (artrosis de rodilla, NCT05931367) han concluido; al cierre de la redacción de este capítulo todavía no existía una publicación revisada por pares.</w:t>
      </w:r>
    </w:p>
    <w:bookmarkEnd w:id="223"/>
    <w:bookmarkEnd w:id="224"/>
    <w:bookmarkStart w:id="225" w:name="estudios-en-animales-y-de-laboratorio-5"/>
    <w:p>
      <w:pPr>
        <w:pStyle w:val="Heading3"/>
      </w:pPr>
      <w:r>
        <w:t xml:space="preserve">Estudios en animales y de laboratorio</w:t>
      </w:r>
    </w:p>
    <w:p>
      <w:pPr>
        <w:pStyle w:val="FirstParagraph"/>
      </w:pPr>
      <w:r>
        <w:t xml:space="preserve">Las bases preclínicas proceden en su mayoría del fabricante. En cultivos celulares, la retatrutida activa los tres receptores; en ratones con sobrepeso redujo el peso y la glucemia, y el componente de glucagón aumentó el gasto energético (Coskun 2022, PMID 35985340). Un trabajo en ratones con sobrepeso describe que, con retatrutida, los tumores pancreáticos y pulmonares trasplantados prendieron con menos frecuencia y crecieron más despacio (Marathe 2025, PMID 40094000), un hallazgo en animales del que no se puede deducir nada para los seres humanos.</w:t>
      </w:r>
    </w:p>
    <w:p>
      <w:pPr>
        <w:pStyle w:val="BodyText"/>
      </w:pPr>
      <w:r>
        <w:t xml:space="preserve">Para el análisis antidopaje se desarrolló en 2026 un método de detección. Para ello se analizaron muestras de sangre y orina de cuatro personas que se habían inyectado retatrutida por su cuenta fuera de estudios. En la orina no se encontró retatrutida intacta; en la sangre era detectable hasta unos 56 días después de la primera inyección (Carneiro 2026, PMID 42745421). Los autores mencionan informes sobre su uso entre deportistas aficionados.</w:t>
      </w:r>
    </w:p>
    <w:bookmarkEnd w:id="225"/>
    <w:bookmarkStart w:id="226" w:name="riesgos-y-efectos-adversos-5"/>
    <w:p>
      <w:pPr>
        <w:pStyle w:val="Heading3"/>
      </w:pPr>
      <w:r>
        <w:t xml:space="preserve">Riesgos y efectos adversos</w:t>
      </w:r>
    </w:p>
    <w:p>
      <w:pPr>
        <w:pStyle w:val="FirstParagraph"/>
      </w:pPr>
      <w:r>
        <w:rPr>
          <w:bCs/>
          <w:b/>
        </w:rPr>
        <w:t xml:space="preserve">Demostrado en estudios:</w:t>
      </w:r>
    </w:p>
    <w:p>
      <w:pPr>
        <w:numPr>
          <w:ilvl w:val="0"/>
          <w:numId w:val="1069"/>
        </w:numPr>
        <w:pStyle w:val="Compact"/>
      </w:pPr>
      <w:r>
        <w:t xml:space="preserve">Las</w:t>
      </w:r>
      <w:r>
        <w:t xml:space="preserve"> </w:t>
      </w:r>
      <w:r>
        <w:rPr>
          <w:bCs/>
          <w:b/>
        </w:rPr>
        <w:t xml:space="preserve">molestias gastrointestinales</w:t>
      </w:r>
      <w:r>
        <w:t xml:space="preserve"> </w:t>
      </w:r>
      <w:r>
        <w:t xml:space="preserve">son los efectos secundarios más frecuentes y dependen claramente de la dosis. En TRIUMPH-2, se produjo diarrea en el 27–34 % (placebo 13 %) y náuseas en el 14–28 % (placebo 8 %) (Bellido 2026, PMID 42810372).</w:t>
      </w:r>
    </w:p>
    <w:p>
      <w:pPr>
        <w:numPr>
          <w:ilvl w:val="0"/>
          <w:numId w:val="1069"/>
        </w:numPr>
        <w:pStyle w:val="Compact"/>
      </w:pPr>
      <w:r>
        <w:rPr>
          <w:bCs/>
          <w:b/>
        </w:rPr>
        <w:t xml:space="preserve">Abandonos del tratamiento:</w:t>
      </w:r>
      <w:r>
        <w:t xml:space="preserve"> </w:t>
      </w:r>
      <w:r>
        <w:t xml:space="preserve">en TRIUMPH-2, el 12 % (9 mg) y el 8 % (12 mg) interrumpieron el tratamiento por efectos secundarios o muerte; con 4 mg, el 4 %, y con placebo, el 5 %.</w:t>
      </w:r>
    </w:p>
    <w:p>
      <w:pPr>
        <w:numPr>
          <w:ilvl w:val="0"/>
          <w:numId w:val="1069"/>
        </w:numPr>
        <w:pStyle w:val="Compact"/>
      </w:pPr>
      <w:r>
        <w:t xml:space="preserve">La</w:t>
      </w:r>
      <w:r>
        <w:t xml:space="preserve"> </w:t>
      </w:r>
      <w:r>
        <w:rPr>
          <w:bCs/>
          <w:b/>
        </w:rPr>
        <w:t xml:space="preserve">disestesia</w:t>
      </w:r>
      <w:r>
        <w:t xml:space="preserve"> </w:t>
      </w:r>
      <w:r>
        <w:t xml:space="preserve">–sensaciones cutáneas anómalas desagradables como hormigueo, ardor o sensibilidad al tacto– apareció en TRIUMPH-2 de forma dependiente de la dosis en el 4–7 %, frente al 1 % con placebo. Esta señal es relativamente nueva para la retatrutida; su causa no está aclarada.</w:t>
      </w:r>
    </w:p>
    <w:p>
      <w:pPr>
        <w:numPr>
          <w:ilvl w:val="0"/>
          <w:numId w:val="1069"/>
        </w:numPr>
        <w:pStyle w:val="Compact"/>
      </w:pPr>
      <w:r>
        <w:rPr>
          <w:bCs/>
          <w:b/>
        </w:rPr>
        <w:t xml:space="preserve">Presión arterial baja</w:t>
      </w:r>
      <w:r>
        <w:t xml:space="preserve"> </w:t>
      </w:r>
      <w:r>
        <w:t xml:space="preserve">(hipotensión): 1–6 % frente a menos del 1 % con placebo (TRIUMPH-2).</w:t>
      </w:r>
    </w:p>
    <w:p>
      <w:pPr>
        <w:numPr>
          <w:ilvl w:val="0"/>
          <w:numId w:val="1069"/>
        </w:numPr>
        <w:pStyle w:val="Compact"/>
      </w:pPr>
      <w:r>
        <w:rPr>
          <w:bCs/>
          <w:b/>
        </w:rPr>
        <w:t xml:space="preserve">Frecuencia cardíaca:</w:t>
      </w:r>
      <w:r>
        <w:t xml:space="preserve"> </w:t>
      </w:r>
      <w:r>
        <w:t xml:space="preserve">en el estudio de fase 2, el pulso aumentó de forma dependiente de la dosis y volvió a disminuir después de 24 semanas (Jastreboff 2023, PMID 37366315). Una frecuencia cardíaca en reposo más alta es conocida en todos los fármacos GLP-1; los estudios de criterios de valoración deberán aclarar si es clínicamente relevante con el agonista triple.</w:t>
      </w:r>
    </w:p>
    <w:p>
      <w:pPr>
        <w:numPr>
          <w:ilvl w:val="0"/>
          <w:numId w:val="1069"/>
        </w:numPr>
        <w:pStyle w:val="Compact"/>
      </w:pPr>
      <w:r>
        <w:rPr>
          <w:bCs/>
          <w:b/>
        </w:rPr>
        <w:t xml:space="preserve">Pérdida de masa magra:</w:t>
      </w:r>
      <w:r>
        <w:t xml:space="preserve"> </w:t>
      </w:r>
      <w:r>
        <w:t xml:space="preserve">como en cualquier pérdida de peso importante (véase tirzepatida).</w:t>
      </w:r>
    </w:p>
    <w:p>
      <w:pPr>
        <w:pStyle w:val="FirstParagraph"/>
      </w:pPr>
      <w:r>
        <w:rPr>
          <w:bCs/>
          <w:b/>
        </w:rPr>
        <w:t xml:space="preserve">Teórico o aún insuficientemente estudiado:</w:t>
      </w:r>
      <w:r>
        <w:t xml:space="preserve"> </w:t>
      </w:r>
      <w:r>
        <w:t xml:space="preserve">el componente de glucagón podría tener a largo plazo efectos sobre el metabolismo de los aminoácidos, el ritmo cardíaco y los huesos; no existen datos sólidos a largo plazo al respecto. Para los riesgos de clase de los fármacos GLP-1 (vesícula biliar, páncreas, células C tiroideas en experimentación animal), todavía hay demasiados pocos años-paciente con retatrutida como para hacer afirmaciones propias.</w:t>
      </w:r>
    </w:p>
    <w:p>
      <w:pPr>
        <w:pStyle w:val="BodyText"/>
      </w:pPr>
      <w:r>
        <w:rPr>
          <w:bCs/>
          <w:b/>
        </w:rPr>
        <w:t xml:space="preserve">Mercado gris:</w:t>
      </w:r>
      <w:r>
        <w:t xml:space="preserve"> </w:t>
      </w:r>
      <w:r>
        <w:t xml:space="preserve">desde la publicación de la fase 2, la retatrutida se ofrece en internet como «Research Peptide»; la revista JAMA informó en 2026 sobre un creciente mercado negro de retatrutida y zenagamtida (Rubin 2026, PMID 42853576). Estos productos no son medicamentos, su contenido no está controlado y con ellos no es posible reproducir de forma fiable los esquemas de escalado de dosis utilizados en los estudios. La acumulación de efectos secundarios con un aumento rápido de la dosis en los estudios muestra que precisamente este punto es decisivo para la tolerabilidad. Véanse al respecto la Parte I y la Parte IV.</w:t>
      </w:r>
    </w:p>
    <w:bookmarkEnd w:id="226"/>
    <w:bookmarkStart w:id="227" w:name="situación-legal-5"/>
    <w:p>
      <w:pPr>
        <w:pStyle w:val="Heading3"/>
      </w:pPr>
      <w:r>
        <w:t xml:space="preserve">Situación legal</w:t>
      </w:r>
    </w:p>
    <w:p>
      <w:pPr>
        <w:numPr>
          <w:ilvl w:val="0"/>
          <w:numId w:val="1070"/>
        </w:numPr>
        <w:pStyle w:val="Compact"/>
      </w:pPr>
      <w:r>
        <w:rPr>
          <w:bCs/>
          <w:b/>
        </w:rPr>
        <w:t xml:space="preserve">UE / Austria / Alemania:</w:t>
      </w:r>
      <w:r>
        <w:t xml:space="preserve"> </w:t>
      </w:r>
      <w:r>
        <w:t xml:space="preserve">no autorizada. La retatrutida solo puede utilizarse en el marco de ensayos clínicos. Su venta como «sustancia química de investigación» para uso en humanos es ilegal según la legislación farmacéutica.</w:t>
      </w:r>
    </w:p>
    <w:p>
      <w:pPr>
        <w:numPr>
          <w:ilvl w:val="0"/>
          <w:numId w:val="1070"/>
        </w:numPr>
        <w:pStyle w:val="Compact"/>
      </w:pPr>
      <w:r>
        <w:rPr>
          <w:bCs/>
          <w:b/>
        </w:rPr>
        <w:t xml:space="preserve">EE. UU.:</w:t>
      </w:r>
      <w:r>
        <w:t xml:space="preserve"> </w:t>
      </w:r>
      <w:r>
        <w:t xml:space="preserve">no autorizada (a octubre de 2026). En el registro figura un programa de acceso ampliado antes de la autorización («Expanded Access») (NCT07629401). Si se presentará o se ha presentado una solicitud de autorización, y cuándo, compruébelo en su versión actual.</w:t>
      </w:r>
    </w:p>
    <w:p>
      <w:pPr>
        <w:numPr>
          <w:ilvl w:val="0"/>
          <w:numId w:val="1070"/>
        </w:numPr>
        <w:pStyle w:val="Compact"/>
      </w:pPr>
      <w:r>
        <w:rPr>
          <w:bCs/>
          <w:b/>
        </w:rPr>
        <w:t xml:space="preserve">Deporte:</w:t>
      </w:r>
      <w:r>
        <w:t xml:space="preserve"> </w:t>
      </w:r>
      <w:r>
        <w:t xml:space="preserve">como principio activo no autorizado, la retatrutida entra en la clase S0 de la AMA (situación en 2026, compruébelo en su versión actual). Se ha descrito un método de detección específico en sangre.</w:t>
      </w:r>
    </w:p>
    <w:bookmarkEnd w:id="227"/>
    <w:bookmarkStart w:id="228" w:name="estudios-en-curso-y-perspectivas-5"/>
    <w:p>
      <w:pPr>
        <w:pStyle w:val="Heading3"/>
      </w:pPr>
      <w:r>
        <w:t xml:space="preserve">Estudios en curso y perspectivas</w:t>
      </w:r>
    </w:p>
    <w:p>
      <w:pPr>
        <w:pStyle w:val="FirstParagraph"/>
      </w:pPr>
      <w:r>
        <w:rPr>
          <w:bCs/>
          <w:b/>
        </w:rPr>
        <w:t xml:space="preserve">Confirmado (estudios registrados, a octubre de 2026):</w:t>
      </w:r>
    </w:p>
    <w:p>
      <w:pPr>
        <w:numPr>
          <w:ilvl w:val="0"/>
          <w:numId w:val="1071"/>
        </w:numPr>
        <w:pStyle w:val="Compact"/>
      </w:pPr>
      <w:r>
        <w:rPr>
          <w:bCs/>
          <w:b/>
        </w:rPr>
        <w:t xml:space="preserve">TRIUMPH-Outcomes</w:t>
      </w:r>
      <w:r>
        <w:t xml:space="preserve"> </w:t>
      </w:r>
      <w:r>
        <w:t xml:space="preserve">(NCT06383390): estudio de criterios de valoración sobre eventos cardiovasculares y renales con unos 10.000 participantes con obesidad, finalización prevista en 2029.</w:t>
      </w:r>
    </w:p>
    <w:p>
      <w:pPr>
        <w:numPr>
          <w:ilvl w:val="0"/>
          <w:numId w:val="1071"/>
        </w:numPr>
        <w:pStyle w:val="Compact"/>
      </w:pPr>
      <w:r>
        <w:rPr>
          <w:bCs/>
          <w:b/>
        </w:rPr>
        <w:t xml:space="preserve">Retatrutida frente a tirzepatida</w:t>
      </w:r>
      <w:r>
        <w:t xml:space="preserve"> </w:t>
      </w:r>
      <w:r>
        <w:t xml:space="preserve">(NCT06662383): comparación directa en 800 adultos con obesidad, finalización prevista en diciembre de 2026.</w:t>
      </w:r>
    </w:p>
    <w:p>
      <w:pPr>
        <w:numPr>
          <w:ilvl w:val="0"/>
          <w:numId w:val="1071"/>
        </w:numPr>
        <w:pStyle w:val="Compact"/>
      </w:pPr>
      <w:r>
        <w:rPr>
          <w:bCs/>
          <w:b/>
        </w:rPr>
        <w:t xml:space="preserve">Retatrutida frente a semaglutida</w:t>
      </w:r>
      <w:r>
        <w:t xml:space="preserve"> </w:t>
      </w:r>
      <w:r>
        <w:t xml:space="preserve">en diabetes tipo 2 (NCT06260722).</w:t>
      </w:r>
    </w:p>
    <w:p>
      <w:pPr>
        <w:numPr>
          <w:ilvl w:val="0"/>
          <w:numId w:val="1071"/>
        </w:numPr>
        <w:pStyle w:val="Compact"/>
      </w:pPr>
      <w:r>
        <w:rPr>
          <w:bCs/>
          <w:b/>
        </w:rPr>
        <w:t xml:space="preserve">Mantenimiento del peso</w:t>
      </w:r>
      <w:r>
        <w:t xml:space="preserve"> </w:t>
      </w:r>
      <w:r>
        <w:t xml:space="preserve">tras la pérdida (NCT06859268),</w:t>
      </w:r>
      <w:r>
        <w:t xml:space="preserve"> </w:t>
      </w:r>
      <w:r>
        <w:rPr>
          <w:bCs/>
          <w:b/>
        </w:rPr>
        <w:t xml:space="preserve">función renal</w:t>
      </w:r>
      <w:r>
        <w:t xml:space="preserve"> </w:t>
      </w:r>
      <w:r>
        <w:t xml:space="preserve">en diabetes tipo 2 con insuficiencia renal (NCT06297603),</w:t>
      </w:r>
      <w:r>
        <w:t xml:space="preserve"> </w:t>
      </w:r>
      <w:r>
        <w:rPr>
          <w:bCs/>
          <w:b/>
        </w:rPr>
        <w:t xml:space="preserve">dolor lumbar crónico</w:t>
      </w:r>
      <w:r>
        <w:t xml:space="preserve"> </w:t>
      </w:r>
      <w:r>
        <w:t xml:space="preserve">en obesidad (NCT07035093).</w:t>
      </w:r>
    </w:p>
    <w:p>
      <w:pPr>
        <w:numPr>
          <w:ilvl w:val="0"/>
          <w:numId w:val="1071"/>
        </w:numPr>
        <w:pStyle w:val="Compact"/>
      </w:pPr>
      <w:r>
        <w:t xml:space="preserve">Además, la retatrutida forma parte de un protocolo maestro de fase 3 sobre la enfermedad del hígado graso (NCT07165028).</w:t>
      </w:r>
    </w:p>
    <w:p>
      <w:pPr>
        <w:pStyle w:val="FirstParagraph"/>
      </w:pPr>
      <w:r>
        <w:rPr>
          <w:bCs/>
          <w:b/>
        </w:rPr>
        <w:t xml:space="preserve">Valoración:</w:t>
      </w:r>
      <w:r>
        <w:t xml:space="preserve"> </w:t>
      </w:r>
      <w:r>
        <w:t xml:space="preserve">tras los datos de TRIUMPH-1 y TRIUMPH-2, cabe esperar solicitudes de autorización en EE. UU. y la UE; una comercialización en 2027 o 2028 parece plausible, pero no está garantizada. La comparación directa mostrará si una pérdida de peso adicional frente a la tirzepatida compensa las tasas de abandono algo más altas y la nueva señal de disestesia. Para muchas personas, una pérdida de peso moderada y bien tolerada es más importante que un valor récord.</w:t>
      </w:r>
    </w:p>
    <w:bookmarkEnd w:id="228"/>
    <w:bookmarkStart w:id="229" w:name="conclusión-5"/>
    <w:p>
      <w:pPr>
        <w:pStyle w:val="Heading3"/>
      </w:pPr>
      <w:r>
        <w:t xml:space="preserve">Conclusión</w:t>
      </w:r>
    </w:p>
    <w:p>
      <w:pPr>
        <w:pStyle w:val="FirstParagraph"/>
      </w:pPr>
      <w:r>
        <w:t xml:space="preserve">La retatrutida es un agonista triple de los receptores de GIP, GLP-1 y glucagón y, en el estudio de fase 3 TRIUMPH-1, logró una pérdida de peso media del 25,0 % a las 80 semanas, el valor más alto medido hasta ahora en un gran estudio farmacológico. También se observaron efectos claros en la diabetes tipo 2, la artrosis de rodilla y la apnea del sueño. Los efectos secundarios afectan sobre todo al tracto gastrointestinal; son nuevas las sensaciones cutáneas anómalas, y las tasas de abandono aumentan con dosis altas. Aún faltan datos sobre eventos cardiovasculares y una autorización. Los productos del mercado gris con la etiqueta «Retatrutide» no son un atajo seguro hacia este medicamento.</w:t>
      </w:r>
    </w:p>
    <w:bookmarkEnd w:id="229"/>
    <w:bookmarkEnd w:id="230"/>
    <w:bookmarkStart w:id="241" w:name="survodutida"/>
    <w:p>
      <w:pPr>
        <w:pStyle w:val="Heading2"/>
      </w:pPr>
      <w:r>
        <w:t xml:space="preserve">Survodutida</w:t>
      </w:r>
    </w:p>
    <w:bookmarkStart w:id="231" w:name="ficha-6"/>
    <w:p>
      <w:pPr>
        <w:pStyle w:val="Heading3"/>
      </w:pPr>
      <w:r>
        <w:t xml:space="preserve">Ficha</w:t>
      </w:r>
    </w:p>
    <w:p>
      <w:pPr>
        <w:numPr>
          <w:ilvl w:val="0"/>
          <w:numId w:val="1072"/>
        </w:numPr>
        <w:pStyle w:val="Compact"/>
      </w:pPr>
      <w:r>
        <w:rPr>
          <w:bCs/>
          <w:b/>
        </w:rPr>
        <w:t xml:space="preserve">Tipo/estructura:</w:t>
      </w:r>
      <w:r>
        <w:t xml:space="preserve"> </w:t>
      </w:r>
      <w:r>
        <w:t xml:space="preserve">péptido sintético modificado con ácido graso para administración subcutánea una vez por semana; código de desarrollo BI 456906.</w:t>
      </w:r>
    </w:p>
    <w:p>
      <w:pPr>
        <w:numPr>
          <w:ilvl w:val="0"/>
          <w:numId w:val="1072"/>
        </w:numPr>
        <w:pStyle w:val="Compact"/>
      </w:pPr>
      <w:r>
        <w:rPr>
          <w:bCs/>
          <w:b/>
        </w:rPr>
        <w:t xml:space="preserve">Origen:</w:t>
      </w:r>
      <w:r>
        <w:t xml:space="preserve"> </w:t>
      </w:r>
      <w:r>
        <w:t xml:space="preserve">desarrollada por Boehringer Ingelheim en colaboración con la empresa danesa Zealand Pharma.</w:t>
      </w:r>
    </w:p>
    <w:p>
      <w:pPr>
        <w:numPr>
          <w:ilvl w:val="0"/>
          <w:numId w:val="1072"/>
        </w:numPr>
        <w:pStyle w:val="Compact"/>
      </w:pPr>
      <w:r>
        <w:rPr>
          <w:bCs/>
          <w:b/>
        </w:rPr>
        <w:t xml:space="preserve">Mecanismo de acción:</w:t>
      </w:r>
      <w:r>
        <w:t xml:space="preserve"> </w:t>
      </w:r>
      <w:r>
        <w:t xml:space="preserve">agonista doble de los receptores de glucagón y de GLP-1 (sin componente GIP).</w:t>
      </w:r>
    </w:p>
    <w:p>
      <w:pPr>
        <w:numPr>
          <w:ilvl w:val="0"/>
          <w:numId w:val="1072"/>
        </w:numPr>
        <w:pStyle w:val="Compact"/>
      </w:pPr>
      <w:r>
        <w:rPr>
          <w:bCs/>
          <w:b/>
        </w:rPr>
        <w:t xml:space="preserve">Autorización UE:</w:t>
      </w:r>
      <w:r>
        <w:t xml:space="preserve"> </w:t>
      </w:r>
      <w:r>
        <w:t xml:space="preserve">no (a octubre de 2026).</w:t>
      </w:r>
    </w:p>
    <w:p>
      <w:pPr>
        <w:numPr>
          <w:ilvl w:val="0"/>
          <w:numId w:val="1072"/>
        </w:numPr>
        <w:pStyle w:val="Compact"/>
      </w:pPr>
      <w:r>
        <w:rPr>
          <w:bCs/>
          <w:b/>
        </w:rPr>
        <w:t xml:space="preserve">Autorización EE. UU.:</w:t>
      </w:r>
      <w:r>
        <w:t xml:space="preserve"> </w:t>
      </w:r>
      <w:r>
        <w:t xml:space="preserve">no (a octubre de 2026).</w:t>
      </w:r>
    </w:p>
    <w:p>
      <w:pPr>
        <w:numPr>
          <w:ilvl w:val="0"/>
          <w:numId w:val="1072"/>
        </w:numPr>
        <w:pStyle w:val="Compact"/>
      </w:pPr>
      <w:r>
        <w:rPr>
          <w:bCs/>
          <w:b/>
        </w:rPr>
        <w:t xml:space="preserve">AMA (WADA):</w:t>
      </w:r>
      <w:r>
        <w:t xml:space="preserve"> </w:t>
      </w:r>
      <w:r>
        <w:t xml:space="preserve">como principio activo no autorizado en ningún país, prohibida en la clase S0 «Sustancias no aprobadas» (situación en 2026, compruébelo en su versión actual).</w:t>
      </w:r>
    </w:p>
    <w:p>
      <w:pPr>
        <w:numPr>
          <w:ilvl w:val="0"/>
          <w:numId w:val="1072"/>
        </w:numPr>
        <w:pStyle w:val="Compact"/>
      </w:pPr>
      <w:r>
        <w:rPr>
          <w:bCs/>
          <w:b/>
        </w:rPr>
        <w:t xml:space="preserve">Nivel de evidencia:</w:t>
      </w:r>
      <w:r>
        <w:t xml:space="preserve"> </w:t>
      </w:r>
      <w:r>
        <w:rPr>
          <w:bCs/>
          <w:b/>
        </w:rPr>
        <w:t xml:space="preserve">B</w:t>
      </w:r>
      <w:r>
        <w:t xml:space="preserve"> </w:t>
      </w:r>
      <w:r>
        <w:t xml:space="preserve">– estudios aleatorizados de fase 2 y primeros estudios de fase 3 publicados, sin autorización.</w:t>
      </w:r>
    </w:p>
    <w:bookmarkEnd w:id="231"/>
    <w:bookmarkStart w:id="232" w:name="cómo-se-supone-que-actúa-6"/>
    <w:p>
      <w:pPr>
        <w:pStyle w:val="Heading3"/>
      </w:pPr>
      <w:r>
        <w:t xml:space="preserve">Cómo se supone que actúa</w:t>
      </w:r>
    </w:p>
    <w:p>
      <w:pPr>
        <w:pStyle w:val="FirstParagraph"/>
      </w:pPr>
      <w:r>
        <w:t xml:space="preserve">La survodutida combina dos hormonas intestinales o pancreáticas: el GLP-1, que favorece la saciedad y potencia la secreción de insulina, y el glucagón, que aumenta el gasto energético y estimula al hígado a degradar grasa. Mientras que la tirzepatida apuesta por GIP más GLP-1 y la retatrutida reúne las tres señales, la survodutida prescinde del componente GIP y, en su lugar, refuerza el efecto del glucagón. El fabricante apunta así especialmente al hígado: la enfermedad del hígado graso MASH es, junto con la obesidad, el segundo gran campo de desarrollo.</w:t>
      </w:r>
    </w:p>
    <w:p>
      <w:pPr>
        <w:pStyle w:val="BodyText"/>
      </w:pPr>
      <w:r>
        <w:t xml:space="preserve">La survodutida se seleccionó entre 19 candidatos similares porque en experimentos con animales actuaba de forma equilibrada sobre ambos receptores. En ratones con sobrepeso, el peso corporal se redujo aproximadamente en una cuarta parte (Thomas 2024, PMID 38560764). Los estudios en ratones indican que el efecto supresor del apetito en el cerebro se produce sobre todo a través del receptor de GLP-1; el componente de glucagón actúa más bien en el resto del organismo, por ejemplo en el hígado (Zimmermann 2026, PMID 41638399). Son hallazgos en animales; en humanos, el efecto sobre el gasto energético se está midiendo actualmente en un estudio propio (NCT06745284).</w:t>
      </w:r>
    </w:p>
    <w:bookmarkEnd w:id="232"/>
    <w:bookmarkStart w:id="235" w:name="estudios-en-humanos-6"/>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 arrojó 10 estudios en humanos; a ellos se suma la publicación del estudio de fase 3 SYNCHRONIZE-2, localizada mediante una búsqueda específica adicional. En ClinicalTrials.gov había 29 estudios registrados, entre ellos el programa de fase 3 SYNCHRONIZE (obesidad) y LIVERAGE (MASH).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Fase 2 diabetes tipo 2 (Blüher 2024), PMID 38095657</w:t>
            </w:r>
          </w:p>
        </w:tc>
        <w:tc>
          <w:tcPr/>
          <w:p>
            <w:pPr>
              <w:pStyle w:val="Compact"/>
              <w:jc w:val="left"/>
            </w:pPr>
            <w:r>
              <w:t xml:space="preserve">413 adultos con metformina, frente a placebo y semaglutida abierta</w:t>
            </w:r>
          </w:p>
        </w:tc>
        <w:tc>
          <w:tcPr/>
          <w:p>
            <w:pPr>
              <w:pStyle w:val="Compact"/>
              <w:jc w:val="left"/>
            </w:pPr>
            <w:r>
              <w:t xml:space="preserve">16 semanas</w:t>
            </w:r>
          </w:p>
        </w:tc>
        <w:tc>
          <w:tcPr/>
          <w:p>
            <w:pPr>
              <w:pStyle w:val="Compact"/>
              <w:jc w:val="left"/>
            </w:pPr>
            <w:r>
              <w:t xml:space="preserve">HbA1c hasta −1,71 puntos; peso hasta −8,7 % (semaglutida −5,3 %)</w:t>
            </w:r>
          </w:p>
        </w:tc>
      </w:tr>
      <w:tr>
        <w:tc>
          <w:tcPr/>
          <w:p>
            <w:pPr>
              <w:pStyle w:val="Compact"/>
              <w:jc w:val="left"/>
            </w:pPr>
            <w:r>
              <w:t xml:space="preserve">Fase 2 obesidad (le Roux 2024), PMID 38330987</w:t>
            </w:r>
          </w:p>
        </w:tc>
        <w:tc>
          <w:tcPr/>
          <w:p>
            <w:pPr>
              <w:pStyle w:val="Compact"/>
              <w:jc w:val="left"/>
            </w:pPr>
            <w:r>
              <w:t xml:space="preserve">387 adultos sin diabetes, frente a placebo</w:t>
            </w:r>
          </w:p>
        </w:tc>
        <w:tc>
          <w:tcPr/>
          <w:p>
            <w:pPr>
              <w:pStyle w:val="Compact"/>
              <w:jc w:val="left"/>
            </w:pPr>
            <w:r>
              <w:t xml:space="preserve">46 semanas</w:t>
            </w:r>
          </w:p>
        </w:tc>
        <w:tc>
          <w:tcPr/>
          <w:p>
            <w:pPr>
              <w:pStyle w:val="Compact"/>
              <w:jc w:val="left"/>
            </w:pPr>
            <w:r>
              <w:t xml:space="preserve">−6,2 a −14,9 % de peso frente a −2,8 %</w:t>
            </w:r>
          </w:p>
        </w:tc>
      </w:tr>
      <w:tr>
        <w:tc>
          <w:tcPr/>
          <w:p>
            <w:pPr>
              <w:pStyle w:val="Compact"/>
              <w:jc w:val="left"/>
            </w:pPr>
            <w:r>
              <w:t xml:space="preserve">Fase 2 MASH (Sanyal 2024), PMID 38847460</w:t>
            </w:r>
          </w:p>
        </w:tc>
        <w:tc>
          <w:tcPr/>
          <w:p>
            <w:pPr>
              <w:pStyle w:val="Compact"/>
              <w:jc w:val="left"/>
            </w:pPr>
            <w:r>
              <w:t xml:space="preserve">293 adultos con MASH confirmada por biopsia y fibrosis F1–F3</w:t>
            </w:r>
          </w:p>
        </w:tc>
        <w:tc>
          <w:tcPr/>
          <w:p>
            <w:pPr>
              <w:pStyle w:val="Compact"/>
              <w:jc w:val="left"/>
            </w:pPr>
            <w:r>
              <w:t xml:space="preserve">48 semanas</w:t>
            </w:r>
          </w:p>
        </w:tc>
        <w:tc>
          <w:tcPr/>
          <w:p>
            <w:pPr>
              <w:pStyle w:val="Compact"/>
              <w:jc w:val="left"/>
            </w:pPr>
            <w:r>
              <w:t xml:space="preserve">mejoría de la MASH en el 43–62 % frente al 14 %</w:t>
            </w:r>
          </w:p>
        </w:tc>
      </w:tr>
      <w:tr>
        <w:tc>
          <w:tcPr/>
          <w:p>
            <w:pPr>
              <w:pStyle w:val="Compact"/>
              <w:jc w:val="left"/>
            </w:pPr>
            <w:r>
              <w:t xml:space="preserve">SYNCHRONIZE-1 (le Roux 2026), PMID 42253238</w:t>
            </w:r>
          </w:p>
        </w:tc>
        <w:tc>
          <w:tcPr/>
          <w:p>
            <w:pPr>
              <w:pStyle w:val="Compact"/>
              <w:jc w:val="left"/>
            </w:pPr>
            <w:r>
              <w:t xml:space="preserve">725 adultos con obesidad sin diabetes, frente a placebo</w:t>
            </w:r>
          </w:p>
        </w:tc>
        <w:tc>
          <w:tcPr/>
          <w:p>
            <w:pPr>
              <w:pStyle w:val="Compact"/>
              <w:jc w:val="left"/>
            </w:pPr>
            <w:r>
              <w:t xml:space="preserve">76 semanas</w:t>
            </w:r>
          </w:p>
        </w:tc>
        <w:tc>
          <w:tcPr/>
          <w:p>
            <w:pPr>
              <w:pStyle w:val="Compact"/>
              <w:jc w:val="left"/>
            </w:pPr>
            <w:r>
              <w:t xml:space="preserve">−12,2 / −13,0 % (3,6/6,0 mg) frente a −5,4 %</w:t>
            </w:r>
          </w:p>
        </w:tc>
      </w:tr>
      <w:tr>
        <w:tc>
          <w:tcPr/>
          <w:p>
            <w:pPr>
              <w:pStyle w:val="Compact"/>
              <w:jc w:val="left"/>
            </w:pPr>
            <w:r>
              <w:t xml:space="preserve">SYNCHRONIZE-2 (Wharton 2026), PMID 42820639</w:t>
            </w:r>
          </w:p>
        </w:tc>
        <w:tc>
          <w:tcPr/>
          <w:p>
            <w:pPr>
              <w:pStyle w:val="Compact"/>
              <w:jc w:val="left"/>
            </w:pPr>
            <w:r>
              <w:t xml:space="preserve">752 adultos con obesidad y diabetes tipo 2, frente a placebo</w:t>
            </w:r>
          </w:p>
        </w:tc>
        <w:tc>
          <w:tcPr/>
          <w:p>
            <w:pPr>
              <w:pStyle w:val="Compact"/>
              <w:jc w:val="left"/>
            </w:pPr>
            <w:r>
              <w:t xml:space="preserve">76 semanas</w:t>
            </w:r>
          </w:p>
        </w:tc>
        <w:tc>
          <w:tcPr/>
          <w:p>
            <w:pPr>
              <w:pStyle w:val="Compact"/>
              <w:jc w:val="left"/>
            </w:pPr>
            <w:r>
              <w:t xml:space="preserve">−8,2 / −9,8 % frente a −3,9 %</w:t>
            </w:r>
          </w:p>
        </w:tc>
      </w:tr>
      <w:tr>
        <w:tc>
          <w:tcPr/>
          <w:p>
            <w:pPr>
              <w:pStyle w:val="Compact"/>
              <w:jc w:val="left"/>
            </w:pPr>
            <w:r>
              <w:t xml:space="preserve">SYNCHRONIZE-MASLD (Kaplan 2026), PMID 42252333</w:t>
            </w:r>
          </w:p>
        </w:tc>
        <w:tc>
          <w:tcPr/>
          <w:p>
            <w:pPr>
              <w:pStyle w:val="Compact"/>
              <w:jc w:val="left"/>
            </w:pPr>
            <w:r>
              <w:t xml:space="preserve">216 adultos con obesidad e hígado graso con signos de riesgo</w:t>
            </w:r>
          </w:p>
        </w:tc>
        <w:tc>
          <w:tcPr/>
          <w:p>
            <w:pPr>
              <w:pStyle w:val="Compact"/>
              <w:jc w:val="left"/>
            </w:pPr>
            <w:r>
              <w:t xml:space="preserve">48 semanas</w:t>
            </w:r>
          </w:p>
        </w:tc>
        <w:tc>
          <w:tcPr/>
          <w:p>
            <w:pPr>
              <w:pStyle w:val="Compact"/>
              <w:jc w:val="left"/>
            </w:pPr>
            <w:r>
              <w:t xml:space="preserve">grasa hepática −30 % o más en el 84,2 % frente al 24,3 %</w:t>
            </w:r>
          </w:p>
        </w:tc>
      </w:tr>
    </w:tbl>
    <w:bookmarkStart w:id="233" w:name="obesidad-y-diabetes-tipo-2"/>
    <w:p>
      <w:pPr>
        <w:pStyle w:val="Heading4"/>
      </w:pPr>
      <w:r>
        <w:t xml:space="preserve">Obesidad y diabetes tipo 2</w:t>
      </w:r>
    </w:p>
    <w:p>
      <w:pPr>
        <w:pStyle w:val="FirstParagraph"/>
      </w:pPr>
      <w:r>
        <w:t xml:space="preserve">El estudio de fase 2 en obesidad (le Roux 2024, PMID 38330987) mostró a las 46 semanas una pérdida de peso dependiente de la dosis de hasta el 14,9 %. Llamó la atención la elevada tasa de abandono: solo el 61 % de los participantes con survodutida completó las 46 semanas de tratamiento, aunque también solo el 60 % con placebo. Se produjeron efectos secundarios gastrointestinales en el 75 % con survodutida y en el 42 % con placebo. En este estudio, el escalado de dosis fue relativamente rápido.</w:t>
      </w:r>
    </w:p>
    <w:p>
      <w:pPr>
        <w:pStyle w:val="BodyText"/>
      </w:pPr>
      <w:r>
        <w:t xml:space="preserve">En el estudio de fase 3</w:t>
      </w:r>
      <w:r>
        <w:t xml:space="preserve"> </w:t>
      </w:r>
      <w:r>
        <w:rPr>
          <w:bCs/>
          <w:b/>
        </w:rPr>
        <w:t xml:space="preserve">SYNCHRONIZE-1</w:t>
      </w:r>
      <w:r>
        <w:t xml:space="preserve"> </w:t>
      </w:r>
      <w:r>
        <w:t xml:space="preserve">(le Roux 2026, PMID 42253238), el escalado fue más lento. A las 76 semanas, los participantes con la dosis más alta perdieron el 13,0 % de su peso corporal, y con placebo el 5,4 %. Esto está por debajo de los valores que alcanzaron la tirzepatida o la retatrutida en estudios de diseño similar. Hay que tener en cuenta que el análisis principal incluyó a todas las personas, también a las que abandonaron el tratamiento o en las que se prolongó el escalado de dosis. Las molestias gastrointestinales afectaron al 80,9 % y al 89,7 %, respectivamente, frente al 47,9 % con placebo; no se produjeron muertes.</w:t>
      </w:r>
    </w:p>
    <w:p>
      <w:pPr>
        <w:pStyle w:val="BodyText"/>
      </w:pPr>
      <w:r>
        <w:rPr>
          <w:bCs/>
          <w:b/>
        </w:rPr>
        <w:t xml:space="preserve">SYNCHRONIZE-2</w:t>
      </w:r>
      <w:r>
        <w:t xml:space="preserve"> </w:t>
      </w:r>
      <w:r>
        <w:t xml:space="preserve">(Wharton 2026, PMID 42820639) estudió a 752 personas con obesidad y diabetes tipo 2. La pérdida de peso a las 76 semanas fue del 8,2 % y del 9,8 %, respectivamente, frente al 3,9 % con placebo; la HbA1c disminuyó desde el 7,4 % en 0,8 a 0,9 puntos porcentuales.</w:t>
      </w:r>
    </w:p>
    <w:p>
      <w:pPr>
        <w:pStyle w:val="BodyText"/>
      </w:pPr>
      <w:r>
        <w:t xml:space="preserve">En el estudio de fase 2 en diabetes tipo 2, la survodutida redujo la HbA1c a las 16 semanas con dosis bajas de forma similar a la semaglutida 1 mg (unos −1,46 y −1,47 puntos, respectivamente); las dosis más altas produjeron más pérdida de peso que la semaglutida (Blüher 2024, PMID 38095657). No obstante, el brazo de semaglutida era abierto y el estudio, corto.</w:t>
      </w:r>
    </w:p>
    <w:bookmarkEnd w:id="233"/>
    <w:bookmarkStart w:id="234" w:name="hígado-graso-masld-y-mash"/>
    <w:p>
      <w:pPr>
        <w:pStyle w:val="Heading4"/>
      </w:pPr>
      <w:r>
        <w:t xml:space="preserve">Hígado graso (MASLD y MASH)</w:t>
      </w:r>
    </w:p>
    <w:p>
      <w:pPr>
        <w:pStyle w:val="FirstParagraph"/>
      </w:pPr>
      <w:r>
        <w:t xml:space="preserve">Aquí reside la verdadera fortaleza de los datos disponibles hasta ahora. En el estudio de fase 2 en MASH con fibrosis confirmada por biopsia (Sanyal 2024, PMID 38847460), la inflamación hepática mejoró sin empeoramiento de la fibrosis en el 47 %, el 62 % y el 43 % de los tres grupos de dosis, frente al 14 % con placebo. Una mejoría de la fibrosis de al menos un estadio se observó en el 34–36 % frente al 22 %. La curva dosis-respuesta no fue lineal: la dosis intermedia obtuvo los mejores resultados.</w:t>
      </w:r>
    </w:p>
    <w:p>
      <w:pPr>
        <w:pStyle w:val="BodyText"/>
      </w:pPr>
      <w:r>
        <w:t xml:space="preserve">El estudio de fase 3</w:t>
      </w:r>
      <w:r>
        <w:t xml:space="preserve"> </w:t>
      </w:r>
      <w:r>
        <w:rPr>
          <w:bCs/>
          <w:b/>
        </w:rPr>
        <w:t xml:space="preserve">SYNCHRONIZE-MASLD</w:t>
      </w:r>
      <w:r>
        <w:t xml:space="preserve"> </w:t>
      </w:r>
      <w:r>
        <w:t xml:space="preserve">(Kaplan 2026, PMID 42252333), con 216 adultos, mostró a las 48 semanas una reducción de la grasa hepática de al menos el 30 % en el 84,2 % con survodutida (placebo 24,3 %), medida por RM. Según el análisis más estricto, que también tiene en cuenta los abandonos del tratamiento, fueron el 68,5 % frente al 28,6 %. Los propios autores señalan como limitaciones la corta duración y el reclutamiento solo en EE. UU. y España.</w:t>
      </w:r>
    </w:p>
    <w:p>
      <w:pPr>
        <w:pStyle w:val="BodyText"/>
      </w:pPr>
      <w:r>
        <w:t xml:space="preserve">En un estudio abierto de fase 1, la survodutida se estudió también en personas con cirrosis hepática, incluidos estadios avanzados. Las concentraciones sanguíneas no difirieron sustancialmente de las de personas con hígado sano; la grasa hepática, la rigidez hepática y el peso corporal disminuyeron a lo largo de 28 semanas (Lawitz 2024, PMID 38857788). Este estudio era pequeño y no controlado.</w:t>
      </w:r>
    </w:p>
    <w:bookmarkEnd w:id="234"/>
    <w:bookmarkEnd w:id="235"/>
    <w:bookmarkStart w:id="236" w:name="estudios-en-animales-y-de-laboratorio-6"/>
    <w:p>
      <w:pPr>
        <w:pStyle w:val="Heading3"/>
      </w:pPr>
      <w:r>
        <w:t xml:space="preserve">Estudios en animales y de laboratorio</w:t>
      </w:r>
    </w:p>
    <w:p>
      <w:pPr>
        <w:pStyle w:val="FirstParagraph"/>
      </w:pPr>
      <w:r>
        <w:t xml:space="preserve">Los datos preclínicos proceden mayoritariamente de los laboratorios del fabricante: perfiles de receptores en líneas celulares, pérdida de peso en ratones con obesidad inducida por la dieta y reducción de la glucemia en ratones diabéticos (Thomas 2024, PMID 38560764). Sobre el lugar de acción en el cerebro existen estudios en ratones y en tejido humano (Zimmermann 2026, PMID 41638399). Los estudios independientes en animales son escasos.</w:t>
      </w:r>
    </w:p>
    <w:bookmarkEnd w:id="236"/>
    <w:bookmarkStart w:id="237" w:name="riesgos-y-efectos-adversos-6"/>
    <w:p>
      <w:pPr>
        <w:pStyle w:val="Heading3"/>
      </w:pPr>
      <w:r>
        <w:t xml:space="preserve">Riesgos y efectos adversos</w:t>
      </w:r>
    </w:p>
    <w:p>
      <w:pPr>
        <w:pStyle w:val="FirstParagraph"/>
      </w:pPr>
      <w:r>
        <w:rPr>
          <w:bCs/>
          <w:b/>
        </w:rPr>
        <w:t xml:space="preserve">Demostrado en estudios:</w:t>
      </w:r>
    </w:p>
    <w:p>
      <w:pPr>
        <w:numPr>
          <w:ilvl w:val="0"/>
          <w:numId w:val="1073"/>
        </w:numPr>
        <w:pStyle w:val="Compact"/>
      </w:pPr>
      <w:r>
        <w:t xml:space="preserve">Las</w:t>
      </w:r>
      <w:r>
        <w:t xml:space="preserve"> </w:t>
      </w:r>
      <w:r>
        <w:rPr>
          <w:bCs/>
          <w:b/>
        </w:rPr>
        <w:t xml:space="preserve">molestias gastrointestinales</w:t>
      </w:r>
      <w:r>
        <w:t xml:space="preserve"> </w:t>
      </w:r>
      <w:r>
        <w:t xml:space="preserve">son especialmente frecuentes con la survodutida. En el estudio de MASH se produjeron náuseas en el 66 % (placebo 23 %), diarrea en el 49 % (23 %) y vómitos en el 41 % (4 %) (Sanyal 2024, PMID 38847460). En SYNCHRONIZE-1, hasta el 89,7 % refirió molestias gastrointestinales (le Roux 2026, PMID 42253238). La frecuencia es alta en comparación con otros fármacos incretínicos, aunque la mayoría de las molestias fueron leves a moderadas.</w:t>
      </w:r>
    </w:p>
    <w:p>
      <w:pPr>
        <w:numPr>
          <w:ilvl w:val="0"/>
          <w:numId w:val="1073"/>
        </w:numPr>
        <w:pStyle w:val="Compact"/>
      </w:pPr>
      <w:r>
        <w:t xml:space="preserve">Los</w:t>
      </w:r>
      <w:r>
        <w:t xml:space="preserve"> </w:t>
      </w:r>
      <w:r>
        <w:rPr>
          <w:bCs/>
          <w:b/>
        </w:rPr>
        <w:t xml:space="preserve">acontecimientos adversos graves</w:t>
      </w:r>
      <w:r>
        <w:t xml:space="preserve"> </w:t>
      </w:r>
      <w:r>
        <w:t xml:space="preserve">fueron igual de frecuentes en el estudio de MASH, con un 8 % con survodutida y un 7 % con placebo.</w:t>
      </w:r>
    </w:p>
    <w:p>
      <w:pPr>
        <w:numPr>
          <w:ilvl w:val="0"/>
          <w:numId w:val="1073"/>
        </w:numPr>
        <w:pStyle w:val="Compact"/>
      </w:pPr>
      <w:r>
        <w:rPr>
          <w:bCs/>
          <w:b/>
        </w:rPr>
        <w:t xml:space="preserve">Abandonos:</w:t>
      </w:r>
      <w:r>
        <w:t xml:space="preserve"> </w:t>
      </w:r>
      <w:r>
        <w:t xml:space="preserve">en el estudio de fase 2 en obesidad, solo alrededor del 60 % completó la fase de tratamiento, en ambos grupos.</w:t>
      </w:r>
    </w:p>
    <w:p>
      <w:pPr>
        <w:pStyle w:val="FirstParagraph"/>
      </w:pPr>
      <w:r>
        <w:rPr>
          <w:bCs/>
          <w:b/>
        </w:rPr>
        <w:t xml:space="preserve">Aún sin aclarar:</w:t>
      </w:r>
      <w:r>
        <w:t xml:space="preserve"> </w:t>
      </w:r>
      <w:r>
        <w:t xml:space="preserve">los aumentos de la frecuencia cardíaca son conocidos con los agonistas de glucagón y GLP-1; se ha realizado un estudio propio sobre la seguridad cardíaca (NCT06200467). Según el registro, el gran estudio de seguridad cardiovascular SYNCHRONIZE-CVOT ha concluido; al cierre de la redacción, sus resultados aún no se habían publicado en una revista revisada por pares. No se han estudiado los efectos a largo plazo del componente de glucagón sobre los músculos, los huesos y el metabolismo de los aminoácidos.</w:t>
      </w:r>
    </w:p>
    <w:bookmarkEnd w:id="237"/>
    <w:bookmarkStart w:id="238" w:name="situación-legal-6"/>
    <w:p>
      <w:pPr>
        <w:pStyle w:val="Heading3"/>
      </w:pPr>
      <w:r>
        <w:t xml:space="preserve">Situación legal</w:t>
      </w:r>
    </w:p>
    <w:p>
      <w:pPr>
        <w:numPr>
          <w:ilvl w:val="0"/>
          <w:numId w:val="1074"/>
        </w:numPr>
        <w:pStyle w:val="Compact"/>
      </w:pPr>
      <w:r>
        <w:rPr>
          <w:bCs/>
          <w:b/>
        </w:rPr>
        <w:t xml:space="preserve">UE / Austria / Alemania:</w:t>
      </w:r>
      <w:r>
        <w:t xml:space="preserve"> </w:t>
      </w:r>
      <w:r>
        <w:t xml:space="preserve">no autorizada; uso solo en ensayos clínicos. Las ofertas del mercado gris no son medicamentos legales.</w:t>
      </w:r>
    </w:p>
    <w:p>
      <w:pPr>
        <w:numPr>
          <w:ilvl w:val="0"/>
          <w:numId w:val="1074"/>
        </w:numPr>
        <w:pStyle w:val="Compact"/>
      </w:pPr>
      <w:r>
        <w:rPr>
          <w:bCs/>
          <w:b/>
        </w:rPr>
        <w:t xml:space="preserve">EE. UU.:</w:t>
      </w:r>
      <w:r>
        <w:t xml:space="preserve"> </w:t>
      </w:r>
      <w:r>
        <w:t xml:space="preserve">no autorizada. La FDA ha calificado la survodutida para el tratamiento de la MASH como «Breakthrough Therapy» (terapia innovadora), lo que puede acelerar el procedimiento de evaluación (situación en 2026, compruébelo en su versión actual).</w:t>
      </w:r>
    </w:p>
    <w:p>
      <w:pPr>
        <w:numPr>
          <w:ilvl w:val="0"/>
          <w:numId w:val="1074"/>
        </w:numPr>
        <w:pStyle w:val="Compact"/>
      </w:pPr>
      <w:r>
        <w:rPr>
          <w:bCs/>
          <w:b/>
        </w:rPr>
        <w:t xml:space="preserve">Deporte:</w:t>
      </w:r>
      <w:r>
        <w:t xml:space="preserve"> </w:t>
      </w:r>
      <w:r>
        <w:t xml:space="preserve">clase S0 de la AMA (sustancia no aprobada), situación en 2026, compruébelo en su versión actual.</w:t>
      </w:r>
    </w:p>
    <w:bookmarkEnd w:id="238"/>
    <w:bookmarkStart w:id="239" w:name="estudios-en-curso-y-perspectivas-6"/>
    <w:p>
      <w:pPr>
        <w:pStyle w:val="Heading3"/>
      </w:pPr>
      <w:r>
        <w:t xml:space="preserve">Estudios en curso y perspectivas</w:t>
      </w:r>
    </w:p>
    <w:p>
      <w:pPr>
        <w:pStyle w:val="FirstParagraph"/>
      </w:pPr>
      <w:r>
        <w:rPr>
          <w:bCs/>
          <w:b/>
        </w:rPr>
        <w:t xml:space="preserve">Confirmado (estudios registrados, a octubre de 2026):</w:t>
      </w:r>
    </w:p>
    <w:p>
      <w:pPr>
        <w:numPr>
          <w:ilvl w:val="0"/>
          <w:numId w:val="1075"/>
        </w:numPr>
        <w:pStyle w:val="Compact"/>
      </w:pPr>
      <w:r>
        <w:rPr>
          <w:bCs/>
          <w:b/>
        </w:rPr>
        <w:t xml:space="preserve">SYNCHRONIZE-CVOT</w:t>
      </w:r>
      <w:r>
        <w:t xml:space="preserve"> </w:t>
      </w:r>
      <w:r>
        <w:t xml:space="preserve">(NCT06077864): estudio de seguridad cardiovascular con 5531 participantes, concluido según el registro; diseño descrito en Kosiborod 2024 (PMID 39453356).</w:t>
      </w:r>
    </w:p>
    <w:p>
      <w:pPr>
        <w:numPr>
          <w:ilvl w:val="0"/>
          <w:numId w:val="1075"/>
        </w:numPr>
        <w:pStyle w:val="Compact"/>
      </w:pPr>
      <w:r>
        <w:rPr>
          <w:bCs/>
          <w:b/>
        </w:rPr>
        <w:t xml:space="preserve">LIVERAGE</w:t>
      </w:r>
      <w:r>
        <w:t xml:space="preserve"> </w:t>
      </w:r>
      <w:r>
        <w:t xml:space="preserve">(NCT06632444), con 1800 participantes con MASH y fibrosis, y</w:t>
      </w:r>
      <w:r>
        <w:t xml:space="preserve"> </w:t>
      </w:r>
      <w:r>
        <w:rPr>
          <w:bCs/>
          <w:b/>
        </w:rPr>
        <w:t xml:space="preserve">LIVERAGE-Cirrhosis</w:t>
      </w:r>
      <w:r>
        <w:t xml:space="preserve"> </w:t>
      </w:r>
      <w:r>
        <w:t xml:space="preserve">(NCT06632457), con 1590 participantes con cirrosis por MASH: los estudios decisivos para una autorización en hepatología, con fechas de finalización previstas entre 2029 y 2031.</w:t>
      </w:r>
    </w:p>
    <w:p>
      <w:pPr>
        <w:numPr>
          <w:ilvl w:val="0"/>
          <w:numId w:val="1075"/>
        </w:numPr>
        <w:pStyle w:val="Compact"/>
      </w:pPr>
      <w:r>
        <w:t xml:space="preserve">Otros estudios de fase 3: diabetes tipo 2 (NCT07754461), mujeres con obesidad (NCT07850050), estructura cardíaca en la obesidad (NCT07850063), personas sin tratamiento previo (NCT07855900).</w:t>
      </w:r>
    </w:p>
    <w:p>
      <w:pPr>
        <w:numPr>
          <w:ilvl w:val="0"/>
          <w:numId w:val="1075"/>
        </w:numPr>
        <w:pStyle w:val="Compact"/>
      </w:pPr>
      <w:r>
        <w:t xml:space="preserve">Han concluido estudios de fase 3 en China (NCT06214741) y Japón (NCT06176365).</w:t>
      </w:r>
    </w:p>
    <w:p>
      <w:pPr>
        <w:pStyle w:val="FirstParagraph"/>
      </w:pPr>
      <w:r>
        <w:rPr>
          <w:bCs/>
          <w:b/>
        </w:rPr>
        <w:t xml:space="preserve">Valoración:</w:t>
      </w:r>
      <w:r>
        <w:t xml:space="preserve"> </w:t>
      </w:r>
      <w:r>
        <w:t xml:space="preserve">como medicamento puramente para adelgazar, la survodutida probablemente lo tendrá difícil frente a la tirzepatida, la semaglutida y los próximos agonistas triples: la pérdida de peso en SYNCHRONIZE-1 fue menor y los efectos secundarios gastrointestinales, frecuentes. Su nicho podría ser la enfermedad del hígado graso, en particular los estadios avanzados hasta la cirrosis, para los que apenas existen opciones de tratamiento. Si lo consigue, lo decidirán los estudios LIVERAGE.</w:t>
      </w:r>
    </w:p>
    <w:bookmarkEnd w:id="239"/>
    <w:bookmarkStart w:id="240" w:name="conclusión-6"/>
    <w:p>
      <w:pPr>
        <w:pStyle w:val="Heading3"/>
      </w:pPr>
      <w:r>
        <w:t xml:space="preserve">Conclusión</w:t>
      </w:r>
    </w:p>
    <w:p>
      <w:pPr>
        <w:pStyle w:val="FirstParagraph"/>
      </w:pPr>
      <w:r>
        <w:t xml:space="preserve">La survodutida es un agonista doble de glucagón y GLP-1 que en estudios de fase 3 redujo el peso corporal a las 76 semanas hasta un 13,0 % (sin diabetes) y un 9,8 % (con diabetes tipo 2), respectivamente. Los efectos sobre el hígado fueron más marcados: en el estudio de fase 2, la inflamación hepática mejoró en hasta el 62 % frente al 14 % con placebo. Las molestias gastrointestinales son muy frecuentes. La survodutida no está autorizada; los estudios de fase 3 en curso mostrarán si tiene futuro como medicamento hepático.</w:t>
      </w:r>
    </w:p>
    <w:bookmarkEnd w:id="240"/>
    <w:bookmarkEnd w:id="241"/>
    <w:bookmarkStart w:id="254" w:name="mazdutida"/>
    <w:p>
      <w:pPr>
        <w:pStyle w:val="Heading2"/>
      </w:pPr>
      <w:r>
        <w:t xml:space="preserve">Mazdutida</w:t>
      </w:r>
    </w:p>
    <w:bookmarkStart w:id="242" w:name="ficha-7"/>
    <w:p>
      <w:pPr>
        <w:pStyle w:val="Heading3"/>
      </w:pPr>
      <w:r>
        <w:t xml:space="preserve">Ficha</w:t>
      </w:r>
    </w:p>
    <w:p>
      <w:pPr>
        <w:numPr>
          <w:ilvl w:val="0"/>
          <w:numId w:val="1076"/>
        </w:numPr>
        <w:pStyle w:val="Compact"/>
      </w:pPr>
      <w:r>
        <w:rPr>
          <w:bCs/>
          <w:b/>
        </w:rPr>
        <w:t xml:space="preserve">Tipo/estructura:</w:t>
      </w:r>
      <w:r>
        <w:t xml:space="preserve"> </w:t>
      </w:r>
      <w:r>
        <w:t xml:space="preserve">péptido sintético modificado con ácido graso, derivado de la hormona intestinal oxintomodulina; administración subcutánea una vez por semana. Códigos de desarrollo LY3305677 (Eli Lilly) e IBI362 (Innovent Biologics).</w:t>
      </w:r>
    </w:p>
    <w:p>
      <w:pPr>
        <w:numPr>
          <w:ilvl w:val="0"/>
          <w:numId w:val="1076"/>
        </w:numPr>
        <w:pStyle w:val="Compact"/>
      </w:pPr>
      <w:r>
        <w:rPr>
          <w:bCs/>
          <w:b/>
        </w:rPr>
        <w:t xml:space="preserve">Origen:</w:t>
      </w:r>
      <w:r>
        <w:t xml:space="preserve"> </w:t>
      </w:r>
      <w:r>
        <w:t xml:space="preserve">desarrollada originalmente por Eli Lilly; en China, Innovent Biologics la llevó hasta la autorización; fuera de China, Lilly sigue investigándola.</w:t>
      </w:r>
    </w:p>
    <w:p>
      <w:pPr>
        <w:numPr>
          <w:ilvl w:val="0"/>
          <w:numId w:val="1076"/>
        </w:numPr>
        <w:pStyle w:val="Compact"/>
      </w:pPr>
      <w:r>
        <w:rPr>
          <w:bCs/>
          <w:b/>
        </w:rPr>
        <w:t xml:space="preserve">Mecanismo de acción:</w:t>
      </w:r>
      <w:r>
        <w:t xml:space="preserve"> </w:t>
      </w:r>
      <w:r>
        <w:t xml:space="preserve">agonista doble de los receptores de GLP-1 y glucagón, como la survodutida, pero una molécula independiente.</w:t>
      </w:r>
    </w:p>
    <w:p>
      <w:pPr>
        <w:numPr>
          <w:ilvl w:val="0"/>
          <w:numId w:val="1076"/>
        </w:numPr>
        <w:pStyle w:val="Compact"/>
      </w:pPr>
      <w:r>
        <w:rPr>
          <w:bCs/>
          <w:b/>
        </w:rPr>
        <w:t xml:space="preserve">Autorización UE:</w:t>
      </w:r>
      <w:r>
        <w:t xml:space="preserve"> </w:t>
      </w:r>
      <w:r>
        <w:t xml:space="preserve">no.</w:t>
      </w:r>
    </w:p>
    <w:p>
      <w:pPr>
        <w:numPr>
          <w:ilvl w:val="0"/>
          <w:numId w:val="1076"/>
        </w:numPr>
        <w:pStyle w:val="Compact"/>
      </w:pPr>
      <w:r>
        <w:rPr>
          <w:bCs/>
          <w:b/>
        </w:rPr>
        <w:t xml:space="preserve">Autorización EE. UU.:</w:t>
      </w:r>
      <w:r>
        <w:t xml:space="preserve"> </w:t>
      </w:r>
      <w:r>
        <w:t xml:space="preserve">no.</w:t>
      </w:r>
    </w:p>
    <w:p>
      <w:pPr>
        <w:numPr>
          <w:ilvl w:val="0"/>
          <w:numId w:val="1076"/>
        </w:numPr>
        <w:pStyle w:val="Compact"/>
      </w:pPr>
      <w:r>
        <w:rPr>
          <w:bCs/>
          <w:b/>
        </w:rPr>
        <w:t xml:space="preserve">Autorización China:</w:t>
      </w:r>
      <w:r>
        <w:t xml:space="preserve"> </w:t>
      </w:r>
      <w:r>
        <w:t xml:space="preserve">sí, desde junio de 2025 para el control del peso y desde septiembre de 2025 también para la diabetes tipo 2 (nombre comercial Xinermei).</w:t>
      </w:r>
    </w:p>
    <w:p>
      <w:pPr>
        <w:numPr>
          <w:ilvl w:val="0"/>
          <w:numId w:val="1076"/>
        </w:numPr>
        <w:pStyle w:val="Compact"/>
      </w:pPr>
      <w:r>
        <w:rPr>
          <w:bCs/>
          <w:b/>
        </w:rPr>
        <w:t xml:space="preserve">AMA (WADA):</w:t>
      </w:r>
      <w:r>
        <w:t xml:space="preserve"> </w:t>
      </w:r>
      <w:r>
        <w:t xml:space="preserve">no figura por su nombre. Como la mazdutida está autorizada por una autoridad sanitaria estatal (China), según la letra de la norma ya no entra en la clase S0; aun así, su uso en el deporte sin indicación médica es problemático (situación en 2026, compruébelo en su versión actual).</w:t>
      </w:r>
    </w:p>
    <w:p>
      <w:pPr>
        <w:numPr>
          <w:ilvl w:val="0"/>
          <w:numId w:val="1076"/>
        </w:numPr>
        <w:pStyle w:val="Compact"/>
      </w:pPr>
      <w:r>
        <w:rPr>
          <w:bCs/>
          <w:b/>
        </w:rPr>
        <w:t xml:space="preserve">Nivel de evidencia:</w:t>
      </w:r>
      <w:r>
        <w:t xml:space="preserve"> </w:t>
      </w:r>
      <w:r>
        <w:rPr>
          <w:bCs/>
          <w:b/>
        </w:rPr>
        <w:t xml:space="preserve">A</w:t>
      </w:r>
      <w:r>
        <w:t xml:space="preserve"> </w:t>
      </w:r>
      <w:r>
        <w:t xml:space="preserve">– varios grandes estudios de fase 3 y una autorización, aunque casi exclusivamente en participantes chinos.</w:t>
      </w:r>
    </w:p>
    <w:bookmarkEnd w:id="242"/>
    <w:bookmarkStart w:id="243" w:name="cómo-se-supone-que-actúa-7"/>
    <w:p>
      <w:pPr>
        <w:pStyle w:val="Heading3"/>
      </w:pPr>
      <w:r>
        <w:t xml:space="preserve">Cómo se supone que actúa</w:t>
      </w:r>
    </w:p>
    <w:p>
      <w:pPr>
        <w:pStyle w:val="FirstParagraph"/>
      </w:pPr>
      <w:r>
        <w:t xml:space="preserve">La oxintomodulina es una hormona natural del intestino que, de forma similar al GLP-1, se libera después de comer. Activa tanto el receptor de GLP-1 como el de glucagón, aunque solo débilmente y durante muy poco tiempo. La mazdutida es una versión estabilizada y de acción prolongada de este principio.</w:t>
      </w:r>
    </w:p>
    <w:p>
      <w:pPr>
        <w:pStyle w:val="BodyText"/>
      </w:pPr>
      <w:r>
        <w:t xml:space="preserve">El componente GLP-1 atenúa el apetito, ralentiza el vaciamiento gástrico y favorece la secreción de insulina dependiente de la glucemia. El componente de glucagón aumentaría el gasto energético y favorecería la degradación de grasa en el hígado (véase también el capítulo Survodutida). En el ser humano no se ha medido directamente la contribución del componente de glucagón a la pérdida de peso; la hipótesis se apoya sobre todo en datos en animales.</w:t>
      </w:r>
    </w:p>
    <w:bookmarkEnd w:id="243"/>
    <w:bookmarkStart w:id="248" w:name="estudios-en-humanos-7"/>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 arrojó 9 estudios en humanos, completados con un estudio de fase 1 de dosis alta y un informe de caso. En ClinicalTrials.gov había 44 estudios registrados, la mayoría en China. Los estudios de registro se denominan</w:t>
      </w:r>
      <w:r>
        <w:t xml:space="preserve"> </w:t>
      </w:r>
      <w:r>
        <w:rPr>
          <w:bCs/>
          <w:b/>
        </w:rPr>
        <w:t xml:space="preserve">GLORY</w:t>
      </w:r>
      <w:r>
        <w:t xml:space="preserve"> </w:t>
      </w:r>
      <w:r>
        <w:t xml:space="preserve">(obesidad) y</w:t>
      </w:r>
      <w:r>
        <w:t xml:space="preserve"> </w:t>
      </w:r>
      <w:r>
        <w:rPr>
          <w:bCs/>
          <w:b/>
        </w:rPr>
        <w:t xml:space="preserve">DREAMS</w:t>
      </w:r>
      <w:r>
        <w:t xml:space="preserve"> </w:t>
      </w:r>
      <w:r>
        <w:t xml:space="preserve">(diabetes tipo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Fase 2 obesidad (Ji 2023), PMID 38092790</w:t>
            </w:r>
          </w:p>
        </w:tc>
        <w:tc>
          <w:tcPr/>
          <w:p>
            <w:pPr>
              <w:pStyle w:val="Compact"/>
              <w:jc w:val="left"/>
            </w:pPr>
            <w:r>
              <w:t xml:space="preserve">248 adultos chinos con sobrepeso/obesidad</w:t>
            </w:r>
          </w:p>
        </w:tc>
        <w:tc>
          <w:tcPr/>
          <w:p>
            <w:pPr>
              <w:pStyle w:val="Compact"/>
              <w:jc w:val="left"/>
            </w:pPr>
            <w:r>
              <w:t xml:space="preserve">24 semanas</w:t>
            </w:r>
          </w:p>
        </w:tc>
        <w:tc>
          <w:tcPr/>
          <w:p>
            <w:pPr>
              <w:pStyle w:val="Compact"/>
              <w:jc w:val="left"/>
            </w:pPr>
            <w:r>
              <w:t xml:space="preserve">−6,7 a −11,3 % de peso frente a +1,0 %</w:t>
            </w:r>
          </w:p>
        </w:tc>
      </w:tr>
      <w:tr>
        <w:tc>
          <w:tcPr/>
          <w:p>
            <w:pPr>
              <w:pStyle w:val="Compact"/>
              <w:jc w:val="left"/>
            </w:pPr>
            <w:r>
              <w:t xml:space="preserve">Fase 2 diabetes tipo 2 (Zhang 2024), PMID 37943529</w:t>
            </w:r>
          </w:p>
        </w:tc>
        <w:tc>
          <w:tcPr/>
          <w:p>
            <w:pPr>
              <w:pStyle w:val="Compact"/>
              <w:jc w:val="left"/>
            </w:pPr>
            <w:r>
              <w:t xml:space="preserve">250 adultos chinos, frente a placebo y dulaglutida abierta</w:t>
            </w:r>
          </w:p>
        </w:tc>
        <w:tc>
          <w:tcPr/>
          <w:p>
            <w:pPr>
              <w:pStyle w:val="Compact"/>
              <w:jc w:val="left"/>
            </w:pPr>
            <w:r>
              <w:t xml:space="preserve">20 semanas</w:t>
            </w:r>
          </w:p>
        </w:tc>
        <w:tc>
          <w:tcPr/>
          <w:p>
            <w:pPr>
              <w:pStyle w:val="Compact"/>
              <w:jc w:val="left"/>
            </w:pPr>
            <w:r>
              <w:t xml:space="preserve">HbA1c −1,41 a −1,67 (dulaglutida −1,35)</w:t>
            </w:r>
          </w:p>
        </w:tc>
      </w:tr>
      <w:tr>
        <w:tc>
          <w:tcPr/>
          <w:p>
            <w:pPr>
              <w:pStyle w:val="Compact"/>
              <w:jc w:val="left"/>
            </w:pPr>
            <w:r>
              <w:t xml:space="preserve">GLORY-1 (Ji 2025), PMID 40421736</w:t>
            </w:r>
          </w:p>
        </w:tc>
        <w:tc>
          <w:tcPr/>
          <w:p>
            <w:pPr>
              <w:pStyle w:val="Compact"/>
              <w:jc w:val="left"/>
            </w:pPr>
            <w:r>
              <w:t xml:space="preserve">610 adultos chinos con sobrepeso/obesidad, frente a placebo</w:t>
            </w:r>
          </w:p>
        </w:tc>
        <w:tc>
          <w:tcPr/>
          <w:p>
            <w:pPr>
              <w:pStyle w:val="Compact"/>
              <w:jc w:val="left"/>
            </w:pPr>
            <w:r>
              <w:t xml:space="preserve">48 semanas</w:t>
            </w:r>
          </w:p>
        </w:tc>
        <w:tc>
          <w:tcPr/>
          <w:p>
            <w:pPr>
              <w:pStyle w:val="Compact"/>
              <w:jc w:val="left"/>
            </w:pPr>
            <w:r>
              <w:t xml:space="preserve">−11,00 / −14,01 % (4/6 mg) frente a +0,30 %</w:t>
            </w:r>
          </w:p>
        </w:tc>
      </w:tr>
      <w:tr>
        <w:tc>
          <w:tcPr/>
          <w:p>
            <w:pPr>
              <w:pStyle w:val="Compact"/>
              <w:jc w:val="left"/>
            </w:pPr>
            <w:r>
              <w:t xml:space="preserve">GLORY-2 (Gao 2026), PMID 42251595</w:t>
            </w:r>
          </w:p>
        </w:tc>
        <w:tc>
          <w:tcPr/>
          <w:p>
            <w:pPr>
              <w:pStyle w:val="Compact"/>
              <w:jc w:val="left"/>
            </w:pPr>
            <w:r>
              <w:t xml:space="preserve">461 adultos chinos con obesidad, dosis más alta frente a placebo</w:t>
            </w:r>
          </w:p>
        </w:tc>
        <w:tc>
          <w:tcPr/>
          <w:p>
            <w:pPr>
              <w:pStyle w:val="Compact"/>
              <w:jc w:val="left"/>
            </w:pPr>
            <w:r>
              <w:t xml:space="preserve">60 semanas</w:t>
            </w:r>
          </w:p>
        </w:tc>
        <w:tc>
          <w:tcPr/>
          <w:p>
            <w:pPr>
              <w:pStyle w:val="Compact"/>
              <w:jc w:val="left"/>
            </w:pPr>
            <w:r>
              <w:t xml:space="preserve">−16,65 % frente a −1,50 %</w:t>
            </w:r>
          </w:p>
        </w:tc>
      </w:tr>
      <w:tr>
        <w:tc>
          <w:tcPr/>
          <w:p>
            <w:pPr>
              <w:pStyle w:val="Compact"/>
              <w:jc w:val="left"/>
            </w:pPr>
            <w:r>
              <w:t xml:space="preserve">DREAMS-1 (Zhu 2026), PMID 41407859</w:t>
            </w:r>
          </w:p>
        </w:tc>
        <w:tc>
          <w:tcPr/>
          <w:p>
            <w:pPr>
              <w:pStyle w:val="Compact"/>
              <w:jc w:val="left"/>
            </w:pPr>
            <w:r>
              <w:t xml:space="preserve">320 adultos chinos con diabetes tipo 2, frente a placebo</w:t>
            </w:r>
          </w:p>
        </w:tc>
        <w:tc>
          <w:tcPr/>
          <w:p>
            <w:pPr>
              <w:pStyle w:val="Compact"/>
              <w:jc w:val="left"/>
            </w:pPr>
            <w:r>
              <w:t xml:space="preserve">24 semanas</w:t>
            </w:r>
          </w:p>
        </w:tc>
        <w:tc>
          <w:tcPr/>
          <w:p>
            <w:pPr>
              <w:pStyle w:val="Compact"/>
              <w:jc w:val="left"/>
            </w:pPr>
            <w:r>
              <w:t xml:space="preserve">HbA1c −1,57 / −2,15 frente a −0,14</w:t>
            </w:r>
          </w:p>
        </w:tc>
      </w:tr>
      <w:tr>
        <w:tc>
          <w:tcPr/>
          <w:p>
            <w:pPr>
              <w:pStyle w:val="Compact"/>
              <w:jc w:val="left"/>
            </w:pPr>
            <w:r>
              <w:t xml:space="preserve">DREAMS-2 (Guo 2026), PMID 41407860</w:t>
            </w:r>
          </w:p>
        </w:tc>
        <w:tc>
          <w:tcPr/>
          <w:p>
            <w:pPr>
              <w:pStyle w:val="Compact"/>
              <w:jc w:val="left"/>
            </w:pPr>
            <w:r>
              <w:t xml:space="preserve">731 adultos chinos con diabetes tipo 2, frente a dulaglutida</w:t>
            </w:r>
          </w:p>
        </w:tc>
        <w:tc>
          <w:tcPr/>
          <w:p>
            <w:pPr>
              <w:pStyle w:val="Compact"/>
              <w:jc w:val="left"/>
            </w:pPr>
            <w:r>
              <w:t xml:space="preserve">28 semanas</w:t>
            </w:r>
          </w:p>
        </w:tc>
        <w:tc>
          <w:tcPr/>
          <w:p>
            <w:pPr>
              <w:pStyle w:val="Compact"/>
              <w:jc w:val="left"/>
            </w:pPr>
            <w:r>
              <w:t xml:space="preserve">HbA1c adicional −0,24 / −0,30; peso adicional −3,78 / −5,76 %</w:t>
            </w:r>
          </w:p>
        </w:tc>
      </w:tr>
      <w:tr>
        <w:tc>
          <w:tcPr/>
          <w:p>
            <w:pPr>
              <w:pStyle w:val="Compact"/>
              <w:jc w:val="left"/>
            </w:pPr>
            <w:r>
              <w:t xml:space="preserve">Fase 2 EE. UU. (Hsia 2026), PMID 42628555</w:t>
            </w:r>
          </w:p>
        </w:tc>
        <w:tc>
          <w:tcPr/>
          <w:p>
            <w:pPr>
              <w:pStyle w:val="Compact"/>
              <w:jc w:val="left"/>
            </w:pPr>
            <w:r>
              <w:t xml:space="preserve">179 adultos con sobrepeso/obesidad, frente a placebo</w:t>
            </w:r>
          </w:p>
        </w:tc>
        <w:tc>
          <w:tcPr/>
          <w:p>
            <w:pPr>
              <w:pStyle w:val="Compact"/>
              <w:jc w:val="left"/>
            </w:pPr>
            <w:r>
              <w:t xml:space="preserve">48 semanas (criterio principal a las 32)</w:t>
            </w:r>
          </w:p>
        </w:tc>
        <w:tc>
          <w:tcPr/>
          <w:p>
            <w:pPr>
              <w:pStyle w:val="Compact"/>
              <w:jc w:val="left"/>
            </w:pPr>
            <w:r>
              <w:t xml:space="preserve">−7,3 a −18,1 % a las 32 semanas frente a −0,9 %</w:t>
            </w:r>
          </w:p>
        </w:tc>
      </w:tr>
    </w:tbl>
    <w:bookmarkStart w:id="244" w:name="obesidad-glory-1-y-glory-2"/>
    <w:p>
      <w:pPr>
        <w:pStyle w:val="Heading4"/>
      </w:pPr>
      <w:r>
        <w:t xml:space="preserve">Obesidad: GLORY-1 y GLORY-2</w:t>
      </w:r>
    </w:p>
    <w:p>
      <w:pPr>
        <w:pStyle w:val="FirstParagraph"/>
      </w:pPr>
      <w:r>
        <w:rPr>
          <w:bCs/>
          <w:b/>
        </w:rPr>
        <w:t xml:space="preserve">GLORY-1</w:t>
      </w:r>
      <w:r>
        <w:t xml:space="preserve"> </w:t>
      </w:r>
      <w:r>
        <w:t xml:space="preserve">(Ji 2025, PMID 40421736) fue el estudio de registro para China. Los criterios de inclusión se basaron en los umbrales chinos: IMC a partir de 28, o a partir de 24 con una enfermedad concomitante. Con un peso inicial de 87,2 kg, el peso se redujo a las 48 semanas un 11,0 % (4 mg) y un 14,0 % (6 mg), respectivamente; con placebo se mantuvo prácticamente igual. Perdieron al menos un 15 % el 35,7 % y el 49,5 % de los participantes, respectivamente. Los abandonos por efectos secundarios fueron muy raros, del 0,5–1,5 %.</w:t>
      </w:r>
    </w:p>
    <w:p>
      <w:pPr>
        <w:pStyle w:val="BodyText"/>
      </w:pPr>
      <w:r>
        <w:rPr>
          <w:bCs/>
          <w:b/>
        </w:rPr>
        <w:t xml:space="preserve">GLORY-2</w:t>
      </w:r>
      <w:r>
        <w:t xml:space="preserve"> </w:t>
      </w:r>
      <w:r>
        <w:t xml:space="preserve">(Gao 2026, PMID 42251595) evaluó una dosis más alta en personas con un IMC a partir de 30. Los participantes eran llamativamente jóvenes, con una media de 33,9 años. A las 60 semanas, la pérdida de peso fue del 16,65 % frente al 1,50 % con placebo. El precio fueron claramente más molestias gastrointestinales: vómitos en el 53,1 % (placebo 1,3 %), náuseas en el 46,9 % (3,2 %) y diarrea en el 39,4 % (6,5 %). Aun así, solo el 2,9 % abandonó el tratamiento por efectos secundarios.</w:t>
      </w:r>
    </w:p>
    <w:bookmarkEnd w:id="244"/>
    <w:bookmarkStart w:id="245" w:name="diabetes-tipo-2-dreams-1-y-dreams-2"/>
    <w:p>
      <w:pPr>
        <w:pStyle w:val="Heading4"/>
      </w:pPr>
      <w:r>
        <w:t xml:space="preserve">Diabetes tipo 2: DREAMS-1 y DREAMS-2</w:t>
      </w:r>
    </w:p>
    <w:p>
      <w:pPr>
        <w:pStyle w:val="FirstParagraph"/>
      </w:pPr>
      <w:r>
        <w:t xml:space="preserve">En</w:t>
      </w:r>
      <w:r>
        <w:t xml:space="preserve"> </w:t>
      </w:r>
      <w:r>
        <w:rPr>
          <w:bCs/>
          <w:b/>
        </w:rPr>
        <w:t xml:space="preserve">DREAMS-1</w:t>
      </w:r>
      <w:r>
        <w:t xml:space="preserve"> </w:t>
      </w:r>
      <w:r>
        <w:t xml:space="preserve">(Zhu 2026, PMID 41407859), personas con diabetes tipo 2 no suficientemente controlada solo con dieta y ejercicio (duración media de la diabetes de 1,9 años) recibieron mazdutida sin otros antidiabéticos. Con la dosis más alta, la HbA1c disminuyó a las 24 semanas 2,15 puntos porcentuales (placebo −0,14), y el peso un 7,81 %.</w:t>
      </w:r>
    </w:p>
    <w:p>
      <w:pPr>
        <w:pStyle w:val="BodyText"/>
      </w:pPr>
      <w:r>
        <w:rPr>
          <w:bCs/>
          <w:b/>
        </w:rPr>
        <w:t xml:space="preserve">DREAMS-2</w:t>
      </w:r>
      <w:r>
        <w:t xml:space="preserve"> </w:t>
      </w:r>
      <w:r>
        <w:t xml:space="preserve">(Guo 2026, PMID 41407860) es hasta ahora el estudio comparativo más importante: frente al consolidado fármaco GLP-1 dulaglutida, la mazdutida no fue inferior y sí superior en HbA1c, aunque por un margen pequeño (−0,24 y −0,30 puntos porcentuales adicionales, respectivamente). La diferencia fue más clara en el peso (−3,78 y −5,76 % adicionales, respectivamente). Los efectos secundarios gastrointestinales fueron más frecuentes con mazdutida que con dulaglutida.</w:t>
      </w:r>
    </w:p>
    <w:p>
      <w:pPr>
        <w:pStyle w:val="BodyText"/>
      </w:pPr>
      <w:r>
        <w:t xml:space="preserve">Según el registro, ha concluido un estudio comparativo frente a semaglutida en personas con diabetes tipo 2 precoz y obesidad (DREAMS-3) (NCT06184568); se han publicado su diseño y los datos basales de los 349 participantes (Luo 2026, PMID 41260459), pero todavía no los resultados.</w:t>
      </w:r>
    </w:p>
    <w:bookmarkEnd w:id="245"/>
    <w:bookmarkStart w:id="246" w:name="X7276bfcb52eea03a251ec29184843fd96f8f7db"/>
    <w:p>
      <w:pPr>
        <w:pStyle w:val="Heading4"/>
      </w:pPr>
      <w:r>
        <w:t xml:space="preserve">Estudios fuera de China y dosis más altas</w:t>
      </w:r>
    </w:p>
    <w:p>
      <w:pPr>
        <w:pStyle w:val="FirstParagraph"/>
      </w:pPr>
      <w:r>
        <w:t xml:space="preserve">Fuera de China, Lilly estudia la mazdutida en dosis más altas. En un pequeño estudio de fase 1 con 32 adultos en EE. UU., el peso corporal disminuyó con la dosis más alta a las 20 semanas un 20,0 y un 21,0 % (dos esquemas de escalado), frente al 0,1 % con placebo; no se produjeron efectos secundarios graves (Bhattachar 2025, PMID 40832785).</w:t>
      </w:r>
    </w:p>
    <w:p>
      <w:pPr>
        <w:pStyle w:val="BodyText"/>
      </w:pPr>
      <w:r>
        <w:t xml:space="preserve">En el estudio estadounidense de fase 2 con 179 participantes (Hsia 2026, PMID 42628555), la pérdida de peso a las 32 semanas fue de hasta el 18,1 % con la dosis más alta. No obstante, allí el 20 % abandonó el tratamiento con la dosis más alta por efectos secundarios, sobre todo por molestias gastrointestinales. Además, el análisis principal utilizó el «estimador de eficacia», que deja de tener en cuenta a las personas tras un abandono y, por tanto, tiende a presentar el efecto de forma más favorable.</w:t>
      </w:r>
    </w:p>
    <w:bookmarkEnd w:id="246"/>
    <w:bookmarkStart w:id="247" w:name="informes-de-casos-aislados"/>
    <w:p>
      <w:pPr>
        <w:pStyle w:val="Heading4"/>
      </w:pPr>
      <w:r>
        <w:t xml:space="preserve">Informes de casos aislados</w:t>
      </w:r>
    </w:p>
    <w:p>
      <w:pPr>
        <w:pStyle w:val="FirstParagraph"/>
      </w:pPr>
      <w:r>
        <w:t xml:space="preserve">Un informe de caso describe a un paciente de 15 años con obesidad, diabetes tipo 2 y ácido úrico elevado que recibió mazdutida además de metformina e insulina y perdió 16,8 kg a las 36 semanas (Cheng 2025, PMID 41030857). Un caso aislado no permite ninguna afirmación sobre la eficacia o la seguridad en adolescentes; hay un estudio en curso al respecto (NCT07255209).</w:t>
      </w:r>
    </w:p>
    <w:bookmarkEnd w:id="247"/>
    <w:bookmarkEnd w:id="248"/>
    <w:bookmarkStart w:id="249" w:name="estudios-en-animales-y-de-laboratorio-7"/>
    <w:p>
      <w:pPr>
        <w:pStyle w:val="Heading3"/>
      </w:pPr>
      <w:r>
        <w:t xml:space="preserve">Estudios en animales y de laboratorio</w:t>
      </w:r>
    </w:p>
    <w:p>
      <w:pPr>
        <w:pStyle w:val="FirstParagraph"/>
      </w:pPr>
      <w:r>
        <w:t xml:space="preserve">En ratones diabéticos (modelo db/db), la mazdutida obtuvo mejores resultados que la dulaglutida en pruebas de memoria y comportamiento; en el tejido cerebral se observaron menos daños (Dong 2025, PMID 40479843). En ratones con hígado graso inducido por la dieta y en cultivos de células hepáticas, la mazdutida redujo la acumulación de grasa y los signos de inflamación (Gan 2026, PMID 41901218). No está claro si de ello se derivan ventajas para el ser humano; en China hay registrado un estudio sobre diabetes tipo 2 con deterioro cognitivo incipiente (NCT07083154).</w:t>
      </w:r>
    </w:p>
    <w:bookmarkEnd w:id="249"/>
    <w:bookmarkStart w:id="250" w:name="riesgos-y-efectos-adversos-7"/>
    <w:p>
      <w:pPr>
        <w:pStyle w:val="Heading3"/>
      </w:pPr>
      <w:r>
        <w:t xml:space="preserve">Riesgos y efectos adversos</w:t>
      </w:r>
    </w:p>
    <w:p>
      <w:pPr>
        <w:pStyle w:val="FirstParagraph"/>
      </w:pPr>
      <w:r>
        <w:rPr>
          <w:bCs/>
          <w:b/>
        </w:rPr>
        <w:t xml:space="preserve">Demostrado en estudios:</w:t>
      </w:r>
    </w:p>
    <w:p>
      <w:pPr>
        <w:numPr>
          <w:ilvl w:val="0"/>
          <w:numId w:val="1077"/>
        </w:numPr>
        <w:pStyle w:val="Compact"/>
      </w:pPr>
      <w:r>
        <w:t xml:space="preserve">Las</w:t>
      </w:r>
      <w:r>
        <w:t xml:space="preserve"> </w:t>
      </w:r>
      <w:r>
        <w:rPr>
          <w:bCs/>
          <w:b/>
        </w:rPr>
        <w:t xml:space="preserve">molestias gastrointestinales</w:t>
      </w:r>
      <w:r>
        <w:t xml:space="preserve"> </w:t>
      </w:r>
      <w:r>
        <w:t xml:space="preserve">son los efectos secundarios más frecuentes; su frecuencia aumenta con la dosis. En el estudio de fase 2 en diabetes se produjeron diarrea en el 36 %, disminución del apetito en el 29 %, náuseas en el 23 % y vómitos en el 14 % (Zhang 2024, PMID 37943529). En GLORY-2, más de la mitad de los participantes vomitó al menos una vez (Gao 2026, PMID 42251595).</w:t>
      </w:r>
    </w:p>
    <w:p>
      <w:pPr>
        <w:numPr>
          <w:ilvl w:val="0"/>
          <w:numId w:val="1077"/>
        </w:numPr>
        <w:pStyle w:val="Compact"/>
      </w:pPr>
      <w:r>
        <w:rPr>
          <w:bCs/>
          <w:b/>
        </w:rPr>
        <w:t xml:space="preserve">Hipoglucemia:</w:t>
      </w:r>
      <w:r>
        <w:t xml:space="preserve"> </w:t>
      </w:r>
      <w:r>
        <w:t xml:space="preserve">en el estudio de fase 2 en diabetes se notificaron hipoglucemias en el 10 % con mazdutida y en el 8 % con placebo (Zhang 2024, PMID 37943529).</w:t>
      </w:r>
    </w:p>
    <w:p>
      <w:pPr>
        <w:numPr>
          <w:ilvl w:val="0"/>
          <w:numId w:val="1077"/>
        </w:numPr>
        <w:pStyle w:val="Compact"/>
      </w:pPr>
      <w:r>
        <w:rPr>
          <w:bCs/>
          <w:b/>
        </w:rPr>
        <w:t xml:space="preserve">Abandonos con dosis altas:</w:t>
      </w:r>
      <w:r>
        <w:t xml:space="preserve"> </w:t>
      </w:r>
      <w:r>
        <w:t xml:space="preserve">hasta el 20 % en el estudio de fase 2 en EE. UU. (Hsia 2026, PMID 42628555).</w:t>
      </w:r>
    </w:p>
    <w:p>
      <w:pPr>
        <w:pStyle w:val="FirstParagraph"/>
      </w:pPr>
      <w:r>
        <w:rPr>
          <w:bCs/>
          <w:b/>
        </w:rPr>
        <w:t xml:space="preserve">Aún sin aclarar:</w:t>
      </w:r>
      <w:r>
        <w:t xml:space="preserve"> </w:t>
      </w:r>
      <w:r>
        <w:t xml:space="preserve">no existe ningún estudio de criterios de valoración cardiovasculares. Faltan datos a largo plazo de más de 60 semanas. Los estudios incluyeron casi exclusivamente a personas de origen chino, que con la misma pérdida de peso tenían valores iniciales distintos (menor peso corporal) que las poblaciones de estudio europeas. Los riesgos de clase conocidos de los fármacos GLP-1 (vesícula biliar, páncreas, células C tiroideas en experimentación animal) todavía no se han evaluado de forma independiente para la mazdutida, por falta de años-paciente.</w:t>
      </w:r>
    </w:p>
    <w:bookmarkEnd w:id="250"/>
    <w:bookmarkStart w:id="251" w:name="situación-legal-7"/>
    <w:p>
      <w:pPr>
        <w:pStyle w:val="Heading3"/>
      </w:pPr>
      <w:r>
        <w:t xml:space="preserve">Situación legal</w:t>
      </w:r>
    </w:p>
    <w:p>
      <w:pPr>
        <w:numPr>
          <w:ilvl w:val="0"/>
          <w:numId w:val="1078"/>
        </w:numPr>
        <w:pStyle w:val="Compact"/>
      </w:pPr>
      <w:r>
        <w:rPr>
          <w:bCs/>
          <w:b/>
        </w:rPr>
        <w:t xml:space="preserve">China:</w:t>
      </w:r>
      <w:r>
        <w:t xml:space="preserve"> </w:t>
      </w:r>
      <w:r>
        <w:t xml:space="preserve">autorizada (junio de 2025 para el control del peso, septiembre de 2025 para la diabetes tipo 2) (Shirley 2025, PMID 41028652).</w:t>
      </w:r>
    </w:p>
    <w:p>
      <w:pPr>
        <w:numPr>
          <w:ilvl w:val="0"/>
          <w:numId w:val="1078"/>
        </w:numPr>
        <w:pStyle w:val="Compact"/>
      </w:pPr>
      <w:r>
        <w:rPr>
          <w:bCs/>
          <w:b/>
        </w:rPr>
        <w:t xml:space="preserve">UE / Austria / Alemania:</w:t>
      </w:r>
      <w:r>
        <w:t xml:space="preserve"> </w:t>
      </w:r>
      <w:r>
        <w:t xml:space="preserve">no autorizada. Su importación para uso no es legal sin autorización; los productos «Mazdutide» ofrecidos en el mercado gris no son medicamentos controlados.</w:t>
      </w:r>
    </w:p>
    <w:p>
      <w:pPr>
        <w:numPr>
          <w:ilvl w:val="0"/>
          <w:numId w:val="1078"/>
        </w:numPr>
        <w:pStyle w:val="Compact"/>
      </w:pPr>
      <w:r>
        <w:rPr>
          <w:bCs/>
          <w:b/>
        </w:rPr>
        <w:t xml:space="preserve">EE. UU.:</w:t>
      </w:r>
      <w:r>
        <w:t xml:space="preserve"> </w:t>
      </w:r>
      <w:r>
        <w:t xml:space="preserve">no autorizada; Lilly realiza sus propios estudios.</w:t>
      </w:r>
    </w:p>
    <w:p>
      <w:pPr>
        <w:numPr>
          <w:ilvl w:val="0"/>
          <w:numId w:val="1078"/>
        </w:numPr>
        <w:pStyle w:val="Compact"/>
      </w:pPr>
      <w:r>
        <w:rPr>
          <w:bCs/>
          <w:b/>
        </w:rPr>
        <w:t xml:space="preserve">Deporte:</w:t>
      </w:r>
      <w:r>
        <w:t xml:space="preserve"> </w:t>
      </w:r>
      <w:r>
        <w:t xml:space="preserve">no figura por su nombre; situación respecto a S0 poco clara debido a la autorización china. Situación en 2026, compruébelo en su versión actual.</w:t>
      </w:r>
    </w:p>
    <w:bookmarkEnd w:id="251"/>
    <w:bookmarkStart w:id="252" w:name="estudios-en-curso-y-perspectivas-7"/>
    <w:p>
      <w:pPr>
        <w:pStyle w:val="Heading3"/>
      </w:pPr>
      <w:r>
        <w:t xml:space="preserve">Estudios en curso y perspectivas</w:t>
      </w:r>
    </w:p>
    <w:p>
      <w:pPr>
        <w:pStyle w:val="FirstParagraph"/>
      </w:pPr>
      <w:r>
        <w:rPr>
          <w:bCs/>
          <w:b/>
        </w:rPr>
        <w:t xml:space="preserve">Confirmado (estudios registrados, a octubre de 2026):</w:t>
      </w:r>
    </w:p>
    <w:p>
      <w:pPr>
        <w:numPr>
          <w:ilvl w:val="0"/>
          <w:numId w:val="1079"/>
        </w:numPr>
        <w:pStyle w:val="Compact"/>
      </w:pPr>
      <w:r>
        <w:t xml:space="preserve">Comparación con semaglutida en hígado graso (NCT06884293) y en diabetes tipo 2 precoz (NCT06184568, concluido).</w:t>
      </w:r>
    </w:p>
    <w:p>
      <w:pPr>
        <w:numPr>
          <w:ilvl w:val="0"/>
          <w:numId w:val="1079"/>
        </w:numPr>
        <w:pStyle w:val="Compact"/>
      </w:pPr>
      <w:r>
        <w:t xml:space="preserve">Apnea del sueño (NCT06931028), hipertensión arterial con obesidad (NCT07469800), adolescentes (NCT07255209).</w:t>
      </w:r>
    </w:p>
    <w:p>
      <w:pPr>
        <w:numPr>
          <w:ilvl w:val="0"/>
          <w:numId w:val="1079"/>
        </w:numPr>
        <w:pStyle w:val="Compact"/>
      </w:pPr>
      <w:r>
        <w:t xml:space="preserve">Estudios de fase 2 sobre MASH (NCT06937749), insuficiencia cardíaca con obesidad (NCT06862908) y trastorno por consumo de alcohol (NCT06817356, concluido, promotor Lilly).</w:t>
      </w:r>
    </w:p>
    <w:p>
      <w:pPr>
        <w:numPr>
          <w:ilvl w:val="0"/>
          <w:numId w:val="1079"/>
        </w:numPr>
        <w:pStyle w:val="Compact"/>
      </w:pPr>
      <w:r>
        <w:t xml:space="preserve">Además, Lilly evalúa la mazdutida en un protocolo maestro de fase 2 (NCT06143956).</w:t>
      </w:r>
    </w:p>
    <w:p>
      <w:pPr>
        <w:pStyle w:val="FirstParagraph"/>
      </w:pPr>
      <w:r>
        <w:rPr>
          <w:bCs/>
          <w:b/>
        </w:rPr>
        <w:t xml:space="preserve">Valoración:</w:t>
      </w:r>
      <w:r>
        <w:t xml:space="preserve"> </w:t>
      </w:r>
      <w:r>
        <w:t xml:space="preserve">la mazdutida es el primer fármaco doble glucagón/GLP-1 con una autorización, aunque solo en China. Que Lilly busque una autorización en EE. UU. y Europa depende probablemente de si la molécula puede diferenciarse de la tirzepatida y la retatrutida de la misma compañía, por ejemplo en el hígado graso o en el trastorno por consumo de alcohol. Es una valoración; no se conocen solicitudes de autorización concretas fuera de China.</w:t>
      </w:r>
    </w:p>
    <w:bookmarkEnd w:id="252"/>
    <w:bookmarkStart w:id="253" w:name="conclusión-7"/>
    <w:p>
      <w:pPr>
        <w:pStyle w:val="Heading3"/>
      </w:pPr>
      <w:r>
        <w:t xml:space="preserve">Conclusión</w:t>
      </w:r>
    </w:p>
    <w:p>
      <w:pPr>
        <w:pStyle w:val="FirstParagraph"/>
      </w:pPr>
      <w:r>
        <w:t xml:space="preserve">La mazdutida es un derivado de acción prolongada de la hormona intestinal oxintomodulina que activa simultáneamente los receptores de GLP-1 y de glucagón. En estudios chinos de fase 3, el peso corporal se redujo un 11–14 % a las 48 semanas y un 16,65 % a las 60 semanas con una dosis más alta; en la diabetes tipo 2 fue ligeramente superior a la dulaglutida. Los efectos secundarios más frecuentes son las molestias gastrointestinales, que se vuelven muy frecuentes con dosis más altas. La mazdutida solo está autorizada en China; faltan en gran medida datos sobre criterios de valoración cardiovasculares y sobre poblaciones no asiáticas.</w:t>
      </w:r>
    </w:p>
    <w:bookmarkEnd w:id="253"/>
    <w:bookmarkEnd w:id="254"/>
    <w:bookmarkStart w:id="266" w:name="cagrilintida-y-cagrisema"/>
    <w:p>
      <w:pPr>
        <w:pStyle w:val="Heading2"/>
      </w:pPr>
      <w:r>
        <w:t xml:space="preserve">Cagrilintida y CagriSema</w:t>
      </w:r>
    </w:p>
    <w:bookmarkStart w:id="255" w:name="ficha-8"/>
    <w:p>
      <w:pPr>
        <w:pStyle w:val="Heading3"/>
      </w:pPr>
      <w:r>
        <w:t xml:space="preserve">Ficha</w:t>
      </w:r>
    </w:p>
    <w:p>
      <w:pPr>
        <w:numPr>
          <w:ilvl w:val="0"/>
          <w:numId w:val="1080"/>
        </w:numPr>
        <w:pStyle w:val="Compact"/>
      </w:pPr>
      <w:r>
        <w:rPr>
          <w:bCs/>
          <w:b/>
        </w:rPr>
        <w:t xml:space="preserve">Tipo/estructura:</w:t>
      </w:r>
      <w:r>
        <w:t xml:space="preserve"> </w:t>
      </w:r>
      <w:r>
        <w:t xml:space="preserve">la cagrilintida es un análogo sintético modificado con ácido graso de la hormona amilina, para administración subcutánea una vez por semana.</w:t>
      </w:r>
      <w:r>
        <w:t xml:space="preserve"> </w:t>
      </w:r>
      <w:r>
        <w:rPr>
          <w:bCs/>
          <w:b/>
        </w:rPr>
        <w:t xml:space="preserve">CagriSema</w:t>
      </w:r>
      <w:r>
        <w:t xml:space="preserve"> </w:t>
      </w:r>
      <w:r>
        <w:t xml:space="preserve">es la combinación fija de cagrilintida y semaglutida en un solo dispositivo de inyección.</w:t>
      </w:r>
    </w:p>
    <w:p>
      <w:pPr>
        <w:numPr>
          <w:ilvl w:val="0"/>
          <w:numId w:val="1080"/>
        </w:numPr>
        <w:pStyle w:val="Compact"/>
      </w:pPr>
      <w:r>
        <w:rPr>
          <w:bCs/>
          <w:b/>
        </w:rPr>
        <w:t xml:space="preserve">Origen:</w:t>
      </w:r>
      <w:r>
        <w:t xml:space="preserve"> </w:t>
      </w:r>
      <w:r>
        <w:t xml:space="preserve">desarrollada por Novo Nordisk, el fabricante de la semaglutida.</w:t>
      </w:r>
    </w:p>
    <w:p>
      <w:pPr>
        <w:numPr>
          <w:ilvl w:val="0"/>
          <w:numId w:val="1080"/>
        </w:numPr>
        <w:pStyle w:val="Compact"/>
      </w:pPr>
      <w:r>
        <w:rPr>
          <w:bCs/>
          <w:b/>
        </w:rPr>
        <w:t xml:space="preserve">Mecanismo de acción:</w:t>
      </w:r>
      <w:r>
        <w:t xml:space="preserve"> </w:t>
      </w:r>
      <w:r>
        <w:t xml:space="preserve">la cagrilintida activa los receptores de amilina y, además, el receptor de calcitonina, emparentado con ellos (un «agonista dual de los receptores de amilina y calcitonina»). En CagriSema se añade el efecto GLP-1 de la semaglutida.</w:t>
      </w:r>
    </w:p>
    <w:p>
      <w:pPr>
        <w:numPr>
          <w:ilvl w:val="0"/>
          <w:numId w:val="1080"/>
        </w:numPr>
        <w:pStyle w:val="Compact"/>
      </w:pPr>
      <w:r>
        <w:rPr>
          <w:bCs/>
          <w:b/>
        </w:rPr>
        <w:t xml:space="preserve">Autorización UE:</w:t>
      </w:r>
      <w:r>
        <w:t xml:space="preserve"> </w:t>
      </w:r>
      <w:r>
        <w:t xml:space="preserve">no (a octubre de 2026).</w:t>
      </w:r>
    </w:p>
    <w:p>
      <w:pPr>
        <w:numPr>
          <w:ilvl w:val="0"/>
          <w:numId w:val="1080"/>
        </w:numPr>
        <w:pStyle w:val="Compact"/>
      </w:pPr>
      <w:r>
        <w:rPr>
          <w:bCs/>
          <w:b/>
        </w:rPr>
        <w:t xml:space="preserve">Autorización EE. UU.:</w:t>
      </w:r>
      <w:r>
        <w:t xml:space="preserve"> </w:t>
      </w:r>
      <w:r>
        <w:t xml:space="preserve">no (a octubre de 2026; se ha anunciado un procedimiento de autorización para CagriSema, que podría estar ya en curso; compruébelo en su versión actual).</w:t>
      </w:r>
    </w:p>
    <w:p>
      <w:pPr>
        <w:numPr>
          <w:ilvl w:val="0"/>
          <w:numId w:val="1080"/>
        </w:numPr>
        <w:pStyle w:val="Compact"/>
      </w:pPr>
      <w:r>
        <w:rPr>
          <w:bCs/>
          <w:b/>
        </w:rPr>
        <w:t xml:space="preserve">AMA (WADA):</w:t>
      </w:r>
      <w:r>
        <w:t xml:space="preserve"> </w:t>
      </w:r>
      <w:r>
        <w:t xml:space="preserve">prohibida como sustancia no aprobada en la clase S0 (situación en 2026, compruébelo en su versión actual).</w:t>
      </w:r>
    </w:p>
    <w:p>
      <w:pPr>
        <w:numPr>
          <w:ilvl w:val="0"/>
          <w:numId w:val="1080"/>
        </w:numPr>
        <w:pStyle w:val="Compact"/>
      </w:pPr>
      <w:r>
        <w:rPr>
          <w:bCs/>
          <w:b/>
        </w:rPr>
        <w:t xml:space="preserve">Nivel de evidencia:</w:t>
      </w:r>
      <w:r>
        <w:t xml:space="preserve"> </w:t>
      </w:r>
      <w:r>
        <w:rPr>
          <w:bCs/>
          <w:b/>
        </w:rPr>
        <w:t xml:space="preserve">B</w:t>
      </w:r>
      <w:r>
        <w:t xml:space="preserve"> </w:t>
      </w:r>
      <w:r>
        <w:t xml:space="preserve">– varios grandes estudios de fase 3 publicados, pero todavía sin autorización. Con una autorización, CagriSema alcanzaría el nivel A.</w:t>
      </w:r>
    </w:p>
    <w:bookmarkEnd w:id="255"/>
    <w:bookmarkStart w:id="256" w:name="cómo-se-supone-que-actúa-8"/>
    <w:p>
      <w:pPr>
        <w:pStyle w:val="Heading3"/>
      </w:pPr>
      <w:r>
        <w:t xml:space="preserve">Cómo se supone que actúa</w:t>
      </w:r>
    </w:p>
    <w:p>
      <w:pPr>
        <w:pStyle w:val="FirstParagraph"/>
      </w:pPr>
      <w:r>
        <w:t xml:space="preserve">La amilina es una hormona que las células beta del páncreas liberan junto con la insulina. Actúa sobre todo en el tronco encefálico: favorece la sensación de saciedad, ralentiza el vaciamiento gástrico y frena la liberación de glucagón después de comer. A las personas con diabetes tipo 1 les falta, además de la insulina, también la amilina.</w:t>
      </w:r>
    </w:p>
    <w:p>
      <w:pPr>
        <w:pStyle w:val="BodyText"/>
      </w:pPr>
      <w:r>
        <w:t xml:space="preserve">La amilina natural no es adecuada como medicamento porque tiende a agregarse (forma las llamadas fibrillas amiloides) y solo persiste minutos en la sangre. Por eso, el primer medicamento basado en la amilina, la pramlintida (véase su propio capítulo), debe inyectarse varias veces al día. La cagrilintida se modificó deliberadamente para que se mantenga estable y, gracias a una cadena de ácido graso, actúe durante una semana (Kruse 2021, PMID 34288673). En los datos de fase 1, la semivida fue de 159 a 195 horas, es decir, alrededor de una semana (Enebo 2021, PMID 33894838).</w:t>
      </w:r>
    </w:p>
    <w:p>
      <w:pPr>
        <w:pStyle w:val="BodyText"/>
      </w:pPr>
      <w:r>
        <w:t xml:space="preserve">La combinación con semaglutida sigue una idea sencilla: la amilina y el GLP-1 actúan sobre la saciedad a través de receptores distintos y, en parte, de regiones cerebrales diferentes, por lo que sus efectos podrían sumarse. Estudios en ratones modificados genéticamente muestran que la cagrilintida necesita los subtipos 1 y 3 del receptor de amilina en el cerebro para su efecto reductor del peso (Carvas 2025, PMID 40609154). En ratas, CagriSema redujo sobre todo la ingesta energética, mientras que el gasto energético se mantuvo en gran medida (Jacobsen 2025, PMID 40629149).</w:t>
      </w:r>
    </w:p>
    <w:bookmarkEnd w:id="256"/>
    <w:bookmarkStart w:id="260" w:name="estudios-en-humanos-8"/>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 arrojó 15 estudios en humanos sobre cagrilintida o CagriSema. En ClinicalTrials.gov había 44 estudios registrados. El programa de registro se denomina</w:t>
      </w:r>
      <w:r>
        <w:t xml:space="preserve"> </w:t>
      </w:r>
      <w:r>
        <w:rPr>
          <w:bCs/>
          <w:b/>
        </w:rPr>
        <w:t xml:space="preserve">REDEFINE</w:t>
      </w:r>
      <w:r>
        <w:t xml:space="preserve"> </w:t>
      </w:r>
      <w:r>
        <w:t xml:space="preserve">(control del peso) y</w:t>
      </w:r>
      <w:r>
        <w:t xml:space="preserve"> </w:t>
      </w:r>
      <w:r>
        <w:rPr>
          <w:bCs/>
          <w:b/>
        </w:rPr>
        <w:t xml:space="preserve">REIMAGINE</w:t>
      </w:r>
      <w:r>
        <w:t xml:space="preserve"> </w:t>
      </w:r>
      <w:r>
        <w:t xml:space="preserve">(diabetes tipo 2).</w:t>
      </w:r>
    </w:p>
    <w:bookmarkStart w:id="257" w:name="cagrilintida-sola"/>
    <w:p>
      <w:pPr>
        <w:pStyle w:val="Heading4"/>
      </w:pPr>
      <w:r>
        <w:t xml:space="preserve">Cagrilintida sola</w:t>
      </w:r>
    </w:p>
    <w:p>
      <w:pPr>
        <w:pStyle w:val="FirstParagraph"/>
      </w:pPr>
      <w:r>
        <w:t xml:space="preserve">En el estudio de fase 2 de búsqueda de dosis (Lau 2021, PMID 34798060), 706 adultos con sobrepeso u obesidad recibieron durante 26 semanas cagrilintida en cinco dosis, 99 liraglutida y 101 placebo. El peso disminuyó de forma dependiente de la dosis entre un 6,0 y un 10,8 % (placebo 3,0 %). La dosis más alta fue ligeramente superior a la liraglutida 3,0 mg (10,8 % frente a 9,0 %). Se produjeron náuseas en el 20–47 % (placebo 18 %). Así pues, la cagrilintida sola alcanza aproximadamente el orden de magnitud de los fármacos GLP-1 más antiguos, no el de la semaglutida o la tirzepatida. Entretanto, también se está evaluando en fase 3 como sustancia individual (NCT07220642).</w:t>
      </w:r>
    </w:p>
    <w:bookmarkEnd w:id="257"/>
    <w:bookmarkStart w:id="258" w:name="cagrisema-estudios-iniciales"/>
    <w:p>
      <w:pPr>
        <w:pStyle w:val="Heading4"/>
      </w:pPr>
      <w:r>
        <w:t xml:space="preserve">CagriSema: estudios iniciales</w:t>
      </w:r>
    </w:p>
    <w:p>
      <w:pPr>
        <w:pStyle w:val="FirstParagraph"/>
      </w:pPr>
      <w:r>
        <w:t xml:space="preserve">En un estudio de fase 1b con 95 personas sanas con sobrepeso, los participantes perdieron con semaglutida más cagrilintida hasta el 17,1 % de su peso a las 20 semanas, y con semaglutida más placebo el 9,8 % (Enebo 2021, PMID 33894838). La cagrilintida no modificó las concentraciones sanguíneas de semaglutida.</w:t>
      </w:r>
    </w:p>
    <w:p>
      <w:pPr>
        <w:pStyle w:val="BodyText"/>
      </w:pPr>
      <w:r>
        <w:t xml:space="preserve">Un pequeño estudio de fase 2 en 92 personas con diabetes tipo 2 comparó CagriSema directamente con ambas sustancias por separado (Frias 2023, PMID 37364590). A las 32 semanas, la pérdida de peso fue del 15,6 % con CagriSema, del 5,1 % con semaglutida y del 8,1 % con cagrilintida. En la HbA1c, CagriSema, con −2,2 puntos porcentuales, no fue estadísticamente superior a la semaglutida (−1,8).</w:t>
      </w:r>
    </w:p>
    <w:bookmarkEnd w:id="258"/>
    <w:bookmarkStart w:id="259" w:name="cagrisema-fase-3-redefine-y-reimagine"/>
    <w:p>
      <w:pPr>
        <w:pStyle w:val="Heading4"/>
      </w:pPr>
      <w:r>
        <w:t xml:space="preserve">CagriSema: fase 3 (REDEFINE y REIMAGINE)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REDEFINE 1 (Garvey 2025), PMID 40544433</w:t>
            </w:r>
          </w:p>
        </w:tc>
        <w:tc>
          <w:tcPr/>
          <w:p>
            <w:pPr>
              <w:pStyle w:val="Compact"/>
              <w:jc w:val="left"/>
            </w:pPr>
            <w:r>
              <w:t xml:space="preserve">3417 adultos con sobrepeso/obesidad sin diabetes; frente a placebo y sustancias individuales</w:t>
            </w:r>
          </w:p>
        </w:tc>
        <w:tc>
          <w:tcPr/>
          <w:p>
            <w:pPr>
              <w:pStyle w:val="Compact"/>
              <w:jc w:val="left"/>
            </w:pPr>
            <w:r>
              <w:t xml:space="preserve">68 semanas</w:t>
            </w:r>
          </w:p>
        </w:tc>
        <w:tc>
          <w:tcPr/>
          <w:p>
            <w:pPr>
              <w:pStyle w:val="Compact"/>
              <w:jc w:val="left"/>
            </w:pPr>
            <w:r>
              <w:t xml:space="preserve">−20,4 % de peso frente a −3,0 %</w:t>
            </w:r>
          </w:p>
        </w:tc>
      </w:tr>
      <w:tr>
        <w:tc>
          <w:tcPr/>
          <w:p>
            <w:pPr>
              <w:pStyle w:val="Compact"/>
              <w:jc w:val="left"/>
            </w:pPr>
            <w:r>
              <w:t xml:space="preserve">REDEFINE 2 (Davies 2025), PMID 40544432</w:t>
            </w:r>
          </w:p>
        </w:tc>
        <w:tc>
          <w:tcPr/>
          <w:p>
            <w:pPr>
              <w:pStyle w:val="Compact"/>
              <w:jc w:val="left"/>
            </w:pPr>
            <w:r>
              <w:t xml:space="preserve">1206 adultos con obesidad y diabetes tipo 2, frente a placebo</w:t>
            </w:r>
          </w:p>
        </w:tc>
        <w:tc>
          <w:tcPr/>
          <w:p>
            <w:pPr>
              <w:pStyle w:val="Compact"/>
              <w:jc w:val="left"/>
            </w:pPr>
            <w:r>
              <w:t xml:space="preserve">68 semanas</w:t>
            </w:r>
          </w:p>
        </w:tc>
        <w:tc>
          <w:tcPr/>
          <w:p>
            <w:pPr>
              <w:pStyle w:val="Compact"/>
              <w:jc w:val="left"/>
            </w:pPr>
            <w:r>
              <w:t xml:space="preserve">−13,7 % frente a −3,4 %</w:t>
            </w:r>
          </w:p>
        </w:tc>
      </w:tr>
      <w:tr>
        <w:tc>
          <w:tcPr/>
          <w:p>
            <w:pPr>
              <w:pStyle w:val="Compact"/>
              <w:jc w:val="left"/>
            </w:pPr>
            <w:r>
              <w:t xml:space="preserve">REDEFINE 5 (Yamauchi 2026), PMID 42009015</w:t>
            </w:r>
          </w:p>
        </w:tc>
        <w:tc>
          <w:tcPr/>
          <w:p>
            <w:pPr>
              <w:pStyle w:val="Compact"/>
              <w:jc w:val="left"/>
            </w:pPr>
            <w:r>
              <w:t xml:space="preserve">331 adultos en Japón y Taiwán, frente a semaglutida</w:t>
            </w:r>
          </w:p>
        </w:tc>
        <w:tc>
          <w:tcPr/>
          <w:p>
            <w:pPr>
              <w:pStyle w:val="Compact"/>
              <w:jc w:val="left"/>
            </w:pPr>
            <w:r>
              <w:t xml:space="preserve">68 semanas</w:t>
            </w:r>
          </w:p>
        </w:tc>
        <w:tc>
          <w:tcPr/>
          <w:p>
            <w:pPr>
              <w:pStyle w:val="Compact"/>
              <w:jc w:val="left"/>
            </w:pPr>
            <w:r>
              <w:t xml:space="preserve">−18,4 % frente a −11,9 % (semaglutida)</w:t>
            </w:r>
          </w:p>
        </w:tc>
      </w:tr>
      <w:tr>
        <w:tc>
          <w:tcPr/>
          <w:p>
            <w:pPr>
              <w:pStyle w:val="Compact"/>
              <w:jc w:val="left"/>
            </w:pPr>
            <w:r>
              <w:t xml:space="preserve">REIMAGINE 1 (Aroda 2026), PMID 42251860</w:t>
            </w:r>
          </w:p>
        </w:tc>
        <w:tc>
          <w:tcPr/>
          <w:p>
            <w:pPr>
              <w:pStyle w:val="Compact"/>
              <w:jc w:val="left"/>
            </w:pPr>
            <w:r>
              <w:t xml:space="preserve">189 adultos con diabetes tipo 2 sin medicación, frente a placebo</w:t>
            </w:r>
          </w:p>
        </w:tc>
        <w:tc>
          <w:tcPr/>
          <w:p>
            <w:pPr>
              <w:pStyle w:val="Compact"/>
              <w:jc w:val="left"/>
            </w:pPr>
            <w:r>
              <w:t xml:space="preserve">40 semanas</w:t>
            </w:r>
          </w:p>
        </w:tc>
        <w:tc>
          <w:tcPr/>
          <w:p>
            <w:pPr>
              <w:pStyle w:val="Compact"/>
              <w:jc w:val="left"/>
            </w:pPr>
            <w:r>
              <w:t xml:space="preserve">HbA1c −1,8 frente a −0,1; peso −13,8 % frente a −1,4 %</w:t>
            </w:r>
          </w:p>
        </w:tc>
      </w:tr>
      <w:tr>
        <w:tc>
          <w:tcPr/>
          <w:p>
            <w:pPr>
              <w:pStyle w:val="Compact"/>
              <w:jc w:val="left"/>
            </w:pPr>
            <w:r>
              <w:t xml:space="preserve">REIMAGINE 2 (Buse 2026), PMID 42251859</w:t>
            </w:r>
          </w:p>
        </w:tc>
        <w:tc>
          <w:tcPr/>
          <w:p>
            <w:pPr>
              <w:pStyle w:val="Compact"/>
              <w:jc w:val="left"/>
            </w:pPr>
            <w:r>
              <w:t xml:space="preserve">2713 adultos con diabetes tipo 2, frente a semaglutida, cagrilintida y placebo</w:t>
            </w:r>
          </w:p>
        </w:tc>
        <w:tc>
          <w:tcPr/>
          <w:p>
            <w:pPr>
              <w:pStyle w:val="Compact"/>
              <w:jc w:val="left"/>
            </w:pPr>
            <w:r>
              <w:t xml:space="preserve">68 semanas</w:t>
            </w:r>
          </w:p>
        </w:tc>
        <w:tc>
          <w:tcPr/>
          <w:p>
            <w:pPr>
              <w:pStyle w:val="Compact"/>
              <w:jc w:val="left"/>
            </w:pPr>
            <w:r>
              <w:t xml:space="preserve">HbA1c −1,91 frente a −1,75 (semaglutida 2,4 mg)</w:t>
            </w:r>
          </w:p>
        </w:tc>
      </w:tr>
      <w:tr>
        <w:tc>
          <w:tcPr/>
          <w:p>
            <w:pPr>
              <w:pStyle w:val="Compact"/>
              <w:jc w:val="left"/>
            </w:pPr>
            <w:r>
              <w:t xml:space="preserve">REIMAGINE 3 (Rosenstock 2026), PMID 42251856</w:t>
            </w:r>
          </w:p>
        </w:tc>
        <w:tc>
          <w:tcPr/>
          <w:p>
            <w:pPr>
              <w:pStyle w:val="Compact"/>
              <w:jc w:val="left"/>
            </w:pPr>
            <w:r>
              <w:t xml:space="preserve">274 adultos con diabetes tipo 2 e insulina basal, frente a placebo</w:t>
            </w:r>
          </w:p>
        </w:tc>
        <w:tc>
          <w:tcPr/>
          <w:p>
            <w:pPr>
              <w:pStyle w:val="Compact"/>
              <w:jc w:val="left"/>
            </w:pPr>
            <w:r>
              <w:t xml:space="preserve">40 semanas</w:t>
            </w:r>
          </w:p>
        </w:tc>
        <w:tc>
          <w:tcPr/>
          <w:p>
            <w:pPr>
              <w:pStyle w:val="Compact"/>
              <w:jc w:val="left"/>
            </w:pPr>
            <w:r>
              <w:t xml:space="preserve">HbA1c −2,33 frente a −0,66; peso −10 a −12 %</w:t>
            </w:r>
          </w:p>
        </w:tc>
      </w:tr>
    </w:tbl>
    <w:p>
      <w:pPr>
        <w:pStyle w:val="BodyText"/>
      </w:pPr>
      <w:r>
        <w:rPr>
          <w:bCs/>
          <w:b/>
        </w:rPr>
        <w:t xml:space="preserve">REDEFINE 1</w:t>
      </w:r>
      <w:r>
        <w:t xml:space="preserve"> </w:t>
      </w:r>
      <w:r>
        <w:t xml:space="preserve">(Garvey 2025, PMID 40544433) es el estudio principal. En 3417 adultos sin diabetes, el peso corporal se redujo a las 68 semanas un 20,4 % en promedio, frente al 3,0 % con placebo. El estudio incluía también grupos más pequeños con semaglutida sola y cagrilintida sola. En un análisis posterior, el 30,3 % con CagriSema, el 19,1 % con semaglutida, el 9,0 % con cagrilintida y el 3,3 % con placebo alcanzaron tanto un IMC inferior a 27 como una relación favorable entre cintura y estatura (Busetto 2026, PMID 42503495). La presión arterial sistólica disminuyó con CagriSema 10,9 mmHg (placebo −2,8) (Verma 2026, PMID 41328546).</w:t>
      </w:r>
    </w:p>
    <w:p>
      <w:pPr>
        <w:pStyle w:val="BodyText"/>
      </w:pPr>
      <w:r>
        <w:t xml:space="preserve">Para situarlo en contexto: el 20,4 % alcanzado está en el orden de magnitud de la tirzepatida en SURMOUNT-1 (20,9 % a las 72 semanas con la dosis más alta). Una comparación cruzada de este tipo entre estudios distintos solo ofrece una orientación aproximada; la comparación directa aún está pendiente (véase más abajo).</w:t>
      </w:r>
    </w:p>
    <w:p>
      <w:pPr>
        <w:pStyle w:val="BodyText"/>
      </w:pPr>
      <w:r>
        <w:rPr>
          <w:bCs/>
          <w:b/>
        </w:rPr>
        <w:t xml:space="preserve">REDEFINE 2</w:t>
      </w:r>
      <w:r>
        <w:t xml:space="preserve"> </w:t>
      </w:r>
      <w:r>
        <w:t xml:space="preserve">(Davies 2025, PMID 40544432) confirmó el patrón en personas con diabetes tipo 2: −13,7 % frente a −3,4 %. El 73,5 % alcanzó una HbA1c de como máximo el 6,5 % (placebo 15,9 %).</w:t>
      </w:r>
    </w:p>
    <w:p>
      <w:pPr>
        <w:pStyle w:val="BodyText"/>
      </w:pPr>
      <w:r>
        <w:rPr>
          <w:bCs/>
          <w:b/>
        </w:rPr>
        <w:t xml:space="preserve">REDEFINE 5</w:t>
      </w:r>
      <w:r>
        <w:t xml:space="preserve"> </w:t>
      </w:r>
      <w:r>
        <w:t xml:space="preserve">(Yamauchi 2026, PMID 42009015) es el primer estudio de fase 3 cegado publicado en comparación directa con la semaglutida 2,4 mg: en Japón y Taiwán, los participantes perdieron el 18,4 % con CagriSema frente al 11,9 % con semaglutida sola. Las molestias gastrointestinales fueron igual de frecuentes, con un 53 % frente a un 51 %.</w:t>
      </w:r>
    </w:p>
    <w:p>
      <w:pPr>
        <w:pStyle w:val="BodyText"/>
      </w:pPr>
      <w:r>
        <w:rPr>
          <w:bCs/>
          <w:b/>
        </w:rPr>
        <w:t xml:space="preserve">REIMAGINE 2</w:t>
      </w:r>
      <w:r>
        <w:t xml:space="preserve"> </w:t>
      </w:r>
      <w:r>
        <w:t xml:space="preserve">(Buse 2026, PMID 42251859) mostró en la diabetes tipo 2 que CagriSema reduce la HbA1c solo ligeramente más que la semaglutida 2,4 mg sola (−1,91 frente a −1,75 puntos porcentuales). Por tanto, el beneficio adicional de la cagrilintida se encuentra sobre todo en el peso, apenas en la glucemia.</w:t>
      </w:r>
    </w:p>
    <w:p>
      <w:pPr>
        <w:pStyle w:val="BodyText"/>
      </w:pPr>
      <w:r>
        <w:t xml:space="preserve">Según el registro, han concluido el estudio comparativo directo frente a tirzepatida en obesidad (REDEFINE 4, NCT06131437) y dos estudios comparativos frente a tirzepatida en diabetes tipo 2 (NCT06221969, NCT06534411); en el momento de la búsqueda todavía no había publicaciones revisadas por pares.</w:t>
      </w:r>
    </w:p>
    <w:bookmarkEnd w:id="259"/>
    <w:bookmarkEnd w:id="260"/>
    <w:bookmarkStart w:id="261" w:name="estudios-en-animales-y-de-laboratorio-8"/>
    <w:p>
      <w:pPr>
        <w:pStyle w:val="Heading3"/>
      </w:pPr>
      <w:r>
        <w:t xml:space="preserve">Estudios en animales y de laboratorio</w:t>
      </w:r>
    </w:p>
    <w:p>
      <w:pPr>
        <w:pStyle w:val="FirstParagraph"/>
      </w:pPr>
      <w:r>
        <w:t xml:space="preserve">Los estudios de biología estructural muestran cómo se une la cagrilintida a los receptores de amilina y de calcitonina (Cao 2025, PMID 40204768). En ratones sin los subtipos 1 y 3 del receptor de amilina, el efecto se vio muy atenuado (Carvas 2025, PMID 40609154). En ratas, CagriSema redujo la ingesta de alimentos un 39 %; según los cálculos de los autores, aproximadamente un tercio de la pérdida de peso se debió a que el gasto energético no disminuyó en la medida habitual (Jacobsen 2025, PMID 40629149). En otro estudio en ratas, la combinación de cagrilintida con retatrutida potenció la pérdida de peso (Petersen 2026, PMID 42744908), un indicio de que en el futuro los principios activos de amilina podrían combinarse también con otros fármacos incretínicos. Todos estos resultados proceden de experimentos con animales.</w:t>
      </w:r>
    </w:p>
    <w:bookmarkEnd w:id="261"/>
    <w:bookmarkStart w:id="262" w:name="riesgos-y-efectos-adversos-8"/>
    <w:p>
      <w:pPr>
        <w:pStyle w:val="Heading3"/>
      </w:pPr>
      <w:r>
        <w:t xml:space="preserve">Riesgos y efectos adversos</w:t>
      </w:r>
    </w:p>
    <w:p>
      <w:pPr>
        <w:pStyle w:val="FirstParagraph"/>
      </w:pPr>
      <w:r>
        <w:rPr>
          <w:bCs/>
          <w:b/>
        </w:rPr>
        <w:t xml:space="preserve">Demostrado en estudios:</w:t>
      </w:r>
    </w:p>
    <w:p>
      <w:pPr>
        <w:numPr>
          <w:ilvl w:val="0"/>
          <w:numId w:val="1081"/>
        </w:numPr>
        <w:pStyle w:val="Compact"/>
      </w:pPr>
      <w:r>
        <w:t xml:space="preserve">Las</w:t>
      </w:r>
      <w:r>
        <w:t xml:space="preserve"> </w:t>
      </w:r>
      <w:r>
        <w:rPr>
          <w:bCs/>
          <w:b/>
        </w:rPr>
        <w:t xml:space="preserve">molestias gastrointestinales</w:t>
      </w:r>
      <w:r>
        <w:t xml:space="preserve"> </w:t>
      </w:r>
      <w:r>
        <w:t xml:space="preserve">–náuseas, vómitos, diarrea, estreñimiento, dolor abdominal– afectaron en REDEFINE 1 al 79,6 % con CagriSema frente al 39,9 % con placebo; en general fueron transitorias y de leves a moderadas (Garvey 2025, PMID 40544433). En REDEFINE 2 fueron el 72,5 % frente al 34,4 % (Davies 2025, PMID 40544432).</w:t>
      </w:r>
    </w:p>
    <w:p>
      <w:pPr>
        <w:numPr>
          <w:ilvl w:val="0"/>
          <w:numId w:val="1081"/>
        </w:numPr>
        <w:pStyle w:val="Compact"/>
      </w:pPr>
      <w:r>
        <w:rPr>
          <w:bCs/>
          <w:b/>
        </w:rPr>
        <w:t xml:space="preserve">Hipoglucemia:</w:t>
      </w:r>
      <w:r>
        <w:t xml:space="preserve"> </w:t>
      </w:r>
      <w:r>
        <w:t xml:space="preserve">en REIMAGINE 3 no se produjeron hipoglucemias graves pese al tratamiento simultáneo con insulina (Rosenstock 2026, PMID 42251856). No obstante, en combinación con insulina o sulfonilureas el riesgo persiste en principio.</w:t>
      </w:r>
    </w:p>
    <w:p>
      <w:pPr>
        <w:numPr>
          <w:ilvl w:val="0"/>
          <w:numId w:val="1081"/>
        </w:numPr>
        <w:pStyle w:val="Compact"/>
      </w:pPr>
      <w:r>
        <w:rPr>
          <w:bCs/>
          <w:b/>
        </w:rPr>
        <w:t xml:space="preserve">Ritmo cardíaco:</w:t>
      </w:r>
      <w:r>
        <w:t xml:space="preserve"> </w:t>
      </w:r>
      <w:r>
        <w:t xml:space="preserve">en un estudio propio con 105 personas sanas, la cagrilintida no prolongó el intervalo QT en el ECG en una medida clínicamente relevante (Gabe 2024, PMID 39279639).</w:t>
      </w:r>
    </w:p>
    <w:p>
      <w:pPr>
        <w:numPr>
          <w:ilvl w:val="0"/>
          <w:numId w:val="1081"/>
        </w:numPr>
        <w:pStyle w:val="Compact"/>
      </w:pPr>
      <w:r>
        <w:rPr>
          <w:bCs/>
          <w:b/>
        </w:rPr>
        <w:t xml:space="preserve">Función renal y hepática:</w:t>
      </w:r>
      <w:r>
        <w:t xml:space="preserve"> </w:t>
      </w:r>
      <w:r>
        <w:t xml:space="preserve">las concentraciones sanguíneas de cagrilintida no se modificaron sustancialmente con una función renal o hepática reducida (Nielsen 2026, PMID 42228334).</w:t>
      </w:r>
    </w:p>
    <w:p>
      <w:pPr>
        <w:pStyle w:val="FirstParagraph"/>
      </w:pPr>
      <w:r>
        <w:rPr>
          <w:bCs/>
          <w:b/>
        </w:rPr>
        <w:t xml:space="preserve">Teórico o aún insuficientemente estudiado:</w:t>
      </w:r>
      <w:r>
        <w:t xml:space="preserve"> </w:t>
      </w:r>
      <w:r>
        <w:t xml:space="preserve">el receptor de calcitonina también está presente en el hueso; actualmente se está estudiando cómo afecta la estimulación continuada al metabolismo óseo (NCT07010432). Tampoco está claro si la combinación influye en la pérdida de masa muscular (NCT07527195). Sobre los riesgos de clase de la semaglutida (vesícula biliar, páncreas, células C tiroideas en experimentación animal), véase el capítulo Semaglutida.</w:t>
      </w:r>
    </w:p>
    <w:bookmarkEnd w:id="262"/>
    <w:bookmarkStart w:id="263" w:name="situación-legal-8"/>
    <w:p>
      <w:pPr>
        <w:pStyle w:val="Heading3"/>
      </w:pPr>
      <w:r>
        <w:t xml:space="preserve">Situación legal</w:t>
      </w:r>
    </w:p>
    <w:p>
      <w:pPr>
        <w:numPr>
          <w:ilvl w:val="0"/>
          <w:numId w:val="1082"/>
        </w:numPr>
        <w:pStyle w:val="Compact"/>
      </w:pPr>
      <w:r>
        <w:rPr>
          <w:bCs/>
          <w:b/>
        </w:rPr>
        <w:t xml:space="preserve">UE / Austria / Alemania:</w:t>
      </w:r>
      <w:r>
        <w:t xml:space="preserve"> </w:t>
      </w:r>
      <w:r>
        <w:t xml:space="preserve">ni la cagrilintida ni CagriSema están autorizadas; uso solo en estudios. Las ofertas de «Cagrilintide» en el mercado gris no son medicamentos y no están controladas.</w:t>
      </w:r>
    </w:p>
    <w:p>
      <w:pPr>
        <w:numPr>
          <w:ilvl w:val="0"/>
          <w:numId w:val="1082"/>
        </w:numPr>
        <w:pStyle w:val="Compact"/>
      </w:pPr>
      <w:r>
        <w:rPr>
          <w:bCs/>
          <w:b/>
        </w:rPr>
        <w:t xml:space="preserve">EE. UU.:</w:t>
      </w:r>
      <w:r>
        <w:t xml:space="preserve"> </w:t>
      </w:r>
      <w:r>
        <w:t xml:space="preserve">no autorizadas (a octubre de 2026, compruébelo en su versión actual).</w:t>
      </w:r>
    </w:p>
    <w:p>
      <w:pPr>
        <w:numPr>
          <w:ilvl w:val="0"/>
          <w:numId w:val="1082"/>
        </w:numPr>
        <w:pStyle w:val="Compact"/>
      </w:pPr>
      <w:r>
        <w:rPr>
          <w:bCs/>
          <w:b/>
        </w:rPr>
        <w:t xml:space="preserve">Deporte:</w:t>
      </w:r>
      <w:r>
        <w:t xml:space="preserve"> </w:t>
      </w:r>
      <w:r>
        <w:t xml:space="preserve">clase S0 de la AMA (no aprobada), situación en 2026, compruébelo en su versión actual.</w:t>
      </w:r>
    </w:p>
    <w:bookmarkEnd w:id="263"/>
    <w:bookmarkStart w:id="264" w:name="estudios-en-curso-y-perspectivas-8"/>
    <w:p>
      <w:pPr>
        <w:pStyle w:val="Heading3"/>
      </w:pPr>
      <w:r>
        <w:t xml:space="preserve">Estudios en curso y perspectivas</w:t>
      </w:r>
    </w:p>
    <w:p>
      <w:pPr>
        <w:pStyle w:val="FirstParagraph"/>
      </w:pPr>
      <w:r>
        <w:rPr>
          <w:bCs/>
          <w:b/>
        </w:rPr>
        <w:t xml:space="preserve">Confirmado (estudios registrados, a octubre de 2026):</w:t>
      </w:r>
    </w:p>
    <w:p>
      <w:pPr>
        <w:numPr>
          <w:ilvl w:val="0"/>
          <w:numId w:val="1083"/>
        </w:numPr>
        <w:pStyle w:val="Compact"/>
      </w:pPr>
      <w:r>
        <w:rPr>
          <w:bCs/>
          <w:b/>
        </w:rPr>
        <w:t xml:space="preserve">REDEFINE 3</w:t>
      </w:r>
      <w:r>
        <w:t xml:space="preserve"> </w:t>
      </w:r>
      <w:r>
        <w:t xml:space="preserve">(NCT05669755): estudio de criterios de valoración cardiovasculares con 7076 personas aleatorizadas con enfermedad cardiovascular establecida y sobrepeso; finalización prevista en 2027. Se han publicado el diseño y los datos basales (Cavender 2026, PMID 42838477).</w:t>
      </w:r>
    </w:p>
    <w:p>
      <w:pPr>
        <w:numPr>
          <w:ilvl w:val="0"/>
          <w:numId w:val="1083"/>
        </w:numPr>
        <w:pStyle w:val="Compact"/>
      </w:pPr>
      <w:r>
        <w:rPr>
          <w:bCs/>
          <w:b/>
        </w:rPr>
        <w:t xml:space="preserve">Comparaciones frente a tirzepatida</w:t>
      </w:r>
      <w:r>
        <w:t xml:space="preserve"> </w:t>
      </w:r>
      <w:r>
        <w:t xml:space="preserve">(NCT06131437, NCT06221969, NCT06534411): concluidas, publicación pendiente.</w:t>
      </w:r>
    </w:p>
    <w:p>
      <w:pPr>
        <w:numPr>
          <w:ilvl w:val="0"/>
          <w:numId w:val="1083"/>
        </w:numPr>
        <w:pStyle w:val="Compact"/>
      </w:pPr>
      <w:r>
        <w:rPr>
          <w:bCs/>
          <w:b/>
        </w:rPr>
        <w:t xml:space="preserve">Dosis más altas de CagriSema</w:t>
      </w:r>
      <w:r>
        <w:t xml:space="preserve"> </w:t>
      </w:r>
      <w:r>
        <w:t xml:space="preserve">frente a semaglutida (NCT07564414) y estudio a largo plazo sobre el mantenimiento del peso (NCT06780449).</w:t>
      </w:r>
    </w:p>
    <w:p>
      <w:pPr>
        <w:numPr>
          <w:ilvl w:val="0"/>
          <w:numId w:val="1083"/>
        </w:numPr>
        <w:pStyle w:val="Compact"/>
      </w:pPr>
      <w:r>
        <w:rPr>
          <w:bCs/>
          <w:b/>
        </w:rPr>
        <w:t xml:space="preserve">Niños y adolescentes</w:t>
      </w:r>
      <w:r>
        <w:t xml:space="preserve"> </w:t>
      </w:r>
      <w:r>
        <w:t xml:space="preserve">(NCT07253285), así como cagrilintida sola (NCT07220642).</w:t>
      </w:r>
    </w:p>
    <w:p>
      <w:pPr>
        <w:numPr>
          <w:ilvl w:val="0"/>
          <w:numId w:val="1083"/>
        </w:numPr>
        <w:pStyle w:val="Compact"/>
      </w:pPr>
      <w:r>
        <w:t xml:space="preserve">Estudios más pequeños sobre huesos (NCT07010432), músculos (NCT07527195) y personas que no toleran los fármacos GLP-1 (NCT07607587).</w:t>
      </w:r>
    </w:p>
    <w:p>
      <w:pPr>
        <w:pStyle w:val="FirstParagraph"/>
      </w:pPr>
      <w:r>
        <w:rPr>
          <w:bCs/>
          <w:b/>
        </w:rPr>
        <w:t xml:space="preserve">Valoración:</w:t>
      </w:r>
      <w:r>
        <w:t xml:space="preserve"> </w:t>
      </w:r>
      <w:r>
        <w:t xml:space="preserve">CagriSema probablemente llegará al mercado como la primera combinación de amilina y GLP-1. Que se imponga frente a la tirzepatida y los próximos agonistas triples dependerá de los estudios comparativos y de la tolerabilidad. El aspecto científicamente más interesante es la ampliación de la caja de herramientas: la amilina es, después del GLP-1, el GIP y el glucagón, la cuarta vía hormonal que se abre para el tratamiento de la obesidad (véase también Amicretina).</w:t>
      </w:r>
    </w:p>
    <w:bookmarkEnd w:id="264"/>
    <w:bookmarkStart w:id="265" w:name="conclusión-8"/>
    <w:p>
      <w:pPr>
        <w:pStyle w:val="Heading3"/>
      </w:pPr>
      <w:r>
        <w:t xml:space="preserve">Conclusión</w:t>
      </w:r>
    </w:p>
    <w:p>
      <w:pPr>
        <w:pStyle w:val="FirstParagraph"/>
      </w:pPr>
      <w:r>
        <w:t xml:space="preserve">La cagrilintida es un análogo de la amilina de acción prolongada que, por sí sola, redujo el peso en fase 2 hasta un 10,8 %. En combinación con semaglutida (CagriSema) logró en REDEFINE 1 una pérdida de peso del 20,4 % a las 68 semanas y fue claramente superior a la semaglutida sola en Asia oriental (18,4 % frente a 11,9 %). Las molestias gastrointestinales afectan a unas cuatro de cada cinco personas tratadas. CagriSema aún no está autorizada; faltan datos sobre eventos cardiovasculares y sobre la comparación directa con la tirzepatida.</w:t>
      </w:r>
    </w:p>
    <w:bookmarkEnd w:id="265"/>
    <w:bookmarkEnd w:id="266"/>
    <w:bookmarkStart w:id="278" w:name="amicretina-zenagamtida"/>
    <w:p>
      <w:pPr>
        <w:pStyle w:val="Heading2"/>
      </w:pPr>
      <w:r>
        <w:t xml:space="preserve">Amicretina (zenagamtida)</w:t>
      </w:r>
    </w:p>
    <w:bookmarkStart w:id="267" w:name="ficha-9"/>
    <w:p>
      <w:pPr>
        <w:pStyle w:val="Heading3"/>
      </w:pPr>
      <w:r>
        <w:t xml:space="preserve">Ficha</w:t>
      </w:r>
    </w:p>
    <w:p>
      <w:pPr>
        <w:numPr>
          <w:ilvl w:val="0"/>
          <w:numId w:val="1084"/>
        </w:numPr>
        <w:pStyle w:val="Compact"/>
      </w:pPr>
      <w:r>
        <w:rPr>
          <w:bCs/>
          <w:b/>
        </w:rPr>
        <w:t xml:space="preserve">Tipo/estructura:</w:t>
      </w:r>
      <w:r>
        <w:t xml:space="preserve"> </w:t>
      </w:r>
      <w:r>
        <w:t xml:space="preserve">péptido sintético que reúne en una sola molécula el efecto GLP-1 y el de la amilina («unimolecular»). Desde 2026 lleva la denominación común internacional</w:t>
      </w:r>
      <w:r>
        <w:t xml:space="preserve"> </w:t>
      </w:r>
      <w:r>
        <w:rPr>
          <w:bCs/>
          <w:b/>
        </w:rPr>
        <w:t xml:space="preserve">zenagamtida</w:t>
      </w:r>
      <w:r>
        <w:t xml:space="preserve"> </w:t>
      </w:r>
      <w:r>
        <w:t xml:space="preserve">(en inglés, zenagamtide); código de desarrollo NNC0487-0111. Se desarrolla en dos formas: como inyección semanal y como comprimido diario.</w:t>
      </w:r>
    </w:p>
    <w:p>
      <w:pPr>
        <w:numPr>
          <w:ilvl w:val="0"/>
          <w:numId w:val="1084"/>
        </w:numPr>
        <w:pStyle w:val="Compact"/>
      </w:pPr>
      <w:r>
        <w:rPr>
          <w:bCs/>
          <w:b/>
        </w:rPr>
        <w:t xml:space="preserve">Origen:</w:t>
      </w:r>
      <w:r>
        <w:t xml:space="preserve"> </w:t>
      </w:r>
      <w:r>
        <w:t xml:space="preserve">desarrollada por Novo Nordisk.</w:t>
      </w:r>
    </w:p>
    <w:p>
      <w:pPr>
        <w:numPr>
          <w:ilvl w:val="0"/>
          <w:numId w:val="1084"/>
        </w:numPr>
        <w:pStyle w:val="Compact"/>
      </w:pPr>
      <w:r>
        <w:rPr>
          <w:bCs/>
          <w:b/>
        </w:rPr>
        <w:t xml:space="preserve">Mecanismo de acción:</w:t>
      </w:r>
      <w:r>
        <w:t xml:space="preserve"> </w:t>
      </w:r>
      <w:r>
        <w:t xml:space="preserve">agonista de los receptores de GLP-1, amilina y calcitonina.</w:t>
      </w:r>
    </w:p>
    <w:p>
      <w:pPr>
        <w:numPr>
          <w:ilvl w:val="0"/>
          <w:numId w:val="1084"/>
        </w:numPr>
        <w:pStyle w:val="Compact"/>
      </w:pPr>
      <w:r>
        <w:rPr>
          <w:bCs/>
          <w:b/>
        </w:rPr>
        <w:t xml:space="preserve">Autorización UE:</w:t>
      </w:r>
      <w:r>
        <w:t xml:space="preserve"> </w:t>
      </w:r>
      <w:r>
        <w:t xml:space="preserve">no.</w:t>
      </w:r>
    </w:p>
    <w:p>
      <w:pPr>
        <w:numPr>
          <w:ilvl w:val="0"/>
          <w:numId w:val="1084"/>
        </w:numPr>
        <w:pStyle w:val="Compact"/>
      </w:pPr>
      <w:r>
        <w:rPr>
          <w:bCs/>
          <w:b/>
        </w:rPr>
        <w:t xml:space="preserve">Autorización EE. UU.:</w:t>
      </w:r>
      <w:r>
        <w:t xml:space="preserve"> </w:t>
      </w:r>
      <w:r>
        <w:t xml:space="preserve">no.</w:t>
      </w:r>
    </w:p>
    <w:p>
      <w:pPr>
        <w:numPr>
          <w:ilvl w:val="0"/>
          <w:numId w:val="1084"/>
        </w:numPr>
        <w:pStyle w:val="Compact"/>
      </w:pPr>
      <w:r>
        <w:rPr>
          <w:bCs/>
          <w:b/>
        </w:rPr>
        <w:t xml:space="preserve">AMA (WADA):</w:t>
      </w:r>
      <w:r>
        <w:t xml:space="preserve"> </w:t>
      </w:r>
      <w:r>
        <w:t xml:space="preserve">prohibida como sustancia no aprobada en la clase S0 (situación en 2026, compruébelo en su versión actual).</w:t>
      </w:r>
    </w:p>
    <w:p>
      <w:pPr>
        <w:numPr>
          <w:ilvl w:val="0"/>
          <w:numId w:val="1084"/>
        </w:numPr>
        <w:pStyle w:val="Compact"/>
      </w:pPr>
      <w:r>
        <w:rPr>
          <w:bCs/>
          <w:b/>
        </w:rPr>
        <w:t xml:space="preserve">Nivel de evidencia:</w:t>
      </w:r>
      <w:r>
        <w:t xml:space="preserve"> </w:t>
      </w:r>
      <w:r>
        <w:rPr>
          <w:bCs/>
          <w:b/>
        </w:rPr>
        <w:t xml:space="preserve">B</w:t>
      </w:r>
      <w:r>
        <w:t xml:space="preserve"> </w:t>
      </w:r>
      <w:r>
        <w:t xml:space="preserve">– estudios aleatorizados de fase 1 y fase 2 publicados; la fase 3 comenzó en 2026.</w:t>
      </w:r>
    </w:p>
    <w:bookmarkEnd w:id="267"/>
    <w:bookmarkStart w:id="268" w:name="cómo-se-supone-que-actúa-9"/>
    <w:p>
      <w:pPr>
        <w:pStyle w:val="Heading3"/>
      </w:pPr>
      <w:r>
        <w:t xml:space="preserve">Cómo se supone que actúa</w:t>
      </w:r>
    </w:p>
    <w:p>
      <w:pPr>
        <w:pStyle w:val="FirstParagraph"/>
      </w:pPr>
      <w:r>
        <w:t xml:space="preserve">CagriSema (véase el capítulo anterior) combina dos principios activos separados –el análogo de la amilina cagrilintida y el agonista de GLP-1 semaglutida– en una sola inyección. La amicretina va un paso más allá: un único péptido activa ambos sistemas de receptores. Esto simplifica la fabricación y la dosificación y, en principio, permite una forma en comprimidos, como la que ya existe con la semaglutida oral.</w:t>
      </w:r>
    </w:p>
    <w:p>
      <w:pPr>
        <w:pStyle w:val="BodyText"/>
      </w:pPr>
      <w:r>
        <w:t xml:space="preserve">El GLP-1 y la amilina favorecen ambos la sensación de saciedad, ralentizan el vaciamiento gástrico y atenúan la liberación de glucagón, pero actúan a través de receptores y vías nerviosas diferentes en el tronco encefálico. En ensayos celulares, la amicretina activó los receptores humanos, de ratón y de rata para GLP-1, amilina y calcitonina. En ratas con obesidad inducida por la dieta redujo a lo largo de 21 días la ingesta energética un 47 % y el peso corporal un 18 %, mientras que el gasto energético se mantuvo; la sensibilidad a la insulina mejoró y el hígado graso disminuyó (Kuhre 2025, PMID 40706446). Son datos en animales.</w:t>
      </w:r>
    </w:p>
    <w:bookmarkEnd w:id="268"/>
    <w:bookmarkStart w:id="272" w:name="estudios-en-humanos-9"/>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 arrojó 4 estudios en humanos. La búsqueda automática en el registro con el nombre «amycretin» solo encontró una entrada; sin embargo, con el nuevo nombre zenagamtida y el código de desarrollo NNC0487-0111 hay registrados en ClinicalTrials.gov unos 30 estudios, entre ellos el programa de fase 3 iniciado en 2026</w:t>
      </w:r>
      <w:r>
        <w:t xml:space="preserve"> </w:t>
      </w:r>
      <w:r>
        <w:rPr>
          <w:bCs/>
          <w:b/>
        </w:rPr>
        <w:t xml:space="preserve">AMAZE</w:t>
      </w:r>
      <w:r>
        <w:t xml:space="preserve"> </w:t>
      </w:r>
      <w:r>
        <w:t xml:space="preserve">(peso) y</w:t>
      </w:r>
      <w:r>
        <w:t xml:space="preserve"> </w:t>
      </w:r>
      <w:r>
        <w:rPr>
          <w:bCs/>
          <w:b/>
        </w:rPr>
        <w:t xml:space="preserve">AMBITION</w:t>
      </w:r>
      <w:r>
        <w:t xml:space="preserve"> </w:t>
      </w:r>
      <w:r>
        <w:t xml:space="preserve">(diabetes tipo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Fase 1, comprimido (Gasiorek 2025), PMID 40550229</w:t>
            </w:r>
          </w:p>
        </w:tc>
        <w:tc>
          <w:tcPr/>
          <w:p>
            <w:pPr>
              <w:pStyle w:val="Compact"/>
              <w:jc w:val="left"/>
            </w:pPr>
            <w:r>
              <w:t xml:space="preserve">144 adultos con sobrepeso/obesidad, frente a placebo</w:t>
            </w:r>
          </w:p>
        </w:tc>
        <w:tc>
          <w:tcPr/>
          <w:p>
            <w:pPr>
              <w:pStyle w:val="Compact"/>
              <w:jc w:val="left"/>
            </w:pPr>
            <w:r>
              <w:t xml:space="preserve">hasta 12 semanas</w:t>
            </w:r>
          </w:p>
        </w:tc>
        <w:tc>
          <w:tcPr/>
          <w:p>
            <w:pPr>
              <w:pStyle w:val="Compact"/>
              <w:jc w:val="left"/>
            </w:pPr>
            <w:r>
              <w:t xml:space="preserve">seguridad; efectos secundarios dependientes de la dosis, todos de leves a moderados</w:t>
            </w:r>
          </w:p>
        </w:tc>
      </w:tr>
      <w:tr>
        <w:tc>
          <w:tcPr/>
          <w:p>
            <w:pPr>
              <w:pStyle w:val="Compact"/>
              <w:jc w:val="left"/>
            </w:pPr>
            <w:r>
              <w:t xml:space="preserve">Fase 1b/2a, inyección (Dahl 2025), PMID 40550231</w:t>
            </w:r>
          </w:p>
        </w:tc>
        <w:tc>
          <w:tcPr/>
          <w:p>
            <w:pPr>
              <w:pStyle w:val="Compact"/>
              <w:jc w:val="left"/>
            </w:pPr>
            <w:r>
              <w:t xml:space="preserve">125 adultos con sobrepeso/obesidad, frente a placebo</w:t>
            </w:r>
          </w:p>
        </w:tc>
        <w:tc>
          <w:tcPr/>
          <w:p>
            <w:pPr>
              <w:pStyle w:val="Compact"/>
              <w:jc w:val="left"/>
            </w:pPr>
            <w:r>
              <w:t xml:space="preserve">hasta 36 semanas</w:t>
            </w:r>
          </w:p>
        </w:tc>
        <w:tc>
          <w:tcPr/>
          <w:p>
            <w:pPr>
              <w:pStyle w:val="Compact"/>
              <w:jc w:val="left"/>
            </w:pPr>
            <w:r>
              <w:t xml:space="preserve">hasta −24,3 % de peso frente a −1,1 %</w:t>
            </w:r>
          </w:p>
        </w:tc>
      </w:tr>
      <w:tr>
        <w:tc>
          <w:tcPr/>
          <w:p>
            <w:pPr>
              <w:pStyle w:val="Compact"/>
              <w:jc w:val="left"/>
            </w:pPr>
            <w:r>
              <w:t xml:space="preserve">Fase 2, comprimido (Mora 2026), PMID 42532079</w:t>
            </w:r>
          </w:p>
        </w:tc>
        <w:tc>
          <w:tcPr/>
          <w:p>
            <w:pPr>
              <w:pStyle w:val="Compact"/>
              <w:jc w:val="left"/>
            </w:pPr>
            <w:r>
              <w:t xml:space="preserve">186 adultos con diabetes tipo 2, frente a placebo</w:t>
            </w:r>
          </w:p>
        </w:tc>
        <w:tc>
          <w:tcPr/>
          <w:p>
            <w:pPr>
              <w:pStyle w:val="Compact"/>
              <w:jc w:val="left"/>
            </w:pPr>
            <w:r>
              <w:t xml:space="preserve">36 semanas</w:t>
            </w:r>
          </w:p>
        </w:tc>
        <w:tc>
          <w:tcPr/>
          <w:p>
            <w:pPr>
              <w:pStyle w:val="Compact"/>
              <w:jc w:val="left"/>
            </w:pPr>
            <w:r>
              <w:t xml:space="preserve">HbA1c −0,9 a −1,4</w:t>
            </w:r>
          </w:p>
        </w:tc>
      </w:tr>
      <w:tr>
        <w:tc>
          <w:tcPr/>
          <w:p>
            <w:pPr>
              <w:pStyle w:val="Compact"/>
              <w:jc w:val="left"/>
            </w:pPr>
            <w:r>
              <w:t xml:space="preserve">Fase 2, inyección (Mora 2026), PMID 42532080</w:t>
            </w:r>
          </w:p>
        </w:tc>
        <w:tc>
          <w:tcPr/>
          <w:p>
            <w:pPr>
              <w:pStyle w:val="Compact"/>
              <w:jc w:val="left"/>
            </w:pPr>
            <w:r>
              <w:t xml:space="preserve">262 adultos con diabetes tipo 2, frente a placebo</w:t>
            </w:r>
          </w:p>
        </w:tc>
        <w:tc>
          <w:tcPr/>
          <w:p>
            <w:pPr>
              <w:pStyle w:val="Compact"/>
              <w:jc w:val="left"/>
            </w:pPr>
            <w:r>
              <w:t xml:space="preserve">36 semanas</w:t>
            </w:r>
          </w:p>
        </w:tc>
        <w:tc>
          <w:tcPr/>
          <w:p>
            <w:pPr>
              <w:pStyle w:val="Compact"/>
              <w:jc w:val="left"/>
            </w:pPr>
            <w:r>
              <w:t xml:space="preserve">HbA1c −0,9 a −1,7</w:t>
            </w:r>
          </w:p>
        </w:tc>
      </w:tr>
    </w:tbl>
    <w:bookmarkStart w:id="269" w:name="X825861629055fc533a3e18c30509f83114a2263"/>
    <w:p>
      <w:pPr>
        <w:pStyle w:val="Heading4"/>
      </w:pPr>
      <w:r>
        <w:t xml:space="preserve">Forma en comprimidos: primer estudio en humanos</w:t>
      </w:r>
    </w:p>
    <w:p>
      <w:pPr>
        <w:pStyle w:val="FirstParagraph"/>
      </w:pPr>
      <w:r>
        <w:t xml:space="preserve">El primer estudio en humanos evaluó la amicretina en comprimidos (Gasiorek 2025, PMID 40550229). 144 adultos con sobrepeso u obesidad recibieron dosis únicas o múltiples durante hasta doce semanas. El 62 % refirió al menos un acontecimiento adverso; todos fueron leves o moderados y aumentaron con la dosis. Aproximadamente la mitad de los acontecimientos afectó al tracto gastrointestinal. Las concentraciones sanguíneas aumentaron de forma proporcional a la dosis. Los datos de peso eran solo un criterio de valoración secundario y exploratorio de este estudio de seguridad.</w:t>
      </w:r>
    </w:p>
    <w:bookmarkEnd w:id="269"/>
    <w:bookmarkStart w:id="270" w:name="forma-inyectable-fase-1b2a"/>
    <w:p>
      <w:pPr>
        <w:pStyle w:val="Heading4"/>
      </w:pPr>
      <w:r>
        <w:t xml:space="preserve">Forma inyectable: fase 1b/2a</w:t>
      </w:r>
    </w:p>
    <w:p>
      <w:pPr>
        <w:pStyle w:val="FirstParagraph"/>
      </w:pPr>
      <w:r>
        <w:t xml:space="preserve">En el estudio con la inyección semanal (Dahl 2025, PMID 40550231), 125 personas recibieron amicretina o placebo en varias partes del estudio con distintas dosis objetivo y duraciones de tratamiento. La pérdida de peso fue notable para un estudio temprano:</w:t>
      </w:r>
    </w:p>
    <w:p>
      <w:pPr>
        <w:numPr>
          <w:ilvl w:val="0"/>
          <w:numId w:val="1085"/>
        </w:numPr>
        <w:pStyle w:val="Compact"/>
      </w:pPr>
      <w:r>
        <w:t xml:space="preserve">dosis más alta, 36 semanas: −24,3 % frente a −1,1 % con placebo</w:t>
      </w:r>
    </w:p>
    <w:p>
      <w:pPr>
        <w:numPr>
          <w:ilvl w:val="0"/>
          <w:numId w:val="1085"/>
        </w:numPr>
        <w:pStyle w:val="Compact"/>
      </w:pPr>
      <w:r>
        <w:t xml:space="preserve">segunda dosis más alta, 36 semanas: −22,0 % frente a +1,9 %</w:t>
      </w:r>
    </w:p>
    <w:p>
      <w:pPr>
        <w:numPr>
          <w:ilvl w:val="0"/>
          <w:numId w:val="1085"/>
        </w:numPr>
        <w:pStyle w:val="Compact"/>
      </w:pPr>
      <w:r>
        <w:t xml:space="preserve">dosis intermedia, 28 semanas: −16,2 % frente a +2,3 %</w:t>
      </w:r>
    </w:p>
    <w:p>
      <w:pPr>
        <w:numPr>
          <w:ilvl w:val="0"/>
          <w:numId w:val="1085"/>
        </w:numPr>
        <w:pStyle w:val="Compact"/>
      </w:pPr>
      <w:r>
        <w:t xml:space="preserve">dosis baja, 20 semanas: −9,7 % frente a +2,0 %</w:t>
      </w:r>
    </w:p>
    <w:p>
      <w:pPr>
        <w:pStyle w:val="FirstParagraph"/>
      </w:pPr>
      <w:r>
        <w:t xml:space="preserve">Estas cifras deben leerse con cautela: los grupos eran pequeños, el estudio se realizó en un único centro y los propios autores informan de que muchos participantes abandonaron el estudio de forma prematura, en gran parte por motivos no relacionados con efectos secundarios. Una pérdida de peso de más del 20 % a las 36 semanas es una señal potente, pero todavía no una estimación sólida para el uso generalizado.</w:t>
      </w:r>
    </w:p>
    <w:bookmarkEnd w:id="270"/>
    <w:bookmarkStart w:id="271" w:name="diabetes-tipo-2-dos-estudios-de-fase-2"/>
    <w:p>
      <w:pPr>
        <w:pStyle w:val="Heading4"/>
      </w:pPr>
      <w:r>
        <w:t xml:space="preserve">Diabetes tipo 2: dos estudios de fase 2</w:t>
      </w:r>
    </w:p>
    <w:p>
      <w:pPr>
        <w:pStyle w:val="FirstParagraph"/>
      </w:pPr>
      <w:r>
        <w:t xml:space="preserve">En 2026 se publicaron dos estudios paralelos de búsqueda de dosis en personas con diabetes tipo 2 que tomaban metformina (con o sin inhibidores de SGLT2):</w:t>
      </w:r>
    </w:p>
    <w:p>
      <w:pPr>
        <w:numPr>
          <w:ilvl w:val="0"/>
          <w:numId w:val="1086"/>
        </w:numPr>
        <w:pStyle w:val="Compact"/>
      </w:pPr>
      <w:r>
        <w:rPr>
          <w:bCs/>
          <w:b/>
        </w:rPr>
        <w:t xml:space="preserve">Comprimido</w:t>
      </w:r>
      <w:r>
        <w:t xml:space="preserve"> </w:t>
      </w:r>
      <w:r>
        <w:t xml:space="preserve">(Mora 2026, PMID 42532079): a las 36 semanas, la HbA1c disminuyó entre 0,9 y 1,4 puntos porcentuales (valor inicial en torno al 8 %). Se produjeron molestias gastrointestinales en el 26–47 % (placebo 23 %). Los acontecimientos adversos graves afectaron al 4 % con zenagamtida y a nadie con placebo.</w:t>
      </w:r>
    </w:p>
    <w:p>
      <w:pPr>
        <w:numPr>
          <w:ilvl w:val="0"/>
          <w:numId w:val="1086"/>
        </w:numPr>
        <w:pStyle w:val="Compact"/>
      </w:pPr>
      <w:r>
        <w:rPr>
          <w:bCs/>
          <w:b/>
        </w:rPr>
        <w:t xml:space="preserve">Inyección</w:t>
      </w:r>
      <w:r>
        <w:t xml:space="preserve"> </w:t>
      </w:r>
      <w:r>
        <w:t xml:space="preserve">(Mora 2026, PMID 42532080): la HbA1c disminuyó, según la dosis, entre 0,9 y 1,7 puntos porcentuales. Se produjeron acontecimientos adversos graves en el 8 % de los participantes, repartidos entre todos los grupos de dosis y el placebo.</w:t>
      </w:r>
    </w:p>
    <w:p>
      <w:pPr>
        <w:pStyle w:val="FirstParagraph"/>
      </w:pPr>
      <w:r>
        <w:t xml:space="preserve">Los resultados de peso de estos estudios en diabetes no se cuantifican en los resúmenes y, por tanto, no se mencionan aquí.</w:t>
      </w:r>
    </w:p>
    <w:bookmarkEnd w:id="271"/>
    <w:bookmarkEnd w:id="272"/>
    <w:bookmarkStart w:id="273" w:name="estudios-en-animales-y-de-laboratorio-9"/>
    <w:p>
      <w:pPr>
        <w:pStyle w:val="Heading3"/>
      </w:pPr>
      <w:r>
        <w:t xml:space="preserve">Estudios en animales y de laboratorio</w:t>
      </w:r>
    </w:p>
    <w:p>
      <w:pPr>
        <w:pStyle w:val="FirstParagraph"/>
      </w:pPr>
      <w:r>
        <w:t xml:space="preserve">Los datos preclínicos proceden del fabricante (Kuhre 2025, PMID 40706446): activación de receptores en cultivos celulares, pérdida de peso y mejora de la sensibilidad a la insulina en ratas con sobrepeso, menos hígado graso y acumulación en regiones cerebrales reguladoras del apetito en ratones. Apenas existen estudios independientes en animales.</w:t>
      </w:r>
    </w:p>
    <w:bookmarkEnd w:id="273"/>
    <w:bookmarkStart w:id="274" w:name="riesgos-y-efectos-adversos-9"/>
    <w:p>
      <w:pPr>
        <w:pStyle w:val="Heading3"/>
      </w:pPr>
      <w:r>
        <w:t xml:space="preserve">Riesgos y efectos adversos</w:t>
      </w:r>
    </w:p>
    <w:p>
      <w:pPr>
        <w:pStyle w:val="FirstParagraph"/>
      </w:pPr>
      <w:r>
        <w:rPr>
          <w:bCs/>
          <w:b/>
        </w:rPr>
        <w:t xml:space="preserve">Demostrado en estudios:</w:t>
      </w:r>
    </w:p>
    <w:p>
      <w:pPr>
        <w:numPr>
          <w:ilvl w:val="0"/>
          <w:numId w:val="1087"/>
        </w:numPr>
        <w:pStyle w:val="Compact"/>
      </w:pPr>
      <w:r>
        <w:t xml:space="preserve">Las</w:t>
      </w:r>
      <w:r>
        <w:t xml:space="preserve"> </w:t>
      </w:r>
      <w:r>
        <w:rPr>
          <w:bCs/>
          <w:b/>
        </w:rPr>
        <w:t xml:space="preserve">molestias gastrointestinales</w:t>
      </w:r>
      <w:r>
        <w:t xml:space="preserve"> </w:t>
      </w:r>
      <w:r>
        <w:t xml:space="preserve">son los efectos secundarios más frecuentes y, en los estudios iniciales, afectaron a la mayoría de las personas tratadas; en general fueron de leves a moderadas y dependientes de la dosis (Gasiorek 2025, PMID 40550229; Dahl 2025, PMID 40550231).</w:t>
      </w:r>
    </w:p>
    <w:p>
      <w:pPr>
        <w:numPr>
          <w:ilvl w:val="0"/>
          <w:numId w:val="1087"/>
        </w:numPr>
        <w:pStyle w:val="Compact"/>
      </w:pPr>
      <w:r>
        <w:t xml:space="preserve">Los</w:t>
      </w:r>
      <w:r>
        <w:t xml:space="preserve"> </w:t>
      </w:r>
      <w:r>
        <w:rPr>
          <w:bCs/>
          <w:b/>
        </w:rPr>
        <w:t xml:space="preserve">acontecimientos adversos graves</w:t>
      </w:r>
      <w:r>
        <w:t xml:space="preserve"> </w:t>
      </w:r>
      <w:r>
        <w:t xml:space="preserve">fueron raros en los estudios de fase 2; en el estudio con comprimidos solo se produjeron con zenagamtida (4 % frente a 0 %), y en el estudio con inyección se repartieron de forma uniforme (Mora 2026, PMID 42532079; PMID 42532080).</w:t>
      </w:r>
    </w:p>
    <w:p>
      <w:pPr>
        <w:numPr>
          <w:ilvl w:val="0"/>
          <w:numId w:val="1087"/>
        </w:numPr>
        <w:pStyle w:val="Compact"/>
      </w:pPr>
      <w:r>
        <w:rPr>
          <w:bCs/>
          <w:b/>
        </w:rPr>
        <w:t xml:space="preserve">Función renal:</w:t>
      </w:r>
      <w:r>
        <w:t xml:space="preserve"> </w:t>
      </w:r>
      <w:r>
        <w:t xml:space="preserve">con una función renal reducida, hasta la insuficiencia renal terminal, las concentraciones sanguíneas tras una dosis única no se modificaron de forma clínicamente relevante (Oldenburg 2026, PMID 42443140).</w:t>
      </w:r>
    </w:p>
    <w:p>
      <w:pPr>
        <w:pStyle w:val="FirstParagraph"/>
      </w:pPr>
      <w:r>
        <w:rPr>
          <w:bCs/>
          <w:b/>
        </w:rPr>
        <w:t xml:space="preserve">Aún sin aclarar:</w:t>
      </w:r>
      <w:r>
        <w:t xml:space="preserve"> </w:t>
      </w:r>
      <w:r>
        <w:t xml:space="preserve">seguridad a largo plazo, efectos sobre los huesos (receptor de calcitonina), la masa muscular y el sistema cardiovascular. Para los riesgos de clase de los fármacos GLP-1 (vesícula biliar, páncreas) todavía hay demasiados pocos años de tratamiento.</w:t>
      </w:r>
    </w:p>
    <w:p>
      <w:pPr>
        <w:pStyle w:val="BodyText"/>
      </w:pPr>
      <w:r>
        <w:rPr>
          <w:bCs/>
          <w:b/>
        </w:rPr>
        <w:t xml:space="preserve">Mercado gris:</w:t>
      </w:r>
      <w:r>
        <w:t xml:space="preserve"> </w:t>
      </w:r>
      <w:r>
        <w:t xml:space="preserve">ya antes del inicio de la fase 3, la zenagamtida se ofrece en internet como «Research Peptide». Un informe en la revista JAMA describe un creciente mercado negro de los dos principios activos no autorizados retatrutida y zenagamtida y los riesgos asociados (Rubin 2026, PMID 42853576). Quien utiliza estos productos no conoce ni su contenido, ni su pureza, ni una dosificación probada (véanse la Parte I y la Parte IV).</w:t>
      </w:r>
    </w:p>
    <w:bookmarkEnd w:id="274"/>
    <w:bookmarkStart w:id="275" w:name="situación-legal-9"/>
    <w:p>
      <w:pPr>
        <w:pStyle w:val="Heading3"/>
      </w:pPr>
      <w:r>
        <w:t xml:space="preserve">Situación legal</w:t>
      </w:r>
    </w:p>
    <w:p>
      <w:pPr>
        <w:numPr>
          <w:ilvl w:val="0"/>
          <w:numId w:val="1088"/>
        </w:numPr>
        <w:pStyle w:val="Compact"/>
      </w:pPr>
      <w:r>
        <w:rPr>
          <w:bCs/>
          <w:b/>
        </w:rPr>
        <w:t xml:space="preserve">UE / Austria / Alemania:</w:t>
      </w:r>
      <w:r>
        <w:t xml:space="preserve"> </w:t>
      </w:r>
      <w:r>
        <w:t xml:space="preserve">no autorizada; uso solo en ensayos clínicos.</w:t>
      </w:r>
    </w:p>
    <w:p>
      <w:pPr>
        <w:numPr>
          <w:ilvl w:val="0"/>
          <w:numId w:val="1088"/>
        </w:numPr>
        <w:pStyle w:val="Compact"/>
      </w:pPr>
      <w:r>
        <w:rPr>
          <w:bCs/>
          <w:b/>
        </w:rPr>
        <w:t xml:space="preserve">EE. UU.:</w:t>
      </w:r>
      <w:r>
        <w:t xml:space="preserve"> </w:t>
      </w:r>
      <w:r>
        <w:t xml:space="preserve">no autorizada.</w:t>
      </w:r>
    </w:p>
    <w:p>
      <w:pPr>
        <w:numPr>
          <w:ilvl w:val="0"/>
          <w:numId w:val="1088"/>
        </w:numPr>
        <w:pStyle w:val="Compact"/>
      </w:pPr>
      <w:r>
        <w:rPr>
          <w:bCs/>
          <w:b/>
        </w:rPr>
        <w:t xml:space="preserve">Deporte:</w:t>
      </w:r>
      <w:r>
        <w:t xml:space="preserve"> </w:t>
      </w:r>
      <w:r>
        <w:t xml:space="preserve">clase S0 de la AMA (sustancia no aprobada), situación en 2026, compruébelo en su versión actual.</w:t>
      </w:r>
    </w:p>
    <w:bookmarkEnd w:id="275"/>
    <w:bookmarkStart w:id="276" w:name="estudios-en-curso-y-perspectivas-9"/>
    <w:p>
      <w:pPr>
        <w:pStyle w:val="Heading3"/>
      </w:pPr>
      <w:r>
        <w:t xml:space="preserve">Estudios en curso y perspectivas</w:t>
      </w:r>
    </w:p>
    <w:p>
      <w:pPr>
        <w:pStyle w:val="FirstParagraph"/>
      </w:pPr>
      <w:r>
        <w:rPr>
          <w:bCs/>
          <w:b/>
        </w:rPr>
        <w:t xml:space="preserve">Confirmado (estudios registrados, a octubre de 2026):</w:t>
      </w:r>
    </w:p>
    <w:p>
      <w:pPr>
        <w:numPr>
          <w:ilvl w:val="0"/>
          <w:numId w:val="1089"/>
        </w:numPr>
        <w:pStyle w:val="Compact"/>
      </w:pPr>
      <w:r>
        <w:rPr>
          <w:bCs/>
          <w:b/>
        </w:rPr>
        <w:t xml:space="preserve">AMAZE 1</w:t>
      </w:r>
      <w:r>
        <w:t xml:space="preserve"> </w:t>
      </w:r>
      <w:r>
        <w:t xml:space="preserve">(NCT07339423): fase 3 con 1150 adultos con sobrepeso/obesidad, forma inyectable.</w:t>
      </w:r>
    </w:p>
    <w:p>
      <w:pPr>
        <w:numPr>
          <w:ilvl w:val="0"/>
          <w:numId w:val="1089"/>
        </w:numPr>
        <w:pStyle w:val="Compact"/>
      </w:pPr>
      <w:r>
        <w:rPr>
          <w:bCs/>
          <w:b/>
        </w:rPr>
        <w:t xml:space="preserve">AMAZE 2</w:t>
      </w:r>
      <w:r>
        <w:t xml:space="preserve"> </w:t>
      </w:r>
      <w:r>
        <w:t xml:space="preserve">(NCT07533175): sobrepeso con diabetes tipo 2.</w:t>
      </w:r>
    </w:p>
    <w:p>
      <w:pPr>
        <w:numPr>
          <w:ilvl w:val="0"/>
          <w:numId w:val="1089"/>
        </w:numPr>
        <w:pStyle w:val="Compact"/>
      </w:pPr>
      <w:r>
        <w:rPr>
          <w:bCs/>
          <w:b/>
        </w:rPr>
        <w:t xml:space="preserve">AMAZE 3 y 4</w:t>
      </w:r>
      <w:r>
        <w:t xml:space="preserve"> </w:t>
      </w:r>
      <w:r>
        <w:t xml:space="preserve">(NCT07571005, NCT07571109): apnea del sueño sin y con terapia con mascarilla respiratoria, respectivamente.</w:t>
      </w:r>
    </w:p>
    <w:p>
      <w:pPr>
        <w:numPr>
          <w:ilvl w:val="0"/>
          <w:numId w:val="1089"/>
        </w:numPr>
        <w:pStyle w:val="Compact"/>
      </w:pPr>
      <w:r>
        <w:rPr>
          <w:bCs/>
          <w:b/>
        </w:rPr>
        <w:t xml:space="preserve">AMAZE 6</w:t>
      </w:r>
      <w:r>
        <w:t xml:space="preserve"> </w:t>
      </w:r>
      <w:r>
        <w:t xml:space="preserve">(NCT07509307) y otro estudio (NCT07481630): artrosis de rodilla.</w:t>
      </w:r>
    </w:p>
    <w:p>
      <w:pPr>
        <w:numPr>
          <w:ilvl w:val="0"/>
          <w:numId w:val="1089"/>
        </w:numPr>
        <w:pStyle w:val="Compact"/>
      </w:pPr>
      <w:r>
        <w:rPr>
          <w:bCs/>
          <w:b/>
        </w:rPr>
        <w:t xml:space="preserve">AMAZE 9</w:t>
      </w:r>
      <w:r>
        <w:t xml:space="preserve"> </w:t>
      </w:r>
      <w:r>
        <w:t xml:space="preserve">(NCT07720271): forma en comprimidos en el sobrepeso.</w:t>
      </w:r>
    </w:p>
    <w:p>
      <w:pPr>
        <w:numPr>
          <w:ilvl w:val="0"/>
          <w:numId w:val="1089"/>
        </w:numPr>
        <w:pStyle w:val="Compact"/>
      </w:pPr>
      <w:r>
        <w:rPr>
          <w:bCs/>
          <w:b/>
        </w:rPr>
        <w:t xml:space="preserve">AMAZE 12</w:t>
      </w:r>
      <w:r>
        <w:t xml:space="preserve"> </w:t>
      </w:r>
      <w:r>
        <w:t xml:space="preserve">(NCT07503210): mantenimiento del peso tras la pérdida.</w:t>
      </w:r>
    </w:p>
    <w:p>
      <w:pPr>
        <w:numPr>
          <w:ilvl w:val="0"/>
          <w:numId w:val="1089"/>
        </w:numPr>
        <w:pStyle w:val="Compact"/>
      </w:pPr>
      <w:r>
        <w:t xml:space="preserve">Comparación con semaglutida (NCT07668414; en diabetes tipo 2, NCT07400107) y con insulina glargina en diabetes tipo 2 (NCT07797335, AMBITION 7).</w:t>
      </w:r>
    </w:p>
    <w:p>
      <w:pPr>
        <w:numPr>
          <w:ilvl w:val="0"/>
          <w:numId w:val="1089"/>
        </w:numPr>
        <w:pStyle w:val="Compact"/>
      </w:pPr>
      <w:r>
        <w:t xml:space="preserve">Estudios de criterios de valoración: insuficiencia cardíaca con obesidad (NCT07567001, 5610 participantes) y eventos cardiovasculares en arteriosclerosis (NCT07861100, 8500 participantes previstos).</w:t>
      </w:r>
    </w:p>
    <w:p>
      <w:pPr>
        <w:pStyle w:val="FirstParagraph"/>
      </w:pPr>
      <w:r>
        <w:rPr>
          <w:bCs/>
          <w:b/>
        </w:rPr>
        <w:t xml:space="preserve">Valoración:</w:t>
      </w:r>
      <w:r>
        <w:t xml:space="preserve"> </w:t>
      </w:r>
      <w:r>
        <w:t xml:space="preserve">con este amplio programa de fase 3, Novo Nordisk apuesta claramente por convertir la amicretina/zenagamtida en la sucesora de la semaglutida. Los resultados de los primeros estudios de fase 3 no se esperan antes de 2027, y una autorización difícilmente antes de 2028. No está claro si las impresionantes cifras del pequeño estudio de fase 1b/2a se mantendrán en estudios grandes.</w:t>
      </w:r>
    </w:p>
    <w:bookmarkEnd w:id="276"/>
    <w:bookmarkStart w:id="277" w:name="conclusión-9"/>
    <w:p>
      <w:pPr>
        <w:pStyle w:val="Heading3"/>
      </w:pPr>
      <w:r>
        <w:t xml:space="preserve">Conclusión</w:t>
      </w:r>
    </w:p>
    <w:p>
      <w:pPr>
        <w:pStyle w:val="FirstParagraph"/>
      </w:pPr>
      <w:r>
        <w:t xml:space="preserve">La amicretina –desde 2026, zenagamtida– es un único péptido que activa simultáneamente los receptores de GLP-1 y de amilina, y se está desarrollando como inyección y como comprimido. En un pequeño estudio de fase 1b/2a, el peso disminuyó hasta un 24,3 % a las 36 semanas; en estudios de fase 2 en diabetes tipo 2, la HbA1c disminuyó hasta 1,7 puntos porcentuales. Los efectos secundarios más frecuentes afectan al tracto gastrointestinal. Los estudios de fase 3 comenzaron en 2026; hasta una posible autorización, la zenagamtida es un mero producto en investigación, y la mercancía del mercado gris no es un sustituto.</w:t>
      </w:r>
    </w:p>
    <w:bookmarkEnd w:id="277"/>
    <w:bookmarkEnd w:id="278"/>
    <w:bookmarkStart w:id="289" w:name="maridebart-cafraglutida-maritide"/>
    <w:p>
      <w:pPr>
        <w:pStyle w:val="Heading2"/>
      </w:pPr>
      <w:r>
        <w:t xml:space="preserve">Maridebart cafraglutida (MariTide)</w:t>
      </w:r>
    </w:p>
    <w:bookmarkStart w:id="279" w:name="ficha-10"/>
    <w:p>
      <w:pPr>
        <w:pStyle w:val="Heading3"/>
      </w:pPr>
      <w:r>
        <w:t xml:space="preserve">Ficha</w:t>
      </w:r>
    </w:p>
    <w:p>
      <w:pPr>
        <w:numPr>
          <w:ilvl w:val="0"/>
          <w:numId w:val="1090"/>
        </w:numPr>
        <w:pStyle w:val="Compact"/>
      </w:pPr>
      <w:r>
        <w:rPr>
          <w:bCs/>
          <w:b/>
        </w:rPr>
        <w:t xml:space="preserve">Tipo/estructura:</w:t>
      </w:r>
      <w:r>
        <w:t xml:space="preserve"> </w:t>
      </w:r>
      <w:r>
        <w:t xml:space="preserve">un llamado conjugado anticuerpo-péptido. Un anticuerpo monoclonal totalmente humano está unido mediante cortos conectores de aminoácidos a dos péptidos similares al GLP-1. En sentido estricto, MariTide no es, por tanto, un péptido puro, sino un híbrido de anticuerpo y péptido. Código de desarrollo AMG 133, nombre abreviado MariTide.</w:t>
      </w:r>
    </w:p>
    <w:p>
      <w:pPr>
        <w:numPr>
          <w:ilvl w:val="0"/>
          <w:numId w:val="1090"/>
        </w:numPr>
        <w:pStyle w:val="Compact"/>
      </w:pPr>
      <w:r>
        <w:rPr>
          <w:bCs/>
          <w:b/>
        </w:rPr>
        <w:t xml:space="preserve">Origen:</w:t>
      </w:r>
      <w:r>
        <w:t xml:space="preserve"> </w:t>
      </w:r>
      <w:r>
        <w:t xml:space="preserve">desarrollado por Amgen.</w:t>
      </w:r>
    </w:p>
    <w:p>
      <w:pPr>
        <w:numPr>
          <w:ilvl w:val="0"/>
          <w:numId w:val="1090"/>
        </w:numPr>
        <w:pStyle w:val="Compact"/>
      </w:pPr>
      <w:r>
        <w:rPr>
          <w:bCs/>
          <w:b/>
        </w:rPr>
        <w:t xml:space="preserve">Mecanismo de acción:</w:t>
      </w:r>
      <w:r>
        <w:t xml:space="preserve"> </w:t>
      </w:r>
      <w:r>
        <w:t xml:space="preserve">el componente GLP-1</w:t>
      </w:r>
      <w:r>
        <w:t xml:space="preserve"> </w:t>
      </w:r>
      <w:r>
        <w:rPr>
          <w:bCs/>
          <w:b/>
        </w:rPr>
        <w:t xml:space="preserve">activa</w:t>
      </w:r>
      <w:r>
        <w:t xml:space="preserve"> </w:t>
      </w:r>
      <w:r>
        <w:t xml:space="preserve">el receptor de GLP-1, y el anticuerpo</w:t>
      </w:r>
      <w:r>
        <w:t xml:space="preserve"> </w:t>
      </w:r>
      <w:r>
        <w:rPr>
          <w:bCs/>
          <w:b/>
        </w:rPr>
        <w:t xml:space="preserve">bloquea</w:t>
      </w:r>
      <w:r>
        <w:t xml:space="preserve"> </w:t>
      </w:r>
      <w:r>
        <w:t xml:space="preserve">el receptor de GIP (antagonista de GIPR). Es lo contrario de la tirzepatida, que activa el receptor de GIP.</w:t>
      </w:r>
    </w:p>
    <w:p>
      <w:pPr>
        <w:numPr>
          <w:ilvl w:val="0"/>
          <w:numId w:val="1090"/>
        </w:numPr>
        <w:pStyle w:val="Compact"/>
      </w:pPr>
      <w:r>
        <w:rPr>
          <w:bCs/>
          <w:b/>
        </w:rPr>
        <w:t xml:space="preserve">Particularidad:</w:t>
      </w:r>
      <w:r>
        <w:t xml:space="preserve"> </w:t>
      </w:r>
      <w:r>
        <w:t xml:space="preserve">gracias al componente de anticuerpo, MariTide actúa durante mucho tiempo; se está estudiando una administración cada cuatro semanas o con menor frecuencia.</w:t>
      </w:r>
    </w:p>
    <w:p>
      <w:pPr>
        <w:numPr>
          <w:ilvl w:val="0"/>
          <w:numId w:val="1090"/>
        </w:numPr>
        <w:pStyle w:val="Compact"/>
      </w:pPr>
      <w:r>
        <w:rPr>
          <w:bCs/>
          <w:b/>
        </w:rPr>
        <w:t xml:space="preserve">Autorización UE / EE. UU.:</w:t>
      </w:r>
      <w:r>
        <w:t xml:space="preserve"> </w:t>
      </w:r>
      <w:r>
        <w:t xml:space="preserve">no (a octubre de 2026).</w:t>
      </w:r>
    </w:p>
    <w:p>
      <w:pPr>
        <w:numPr>
          <w:ilvl w:val="0"/>
          <w:numId w:val="1090"/>
        </w:numPr>
        <w:pStyle w:val="Compact"/>
      </w:pPr>
      <w:r>
        <w:rPr>
          <w:bCs/>
          <w:b/>
        </w:rPr>
        <w:t xml:space="preserve">AMA (WADA):</w:t>
      </w:r>
      <w:r>
        <w:t xml:space="preserve"> </w:t>
      </w:r>
      <w:r>
        <w:t xml:space="preserve">prohibido como sustancia no aprobada en la clase S0 (situación en 2026, compruébelo en su versión actual).</w:t>
      </w:r>
    </w:p>
    <w:p>
      <w:pPr>
        <w:numPr>
          <w:ilvl w:val="0"/>
          <w:numId w:val="1090"/>
        </w:numPr>
        <w:pStyle w:val="Compact"/>
      </w:pPr>
      <w:r>
        <w:rPr>
          <w:bCs/>
          <w:b/>
        </w:rPr>
        <w:t xml:space="preserve">Nivel de evidencia:</w:t>
      </w:r>
      <w:r>
        <w:t xml:space="preserve"> </w:t>
      </w:r>
      <w:r>
        <w:rPr>
          <w:bCs/>
          <w:b/>
        </w:rPr>
        <w:t xml:space="preserve">B</w:t>
      </w:r>
      <w:r>
        <w:t xml:space="preserve"> </w:t>
      </w:r>
      <w:r>
        <w:t xml:space="preserve">– un gran estudio aleatorizado de fase 2; la fase 3 está en curso.</w:t>
      </w:r>
    </w:p>
    <w:bookmarkEnd w:id="279"/>
    <w:bookmarkStart w:id="280" w:name="cómo-se-supone-que-actúa-10"/>
    <w:p>
      <w:pPr>
        <w:pStyle w:val="Heading3"/>
      </w:pPr>
      <w:r>
        <w:t xml:space="preserve">Cómo se supone que actúa</w:t>
      </w:r>
    </w:p>
    <w:p>
      <w:pPr>
        <w:pStyle w:val="FirstParagraph"/>
      </w:pPr>
      <w:r>
        <w:t xml:space="preserve">Con el GIP existe una paradoja notable. La tirzepatida</w:t>
      </w:r>
      <w:r>
        <w:t xml:space="preserve"> </w:t>
      </w:r>
      <w:r>
        <w:rPr>
          <w:iCs/>
          <w:i/>
        </w:rPr>
        <w:t xml:space="preserve">activa</w:t>
      </w:r>
      <w:r>
        <w:t xml:space="preserve"> </w:t>
      </w:r>
      <w:r>
        <w:t xml:space="preserve">el receptor de GIP y, junto con el GLP-1, logra así una gran pérdida de peso. Al mismo tiempo, estudios genéticos y experimentos en ratones han mostrado que también</w:t>
      </w:r>
      <w:r>
        <w:t xml:space="preserve"> </w:t>
      </w:r>
      <w:r>
        <w:rPr>
          <w:iCs/>
          <w:i/>
        </w:rPr>
        <w:t xml:space="preserve">bloquear</w:t>
      </w:r>
      <w:r>
        <w:t xml:space="preserve"> </w:t>
      </w:r>
      <w:r>
        <w:t xml:space="preserve">el receptor de GIP puede proteger frente al sobrepeso. Una posible explicación: una activación continuada del receptor hace que la célula lo desactive, de modo que, en la práctica, se asemeja a un bloqueo. Esto no está definitivamente aclarado; un estudio comparativo en ratones encontró que ambos enfoques redujeron la ingesta de alimentos y el peso en el sobrepeso, pero se diferenciaban en sus efectos metabólicos: el agonista de GIP mejoró la tolerancia a la glucosa, mientras que el antagonista tendió más bien a reducir la sensibilidad a la insulina (Davies 2026, PMID 41287212).</w:t>
      </w:r>
    </w:p>
    <w:p>
      <w:pPr>
        <w:pStyle w:val="BodyText"/>
      </w:pPr>
      <w:r>
        <w:t xml:space="preserve">Amgen apuesta por el bloqueo. El anticuerpo contra el receptor de GIP hace al mismo tiempo que la molécula permanezca mucho tiempo en la sangre, ya que los anticuerpos se degradan lentamente. En ratones y monos con sobrepeso, AMG 133 redujo el peso corporal y mejoró los valores metabólicos (Véniant 2024, PMID 38316982). El desarrollo químico hasta la molécula final se describió en 2026 (Wu 2026, PMID 41941715).</w:t>
      </w:r>
    </w:p>
    <w:bookmarkEnd w:id="280"/>
    <w:bookmarkStart w:id="283" w:name="estudios-en-humanos-10"/>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 arrojó 2 estudios en humanos: uno de fase 1 y uno de fase 2. En ClinicalTrials.gov había 28 estudios registrados, entre ellos el programa de fase 3</w:t>
      </w:r>
      <w:r>
        <w:t xml:space="preserve"> </w:t>
      </w:r>
      <w:r>
        <w:rPr>
          <w:bCs/>
          <w:b/>
        </w:rPr>
        <w:t xml:space="preserve">MARITIME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Fase 1 (Véniant 2024), PMID 38316982</w:t>
            </w:r>
          </w:p>
        </w:tc>
        <w:tc>
          <w:tcPr/>
          <w:p>
            <w:pPr>
              <w:pStyle w:val="Compact"/>
              <w:jc w:val="left"/>
            </w:pPr>
            <w:r>
              <w:t xml:space="preserve">adultos con obesidad, dosis únicas y múltiples frente a placebo</w:t>
            </w:r>
          </w:p>
        </w:tc>
        <w:tc>
          <w:tcPr/>
          <w:p>
            <w:pPr>
              <w:pStyle w:val="Compact"/>
              <w:jc w:val="left"/>
            </w:pPr>
            <w:r>
              <w:t xml:space="preserve">administración única y múltiple con seguimiento</w:t>
            </w:r>
          </w:p>
        </w:tc>
        <w:tc>
          <w:tcPr/>
          <w:p>
            <w:pPr>
              <w:pStyle w:val="Compact"/>
              <w:jc w:val="left"/>
            </w:pPr>
            <w:r>
              <w:t xml:space="preserve">pérdida de peso dependiente de la dosis, mantenida hasta 150 días después de la última dosis</w:t>
            </w:r>
          </w:p>
        </w:tc>
      </w:tr>
      <w:tr>
        <w:tc>
          <w:tcPr/>
          <w:p>
            <w:pPr>
              <w:pStyle w:val="Compact"/>
              <w:jc w:val="left"/>
            </w:pPr>
            <w:r>
              <w:t xml:space="preserve">Fase 2 (Jastreboff 2025), PMID 40549887</w:t>
            </w:r>
          </w:p>
        </w:tc>
        <w:tc>
          <w:tcPr/>
          <w:p>
            <w:pPr>
              <w:pStyle w:val="Compact"/>
              <w:jc w:val="left"/>
            </w:pPr>
            <w:r>
              <w:t xml:space="preserve">592 adultos con obesidad, con o sin diabetes tipo 2; frente a placebo</w:t>
            </w:r>
          </w:p>
        </w:tc>
        <w:tc>
          <w:tcPr/>
          <w:p>
            <w:pPr>
              <w:pStyle w:val="Compact"/>
              <w:jc w:val="left"/>
            </w:pPr>
            <w:r>
              <w:t xml:space="preserve">52 semanas</w:t>
            </w:r>
          </w:p>
        </w:tc>
        <w:tc>
          <w:tcPr/>
          <w:p>
            <w:pPr>
              <w:pStyle w:val="Compact"/>
              <w:jc w:val="left"/>
            </w:pPr>
            <w:r>
              <w:t xml:space="preserve">sin diabetes −12,3 a −16,2 % frente a −2,5 %; con diabetes −8,4 a −12,3 % frente a −1,7 %</w:t>
            </w:r>
          </w:p>
        </w:tc>
      </w:tr>
    </w:tbl>
    <w:bookmarkStart w:id="281" w:name="fase-1"/>
    <w:p>
      <w:pPr>
        <w:pStyle w:val="Heading4"/>
      </w:pPr>
      <w:r>
        <w:t xml:space="preserve">Fase 1</w:t>
      </w:r>
    </w:p>
    <w:p>
      <w:pPr>
        <w:pStyle w:val="FirstParagraph"/>
      </w:pPr>
      <w:r>
        <w:t xml:space="preserve">En el primer estudio en humanos (Véniant 2024, PMID 38316982; NCT04478708), AMG 133 mostró una pérdida de peso dependiente de la dosis con una tolerabilidad aceptable. Llamó la atención la larga duración del efecto: en los grupos con administración múltiple, la pérdida de peso se mantuvo hasta 150 días después de la última dosis.</w:t>
      </w:r>
    </w:p>
    <w:bookmarkEnd w:id="281"/>
    <w:bookmarkStart w:id="282" w:name="fase-2"/>
    <w:p>
      <w:pPr>
        <w:pStyle w:val="Heading4"/>
      </w:pPr>
      <w:r>
        <w:t xml:space="preserve">Fase 2</w:t>
      </w:r>
    </w:p>
    <w:p>
      <w:pPr>
        <w:pStyle w:val="FirstParagraph"/>
      </w:pPr>
      <w:r>
        <w:t xml:space="preserve">El estudio de fase 2 (Jastreboff 2025, PMID 40549887) tuvo un planteamiento amplio: once grupos en dos cohortes con distintas dosis, intervalos de administración (cada cuatro u ocho semanas) y con o sin escalado lento de la dosis.</w:t>
      </w:r>
    </w:p>
    <w:p>
      <w:pPr>
        <w:numPr>
          <w:ilvl w:val="0"/>
          <w:numId w:val="1091"/>
        </w:numPr>
        <w:pStyle w:val="Compact"/>
      </w:pPr>
      <w:r>
        <w:rPr>
          <w:bCs/>
          <w:b/>
        </w:rPr>
        <w:t xml:space="preserve">Sin diabetes</w:t>
      </w:r>
      <w:r>
        <w:t xml:space="preserve"> </w:t>
      </w:r>
      <w:r>
        <w:t xml:space="preserve">(465 participantes, IMC medio de 37,9): a las 52 semanas, la pérdida de peso fue, según el grupo, del 12,3 al 16,2 %, y con placebo del 2,5 %. Este análisis tiene en cuenta a todos los participantes, independientemente de los abandonos del tratamiento.</w:t>
      </w:r>
    </w:p>
    <w:p>
      <w:pPr>
        <w:numPr>
          <w:ilvl w:val="0"/>
          <w:numId w:val="1091"/>
        </w:numPr>
        <w:pStyle w:val="Compact"/>
      </w:pPr>
      <w:r>
        <w:rPr>
          <w:bCs/>
          <w:b/>
        </w:rPr>
        <w:t xml:space="preserve">Con diabetes tipo 2</w:t>
      </w:r>
      <w:r>
        <w:t xml:space="preserve"> </w:t>
      </w:r>
      <w:r>
        <w:t xml:space="preserve">(127 participantes): pérdida de peso del 8,4 al 12,3 % frente al 1,7 %; la HbA1c disminuyó entre 1,2 y 1,6 puntos porcentuales (placebo +0,1).</w:t>
      </w:r>
    </w:p>
    <w:p>
      <w:pPr>
        <w:pStyle w:val="FirstParagraph"/>
      </w:pPr>
      <w:r>
        <w:t xml:space="preserve">Los efectos secundarios gastrointestinales fueron frecuentes, pero menos cuando se empezaba con una dosis más baja y se aumentaba lentamente. Según los autores, no aparecieron señales de seguridad inesperadas. Una pérdida de peso de alrededor del 16 % al cabo de un año está en el rango de la semaglutida, pero por debajo de la tirzepatida. Por ello, la posible ventaja de MariTide no es tanto la magnitud de la pérdida como la administración poco frecuente.</w:t>
      </w:r>
    </w:p>
    <w:bookmarkEnd w:id="282"/>
    <w:bookmarkEnd w:id="283"/>
    <w:bookmarkStart w:id="284" w:name="estudios-en-animales-y-de-laboratorio-10"/>
    <w:p>
      <w:pPr>
        <w:pStyle w:val="Heading3"/>
      </w:pPr>
      <w:r>
        <w:t xml:space="preserve">Estudios en animales y de laboratorio</w:t>
      </w:r>
    </w:p>
    <w:p>
      <w:pPr>
        <w:pStyle w:val="FirstParagraph"/>
      </w:pPr>
      <w:r>
        <w:t xml:space="preserve">En sistemas celulares se confirmó que AMG 133 bloquea el receptor de GIP y activa el receptor de GLP-1. En ratones y macacos cangrejeros con sobrepeso redujo el peso corporal y mejoró los marcadores metabólicos (Véniant 2024, PMID 38316982; Wu 2026, PMID 41941715). Estudios comparativos en ratones sobre el bloqueo frente a la activación del GIP muestran efectos diferentes sobre la sensibilidad a la insulina y el tejido adiposo (Davies 2026, PMID 41287212). Todos estos hallazgos proceden de experimentos con animales.</w:t>
      </w:r>
    </w:p>
    <w:bookmarkEnd w:id="284"/>
    <w:bookmarkStart w:id="285" w:name="riesgos-y-efectos-adversos-10"/>
    <w:p>
      <w:pPr>
        <w:pStyle w:val="Heading3"/>
      </w:pPr>
      <w:r>
        <w:t xml:space="preserve">Riesgos y efectos adversos</w:t>
      </w:r>
    </w:p>
    <w:p>
      <w:pPr>
        <w:pStyle w:val="FirstParagraph"/>
      </w:pPr>
      <w:r>
        <w:rPr>
          <w:bCs/>
          <w:b/>
        </w:rPr>
        <w:t xml:space="preserve">Demostrado en estudios:</w:t>
      </w:r>
    </w:p>
    <w:p>
      <w:pPr>
        <w:numPr>
          <w:ilvl w:val="0"/>
          <w:numId w:val="1092"/>
        </w:numPr>
        <w:pStyle w:val="Compact"/>
      </w:pPr>
      <w:r>
        <w:t xml:space="preserve">Las</w:t>
      </w:r>
      <w:r>
        <w:t xml:space="preserve"> </w:t>
      </w:r>
      <w:r>
        <w:rPr>
          <w:bCs/>
          <w:b/>
        </w:rPr>
        <w:t xml:space="preserve">molestias gastrointestinales</w:t>
      </w:r>
      <w:r>
        <w:t xml:space="preserve"> </w:t>
      </w:r>
      <w:r>
        <w:t xml:space="preserve">(náuseas, vómitos) fueron frecuentes en el estudio de fase 2, sobre todo con una dosis inicial alta sin escalado (Jastreboff 2025, PMID 40549887). El resumen no incluye porcentajes exactos.</w:t>
      </w:r>
    </w:p>
    <w:p>
      <w:pPr>
        <w:pStyle w:val="FirstParagraph"/>
      </w:pPr>
      <w:r>
        <w:rPr>
          <w:bCs/>
          <w:b/>
        </w:rPr>
        <w:t xml:space="preserve">Cuestiones específicas aún abiertas:</w:t>
      </w:r>
    </w:p>
    <w:p>
      <w:pPr>
        <w:numPr>
          <w:ilvl w:val="0"/>
          <w:numId w:val="1093"/>
        </w:numPr>
        <w:pStyle w:val="Compact"/>
      </w:pPr>
      <w:r>
        <w:rPr>
          <w:bCs/>
          <w:b/>
        </w:rPr>
        <w:t xml:space="preserve">Larga duración del efecto:</w:t>
      </w:r>
      <w:r>
        <w:t xml:space="preserve"> </w:t>
      </w:r>
      <w:r>
        <w:t xml:space="preserve">lo que para muchos pacientes se considera una ventaja es un inconveniente en caso de efectos secundarios: un medicamento que permanece meses en el organismo no puede retirarse rápidamente. En el estudio de fase 1, el efecto se mantuvo hasta 150 días después de la última dosis (Véniant 2024, PMID 38316982). Esto es relevante, por ejemplo, en un embarazo no planificado o antes de una operación.</w:t>
      </w:r>
    </w:p>
    <w:p>
      <w:pPr>
        <w:numPr>
          <w:ilvl w:val="0"/>
          <w:numId w:val="1093"/>
        </w:numPr>
        <w:pStyle w:val="Compact"/>
      </w:pPr>
      <w:r>
        <w:rPr>
          <w:bCs/>
          <w:b/>
        </w:rPr>
        <w:t xml:space="preserve">Bloqueo del GIP:</w:t>
      </w:r>
      <w:r>
        <w:t xml:space="preserve"> </w:t>
      </w:r>
      <w:r>
        <w:t xml:space="preserve">se desconoce en el ser humano qué consecuencias a largo plazo tiene un bloqueo permanente del receptor de GIP, por ejemplo sobre los huesos, el tejido adiposo o la sensibilidad a la insulina. En estudios en ratones, un antagonista de GIP redujo la sensibilidad a la insulina en comparación con animales de control con la misma cantidad de alimento (Davies 2026, PMID 41287212).</w:t>
      </w:r>
    </w:p>
    <w:p>
      <w:pPr>
        <w:numPr>
          <w:ilvl w:val="0"/>
          <w:numId w:val="1093"/>
        </w:numPr>
        <w:pStyle w:val="Compact"/>
      </w:pPr>
      <w:r>
        <w:rPr>
          <w:bCs/>
          <w:b/>
        </w:rPr>
        <w:t xml:space="preserve">Formación de anticuerpos:</w:t>
      </w:r>
      <w:r>
        <w:t xml:space="preserve"> </w:t>
      </w:r>
      <w:r>
        <w:t xml:space="preserve">con los medicamentos basados en anticuerpos, el sistema inmunitario puede formar anticuerpos contra el medicamento. Aún faltan datos al respecto procedentes de grandes estudios.</w:t>
      </w:r>
    </w:p>
    <w:p>
      <w:pPr>
        <w:numPr>
          <w:ilvl w:val="0"/>
          <w:numId w:val="1093"/>
        </w:numPr>
        <w:pStyle w:val="Compact"/>
      </w:pPr>
      <w:r>
        <w:t xml:space="preserve">Los riesgos de clase conocidos de los fármacos GLP-1 (vesícula biliar, páncreas) todavía no se han estudiado suficientemente para MariTide.</w:t>
      </w:r>
    </w:p>
    <w:bookmarkEnd w:id="285"/>
    <w:bookmarkStart w:id="286" w:name="situación-legal-10"/>
    <w:p>
      <w:pPr>
        <w:pStyle w:val="Heading3"/>
      </w:pPr>
      <w:r>
        <w:t xml:space="preserve">Situación legal</w:t>
      </w:r>
    </w:p>
    <w:p>
      <w:pPr>
        <w:numPr>
          <w:ilvl w:val="0"/>
          <w:numId w:val="1094"/>
        </w:numPr>
        <w:pStyle w:val="Compact"/>
      </w:pPr>
      <w:r>
        <w:rPr>
          <w:bCs/>
          <w:b/>
        </w:rPr>
        <w:t xml:space="preserve">UE / Austria / Alemania:</w:t>
      </w:r>
      <w:r>
        <w:t xml:space="preserve"> </w:t>
      </w:r>
      <w:r>
        <w:t xml:space="preserve">no autorizado; uso solo en ensayos clínicos. Al tratarse de un producto biotecnológico complejo, su imitación en el mercado gris es bastante más difícil que la de los péptidos pequeños.</w:t>
      </w:r>
    </w:p>
    <w:p>
      <w:pPr>
        <w:numPr>
          <w:ilvl w:val="0"/>
          <w:numId w:val="1094"/>
        </w:numPr>
        <w:pStyle w:val="Compact"/>
      </w:pPr>
      <w:r>
        <w:rPr>
          <w:bCs/>
          <w:b/>
        </w:rPr>
        <w:t xml:space="preserve">EE. UU.:</w:t>
      </w:r>
      <w:r>
        <w:t xml:space="preserve"> </w:t>
      </w:r>
      <w:r>
        <w:t xml:space="preserve">no autorizado.</w:t>
      </w:r>
    </w:p>
    <w:p>
      <w:pPr>
        <w:numPr>
          <w:ilvl w:val="0"/>
          <w:numId w:val="1094"/>
        </w:numPr>
        <w:pStyle w:val="Compact"/>
      </w:pPr>
      <w:r>
        <w:rPr>
          <w:bCs/>
          <w:b/>
        </w:rPr>
        <w:t xml:space="preserve">Deporte:</w:t>
      </w:r>
      <w:r>
        <w:t xml:space="preserve"> </w:t>
      </w:r>
      <w:r>
        <w:t xml:space="preserve">clase S0 de la AMA (sustancia no aprobada), situación en 2026, compruébelo en su versión actual.</w:t>
      </w:r>
    </w:p>
    <w:bookmarkEnd w:id="286"/>
    <w:bookmarkStart w:id="287" w:name="estudios-en-curso-y-perspectivas-10"/>
    <w:p>
      <w:pPr>
        <w:pStyle w:val="Heading3"/>
      </w:pPr>
      <w:r>
        <w:t xml:space="preserve">Estudios en curso y perspectivas</w:t>
      </w:r>
    </w:p>
    <w:p>
      <w:pPr>
        <w:pStyle w:val="FirstParagraph"/>
      </w:pPr>
      <w:r>
        <w:rPr>
          <w:bCs/>
          <w:b/>
        </w:rPr>
        <w:t xml:space="preserve">Confirmado (estudios registrados, a octubre de 2026):</w:t>
      </w:r>
    </w:p>
    <w:p>
      <w:pPr>
        <w:numPr>
          <w:ilvl w:val="0"/>
          <w:numId w:val="1095"/>
        </w:numPr>
        <w:pStyle w:val="Compact"/>
      </w:pPr>
      <w:r>
        <w:rPr>
          <w:bCs/>
          <w:b/>
        </w:rPr>
        <w:t xml:space="preserve">Control del peso sin diabetes</w:t>
      </w:r>
      <w:r>
        <w:t xml:space="preserve"> </w:t>
      </w:r>
      <w:r>
        <w:t xml:space="preserve">(NCT06858839): fase 3 con 3853 participantes, finalización prevista en 2027.</w:t>
      </w:r>
    </w:p>
    <w:p>
      <w:pPr>
        <w:numPr>
          <w:ilvl w:val="0"/>
          <w:numId w:val="1095"/>
        </w:numPr>
        <w:pStyle w:val="Compact"/>
      </w:pPr>
      <w:r>
        <w:rPr>
          <w:bCs/>
          <w:b/>
        </w:rPr>
        <w:t xml:space="preserve">Control del peso con diabetes tipo 2</w:t>
      </w:r>
      <w:r>
        <w:t xml:space="preserve"> </w:t>
      </w:r>
      <w:r>
        <w:t xml:space="preserve">(NCT06858878): fase 3 con 1105 participantes.</w:t>
      </w:r>
    </w:p>
    <w:p>
      <w:pPr>
        <w:numPr>
          <w:ilvl w:val="0"/>
          <w:numId w:val="1095"/>
        </w:numPr>
        <w:pStyle w:val="Compact"/>
      </w:pPr>
      <w:r>
        <w:rPr>
          <w:bCs/>
          <w:b/>
        </w:rPr>
        <w:t xml:space="preserve">Estudio de criterios de valoración cardiovasculares</w:t>
      </w:r>
      <w:r>
        <w:t xml:space="preserve"> </w:t>
      </w:r>
      <w:r>
        <w:t xml:space="preserve">(NCT07037433) con 12.800 participantes y</w:t>
      </w:r>
      <w:r>
        <w:t xml:space="preserve"> </w:t>
      </w:r>
      <w:r>
        <w:rPr>
          <w:bCs/>
          <w:b/>
        </w:rPr>
        <w:t xml:space="preserve">estudio de insuficiencia cardíaca</w:t>
      </w:r>
      <w:r>
        <w:t xml:space="preserve"> </w:t>
      </w:r>
      <w:r>
        <w:t xml:space="preserve">(NCT07037459) con 5056 participantes, ambos hasta 2030.</w:t>
      </w:r>
    </w:p>
    <w:p>
      <w:pPr>
        <w:numPr>
          <w:ilvl w:val="0"/>
          <w:numId w:val="1095"/>
        </w:numPr>
        <w:pStyle w:val="Compact"/>
      </w:pPr>
      <w:r>
        <w:rPr>
          <w:bCs/>
          <w:b/>
        </w:rPr>
        <w:t xml:space="preserve">Apnea del sueño</w:t>
      </w:r>
      <w:r>
        <w:t xml:space="preserve"> </w:t>
      </w:r>
      <w:r>
        <w:t xml:space="preserve">sin y con mascarilla respiratoria (NCT07226765, NCT07225686).</w:t>
      </w:r>
    </w:p>
    <w:p>
      <w:pPr>
        <w:numPr>
          <w:ilvl w:val="0"/>
          <w:numId w:val="1095"/>
        </w:numPr>
        <w:pStyle w:val="Compact"/>
      </w:pPr>
      <w:r>
        <w:rPr>
          <w:bCs/>
          <w:b/>
        </w:rPr>
        <w:t xml:space="preserve">Comparación con semaglutida</w:t>
      </w:r>
      <w:r>
        <w:t xml:space="preserve"> </w:t>
      </w:r>
      <w:r>
        <w:t xml:space="preserve">en diabetes tipo 2 (NCT07866066), cambio desde otros fármacos GLP-1 (NCT07575399), Japón (NCT06987695), hígado graso (NCT07441252, fase 2).</w:t>
      </w:r>
    </w:p>
    <w:p>
      <w:pPr>
        <w:numPr>
          <w:ilvl w:val="0"/>
          <w:numId w:val="1095"/>
        </w:numPr>
        <w:pStyle w:val="Compact"/>
      </w:pPr>
      <w:r>
        <w:t xml:space="preserve">Estudios de fase 1 sobre vaciamiento gástrico (NCT07429032), ritmo cardíaco (NCT07229157) e interacciones con la píldora anticonceptiva (NCT07523711).</w:t>
      </w:r>
    </w:p>
    <w:p>
      <w:pPr>
        <w:pStyle w:val="FirstParagraph"/>
      </w:pPr>
      <w:r>
        <w:rPr>
          <w:bCs/>
          <w:b/>
        </w:rPr>
        <w:t xml:space="preserve">Valoración:</w:t>
      </w:r>
      <w:r>
        <w:t xml:space="preserve"> </w:t>
      </w:r>
      <w:r>
        <w:t xml:space="preserve">MariTide representa un concepto distinto al de la familia de la tirzepatida: menos inyecciones en lugar de la máxima pérdida de peso. Para las personas que necesitan un tratamiento continuado, una administración mensual o aún menos frecuente podría mejorar la adherencia terapéutica. Los grandes estudios de fase 3 deberán mostrar si el concepto del bloqueo del GIP es seguro a largo plazo. Una autorización es realista como muy pronto a partir de 2028.</w:t>
      </w:r>
    </w:p>
    <w:bookmarkEnd w:id="287"/>
    <w:bookmarkStart w:id="288" w:name="conclusión-10"/>
    <w:p>
      <w:pPr>
        <w:pStyle w:val="Heading3"/>
      </w:pPr>
      <w:r>
        <w:t xml:space="preserve">Conclusión</w:t>
      </w:r>
    </w:p>
    <w:p>
      <w:pPr>
        <w:pStyle w:val="FirstParagraph"/>
      </w:pPr>
      <w:r>
        <w:t xml:space="preserve">La maridebart cafraglutida es un conjugado anticuerpo-péptido que activa el receptor de GLP-1 y bloquea el receptor de GIP, y se administra solo una vez al mes o con menor frecuencia. En el estudio de fase 2, el peso corporal disminuyó a las 52 semanas hasta un 16,2 % sin diabetes tipo 2 y hasta un 12,3 % con ella. Las molestias gastrointestinales son frecuentes y dependen mucho del escalado de dosis; la larga duración del efecto es a la vez ventaja y riesgo. Está en curso el programa de fase 3, con estudios de criterios de valoración sobre enfermedades cardiovasculares e insuficiencia cardíaca.</w:t>
      </w:r>
    </w:p>
    <w:bookmarkEnd w:id="288"/>
    <w:bookmarkEnd w:id="289"/>
    <w:bookmarkStart w:id="302" w:name="pramlintida"/>
    <w:p>
      <w:pPr>
        <w:pStyle w:val="Heading2"/>
      </w:pPr>
      <w:r>
        <w:t xml:space="preserve">Pramlintida</w:t>
      </w:r>
    </w:p>
    <w:bookmarkStart w:id="290" w:name="ficha-11"/>
    <w:p>
      <w:pPr>
        <w:pStyle w:val="Heading3"/>
      </w:pPr>
      <w:r>
        <w:t xml:space="preserve">Ficha</w:t>
      </w:r>
    </w:p>
    <w:p>
      <w:pPr>
        <w:numPr>
          <w:ilvl w:val="0"/>
          <w:numId w:val="1096"/>
        </w:numPr>
        <w:pStyle w:val="Compact"/>
      </w:pPr>
      <w:r>
        <w:rPr>
          <w:bCs/>
          <w:b/>
        </w:rPr>
        <w:t xml:space="preserve">Tipo/estructura:</w:t>
      </w:r>
      <w:r>
        <w:t xml:space="preserve"> </w:t>
      </w:r>
      <w:r>
        <w:t xml:space="preserve">análogo sintético de la hormona humana amilina, de 37 aminoácidos. En tres posiciones se sustituyeron aminoácidos (siguiendo el modelo de la amilina de rata) para que la molécula no se agregue como la amilina humana natural. Actúa durante poco tiempo y se inyecta antes de las comidas principales.</w:t>
      </w:r>
    </w:p>
    <w:p>
      <w:pPr>
        <w:numPr>
          <w:ilvl w:val="0"/>
          <w:numId w:val="1096"/>
        </w:numPr>
        <w:pStyle w:val="Compact"/>
      </w:pPr>
      <w:r>
        <w:rPr>
          <w:bCs/>
          <w:b/>
        </w:rPr>
        <w:t xml:space="preserve">Origen:</w:t>
      </w:r>
      <w:r>
        <w:t xml:space="preserve"> </w:t>
      </w:r>
      <w:r>
        <w:t xml:space="preserve">desarrollada por Amylin Pharmaceuticals; hoy forma parte de la cartera de AstraZeneca. Nombre comercial en EE. UU.: Symlin.</w:t>
      </w:r>
    </w:p>
    <w:p>
      <w:pPr>
        <w:numPr>
          <w:ilvl w:val="0"/>
          <w:numId w:val="1096"/>
        </w:numPr>
        <w:pStyle w:val="Compact"/>
      </w:pPr>
      <w:r>
        <w:rPr>
          <w:bCs/>
          <w:b/>
        </w:rPr>
        <w:t xml:space="preserve">Mecanismo de acción:</w:t>
      </w:r>
      <w:r>
        <w:t xml:space="preserve"> </w:t>
      </w:r>
      <w:r>
        <w:t xml:space="preserve">agonista de los receptores de amilina; ralentiza el vaciamiento gástrico, atenúa la liberación de glucagón después de comer y favorece la sensación de saciedad.</w:t>
      </w:r>
    </w:p>
    <w:p>
      <w:pPr>
        <w:numPr>
          <w:ilvl w:val="0"/>
          <w:numId w:val="1096"/>
        </w:numPr>
        <w:pStyle w:val="Compact"/>
      </w:pPr>
      <w:r>
        <w:rPr>
          <w:bCs/>
          <w:b/>
        </w:rPr>
        <w:t xml:space="preserve">Autorización UE:</w:t>
      </w:r>
      <w:r>
        <w:t xml:space="preserve"> </w:t>
      </w:r>
      <w:r>
        <w:t xml:space="preserve">no; la pramlintida nunca se ha autorizado en la UE.</w:t>
      </w:r>
    </w:p>
    <w:p>
      <w:pPr>
        <w:numPr>
          <w:ilvl w:val="0"/>
          <w:numId w:val="1096"/>
        </w:numPr>
        <w:pStyle w:val="Compact"/>
      </w:pPr>
      <w:r>
        <w:rPr>
          <w:bCs/>
          <w:b/>
        </w:rPr>
        <w:t xml:space="preserve">Autorización EE. UU.:</w:t>
      </w:r>
      <w:r>
        <w:t xml:space="preserve"> </w:t>
      </w:r>
      <w:r>
        <w:t xml:space="preserve">sí, desde 2005, como complemento de la insulina prandial en la diabetes tipo 1 y tipo 2.</w:t>
      </w:r>
    </w:p>
    <w:p>
      <w:pPr>
        <w:numPr>
          <w:ilvl w:val="0"/>
          <w:numId w:val="1096"/>
        </w:numPr>
        <w:pStyle w:val="Compact"/>
      </w:pPr>
      <w:r>
        <w:rPr>
          <w:bCs/>
          <w:b/>
        </w:rPr>
        <w:t xml:space="preserve">AMA (WADA):</w:t>
      </w:r>
      <w:r>
        <w:t xml:space="preserve"> </w:t>
      </w:r>
      <w:r>
        <w:t xml:space="preserve">no figura por su nombre; debido a la autorización en EE. UU., no entra en la clase S0 (situación en 2026, compruébelo en su versión actual).</w:t>
      </w:r>
    </w:p>
    <w:p>
      <w:pPr>
        <w:numPr>
          <w:ilvl w:val="0"/>
          <w:numId w:val="1096"/>
        </w:numPr>
        <w:pStyle w:val="Compact"/>
      </w:pPr>
      <w:r>
        <w:rPr>
          <w:bCs/>
          <w:b/>
        </w:rPr>
        <w:t xml:space="preserve">Nivel de evidencia:</w:t>
      </w:r>
      <w:r>
        <w:t xml:space="preserve"> </w:t>
      </w:r>
      <w:r>
        <w:rPr>
          <w:bCs/>
          <w:b/>
        </w:rPr>
        <w:t xml:space="preserve">A</w:t>
      </w:r>
      <w:r>
        <w:t xml:space="preserve"> </w:t>
      </w:r>
      <w:r>
        <w:t xml:space="preserve">– varios grandes estudios aleatorizados, autorización en EE. UU.</w:t>
      </w:r>
    </w:p>
    <w:bookmarkEnd w:id="290"/>
    <w:bookmarkStart w:id="291" w:name="cómo-se-supone-que-actúa-11"/>
    <w:p>
      <w:pPr>
        <w:pStyle w:val="Heading3"/>
      </w:pPr>
      <w:r>
        <w:t xml:space="preserve">Cómo se supone que actúa</w:t>
      </w:r>
    </w:p>
    <w:p>
      <w:pPr>
        <w:pStyle w:val="FirstParagraph"/>
      </w:pPr>
      <w:r>
        <w:t xml:space="preserve">Las células beta del páncreas no solo liberan insulina, sino también, al mismo ritmo, amilina. En la diabetes tipo 1, las células beta están destruidas, por lo que faltan ambas hormonas, aunque por lo general solo se sustituye la insulina. También en la diabetes tipo 2 avanzada la liberación de amilina está reducida.</w:t>
      </w:r>
    </w:p>
    <w:p>
      <w:pPr>
        <w:pStyle w:val="BodyText"/>
      </w:pPr>
      <w:r>
        <w:t xml:space="preserve">Después de comer, la amilina actúa en tres direcciones: ralentiza el vaciamiento gástrico, de modo que el azúcar llega más despacio a la sangre; atenúa la liberación de glucagón, que en la diabetes suele ser inadecuadamente alta tras las comidas; y favorece la sensación de saciedad a través del tronco encefálico. La pramlintida debía sustituir este efecto ausente y suavizar así los picos de glucemia después de comer. Que retrasa el vaciamiento gástrico se demostró, entre otros, en un pequeño estudio con doce personas con diabetes tipo 1 y tipo 2: el tiempo hasta que la mitad de una comida sólida había salido del estómago se prolongó de 91 a 268–329 minutos (Vella 2002, PMID 11975712).</w:t>
      </w:r>
    </w:p>
    <w:p>
      <w:pPr>
        <w:pStyle w:val="BodyText"/>
      </w:pPr>
      <w:r>
        <w:t xml:space="preserve">La pramlintida tiene importancia histórica: fue el primer medicamento basado en la amilina y se considera precursora de los actuales principios activos de amilina de acción prolongada, como la cagrilintida y la amicretina (véanse sus capítulos). Su gran inconveniente práctico es la corta duración del efecto, que exige varias inyecciones al día.</w:t>
      </w:r>
    </w:p>
    <w:bookmarkEnd w:id="291"/>
    <w:bookmarkStart w:id="296" w:name="estudios-en-humanos-11"/>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 arrojó 76 estudios en humanos, la mayoría de los años 1996 a 2010, así como algunos metaanálisis. En ClinicalTrials.gov había 64 estudios registrados, casi todos concluidos; los nuevos estudios se refieren sobre todo a los «páncreas artificiales» y a la investigación de la migraña.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Whitehouse 2002, PMID 11919132</w:t>
            </w:r>
          </w:p>
        </w:tc>
        <w:tc>
          <w:tcPr/>
          <w:p>
            <w:pPr>
              <w:pStyle w:val="Compact"/>
              <w:jc w:val="left"/>
            </w:pPr>
            <w:r>
              <w:t xml:space="preserve">480 adultos con diabetes tipo 1, frente a placebo</w:t>
            </w:r>
          </w:p>
        </w:tc>
        <w:tc>
          <w:tcPr/>
          <w:p>
            <w:pPr>
              <w:pStyle w:val="Compact"/>
              <w:jc w:val="left"/>
            </w:pPr>
            <w:r>
              <w:t xml:space="preserve">52 semanas (+1 año abierto)</w:t>
            </w:r>
          </w:p>
        </w:tc>
        <w:tc>
          <w:tcPr/>
          <w:p>
            <w:pPr>
              <w:pStyle w:val="Compact"/>
              <w:jc w:val="left"/>
            </w:pPr>
            <w:r>
              <w:t xml:space="preserve">HbA1c −0,67 frente a −0,16 a las 13 semanas; pérdida de peso en lugar de aumento</w:t>
            </w:r>
          </w:p>
        </w:tc>
      </w:tr>
      <w:tr>
        <w:tc>
          <w:tcPr/>
          <w:p>
            <w:pPr>
              <w:pStyle w:val="Compact"/>
              <w:jc w:val="left"/>
            </w:pPr>
            <w:r>
              <w:t xml:space="preserve">Ratner 2004, PMID 15498087</w:t>
            </w:r>
          </w:p>
        </w:tc>
        <w:tc>
          <w:tcPr/>
          <w:p>
            <w:pPr>
              <w:pStyle w:val="Compact"/>
              <w:jc w:val="left"/>
            </w:pPr>
            <w:r>
              <w:t xml:space="preserve">651 adultos con diabetes tipo 1, frente a placebo</w:t>
            </w:r>
          </w:p>
        </w:tc>
        <w:tc>
          <w:tcPr/>
          <w:p>
            <w:pPr>
              <w:pStyle w:val="Compact"/>
              <w:jc w:val="left"/>
            </w:pPr>
            <w:r>
              <w:t xml:space="preserve">52 semanas</w:t>
            </w:r>
          </w:p>
        </w:tc>
        <w:tc>
          <w:tcPr/>
          <w:p>
            <w:pPr>
              <w:pStyle w:val="Compact"/>
              <w:jc w:val="left"/>
            </w:pPr>
            <w:r>
              <w:t xml:space="preserve">HbA1c −0,29 a −0,34 frente a −0,04; peso −0,4 kg frente a +0,8 kg</w:t>
            </w:r>
          </w:p>
        </w:tc>
      </w:tr>
      <w:tr>
        <w:tc>
          <w:tcPr/>
          <w:p>
            <w:pPr>
              <w:pStyle w:val="Compact"/>
              <w:jc w:val="left"/>
            </w:pPr>
            <w:r>
              <w:t xml:space="preserve">Hollander 2003, PMID 12610038</w:t>
            </w:r>
          </w:p>
        </w:tc>
        <w:tc>
          <w:tcPr/>
          <w:p>
            <w:pPr>
              <w:pStyle w:val="Compact"/>
              <w:jc w:val="left"/>
            </w:pPr>
            <w:r>
              <w:t xml:space="preserve">656 adultos con diabetes tipo 2 tratada con insulina, frente a placebo</w:t>
            </w:r>
          </w:p>
        </w:tc>
        <w:tc>
          <w:tcPr/>
          <w:p>
            <w:pPr>
              <w:pStyle w:val="Compact"/>
              <w:jc w:val="left"/>
            </w:pPr>
            <w:r>
              <w:t xml:space="preserve">52 semanas</w:t>
            </w:r>
          </w:p>
        </w:tc>
        <w:tc>
          <w:tcPr/>
          <w:p>
            <w:pPr>
              <w:pStyle w:val="Compact"/>
              <w:jc w:val="left"/>
            </w:pPr>
            <w:r>
              <w:t xml:space="preserve">HbA1c −0,62 (semana 52); peso −1,4 kg frente a +0,7 kg</w:t>
            </w:r>
          </w:p>
        </w:tc>
      </w:tr>
      <w:tr>
        <w:tc>
          <w:tcPr/>
          <w:p>
            <w:pPr>
              <w:pStyle w:val="Compact"/>
              <w:jc w:val="left"/>
            </w:pPr>
            <w:r>
              <w:t xml:space="preserve">Edelman 2006, PMID 17003291</w:t>
            </w:r>
          </w:p>
        </w:tc>
        <w:tc>
          <w:tcPr/>
          <w:p>
            <w:pPr>
              <w:pStyle w:val="Compact"/>
              <w:jc w:val="left"/>
            </w:pPr>
            <w:r>
              <w:t xml:space="preserve">296 adultos con diabetes tipo 1, insulinoterapia intensiva</w:t>
            </w:r>
          </w:p>
        </w:tc>
        <w:tc>
          <w:tcPr/>
          <w:p>
            <w:pPr>
              <w:pStyle w:val="Compact"/>
              <w:jc w:val="left"/>
            </w:pPr>
            <w:r>
              <w:t xml:space="preserve">29 semanas</w:t>
            </w:r>
          </w:p>
        </w:tc>
        <w:tc>
          <w:tcPr/>
          <w:p>
            <w:pPr>
              <w:pStyle w:val="Compact"/>
              <w:jc w:val="left"/>
            </w:pPr>
            <w:r>
              <w:t xml:space="preserve">HbA1c igual (−0,5 ambos); peso −1,3 frente a +1,2 kg; insulina −28 %</w:t>
            </w:r>
          </w:p>
        </w:tc>
      </w:tr>
      <w:tr>
        <w:tc>
          <w:tcPr/>
          <w:p>
            <w:pPr>
              <w:pStyle w:val="Compact"/>
              <w:jc w:val="left"/>
            </w:pPr>
            <w:r>
              <w:t xml:space="preserve">Riddle 2007, PMID 17698615</w:t>
            </w:r>
          </w:p>
        </w:tc>
        <w:tc>
          <w:tcPr/>
          <w:p>
            <w:pPr>
              <w:pStyle w:val="Compact"/>
              <w:jc w:val="left"/>
            </w:pPr>
            <w:r>
              <w:t xml:space="preserve">212 adultos con diabetes tipo 2 e insulina basal, frente a placebo</w:t>
            </w:r>
          </w:p>
        </w:tc>
        <w:tc>
          <w:tcPr/>
          <w:p>
            <w:pPr>
              <w:pStyle w:val="Compact"/>
              <w:jc w:val="left"/>
            </w:pPr>
            <w:r>
              <w:t xml:space="preserve">16 semanas</w:t>
            </w:r>
          </w:p>
        </w:tc>
        <w:tc>
          <w:tcPr/>
          <w:p>
            <w:pPr>
              <w:pStyle w:val="Compact"/>
              <w:jc w:val="left"/>
            </w:pPr>
            <w:r>
              <w:t xml:space="preserve">HbA1c −0,70 frente a −0,36; peso −1,6 frente a +0,7 kg</w:t>
            </w:r>
          </w:p>
        </w:tc>
      </w:tr>
      <w:tr>
        <w:tc>
          <w:tcPr/>
          <w:p>
            <w:pPr>
              <w:pStyle w:val="Compact"/>
              <w:jc w:val="left"/>
            </w:pPr>
            <w:r>
              <w:t xml:space="preserve">Smith 2008, PMID 18753666</w:t>
            </w:r>
          </w:p>
        </w:tc>
        <w:tc>
          <w:tcPr/>
          <w:p>
            <w:pPr>
              <w:pStyle w:val="Compact"/>
              <w:jc w:val="left"/>
            </w:pPr>
            <w:r>
              <w:t xml:space="preserve">411 adultos con obesidad, con programa de estilo de vida</w:t>
            </w:r>
          </w:p>
        </w:tc>
        <w:tc>
          <w:tcPr/>
          <w:p>
            <w:pPr>
              <w:pStyle w:val="Compact"/>
              <w:jc w:val="left"/>
            </w:pPr>
            <w:r>
              <w:t xml:space="preserve">4 meses (+8 meses)</w:t>
            </w:r>
          </w:p>
        </w:tc>
        <w:tc>
          <w:tcPr/>
          <w:p>
            <w:pPr>
              <w:pStyle w:val="Compact"/>
              <w:jc w:val="left"/>
            </w:pPr>
            <w:r>
              <w:t xml:space="preserve">a los 12 meses, ajustado por placebo, hasta −7,2 kg</w:t>
            </w:r>
          </w:p>
        </w:tc>
      </w:tr>
    </w:tbl>
    <w:bookmarkStart w:id="292" w:name="diabetes-tipo-1"/>
    <w:p>
      <w:pPr>
        <w:pStyle w:val="Heading4"/>
      </w:pPr>
      <w:r>
        <w:t xml:space="preserve">Diabetes tipo 1</w:t>
      </w:r>
    </w:p>
    <w:p>
      <w:pPr>
        <w:pStyle w:val="FirstParagraph"/>
      </w:pPr>
      <w:r>
        <w:t xml:space="preserve">Los grandes estudios de registro duraron un año. En el estudio de Whitehouse (2002, PMID 11919132) con 480 personas con diabetes tipo 1, la HbA1c disminuyó a las 13 semanas 0,67 puntos porcentuales, frente a 0,16 con placebo; la diferencia siguió siendo estadísticamente significativa hasta la semana 52. Los participantes perdieron peso en promedio en lugar de ganarlo, y la tasa global de hipoglucemias graves no aumentó. En el estudio de Ratner (2004, PMID 15498087) con 651 participantes, el efecto fue menor: −0,29 y −0,34 puntos porcentuales, respectivamente, frente a −0,04.</w:t>
      </w:r>
    </w:p>
    <w:p>
      <w:pPr>
        <w:pStyle w:val="BodyText"/>
      </w:pPr>
      <w:r>
        <w:t xml:space="preserve">Estos efectos son modestos. Un metaanálisis en red de todos los fármacos complementarios en la diabetes tipo 1, con 58 estudios, calificó la fiabilidad de la evidencia en su mayoría de moderada a muy baja y constató que la pramlintida, al igual que los agonistas de GLP-1 y la metformina, hace más frecuentes las náuseas (Avgerinos 2021, PMID 33300282).</w:t>
      </w:r>
    </w:p>
    <w:p>
      <w:pPr>
        <w:pStyle w:val="BodyText"/>
      </w:pPr>
      <w:r>
        <w:t xml:space="preserve">El estudio de Edelman (2006, PMID 17003291) aportó una lección importante: cuando al inicio del tratamiento con pramlintida se reducía preventivamente la dosis de insulina prandial entre un 30 y un 50 %, la HbA1c había disminuido por igual en ambos grupos a las 29 semanas (−0,5 en cada uno). Sin embargo, con pramlintida los picos de glucemia después de comer fueron menores, el peso disminuyó 1,3 kg (placebo +1,2 kg) y se necesitó un 28 % menos de insulina. Se produjeron náuseas en el 63 % (placebo 36 %).</w:t>
      </w:r>
    </w:p>
    <w:bookmarkEnd w:id="292"/>
    <w:bookmarkStart w:id="293" w:name="diabetes-tipo-2"/>
    <w:p>
      <w:pPr>
        <w:pStyle w:val="Heading4"/>
      </w:pPr>
      <w:r>
        <w:t xml:space="preserve">Diabetes tipo 2</w:t>
      </w:r>
    </w:p>
    <w:p>
      <w:pPr>
        <w:pStyle w:val="FirstParagraph"/>
      </w:pPr>
      <w:r>
        <w:t xml:space="preserve">En la diabetes tipo 2 tratada con insulina, la pramlintida redujo la HbA1c al cabo de un año 0,62 puntos porcentuales, con una pérdida de peso de 1,4 kg frente a un aumento de 0,7 kg con placebo (Hollander 2003, PMID 12610038). Como complemento de la insulina basal, en un estudio abierto con 113 participantes fue igual de eficaz que una insulina prandial de acción rápida, pero no provocó aumento de peso (0,0 kg frente a +4,7 kg) y causó menos hipoglucemias leves a moderadas; a cambio, el 21 % se quejó de náuseas (Riddle 2009, PMID 19502544).</w:t>
      </w:r>
    </w:p>
    <w:p>
      <w:pPr>
        <w:pStyle w:val="BodyText"/>
      </w:pPr>
      <w:r>
        <w:t xml:space="preserve">Un metaanálisis de ocho estudios aleatorizados mostró en la diabetes tipo 2 una reducción de la HbA1c de 0,33 puntos porcentuales y una pérdida de peso de 2,57 kg frente al control; las náuseas fueron 1,8 veces más frecuentes (Singh-Franco 2011, PMID 21199269).</w:t>
      </w:r>
    </w:p>
    <w:bookmarkEnd w:id="293"/>
    <w:bookmarkStart w:id="294" w:name="obesidad"/>
    <w:p>
      <w:pPr>
        <w:pStyle w:val="Heading4"/>
      </w:pPr>
      <w:r>
        <w:t xml:space="preserve">Obesidad</w:t>
      </w:r>
    </w:p>
    <w:p>
      <w:pPr>
        <w:pStyle w:val="FirstParagraph"/>
      </w:pPr>
      <w:r>
        <w:t xml:space="preserve">Entre 2005 y 2010, la pramlintida se evaluó también como medicamento para adelgazar. En un estudio de 16 semanas con 204 personas con obesidad, la pérdida de peso ajustada por placebo fue del 3,7 % (Aronne 2007, PMID 17504894). Combinada con un programa de estilo de vida, casi todos los grupos de dosis mantuvieron su pérdida de peso durante doce meses; ajustada por placebo, fue de hasta 7,2 kg o el 6,8 % (Smith 2008, PMID 18753666). Una combinación con metreleptina (un análogo de la leptina) alcanzó a las 20 semanas una pérdida de peso del 12,7 % frente al 8,4 % con pramlintida sola (Ravussin 2009, PMID 19521351). Este desarrollo no se continuó hasta la autorización.</w:t>
      </w:r>
    </w:p>
    <w:bookmarkEnd w:id="294"/>
    <w:bookmarkStart w:id="295" w:name="Xab762de5fb377690f6dcbeb362bf74a757287d9"/>
    <w:p>
      <w:pPr>
        <w:pStyle w:val="Heading4"/>
      </w:pPr>
      <w:r>
        <w:t xml:space="preserve">Aplicaciones más recientes: páncreas artificial</w:t>
      </w:r>
    </w:p>
    <w:p>
      <w:pPr>
        <w:pStyle w:val="FirstParagraph"/>
      </w:pPr>
      <w:r>
        <w:t xml:space="preserve">Desde aproximadamente 2015, la pramlintida vive un pequeño renacimiento en la investigación sobre sistemas automatizados de bomba de insulina. En un estudio cruzado aleatorizado, el tiempo en rango objetivo aumentó del 74 % al 84 % con un sistema que, además de insulina de acción rápida, administra también pramlintida (Haidar 2020, PMID 31974099). Un pequeño estudio piloto investigó si un sistema así puede hacer innecesario el recuento de hidratos de carbono; las diferencias con el tratamiento estándar no fueron estadísticamente significativas (Odabassian 2025, PMID 41174925). Una mezcla fija de pramlintida y una insulina (ADO09) produjo, en un estudio de 16 semanas con 80 personas con diabetes tipo 1, 2,1 kg más de pérdida de peso que la insulina lispro, con una HbA1c sin cambios (Andersen 2024, PMID 39109464).</w:t>
      </w:r>
    </w:p>
    <w:bookmarkEnd w:id="295"/>
    <w:bookmarkEnd w:id="296"/>
    <w:bookmarkStart w:id="297" w:name="estudios-en-animales-y-de-laboratorio-11"/>
    <w:p>
      <w:pPr>
        <w:pStyle w:val="Heading3"/>
      </w:pPr>
      <w:r>
        <w:t xml:space="preserve">Estudios en animales y de laboratorio</w:t>
      </w:r>
    </w:p>
    <w:p>
      <w:pPr>
        <w:pStyle w:val="FirstParagraph"/>
      </w:pPr>
      <w:r>
        <w:t xml:space="preserve">Las bases de la investigación sobre la amilina proceden de estudios en animales y de laboratorio que no se exponen aquí en detalle. En roedores, la combinación de amilina y leptina produjo una pérdida de peso más que aditiva (descrita como punto de partida en Ravussin 2009, PMID 19521351). En modelos de ratón, la amilina, de forma similar al péptido mensajero de la migraña CGRP, desencadenó hipersensibilidad y fotofobia (Ghanizada 2021, PMID 33772845).</w:t>
      </w:r>
    </w:p>
    <w:bookmarkEnd w:id="297"/>
    <w:bookmarkStart w:id="298" w:name="riesgos-y-efectos-adversos-11"/>
    <w:p>
      <w:pPr>
        <w:pStyle w:val="Heading3"/>
      </w:pPr>
      <w:r>
        <w:t xml:space="preserve">Riesgos y efectos adversos</w:t>
      </w:r>
    </w:p>
    <w:p>
      <w:pPr>
        <w:pStyle w:val="FirstParagraph"/>
      </w:pPr>
      <w:r>
        <w:rPr>
          <w:bCs/>
          <w:b/>
        </w:rPr>
        <w:t xml:space="preserve">Demostrado en estudios:</w:t>
      </w:r>
    </w:p>
    <w:p>
      <w:pPr>
        <w:numPr>
          <w:ilvl w:val="0"/>
          <w:numId w:val="1097"/>
        </w:numPr>
        <w:pStyle w:val="Compact"/>
      </w:pPr>
      <w:r>
        <w:t xml:space="preserve">Las</w:t>
      </w:r>
      <w:r>
        <w:t xml:space="preserve"> </w:t>
      </w:r>
      <w:r>
        <w:rPr>
          <w:bCs/>
          <w:b/>
        </w:rPr>
        <w:t xml:space="preserve">náuseas</w:t>
      </w:r>
      <w:r>
        <w:t xml:space="preserve"> </w:t>
      </w:r>
      <w:r>
        <w:t xml:space="preserve">son el efecto secundario más frecuente, sobre todo en las primeras semanas; según el estudio, entre el 9 % y el 63 % (Smith 2008, PMID 18753666; Edelman 2006, PMID 17003291).</w:t>
      </w:r>
    </w:p>
    <w:p>
      <w:pPr>
        <w:numPr>
          <w:ilvl w:val="0"/>
          <w:numId w:val="1097"/>
        </w:numPr>
        <w:pStyle w:val="Compact"/>
      </w:pPr>
      <w:r>
        <w:t xml:space="preserve">La</w:t>
      </w:r>
      <w:r>
        <w:t xml:space="preserve"> </w:t>
      </w:r>
      <w:r>
        <w:rPr>
          <w:bCs/>
          <w:b/>
        </w:rPr>
        <w:t xml:space="preserve">hipoglucemia grave</w:t>
      </w:r>
      <w:r>
        <w:t xml:space="preserve"> </w:t>
      </w:r>
      <w:r>
        <w:t xml:space="preserve">es el riesgo más importante. La pramlintida por sí misma apenas reduce la glucemia, pero potencia el efecto de la insulina inyectada simultáneamente, porque el azúcar de la comida llega con retraso. En el estudio de Edelman, las hipoglucemias graves fueron más frecuentes con pramlintida que con placebo (0,57 frente a 0,30 episodios por paciente-año), en particular en los participantes que se mantuvieron con una dosis baja (Edelman 2006, PMID 17003291). Por ello, en EE. UU. el medicamento lleva una advertencia destacada; antes de iniciar el tratamiento está prevista una reducción de la dosis de insulina prandial: los detalles los regula la ficha técnica, y su aplicación corresponde al médico.</w:t>
      </w:r>
    </w:p>
    <w:p>
      <w:pPr>
        <w:numPr>
          <w:ilvl w:val="0"/>
          <w:numId w:val="1097"/>
        </w:numPr>
        <w:pStyle w:val="Compact"/>
      </w:pPr>
      <w:r>
        <w:rPr>
          <w:bCs/>
          <w:b/>
        </w:rPr>
        <w:t xml:space="preserve">Cefalea y migraña:</w:t>
      </w:r>
      <w:r>
        <w:t xml:space="preserve"> </w:t>
      </w:r>
      <w:r>
        <w:t xml:space="preserve">en un estudio experimental con 36 personas con migraña, tras una infusión de pramlintida el 88 % sufrió cefalea y el 41 % una crisis similar a la migraña (Ghanizada 2021, PMID 33772845). Este estudio utilizó una infusión con fines de investigación, pero muestra que los receptores de amilina desempeñan un papel en la migraña. Este hallazgo también es relevante para los nuevos medicamentos de amilina de acción prolongada.</w:t>
      </w:r>
    </w:p>
    <w:p>
      <w:pPr>
        <w:numPr>
          <w:ilvl w:val="0"/>
          <w:numId w:val="1097"/>
        </w:numPr>
        <w:pStyle w:val="Compact"/>
      </w:pPr>
      <w:r>
        <w:rPr>
          <w:bCs/>
          <w:b/>
        </w:rPr>
        <w:t xml:space="preserve">Interacciones:</w:t>
      </w:r>
      <w:r>
        <w:t xml:space="preserve"> </w:t>
      </w:r>
      <w:r>
        <w:t xml:space="preserve">como la pramlintida retrasa el vaciamiento gástrico, los comprimidos cuyo rápido inicio de acción es importante pueden absorberse con retraso (ficha técnica).</w:t>
      </w:r>
    </w:p>
    <w:bookmarkEnd w:id="298"/>
    <w:bookmarkStart w:id="299" w:name="situación-legal-11"/>
    <w:p>
      <w:pPr>
        <w:pStyle w:val="Heading3"/>
      </w:pPr>
      <w:r>
        <w:t xml:space="preserve">Situación legal</w:t>
      </w:r>
    </w:p>
    <w:p>
      <w:pPr>
        <w:numPr>
          <w:ilvl w:val="0"/>
          <w:numId w:val="1098"/>
        </w:numPr>
        <w:pStyle w:val="Compact"/>
      </w:pPr>
      <w:r>
        <w:rPr>
          <w:bCs/>
          <w:b/>
        </w:rPr>
        <w:t xml:space="preserve">UE / Austria / Alemania:</w:t>
      </w:r>
      <w:r>
        <w:t xml:space="preserve"> </w:t>
      </w:r>
      <w:r>
        <w:t xml:space="preserve">no autorizada. En Europa, la pramlintida solo sería concebible mediante importación individual para determinados pacientes y en la práctica no desempeña ningún papel.</w:t>
      </w:r>
    </w:p>
    <w:p>
      <w:pPr>
        <w:numPr>
          <w:ilvl w:val="0"/>
          <w:numId w:val="1098"/>
        </w:numPr>
        <w:pStyle w:val="Compact"/>
      </w:pPr>
      <w:r>
        <w:rPr>
          <w:bCs/>
          <w:b/>
        </w:rPr>
        <w:t xml:space="preserve">EE. UU.:</w:t>
      </w:r>
      <w:r>
        <w:t xml:space="preserve"> </w:t>
      </w:r>
      <w:r>
        <w:t xml:space="preserve">autorizada desde 2005 (Symlin) como complemento de la insulina prandial en la diabetes tipo 1 y tipo 2; sujeta a prescripción médica. No está autorizada para la obesidad sin diabetes.</w:t>
      </w:r>
    </w:p>
    <w:p>
      <w:pPr>
        <w:numPr>
          <w:ilvl w:val="0"/>
          <w:numId w:val="1098"/>
        </w:numPr>
        <w:pStyle w:val="Compact"/>
      </w:pPr>
      <w:r>
        <w:rPr>
          <w:bCs/>
          <w:b/>
        </w:rPr>
        <w:t xml:space="preserve">Deporte:</w:t>
      </w:r>
      <w:r>
        <w:t xml:space="preserve"> </w:t>
      </w:r>
      <w:r>
        <w:t xml:space="preserve">no figura en la lista de la AMA (situación en 2026, compruébelo en su versión actual).</w:t>
      </w:r>
    </w:p>
    <w:bookmarkEnd w:id="299"/>
    <w:bookmarkStart w:id="300" w:name="estudios-en-curso-y-perspectivas-11"/>
    <w:p>
      <w:pPr>
        <w:pStyle w:val="Heading3"/>
      </w:pPr>
      <w:r>
        <w:t xml:space="preserve">Estudios en curso y perspectivas</w:t>
      </w:r>
    </w:p>
    <w:p>
      <w:pPr>
        <w:pStyle w:val="FirstParagraph"/>
      </w:pPr>
      <w:r>
        <w:rPr>
          <w:bCs/>
          <w:b/>
        </w:rPr>
        <w:t xml:space="preserve">Confirmado (estudios registrados, a octubre de 2026):</w:t>
      </w:r>
      <w:r>
        <w:t xml:space="preserve"> </w:t>
      </w:r>
      <w:r>
        <w:t xml:space="preserve">los nuevos estudios con pramlintida son en su mayoría pequeños estudios básicos, por ejemplo sobre el papel de la amilina en la migraña sin aura (NCT07340788), en la cefalea tras lesiones craneales (NCT07340775) y sobre la saciedad (NCT07506369). Los autores del estudio piloto sobre la bomba de insulina con pramlintida anuncian un estudio más amplio (Odabassian 2025, PMID 41174925).</w:t>
      </w:r>
    </w:p>
    <w:p>
      <w:pPr>
        <w:pStyle w:val="BodyText"/>
      </w:pPr>
      <w:r>
        <w:rPr>
          <w:bCs/>
          <w:b/>
        </w:rPr>
        <w:t xml:space="preserve">Valoración:</w:t>
      </w:r>
      <w:r>
        <w:t xml:space="preserve"> </w:t>
      </w:r>
      <w:r>
        <w:t xml:space="preserve">como medicamento, la pramlintida se ha quedado en un producto de nicho: demasiadas inyecciones, demasiadas náuseas, un efecto demasiado pequeño sobre la HbA1c. Su papel más importante probablemente sea el de precursora: los análogos de la amilina de acción prolongada de la nueva generación (cagrilintida, amicretina, eloralintida y otros) se basan en su experiencia. En la investigación sobre sistemas de dos hormonas en la diabetes tipo 1 podría conservar un pequeño papel.</w:t>
      </w:r>
    </w:p>
    <w:bookmarkEnd w:id="300"/>
    <w:bookmarkStart w:id="301" w:name="conclusión-11"/>
    <w:p>
      <w:pPr>
        <w:pStyle w:val="Heading3"/>
      </w:pPr>
      <w:r>
        <w:t xml:space="preserve">Conclusión</w:t>
      </w:r>
    </w:p>
    <w:p>
      <w:pPr>
        <w:pStyle w:val="FirstParagraph"/>
      </w:pPr>
      <w:r>
        <w:t xml:space="preserve">La pramlintida es el primer medicamento basado en la amilina y está autorizada desde 2005 en EE. UU., pero no en la UE, como complemento de la insulina. En grandes estudios solo redujo la HbA1c entre 0,3 y 0,7 puntos porcentuales aproximadamente, pero evitó el aumento de peso típico de la insulina y suavizó los picos de glucemia tras las comidas. Las náuseas son frecuentes y, en combinación con insulina, existe un riesgo relevante de hipoglucemias graves. Hoy, la pramlintida tiene importancia sobre todo como precursora de los nuevos medicamentos de amilina de acción prolongada.</w:t>
      </w:r>
    </w:p>
    <w:bookmarkEnd w:id="301"/>
    <w:bookmarkEnd w:id="302"/>
    <w:bookmarkStart w:id="316" w:name="setmelanotida"/>
    <w:p>
      <w:pPr>
        <w:pStyle w:val="Heading2"/>
      </w:pPr>
      <w:r>
        <w:t xml:space="preserve">Setmelanotida</w:t>
      </w:r>
    </w:p>
    <w:bookmarkStart w:id="303" w:name="ficha-12"/>
    <w:p>
      <w:pPr>
        <w:pStyle w:val="Heading3"/>
      </w:pPr>
      <w:r>
        <w:t xml:space="preserve">Ficha</w:t>
      </w:r>
    </w:p>
    <w:p>
      <w:pPr>
        <w:numPr>
          <w:ilvl w:val="0"/>
          <w:numId w:val="1099"/>
        </w:numPr>
        <w:pStyle w:val="Compact"/>
      </w:pPr>
      <w:r>
        <w:rPr>
          <w:bCs/>
          <w:b/>
        </w:rPr>
        <w:t xml:space="preserve">Tipo/estructura:</w:t>
      </w:r>
      <w:r>
        <w:t xml:space="preserve"> </w:t>
      </w:r>
      <w:r>
        <w:t xml:space="preserve">pequeño péptido sintético cerrado en forma de anillo (cíclico) que imita al mensajero endógeno alfa-MSH. Administración subcutánea una vez al día. Antiguo código de desarrollo RM-493.</w:t>
      </w:r>
    </w:p>
    <w:p>
      <w:pPr>
        <w:numPr>
          <w:ilvl w:val="0"/>
          <w:numId w:val="1099"/>
        </w:numPr>
        <w:pStyle w:val="Compact"/>
      </w:pPr>
      <w:r>
        <w:rPr>
          <w:bCs/>
          <w:b/>
        </w:rPr>
        <w:t xml:space="preserve">Origen:</w:t>
      </w:r>
      <w:r>
        <w:t xml:space="preserve"> </w:t>
      </w:r>
      <w:r>
        <w:t xml:space="preserve">desarrollada por Rhythm Pharmaceuticals; nombre comercial Imcivree.</w:t>
      </w:r>
    </w:p>
    <w:p>
      <w:pPr>
        <w:numPr>
          <w:ilvl w:val="0"/>
          <w:numId w:val="1099"/>
        </w:numPr>
        <w:pStyle w:val="Compact"/>
      </w:pPr>
      <w:r>
        <w:rPr>
          <w:bCs/>
          <w:b/>
        </w:rPr>
        <w:t xml:space="preserve">Mecanismo de acción:</w:t>
      </w:r>
      <w:r>
        <w:t xml:space="preserve"> </w:t>
      </w:r>
      <w:r>
        <w:t xml:space="preserve">agonista del receptor de melanocortina 4 (MC4R) en el hipotálamo, un centro de control clave del hambre y la saciedad.</w:t>
      </w:r>
    </w:p>
    <w:p>
      <w:pPr>
        <w:numPr>
          <w:ilvl w:val="0"/>
          <w:numId w:val="1099"/>
        </w:numPr>
        <w:pStyle w:val="Compact"/>
      </w:pPr>
      <w:r>
        <w:rPr>
          <w:bCs/>
          <w:b/>
        </w:rPr>
        <w:t xml:space="preserve">Autorización UE:</w:t>
      </w:r>
      <w:r>
        <w:t xml:space="preserve"> </w:t>
      </w:r>
      <w:r>
        <w:t xml:space="preserve">sí (Imcivree), para la obesidad por déficit confirmado genéticamente de POMC, PCSK1 o del receptor de leptina, así como en el síndrome de Bardet-Biedl.</w:t>
      </w:r>
    </w:p>
    <w:p>
      <w:pPr>
        <w:numPr>
          <w:ilvl w:val="0"/>
          <w:numId w:val="1099"/>
        </w:numPr>
        <w:pStyle w:val="Compact"/>
      </w:pPr>
      <w:r>
        <w:rPr>
          <w:bCs/>
          <w:b/>
        </w:rPr>
        <w:t xml:space="preserve">Autorización EE. UU.:</w:t>
      </w:r>
      <w:r>
        <w:t xml:space="preserve"> </w:t>
      </w:r>
      <w:r>
        <w:t xml:space="preserve">sí (Imcivree), por primera vez en 2020, para las mismas formas genéticas raras (Markham 2021, PMID 33638809).</w:t>
      </w:r>
    </w:p>
    <w:p>
      <w:pPr>
        <w:numPr>
          <w:ilvl w:val="0"/>
          <w:numId w:val="1099"/>
        </w:numPr>
        <w:pStyle w:val="Compact"/>
      </w:pPr>
      <w:r>
        <w:rPr>
          <w:bCs/>
          <w:b/>
        </w:rPr>
        <w:t xml:space="preserve">AMA (WADA):</w:t>
      </w:r>
      <w:r>
        <w:t xml:space="preserve"> </w:t>
      </w:r>
      <w:r>
        <w:t xml:space="preserve">no figura por su nombre; como medicamento autorizado no entra en la clase S0 (situación en 2026, compruébelo en su versión actual).</w:t>
      </w:r>
    </w:p>
    <w:p>
      <w:pPr>
        <w:numPr>
          <w:ilvl w:val="0"/>
          <w:numId w:val="1099"/>
        </w:numPr>
        <w:pStyle w:val="Compact"/>
      </w:pPr>
      <w:r>
        <w:rPr>
          <w:bCs/>
          <w:b/>
        </w:rPr>
        <w:t xml:space="preserve">Nivel de evidencia:</w:t>
      </w:r>
      <w:r>
        <w:t xml:space="preserve"> </w:t>
      </w:r>
      <w:r>
        <w:rPr>
          <w:bCs/>
          <w:b/>
        </w:rPr>
        <w:t xml:space="preserve">A</w:t>
      </w:r>
      <w:r>
        <w:t xml:space="preserve"> </w:t>
      </w:r>
      <w:r>
        <w:t xml:space="preserve">– autorización basada en estudios de fase 3; sin embargo, debido a la rareza de las enfermedades, los estudios son pequeños y en parte no controlados.</w:t>
      </w:r>
    </w:p>
    <w:bookmarkEnd w:id="303"/>
    <w:bookmarkStart w:id="304" w:name="cómo-se-supone-que-actúa-12"/>
    <w:p>
      <w:pPr>
        <w:pStyle w:val="Heading3"/>
      </w:pPr>
      <w:r>
        <w:t xml:space="preserve">Cómo se supone que actúa</w:t>
      </w:r>
    </w:p>
    <w:p>
      <w:pPr>
        <w:pStyle w:val="FirstParagraph"/>
      </w:pPr>
      <w:r>
        <w:t xml:space="preserve">La setmelanotida se diferencia de forma fundamental de todos los demás principios activos de esta parte. No es un medicamento general para adelgazar, sino un tratamiento dirigido para personas en las que una determinada cadena de señalización del cerebro es defectuosa.</w:t>
      </w:r>
    </w:p>
    <w:p>
      <w:pPr>
        <w:pStyle w:val="BodyText"/>
      </w:pPr>
      <w:r>
        <w:t xml:space="preserve">Esta cadena se llama vía de señalización leptina-melanocortina. De forma simplificada: el tejido adiposo libera la hormona leptina. La leptina actúa en el hipotálamo sobre neuronas que, a partir de una molécula precursora llamada POMC, fabrican el mensajero alfa-MSH. Para esta fabricación se necesita una enzima llamada PCSK1. Por último, la alfa-MSH activa el receptor MC4, y la señal es: «Ya he comido suficiente».</w:t>
      </w:r>
    </w:p>
    <w:p>
      <w:pPr>
        <w:pStyle w:val="BodyText"/>
      </w:pPr>
      <w:r>
        <w:t xml:space="preserve">Si uno de estos eslabones falla por una alteración genética congénita, se produce un hambre angustiosa e insaciable (hiperfagia) que ya en la primera infancia conduce a una obesidad grave. La dieta y el ejercicio por sí solos poco pueden hacer contra ella. La setmelanotida actúa al final de la cadena y activa directamente el receptor MC4: por así decirlo, puentea los eslabones defectuosos anteriores.</w:t>
      </w:r>
    </w:p>
    <w:p>
      <w:pPr>
        <w:pStyle w:val="BodyText"/>
      </w:pPr>
      <w:r>
        <w:t xml:space="preserve">La setmelanotida actúa además sobre el receptor de melanocortina 1, estrechamente emparentado, en la piel. Esto explica el efecto secundario más frecuente: un bronceado de la piel (véase más abajo), y vincula la setmelanotida con los péptidos bronceadores como el melanotán II y el afamelanotida (Parte II, grupo E).</w:t>
      </w:r>
    </w:p>
    <w:bookmarkEnd w:id="304"/>
    <w:bookmarkStart w:id="310" w:name="estudios-en-humanos-12"/>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 arrojó 15 estudios en humanos. En ClinicalTrials.gov había 27 estudios registrados. Debido a la rareza de las enfermedades diana, los estudios suelen incluir solo entre 10 y 40 participantes; el mayor estudio aleatorizado publicado (sobre la obesidad hipotalámica) incluyó a 120 personas.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Kühnen 2016, PMID 27468060</w:t>
            </w:r>
          </w:p>
        </w:tc>
        <w:tc>
          <w:tcPr/>
          <w:p>
            <w:pPr>
              <w:pStyle w:val="Compact"/>
              <w:jc w:val="left"/>
            </w:pPr>
            <w:r>
              <w:t xml:space="preserve">2 personas con déficit de POMC, abierto</w:t>
            </w:r>
          </w:p>
        </w:tc>
        <w:tc>
          <w:tcPr/>
          <w:p>
            <w:pPr>
              <w:pStyle w:val="Compact"/>
              <w:jc w:val="left"/>
            </w:pPr>
            <w:r>
              <w:t xml:space="preserve">12 y 42 semanas</w:t>
            </w:r>
          </w:p>
        </w:tc>
        <w:tc>
          <w:tcPr/>
          <w:p>
            <w:pPr>
              <w:pStyle w:val="Compact"/>
              <w:jc w:val="left"/>
            </w:pPr>
            <w:r>
              <w:t xml:space="preserve">−20,5 kg y −51,0 kg; menos hambre</w:t>
            </w:r>
          </w:p>
        </w:tc>
      </w:tr>
      <w:tr>
        <w:tc>
          <w:tcPr/>
          <w:p>
            <w:pPr>
              <w:pStyle w:val="Compact"/>
              <w:jc w:val="left"/>
            </w:pPr>
            <w:r>
              <w:t xml:space="preserve">Clément 2020 (POMC/LEPR), PMID 33137293</w:t>
            </w:r>
          </w:p>
        </w:tc>
        <w:tc>
          <w:tcPr/>
          <w:p>
            <w:pPr>
              <w:pStyle w:val="Compact"/>
              <w:jc w:val="left"/>
            </w:pPr>
            <w:r>
              <w:t xml:space="preserve">10 personas con déficit de POMC y 11 con déficit de LEPR; de un solo brazo, con fase de retirada</w:t>
            </w:r>
          </w:p>
        </w:tc>
        <w:tc>
          <w:tcPr/>
          <w:p>
            <w:pPr>
              <w:pStyle w:val="Compact"/>
              <w:jc w:val="left"/>
            </w:pPr>
            <w:r>
              <w:t xml:space="preserve">aprox. 1 año</w:t>
            </w:r>
          </w:p>
        </w:tc>
        <w:tc>
          <w:tcPr/>
          <w:p>
            <w:pPr>
              <w:pStyle w:val="Compact"/>
              <w:jc w:val="left"/>
            </w:pPr>
            <w:r>
              <w:t xml:space="preserve">pérdida de peso ≥10 % en el 80 % (POMC) y el 45 % (LEPR)</w:t>
            </w:r>
          </w:p>
        </w:tc>
      </w:tr>
      <w:tr>
        <w:tc>
          <w:tcPr/>
          <w:p>
            <w:pPr>
              <w:pStyle w:val="Compact"/>
              <w:jc w:val="left"/>
            </w:pPr>
            <w:r>
              <w:t xml:space="preserve">Haqq 2022 (BBS/Alström), PMID 36356613</w:t>
            </w:r>
          </w:p>
        </w:tc>
        <w:tc>
          <w:tcPr/>
          <w:p>
            <w:pPr>
              <w:pStyle w:val="Compact"/>
              <w:jc w:val="left"/>
            </w:pPr>
            <w:r>
              <w:t xml:space="preserve">38 personas con síndrome de Bardet-Biedl o de Alström; 14 semanas frente a placebo, después abierto</w:t>
            </w:r>
          </w:p>
        </w:tc>
        <w:tc>
          <w:tcPr/>
          <w:p>
            <w:pPr>
              <w:pStyle w:val="Compact"/>
              <w:jc w:val="left"/>
            </w:pPr>
            <w:r>
              <w:t xml:space="preserve">66 semanas</w:t>
            </w:r>
          </w:p>
        </w:tc>
        <w:tc>
          <w:tcPr/>
          <w:p>
            <w:pPr>
              <w:pStyle w:val="Compact"/>
              <w:jc w:val="left"/>
            </w:pPr>
            <w:r>
              <w:t xml:space="preserve">pérdida de peso ≥10 % en el 32,3 % de los pacientes con BBS a partir de 12 años</w:t>
            </w:r>
          </w:p>
        </w:tc>
      </w:tr>
      <w:tr>
        <w:tc>
          <w:tcPr/>
          <w:p>
            <w:pPr>
              <w:pStyle w:val="Compact"/>
              <w:jc w:val="left"/>
            </w:pPr>
            <w:r>
              <w:t xml:space="preserve">VENTURE (Argente 2025), PMID 39549719</w:t>
            </w:r>
          </w:p>
        </w:tc>
        <w:tc>
          <w:tcPr/>
          <w:p>
            <w:pPr>
              <w:pStyle w:val="Compact"/>
              <w:jc w:val="left"/>
            </w:pPr>
            <w:r>
              <w:t xml:space="preserve">12 niños de 2 a 5 años, abierto</w:t>
            </w:r>
          </w:p>
        </w:tc>
        <w:tc>
          <w:tcPr/>
          <w:p>
            <w:pPr>
              <w:pStyle w:val="Compact"/>
              <w:jc w:val="left"/>
            </w:pPr>
            <w:r>
              <w:t xml:space="preserve">52 semanas</w:t>
            </w:r>
          </w:p>
        </w:tc>
        <w:tc>
          <w:tcPr/>
          <w:p>
            <w:pPr>
              <w:pStyle w:val="Compact"/>
              <w:jc w:val="left"/>
            </w:pPr>
            <w:r>
              <w:t xml:space="preserve">IMC −18 % de media</w:t>
            </w:r>
          </w:p>
        </w:tc>
      </w:tr>
      <w:tr>
        <w:tc>
          <w:tcPr/>
          <w:p>
            <w:pPr>
              <w:pStyle w:val="Compact"/>
              <w:jc w:val="left"/>
            </w:pPr>
            <w:r>
              <w:t xml:space="preserve">Roth 2024 (obesidad hipotalámica), PMID 38697184</w:t>
            </w:r>
          </w:p>
        </w:tc>
        <w:tc>
          <w:tcPr/>
          <w:p>
            <w:pPr>
              <w:pStyle w:val="Compact"/>
              <w:jc w:val="left"/>
            </w:pPr>
            <w:r>
              <w:t xml:space="preserve">18 personas, abierto</w:t>
            </w:r>
          </w:p>
        </w:tc>
        <w:tc>
          <w:tcPr/>
          <w:p>
            <w:pPr>
              <w:pStyle w:val="Compact"/>
              <w:jc w:val="left"/>
            </w:pPr>
            <w:r>
              <w:t xml:space="preserve">16 semanas</w:t>
            </w:r>
          </w:p>
        </w:tc>
        <w:tc>
          <w:tcPr/>
          <w:p>
            <w:pPr>
              <w:pStyle w:val="Compact"/>
              <w:jc w:val="left"/>
            </w:pPr>
            <w:r>
              <w:t xml:space="preserve">IMC −15 % de media</w:t>
            </w:r>
          </w:p>
        </w:tc>
      </w:tr>
      <w:tr>
        <w:tc>
          <w:tcPr/>
          <w:p>
            <w:pPr>
              <w:pStyle w:val="Compact"/>
              <w:jc w:val="left"/>
            </w:pPr>
            <w:r>
              <w:t xml:space="preserve">TRANSCEND (Miller 2026), PMID 42418774</w:t>
            </w:r>
          </w:p>
        </w:tc>
        <w:tc>
          <w:tcPr/>
          <w:p>
            <w:pPr>
              <w:pStyle w:val="Compact"/>
              <w:jc w:val="left"/>
            </w:pPr>
            <w:r>
              <w:t xml:space="preserve">120 personas con obesidad hipotalámica adquirida, frente a placebo</w:t>
            </w:r>
          </w:p>
        </w:tc>
        <w:tc>
          <w:tcPr/>
          <w:p>
            <w:pPr>
              <w:pStyle w:val="Compact"/>
              <w:jc w:val="left"/>
            </w:pPr>
            <w:r>
              <w:t xml:space="preserve">52 semanas</w:t>
            </w:r>
          </w:p>
        </w:tc>
        <w:tc>
          <w:tcPr/>
          <w:p>
            <w:pPr>
              <w:pStyle w:val="Compact"/>
              <w:jc w:val="left"/>
            </w:pPr>
            <w:r>
              <w:t xml:space="preserve">IMC −16,5 % frente a +3,3 %</w:t>
            </w:r>
          </w:p>
        </w:tc>
      </w:tr>
    </w:tbl>
    <w:bookmarkStart w:id="305" w:name="X00381b750b3604f63fc8dea9a8c496142aef72e"/>
    <w:p>
      <w:pPr>
        <w:pStyle w:val="Heading4"/>
      </w:pPr>
      <w:r>
        <w:t xml:space="preserve">Déficit de POMC, PCSK1 y del receptor de leptina</w:t>
      </w:r>
    </w:p>
    <w:p>
      <w:pPr>
        <w:pStyle w:val="FirstParagraph"/>
      </w:pPr>
      <w:r>
        <w:t xml:space="preserve">Los primeros informes fueron casos aislados: dos pacientes con déficit de POMC perdieron, en un estudio iniciado por médicos, 51,0 kg a las 42 semanas y 20,5 kg a las 12 semanas, respectivamente, y su hambre disminuyó de forma duradera (Kühnen 2016, PMID 27468060). Algo similar se describió en tres personas con déficit del receptor de leptina (Clément 2018, PMID 29736023).</w:t>
      </w:r>
    </w:p>
    <w:p>
      <w:pPr>
        <w:pStyle w:val="BodyText"/>
      </w:pPr>
      <w:r>
        <w:t xml:space="preserve">Los estudios de registro (Clément 2020, PMID 33137293) fueron de un solo brazo –es decir, no hubo un grupo placebo durante todo el estudio–, pero incluyeron una breve fase de retirada cegada. Al cabo de aproximadamente un año, 8 de 10 personas con déficit de POMC y 5 de 11 con déficit del receptor de leptina habían perdido al menos un 10 % de su peso. El hambre, en una escala de 0 a 10, disminuyó un 27,1 % y un 43,7 %, respectivamente. En enfermedades tan raras, los estudios pequeños y no controlados suelen ser lo único factible. Aun así, en una enfermedad en la que sin tratamiento prácticamente no cabe esperar pérdida de peso, los resultados son significativos.</w:t>
      </w:r>
    </w:p>
    <w:bookmarkEnd w:id="305"/>
    <w:bookmarkStart w:id="306" w:name="síndrome-de-bardet-biedl"/>
    <w:p>
      <w:pPr>
        <w:pStyle w:val="Heading4"/>
      </w:pPr>
      <w:r>
        <w:t xml:space="preserve">Síndrome de Bardet-Biedl</w:t>
      </w:r>
    </w:p>
    <w:p>
      <w:pPr>
        <w:pStyle w:val="FirstParagraph"/>
      </w:pPr>
      <w:r>
        <w:t xml:space="preserve">El síndrome de Bardet-Biedl (BBS) es una enfermedad hereditaria rara en la que las finas prolongaciones celulares (cilios) están alteradas; además de lesiones retinianas, problemas renales y dedos de manos o pies supernumerarios, forman parte de él un hambre intensa y la obesidad. En el estudio de fase 3 (Haqq 2022, PMID 36356613), a las 52 semanas el 32,3 % de las personas con BBS a partir de 12 años alcanzaron una pérdida de peso de al menos el 10 %. En el síndrome de Alström, emparentado con el anterior, los resultados no fueron concluyentes. Una comparación con un grupo de control adecuado procedente de un registro de BBS mostró que el 58,6 % de los pacientes tratados frente al 6,9 % de los no tratados alcanzaron el respectivo criterio de éxito (Argente 2026, PMID 41703984), una contextualización indirecta, pero útil.</w:t>
      </w:r>
    </w:p>
    <w:bookmarkEnd w:id="306"/>
    <w:bookmarkStart w:id="307" w:name="niños-pequeños"/>
    <w:p>
      <w:pPr>
        <w:pStyle w:val="Heading4"/>
      </w:pPr>
      <w:r>
        <w:t xml:space="preserve">Niños pequeños</w:t>
      </w:r>
    </w:p>
    <w:p>
      <w:pPr>
        <w:pStyle w:val="FirstParagraph"/>
      </w:pPr>
      <w:r>
        <w:t xml:space="preserve">En el estudio abierto VENTURE, con 12 niños de entre 2 y 5 años, el IMC disminuyó al cabo de un año un 18 % de media: un 26 % en el déficit de POMC o del receptor de leptina y un 10 % en el BBS. El 91 % de los cuidadores refirió que los niños tenían menos hambre (Argente 2025, PMID 39549719).</w:t>
      </w:r>
    </w:p>
    <w:bookmarkEnd w:id="307"/>
    <w:bookmarkStart w:id="308" w:name="obesidad-hipotalámica"/>
    <w:p>
      <w:pPr>
        <w:pStyle w:val="Heading4"/>
      </w:pPr>
      <w:r>
        <w:t xml:space="preserve">Obesidad hipotalámica</w:t>
      </w:r>
    </w:p>
    <w:p>
      <w:pPr>
        <w:pStyle w:val="FirstParagraph"/>
      </w:pPr>
      <w:r>
        <w:t xml:space="preserve">Un segundo grupo diana, más frecuente, son las personas cuyo hipotálamo ha resultado dañado por un tumor (a menudo un craneofaringioma), una operación o radioterapia. Con frecuencia desarrollan una obesidad difícil de tratar. Tras un estudio abierto de fase 2 con 18 personas, en el que el IMC disminuyó a las 16 semanas un 15 % de media (Roth 2024, PMID 38697184), se realizó el estudio aleatorizado de fase 3 TRANSCEND (Miller 2026, PMID 42418774):</w:t>
      </w:r>
    </w:p>
    <w:p>
      <w:pPr>
        <w:numPr>
          <w:ilvl w:val="0"/>
          <w:numId w:val="1100"/>
        </w:numPr>
        <w:pStyle w:val="Compact"/>
      </w:pPr>
      <w:r>
        <w:t xml:space="preserve">120 personas de entre 4 y 66 años, proporción 2:1 setmelanotida frente a placebo.</w:t>
      </w:r>
    </w:p>
    <w:p>
      <w:pPr>
        <w:numPr>
          <w:ilvl w:val="0"/>
          <w:numId w:val="1100"/>
        </w:numPr>
        <w:pStyle w:val="Compact"/>
      </w:pPr>
      <w:r>
        <w:t xml:space="preserve">A las 52 semanas: IMC −16,5 % con setmelanotida, +3,3 % con placebo.</w:t>
      </w:r>
    </w:p>
    <w:p>
      <w:pPr>
        <w:numPr>
          <w:ilvl w:val="0"/>
          <w:numId w:val="1100"/>
        </w:numPr>
        <w:pStyle w:val="Compact"/>
      </w:pPr>
      <w:r>
        <w:t xml:space="preserve">Puntuación de hambre: −2,73 frente a −1,45 puntos.</w:t>
      </w:r>
    </w:p>
    <w:p>
      <w:pPr>
        <w:numPr>
          <w:ilvl w:val="0"/>
          <w:numId w:val="1100"/>
        </w:numPr>
        <w:pStyle w:val="Compact"/>
      </w:pPr>
      <w:r>
        <w:t xml:space="preserve">Acontecimientos adversos graves: 28 % frente a 8 %.</w:t>
      </w:r>
    </w:p>
    <w:bookmarkEnd w:id="308"/>
    <w:bookmarkStart w:id="309" w:name="variantes-genéticas-más-frecuentes"/>
    <w:p>
      <w:pPr>
        <w:pStyle w:val="Heading4"/>
      </w:pPr>
      <w:r>
        <w:t xml:space="preserve">Variantes genéticas más frecuentes</w:t>
      </w:r>
    </w:p>
    <w:p>
      <w:pPr>
        <w:pStyle w:val="FirstParagraph"/>
      </w:pPr>
      <w:r>
        <w:t xml:space="preserve">Los datos son menos convincentes en personas con una sola copia alterada del gen MC4R, una de las causas genéticas más frecuentes de obesidad grave. En un pequeño estudio de 28 días, estas personas sí perdieron peso, pero claramente menos que las personas con defectos de POMC (Collet 2017, PMID 29031731). Según el registro, ha concluido el estudio de fase 3 más amplio EMANATE sobre distintas variantes de la vía de señalización de MC4R (NCT05093634); en el momento de la búsqueda todavía no había una publicación revisada por pares.</w:t>
      </w:r>
    </w:p>
    <w:bookmarkEnd w:id="309"/>
    <w:bookmarkEnd w:id="310"/>
    <w:bookmarkStart w:id="311" w:name="estudios-en-animales-y-de-laboratorio-12"/>
    <w:p>
      <w:pPr>
        <w:pStyle w:val="Heading3"/>
      </w:pPr>
      <w:r>
        <w:t xml:space="preserve">Estudios en animales y de laboratorio</w:t>
      </w:r>
    </w:p>
    <w:p>
      <w:pPr>
        <w:pStyle w:val="FirstParagraph"/>
      </w:pPr>
      <w:r>
        <w:t xml:space="preserve">En ensayos celulares, la setmelanotida es claramente más potente sobre el receptor MC4 que la alfa-MSH endógena y puede reactivar parcialmente una parte de las variantes defectuosas del receptor. En roedores normales provocó pérdida de peso, pero no en ratones sin receptor MC4 (Collet 2017, PMID 29031731). Esto confirma que el efecto se produce realmente a través de este receptor.</w:t>
      </w:r>
    </w:p>
    <w:bookmarkEnd w:id="311"/>
    <w:bookmarkStart w:id="312" w:name="riesgos-y-efectos-adversos-12"/>
    <w:p>
      <w:pPr>
        <w:pStyle w:val="Heading3"/>
      </w:pPr>
      <w:r>
        <w:t xml:space="preserve">Riesgos y efectos adversos</w:t>
      </w:r>
    </w:p>
    <w:p>
      <w:pPr>
        <w:pStyle w:val="FirstParagraph"/>
      </w:pPr>
      <w:r>
        <w:rPr>
          <w:bCs/>
          <w:b/>
        </w:rPr>
        <w:t xml:space="preserve">Demostrado en estudios:</w:t>
      </w:r>
    </w:p>
    <w:p>
      <w:pPr>
        <w:numPr>
          <w:ilvl w:val="0"/>
          <w:numId w:val="1101"/>
        </w:numPr>
        <w:pStyle w:val="Compact"/>
      </w:pPr>
      <w:r>
        <w:rPr>
          <w:bCs/>
          <w:b/>
        </w:rPr>
        <w:t xml:space="preserve">Reacciones cutáneas en el lugar de inyección</w:t>
      </w:r>
      <w:r>
        <w:t xml:space="preserve"> </w:t>
      </w:r>
      <w:r>
        <w:t xml:space="preserve">(enrojecimiento, hinchazón): en un metaanálisis de siete estudios con 185 personas, en el 96 % (Sridharan 2026, PMID 39924461).</w:t>
      </w:r>
    </w:p>
    <w:p>
      <w:pPr>
        <w:numPr>
          <w:ilvl w:val="0"/>
          <w:numId w:val="1101"/>
        </w:numPr>
        <w:pStyle w:val="Compact"/>
      </w:pPr>
      <w:r>
        <w:rPr>
          <w:bCs/>
          <w:b/>
        </w:rPr>
        <w:t xml:space="preserve">Oscurecimiento de la piel (hiperpigmentación):</w:t>
      </w:r>
      <w:r>
        <w:t xml:space="preserve"> </w:t>
      </w:r>
      <w:r>
        <w:t xml:space="preserve">en el 62 % en el mismo metaanálisis. A través del efecto sobre el receptor de melanocortina 1, la piel se broncea, los labios y los lunares se oscurecen y el pelo pelirrojo puede volverse castaño. En una observación de hasta 46 meses, el bronceado se estabilizó con el tiempo; no aparecieron lesiones cutáneas malignas (Kanti 2021, PMID 34058738). Los especialistas recomiendan revisiones dermatológicas periódicas.</w:t>
      </w:r>
    </w:p>
    <w:p>
      <w:pPr>
        <w:numPr>
          <w:ilvl w:val="0"/>
          <w:numId w:val="1101"/>
        </w:numPr>
        <w:pStyle w:val="Compact"/>
      </w:pPr>
      <w:r>
        <w:rPr>
          <w:bCs/>
          <w:b/>
        </w:rPr>
        <w:t xml:space="preserve">Náuseas y vómitos:</w:t>
      </w:r>
      <w:r>
        <w:t xml:space="preserve"> </w:t>
      </w:r>
      <w:r>
        <w:t xml:space="preserve">en el 36 % y el 26 %, respectivamente; diarrea en el 21 % (Sridharan 2026, PMID 39924461).</w:t>
      </w:r>
    </w:p>
    <w:p>
      <w:pPr>
        <w:numPr>
          <w:ilvl w:val="0"/>
          <w:numId w:val="1101"/>
        </w:numPr>
        <w:pStyle w:val="Compact"/>
      </w:pPr>
      <w:r>
        <w:rPr>
          <w:bCs/>
          <w:b/>
        </w:rPr>
        <w:t xml:space="preserve">Acontecimientos adversos graves:</w:t>
      </w:r>
      <w:r>
        <w:t xml:space="preserve"> </w:t>
      </w:r>
      <w:r>
        <w:t xml:space="preserve">en TRANSCEND, más frecuentes con setmelanotida (28 % frente a 8 %) (Miller 2026, PMID 42418774); el resumen no los desglosa en detalle.</w:t>
      </w:r>
    </w:p>
    <w:p>
      <w:pPr>
        <w:numPr>
          <w:ilvl w:val="0"/>
          <w:numId w:val="1101"/>
        </w:numPr>
        <w:pStyle w:val="Compact"/>
      </w:pPr>
      <w:r>
        <w:t xml:space="preserve">En el estudio de BBS se notificaron como acontecimientos graves, entre otros, ideas suicidas, que no se consideraron relacionadas con el tratamiento (Haqq 2022, PMID 36356613). La ficha técnica contiene advertencias sobre depresión e ideas suicidas, así como sobre erecciones espontáneas en hombres.</w:t>
      </w:r>
    </w:p>
    <w:p>
      <w:pPr>
        <w:pStyle w:val="FirstParagraph"/>
      </w:pPr>
      <w:r>
        <w:rPr>
          <w:bCs/>
          <w:b/>
        </w:rPr>
        <w:t xml:space="preserve">Teórico:</w:t>
      </w:r>
      <w:r>
        <w:t xml:space="preserve"> </w:t>
      </w:r>
      <w:r>
        <w:t xml:space="preserve">no está aclarado si la estimulación continuada de las células pigmentarias influye a largo plazo en el riesgo de cáncer de piel; las observaciones disponibles a lo largo de algunos años no muestran ninguna señal.</w:t>
      </w:r>
    </w:p>
    <w:p>
      <w:pPr>
        <w:pStyle w:val="BodyText"/>
      </w:pPr>
      <w:r>
        <w:rPr>
          <w:bCs/>
          <w:b/>
        </w:rPr>
        <w:t xml:space="preserve">Potencial de abuso:</w:t>
      </w:r>
      <w:r>
        <w:t xml:space="preserve"> </w:t>
      </w:r>
      <w:r>
        <w:t xml:space="preserve">debido a su efecto bronceador, en foros de internet la setmelanotida se relaciona ocasionalmente con el melanotán II. No es un producto adecuado para adelgazar en personas sin un defecto genético demostrado y no se ha estudiado para ese fin.</w:t>
      </w:r>
    </w:p>
    <w:bookmarkEnd w:id="312"/>
    <w:bookmarkStart w:id="313" w:name="situación-legal-12"/>
    <w:p>
      <w:pPr>
        <w:pStyle w:val="Heading3"/>
      </w:pPr>
      <w:r>
        <w:t xml:space="preserve">Situación legal</w:t>
      </w:r>
    </w:p>
    <w:p>
      <w:pPr>
        <w:numPr>
          <w:ilvl w:val="0"/>
          <w:numId w:val="1102"/>
        </w:numPr>
        <w:pStyle w:val="Compact"/>
      </w:pPr>
      <w:r>
        <w:rPr>
          <w:bCs/>
          <w:b/>
        </w:rPr>
        <w:t xml:space="preserve">UE / Austria / Alemania:</w:t>
      </w:r>
      <w:r>
        <w:t xml:space="preserve"> </w:t>
      </w:r>
      <w:r>
        <w:t xml:space="preserve">autorizada (Imcivree), sujeta a prescripción médica, solo para formas confirmadas genéticamente (déficit de POMC, PCSK1 o del receptor de leptina, síndrome de Bardet-Biedl). El diagnóstico requiere un estudio genético; el inicio y el seguimiento corresponden a centros especializados. Detalles sobre la ampliación a la obesidad hipotalámica: situación en 2026, compruébelo en su versión actual.</w:t>
      </w:r>
    </w:p>
    <w:p>
      <w:pPr>
        <w:numPr>
          <w:ilvl w:val="0"/>
          <w:numId w:val="1102"/>
        </w:numPr>
        <w:pStyle w:val="Compact"/>
      </w:pPr>
      <w:r>
        <w:rPr>
          <w:bCs/>
          <w:b/>
        </w:rPr>
        <w:t xml:space="preserve">EE. UU.:</w:t>
      </w:r>
      <w:r>
        <w:t xml:space="preserve"> </w:t>
      </w:r>
      <w:r>
        <w:t xml:space="preserve">autorizada desde 2020 (POMC, PCSK1, LEPR), ampliada posteriormente al síndrome de Bardet-Biedl y a niños más pequeños; sobre la base de TRANSCEND se ha presentado una solicitud para la obesidad hipotalámica (situación en 2026, compruébelo en su versión actual).</w:t>
      </w:r>
    </w:p>
    <w:p>
      <w:pPr>
        <w:numPr>
          <w:ilvl w:val="0"/>
          <w:numId w:val="1102"/>
        </w:numPr>
        <w:pStyle w:val="Compact"/>
      </w:pPr>
      <w:r>
        <w:rPr>
          <w:bCs/>
          <w:b/>
        </w:rPr>
        <w:t xml:space="preserve">Deporte:</w:t>
      </w:r>
      <w:r>
        <w:t xml:space="preserve"> </w:t>
      </w:r>
      <w:r>
        <w:t xml:space="preserve">no figura en la lista de la AMA (situación en 2026, compruébelo en su versión actual).</w:t>
      </w:r>
    </w:p>
    <w:bookmarkEnd w:id="313"/>
    <w:bookmarkStart w:id="314" w:name="estudios-en-curso-y-perspectivas-12"/>
    <w:p>
      <w:pPr>
        <w:pStyle w:val="Heading3"/>
      </w:pPr>
      <w:r>
        <w:t xml:space="preserve">Estudios en curso y perspectivas</w:t>
      </w:r>
    </w:p>
    <w:p>
      <w:pPr>
        <w:pStyle w:val="FirstParagraph"/>
      </w:pPr>
      <w:r>
        <w:rPr>
          <w:bCs/>
          <w:b/>
        </w:rPr>
        <w:t xml:space="preserve">Confirmado (estudios registrados, a octubre de 2026):</w:t>
      </w:r>
    </w:p>
    <w:p>
      <w:pPr>
        <w:numPr>
          <w:ilvl w:val="0"/>
          <w:numId w:val="1103"/>
        </w:numPr>
        <w:pStyle w:val="Compact"/>
      </w:pPr>
      <w:r>
        <w:rPr>
          <w:bCs/>
          <w:b/>
        </w:rPr>
        <w:t xml:space="preserve">TRANSCEND</w:t>
      </w:r>
      <w:r>
        <w:t xml:space="preserve"> </w:t>
      </w:r>
      <w:r>
        <w:t xml:space="preserve">(NCT05774756) continúa en una extensión; un subestudio investiga la obesidad hipotalámica congénita (NCT06760546).</w:t>
      </w:r>
    </w:p>
    <w:p>
      <w:pPr>
        <w:numPr>
          <w:ilvl w:val="0"/>
          <w:numId w:val="1103"/>
        </w:numPr>
        <w:pStyle w:val="Compact"/>
      </w:pPr>
      <w:r>
        <w:rPr>
          <w:bCs/>
          <w:b/>
        </w:rPr>
        <w:t xml:space="preserve">Síndrome de Prader-Willi</w:t>
      </w:r>
      <w:r>
        <w:t xml:space="preserve"> </w:t>
      </w:r>
      <w:r>
        <w:t xml:space="preserve">(NCT06772597): fase 2 con 18 participantes.</w:t>
      </w:r>
    </w:p>
    <w:p>
      <w:pPr>
        <w:numPr>
          <w:ilvl w:val="0"/>
          <w:numId w:val="1103"/>
        </w:numPr>
        <w:pStyle w:val="Compact"/>
      </w:pPr>
      <w:r>
        <w:rPr>
          <w:bCs/>
          <w:b/>
        </w:rPr>
        <w:t xml:space="preserve">Observación a largo plazo</w:t>
      </w:r>
      <w:r>
        <w:t xml:space="preserve"> </w:t>
      </w:r>
      <w:r>
        <w:t xml:space="preserve">en BBS y obesidad genética grave en la práctica clínica (NCT07674290).</w:t>
      </w:r>
    </w:p>
    <w:p>
      <w:pPr>
        <w:numPr>
          <w:ilvl w:val="0"/>
          <w:numId w:val="1103"/>
        </w:numPr>
        <w:pStyle w:val="Compact"/>
      </w:pPr>
      <w:r>
        <w:rPr>
          <w:bCs/>
          <w:b/>
        </w:rPr>
        <w:t xml:space="preserve">EMANATE</w:t>
      </w:r>
      <w:r>
        <w:t xml:space="preserve"> </w:t>
      </w:r>
      <w:r>
        <w:t xml:space="preserve">(NCT05093634) y</w:t>
      </w:r>
      <w:r>
        <w:t xml:space="preserve"> </w:t>
      </w:r>
      <w:r>
        <w:rPr>
          <w:bCs/>
          <w:b/>
        </w:rPr>
        <w:t xml:space="preserve">DAYBREAK</w:t>
      </w:r>
      <w:r>
        <w:t xml:space="preserve"> </w:t>
      </w:r>
      <w:r>
        <w:t xml:space="preserve">(NCT04963231) sobre otras variantes genéticas: concluidos, publicación pendiente.</w:t>
      </w:r>
    </w:p>
    <w:p>
      <w:pPr>
        <w:pStyle w:val="FirstParagraph"/>
      </w:pPr>
      <w:r>
        <w:rPr>
          <w:bCs/>
          <w:b/>
        </w:rPr>
        <w:t xml:space="preserve">Valoración:</w:t>
      </w:r>
      <w:r>
        <w:t xml:space="preserve"> </w:t>
      </w:r>
      <w:r>
        <w:t xml:space="preserve">la setmelanotida ha demostrado que la medicina de precisión en la obesidad es posible: quien conoce la causa puede tratar de forma dirigida. El grupo diana sigue siendo pequeño, aunque con la obesidad hipotalámica podría ampliarse considerablemente. Para la gran mayoría de las personas con obesidad, en las que no existe un defecto genético de este tipo, los fármacos basados en GLP-1 son más eficaces y están mejor estudiados.</w:t>
      </w:r>
    </w:p>
    <w:bookmarkEnd w:id="314"/>
    <w:bookmarkStart w:id="315" w:name="conclusión-12"/>
    <w:p>
      <w:pPr>
        <w:pStyle w:val="Heading3"/>
      </w:pPr>
      <w:r>
        <w:t xml:space="preserve">Conclusión</w:t>
      </w:r>
    </w:p>
    <w:p>
      <w:pPr>
        <w:pStyle w:val="FirstParagraph"/>
      </w:pPr>
      <w:r>
        <w:t xml:space="preserve">La setmelanotida es un pequeño péptido cíclico que activa el receptor MC4 en el cerebro y puentea así los eslabones defectuosos de la vía de señalización leptina-melanocortina. En pequeños estudios de registro, el 80 % de las personas con déficit de POMC y el 45 % con déficit del receptor de leptina perdieron al menos un 10 % de su peso; en la obesidad hipotalámica, el IMC disminuyó al cabo de un año un 16,5 % frente a un aumento con placebo. Casi todas las personas tratadas presentan reacciones cutáneas en el lugar de inyección, y la mayoría un oscurecimiento de la piel. La setmelanotida está autorizada en la UE y en EE. UU. para formas genéticas raras de obesidad y no es un medicamento para la pérdida de peso en general.</w:t>
      </w:r>
    </w:p>
    <w:bookmarkEnd w:id="315"/>
    <w:bookmarkEnd w:id="316"/>
    <w:bookmarkStart w:id="325" w:name="aod-9604"/>
    <w:p>
      <w:pPr>
        <w:pStyle w:val="Heading2"/>
      </w:pPr>
      <w:r>
        <w:t xml:space="preserve">AOD-9604</w:t>
      </w:r>
    </w:p>
    <w:bookmarkStart w:id="317" w:name="ficha-13"/>
    <w:p>
      <w:pPr>
        <w:pStyle w:val="Heading3"/>
      </w:pPr>
      <w:r>
        <w:t xml:space="preserve">Ficha</w:t>
      </w:r>
    </w:p>
    <w:p>
      <w:pPr>
        <w:numPr>
          <w:ilvl w:val="0"/>
          <w:numId w:val="1104"/>
        </w:numPr>
        <w:pStyle w:val="Compact"/>
      </w:pPr>
      <w:r>
        <w:rPr>
          <w:bCs/>
          <w:b/>
        </w:rPr>
        <w:t xml:space="preserve">Tipo/estructura:</w:t>
      </w:r>
      <w:r>
        <w:t xml:space="preserve"> </w:t>
      </w:r>
      <w:r>
        <w:t xml:space="preserve">péptido sintético procedente del extremo final (C-terminal) de la hormona del crecimiento humana: los aminoácidos 177 a 191, completados con una tirosina adicional al principio (Cox 2015, PMID 25208511). En internet se ofrece a menudo con denominaciones como «hGH Fragment 176-191» o «Frag 176-191». El nombre significa «Anti-Obesity Drug 9604».</w:t>
      </w:r>
    </w:p>
    <w:p>
      <w:pPr>
        <w:numPr>
          <w:ilvl w:val="0"/>
          <w:numId w:val="1104"/>
        </w:numPr>
        <w:pStyle w:val="Compact"/>
      </w:pPr>
      <w:r>
        <w:rPr>
          <w:bCs/>
          <w:b/>
        </w:rPr>
        <w:t xml:space="preserve">Origen:</w:t>
      </w:r>
      <w:r>
        <w:t xml:space="preserve"> </w:t>
      </w:r>
      <w:r>
        <w:t xml:space="preserve">desarrollado en la década de 1990 en la Universidad de Monash en Melbourne y desarrollado como medicamento para adelgazar por la empresa australiana Metabolic Pharmaceuticals.</w:t>
      </w:r>
    </w:p>
    <w:p>
      <w:pPr>
        <w:numPr>
          <w:ilvl w:val="0"/>
          <w:numId w:val="1104"/>
        </w:numPr>
        <w:pStyle w:val="Compact"/>
      </w:pPr>
      <w:r>
        <w:rPr>
          <w:bCs/>
          <w:b/>
        </w:rPr>
        <w:t xml:space="preserve">Mecanismo de acción (hipótesis):</w:t>
      </w:r>
      <w:r>
        <w:t xml:space="preserve"> </w:t>
      </w:r>
      <w:r>
        <w:t xml:space="preserve">imitaría el efecto lipolítico de la hormona del crecimiento, sin su efecto sobre la glucemia y el crecimiento.</w:t>
      </w:r>
    </w:p>
    <w:p>
      <w:pPr>
        <w:numPr>
          <w:ilvl w:val="0"/>
          <w:numId w:val="1104"/>
        </w:numPr>
        <w:pStyle w:val="Compact"/>
      </w:pPr>
      <w:r>
        <w:rPr>
          <w:bCs/>
          <w:b/>
        </w:rPr>
        <w:t xml:space="preserve">Autorización UE / EE. UU.:</w:t>
      </w:r>
      <w:r>
        <w:t xml:space="preserve"> </w:t>
      </w:r>
      <w:r>
        <w:t xml:space="preserve">no. Su desarrollo como medicamento se interrumpió tras los estudios de fase 2.</w:t>
      </w:r>
    </w:p>
    <w:p>
      <w:pPr>
        <w:numPr>
          <w:ilvl w:val="0"/>
          <w:numId w:val="1104"/>
        </w:numPr>
        <w:pStyle w:val="Compact"/>
      </w:pPr>
      <w:r>
        <w:rPr>
          <w:bCs/>
          <w:b/>
        </w:rPr>
        <w:t xml:space="preserve">AMA (WADA):</w:t>
      </w:r>
      <w:r>
        <w:t xml:space="preserve"> </w:t>
      </w:r>
      <w:r>
        <w:t xml:space="preserve">prohibido; los fragmentos de la hormona del crecimiento como el AOD-9604 se mencionan expresamente en la Lista de Prohibiciones, en la clase S2 (situación en 2026, compruébelo en su versión actual).</w:t>
      </w:r>
    </w:p>
    <w:p>
      <w:pPr>
        <w:numPr>
          <w:ilvl w:val="0"/>
          <w:numId w:val="1104"/>
        </w:numPr>
        <w:pStyle w:val="Compact"/>
      </w:pPr>
      <w:r>
        <w:rPr>
          <w:bCs/>
          <w:b/>
        </w:rPr>
        <w:t xml:space="preserve">Nivel de evidencia:</w:t>
      </w:r>
      <w:r>
        <w:t xml:space="preserve"> </w:t>
      </w:r>
      <w:r>
        <w:rPr>
          <w:bCs/>
          <w:b/>
        </w:rPr>
        <w:t xml:space="preserve">D</w:t>
      </w:r>
      <w:r>
        <w:t xml:space="preserve"> </w:t>
      </w:r>
      <w:r>
        <w:t xml:space="preserve">– no hay resultados publicados de estudios en humanos localizables en PubMed; datos de estudios en animales y de laboratorio.</w:t>
      </w:r>
    </w:p>
    <w:bookmarkEnd w:id="317"/>
    <w:bookmarkStart w:id="318" w:name="cómo-se-supone-que-actúa-13"/>
    <w:p>
      <w:pPr>
        <w:pStyle w:val="Heading3"/>
      </w:pPr>
      <w:r>
        <w:t xml:space="preserve">Cómo se supone que actúa</w:t>
      </w:r>
    </w:p>
    <w:p>
      <w:pPr>
        <w:pStyle w:val="FirstParagraph"/>
      </w:pPr>
      <w:r>
        <w:t xml:space="preserve">La hormona del crecimiento (hGH) tiene muchos efectos: favorece el crecimiento longitudinal, actúa sobre los músculos y los huesos, estimula la combustión de grasa y eleva la glucemia al debilitar el efecto de la insulina. Ya en las décadas de 1970 y 1980, los investigadores estudiaron en animales si distintos segmentos de la hormona eran responsables de efectos parciales diferentes. Es llamativo que, en un estudio en ratas, versiones modificadas químicamente precisamente de este segmento (aminoácidos 177 a 191) provocaran una glucemia elevada y resistencia a la insulina (Wade 1982, PMID 6751009), es decir, justamente el efecto que el AOD-9604 debía evitar más tarde. Al parecer, los resultados dependen mucho de la forma química exacta del péptido.</w:t>
      </w:r>
    </w:p>
    <w:p>
      <w:pPr>
        <w:pStyle w:val="BodyText"/>
      </w:pPr>
      <w:r>
        <w:t xml:space="preserve">La idea detrás del AOD-9604: un trozo corto del extremo de la hormona conservaría solo el efecto lipolítico. Los estudios de laboratorio mostraron que el AOD-9604 no se une al receptor de la hormona del crecimiento ni estimula allí la división celular (Heffernan 2001, PMID 11673763). Por tanto, no sería una «pequeña hormona del crecimiento», sino una molécula con un mecanismo de acción propio que aún no se comprende del todo. En experimentos con ratones sin adrenorreceptor beta-3 (un receptor importante para la degradación de grasa), no se produjo el efecto reductor del peso a largo plazo; los autores concluyeron que el receptor está implicado, pero no es la diana directa (Heffernan 2001, PMID 11713213).</w:t>
      </w:r>
    </w:p>
    <w:bookmarkEnd w:id="318"/>
    <w:bookmarkStart w:id="319" w:name="estudios-en-humanos-13"/>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w:t>
      </w:r>
      <w:r>
        <w:t xml:space="preserve"> </w:t>
      </w:r>
      <w:r>
        <w:rPr>
          <w:bCs/>
          <w:b/>
        </w:rPr>
        <w:t xml:space="preserve">no</w:t>
      </w:r>
      <w:r>
        <w:t xml:space="preserve"> </w:t>
      </w:r>
      <w:r>
        <w:t xml:space="preserve">arrojó ningún estudio en humanos publicado. En ClinicalTrials.gov no hay ningún estudio registrado con «AOD9604» o «AOD-9604».</w:t>
      </w:r>
    </w:p>
    <w:p>
      <w:pPr>
        <w:pStyle w:val="BodyText"/>
      </w:pPr>
      <w:r>
        <w:t xml:space="preserve">Esto no significa que el AOD-9604 nunca se haya probado en humanos. Revisiones de los años 2004 a 2006 informan de que el AOD-9604 se encontraba en estudios de fase 2 para el tratamiento de la obesidad (Wilding 2004, PMID 15134286; Halford 2006, PMID 16625817). Sin embargo, los resultados de estos estudios no se publicaron en una revista revisada por pares e indexada en PubMed. Según información de acceso público, el desarrollador interrumpió el programa para adelgazar en la segunda mitad de la década de 2000 porque no se observó un efecto suficiente. Como estos datos no proceden de una publicación de estudio verificable, este libro no menciona cifras al respecto.</w:t>
      </w:r>
    </w:p>
    <w:p>
      <w:pPr>
        <w:pStyle w:val="BodyText"/>
      </w:pPr>
      <w:r>
        <w:t xml:space="preserve">Para los lectores, esto significa: quien hoy recibe una oferta de AOD-9604 como péptido para adelgazar o «quemagrasas» no puede apoyarse en ningún estudio en humanos publicado que demuestre un efecto.</w:t>
      </w:r>
    </w:p>
    <w:bookmarkEnd w:id="319"/>
    <w:bookmarkStart w:id="320" w:name="estudios-en-animales-y-de-laboratorio-13"/>
    <w:p>
      <w:pPr>
        <w:pStyle w:val="Heading3"/>
      </w:pPr>
      <w:r>
        <w:t xml:space="preserve">Estudios en animales y de laboratorio</w:t>
      </w:r>
    </w:p>
    <w:p>
      <w:pPr>
        <w:pStyle w:val="FirstParagraph"/>
      </w:pPr>
      <w:r>
        <w:t xml:space="preserve">Todos los resultados siguientes proceden de experimentos con animales o estudios de laboratorio:</w:t>
      </w:r>
    </w:p>
    <w:p>
      <w:pPr>
        <w:numPr>
          <w:ilvl w:val="0"/>
          <w:numId w:val="1105"/>
        </w:numPr>
        <w:pStyle w:val="Compact"/>
      </w:pPr>
      <w:r>
        <w:rPr>
          <w:bCs/>
          <w:b/>
        </w:rPr>
        <w:t xml:space="preserve">En ratas con sobrepeso</w:t>
      </w:r>
      <w:r>
        <w:t xml:space="preserve"> </w:t>
      </w:r>
      <w:r>
        <w:t xml:space="preserve">(ratas Zucker), el AOD-9604, administrado con el alimento durante 19 días, redujo el aumento de peso en más de la mitad; el tejido adiposo mostró una mayor actividad lipolítica. A diferencia de lo que ocurre con la hormona del crecimiento completa, la sensibilidad a la insulina no empeoró (Ng 2000, PMID 11146367).</w:t>
      </w:r>
    </w:p>
    <w:p>
      <w:pPr>
        <w:numPr>
          <w:ilvl w:val="0"/>
          <w:numId w:val="1105"/>
        </w:numPr>
        <w:pStyle w:val="Compact"/>
      </w:pPr>
      <w:r>
        <w:rPr>
          <w:bCs/>
          <w:b/>
        </w:rPr>
        <w:t xml:space="preserve">En ratones con sobrepeso</w:t>
      </w:r>
      <w:r>
        <w:t xml:space="preserve">, tanto la hormona del crecimiento como el AOD-9604 redujeron durante 14 días el aumento de peso e incrementaron la combustión de grasa. A diferencia de la hormona del crecimiento, el AOD-9604 no provocó una glucemia elevada (Heffernan 2001, PMID 11673763).</w:t>
      </w:r>
    </w:p>
    <w:p>
      <w:pPr>
        <w:numPr>
          <w:ilvl w:val="0"/>
          <w:numId w:val="1105"/>
        </w:numPr>
        <w:pStyle w:val="Compact"/>
      </w:pPr>
      <w:r>
        <w:rPr>
          <w:bCs/>
          <w:b/>
        </w:rPr>
        <w:t xml:space="preserve">Trabajos previos más antiguos</w:t>
      </w:r>
      <w:r>
        <w:t xml:space="preserve"> </w:t>
      </w:r>
      <w:r>
        <w:t xml:space="preserve">en ratones con el péptido emparentado hGH 177–191 mostraron un menor aumento del peso corporal y del tejido adiposo (Natera 1994, PMID 7987248).</w:t>
      </w:r>
    </w:p>
    <w:p>
      <w:pPr>
        <w:numPr>
          <w:ilvl w:val="0"/>
          <w:numId w:val="1105"/>
        </w:numPr>
        <w:pStyle w:val="Compact"/>
      </w:pPr>
      <w:r>
        <w:rPr>
          <w:bCs/>
          <w:b/>
        </w:rPr>
        <w:t xml:space="preserve">En conejos</w:t>
      </w:r>
      <w:r>
        <w:t xml:space="preserve"> </w:t>
      </w:r>
      <w:r>
        <w:t xml:space="preserve">con artrosis de rodilla inducida artificialmente, las inyecciones de AOD-9604 en la articulación –solas o junto con ácido hialurónico– mejoraron el estado del cartílago (Kwon 2015, PMID 26275694). En internet, este hallazgo se cita a menudo como prueba de un efecto «regenerador articular» en humanos; no existe ningún estudio de ese tipo en humanos.</w:t>
      </w:r>
    </w:p>
    <w:p>
      <w:pPr>
        <w:pStyle w:val="FirstParagraph"/>
      </w:pPr>
      <w:r>
        <w:t xml:space="preserve">Los estudios en animales son pequeños, en parte antiguos y proceden mayoritariamente del entorno de los desarrolladores.</w:t>
      </w:r>
    </w:p>
    <w:bookmarkEnd w:id="320"/>
    <w:bookmarkStart w:id="321" w:name="riesgos-y-efectos-adversos-13"/>
    <w:p>
      <w:pPr>
        <w:pStyle w:val="Heading3"/>
      </w:pPr>
      <w:r>
        <w:t xml:space="preserve">Riesgos y efectos adversos</w:t>
      </w:r>
    </w:p>
    <w:p>
      <w:pPr>
        <w:pStyle w:val="FirstParagraph"/>
      </w:pPr>
      <w:r>
        <w:rPr>
          <w:bCs/>
          <w:b/>
        </w:rPr>
        <w:t xml:space="preserve">Demostrado:</w:t>
      </w:r>
      <w:r>
        <w:t xml:space="preserve"> </w:t>
      </w:r>
      <w:r>
        <w:t xml:space="preserve">a falta de estudios en humanos publicados, no existen datos sólidos sobre efectos secundarios en humanos.</w:t>
      </w:r>
    </w:p>
    <w:p>
      <w:pPr>
        <w:pStyle w:val="BodyText"/>
      </w:pPr>
      <w:r>
        <w:rPr>
          <w:bCs/>
          <w:b/>
        </w:rPr>
        <w:t xml:space="preserve">A partir de análisis de productos del mercado gris y del control antidopaje:</w:t>
      </w:r>
    </w:p>
    <w:p>
      <w:pPr>
        <w:numPr>
          <w:ilvl w:val="0"/>
          <w:numId w:val="1106"/>
        </w:numPr>
        <w:pStyle w:val="Compact"/>
      </w:pPr>
      <w:r>
        <w:t xml:space="preserve">El AOD-9604 se ofrece desde hace años a través de páginas de internet y se ha encontrado en viales incautados, entre otros lugares en EE. UU. (Cox 2015, PMID 25208511) y en Bélgica, donde las autoridades analizaron preparados peptídicos desconocidos (Vanhee 2014, PMID 24976118).</w:t>
      </w:r>
    </w:p>
    <w:p>
      <w:pPr>
        <w:numPr>
          <w:ilvl w:val="0"/>
          <w:numId w:val="1106"/>
        </w:numPr>
        <w:pStyle w:val="Compact"/>
      </w:pPr>
      <w:r>
        <w:t xml:space="preserve">Las revisiones sobre péptidos en el deporte y en el mercado gris subrayan que para el AOD-9604 y principios activos similares apenas existen datos de seguridad sólidos en humanos y que la composición, la dosis y la pureza de los productos son inciertas (Mendias 2026, PMID 41966639; Dominikowski 2026, PMID 42395176). Otra revisión advierte de productos mal etiquetados o contaminados en el comercio no regulado (Coutinho 2026, PMID 41880199).</w:t>
      </w:r>
    </w:p>
    <w:p>
      <w:pPr>
        <w:pStyle w:val="FirstParagraph"/>
      </w:pPr>
      <w:r>
        <w:rPr>
          <w:bCs/>
          <w:b/>
        </w:rPr>
        <w:t xml:space="preserve">Teórico:</w:t>
      </w:r>
      <w:r>
        <w:t xml:space="preserve"> </w:t>
      </w:r>
      <w:r>
        <w:t xml:space="preserve">con cualquier producto inyectable de fabricación no controlada existen riesgos por contaminantes, bacterias o ingredientes incorrectos (véanse la Parte I y la Parte IV). No se ha estudiado en humanos si el AOD-9604, como la hormona del crecimiento, influye a largo plazo en el metabolismo o en el crecimiento celular. Los datos de laboratorio hablan en contra de un efecto directo sobre el receptor de la hormona del crecimiento (Heffernan 2001, PMID 11673763).</w:t>
      </w:r>
    </w:p>
    <w:bookmarkEnd w:id="321"/>
    <w:bookmarkStart w:id="322" w:name="situación-legal-13"/>
    <w:p>
      <w:pPr>
        <w:pStyle w:val="Heading3"/>
      </w:pPr>
      <w:r>
        <w:t xml:space="preserve">Situación legal</w:t>
      </w:r>
    </w:p>
    <w:p>
      <w:pPr>
        <w:numPr>
          <w:ilvl w:val="0"/>
          <w:numId w:val="1107"/>
        </w:numPr>
        <w:pStyle w:val="Compact"/>
      </w:pPr>
      <w:r>
        <w:rPr>
          <w:bCs/>
          <w:b/>
        </w:rPr>
        <w:t xml:space="preserve">UE / Austria / Alemania:</w:t>
      </w:r>
      <w:r>
        <w:t xml:space="preserve"> </w:t>
      </w:r>
      <w:r>
        <w:t xml:space="preserve">no autorizado como medicamento. Los productos que se ofrecen para uso en humanos no pueden comercializarse según la legislación farmacéutica; las indicaciones «for research use only» no cambian nada.</w:t>
      </w:r>
    </w:p>
    <w:p>
      <w:pPr>
        <w:numPr>
          <w:ilvl w:val="0"/>
          <w:numId w:val="1107"/>
        </w:numPr>
        <w:pStyle w:val="Compact"/>
      </w:pPr>
      <w:r>
        <w:rPr>
          <w:bCs/>
          <w:b/>
        </w:rPr>
        <w:t xml:space="preserve">EE. UU.:</w:t>
      </w:r>
      <w:r>
        <w:t xml:space="preserve"> </w:t>
      </w:r>
      <w:r>
        <w:t xml:space="preserve">no autorizado como medicamento. La FDA ha incluido el AOD-9604 en la lista de sustancias que, por motivos de seguridad, las farmacias no pueden utilizar sin más para elaborar medicamentos (situación en 2026, compruébelo en su versión actual).</w:t>
      </w:r>
    </w:p>
    <w:p>
      <w:pPr>
        <w:numPr>
          <w:ilvl w:val="0"/>
          <w:numId w:val="1107"/>
        </w:numPr>
        <w:pStyle w:val="Compact"/>
      </w:pPr>
      <w:r>
        <w:rPr>
          <w:bCs/>
          <w:b/>
        </w:rPr>
        <w:t xml:space="preserve">Deporte:</w:t>
      </w:r>
      <w:r>
        <w:t xml:space="preserve"> </w:t>
      </w:r>
      <w:r>
        <w:t xml:space="preserve">expresamente prohibido (Lista de Prohibiciones de la AMA, clase S2 – hormonas peptídicas, factores de crecimiento, sustancias relacionadas; fragmentos de la hormona del crecimiento). El AOD-9604 llegó a conocimiento de un público más amplio por el escándalo de dopaje del club australiano de fútbol australiano Essendon en 2013. Para los controles antidopaje se desarrollaron métodos de detección específicos en orina (Cox 2015, PMID 25208511). La prueba habitual de la hormona del crecimiento no se ve afectada por el AOD-9604 (Orlovius 2013, PMID 24124033), por lo que el fragmento debe buscarse de forma específica. Situación en 2026, compruébelo en su versión actual.</w:t>
      </w:r>
    </w:p>
    <w:bookmarkEnd w:id="322"/>
    <w:bookmarkStart w:id="323" w:name="estudios-en-curso-y-perspectivas-13"/>
    <w:p>
      <w:pPr>
        <w:pStyle w:val="Heading3"/>
      </w:pPr>
      <w:r>
        <w:t xml:space="preserve">Estudios en curso y perspectivas</w:t>
      </w:r>
    </w:p>
    <w:p>
      <w:pPr>
        <w:pStyle w:val="FirstParagraph"/>
      </w:pPr>
      <w:r>
        <w:rPr>
          <w:bCs/>
          <w:b/>
        </w:rPr>
        <w:t xml:space="preserve">Confirmado:</w:t>
      </w:r>
      <w:r>
        <w:t xml:space="preserve"> </w:t>
      </w:r>
      <w:r>
        <w:t xml:space="preserve">en ClinicalTrials.gov no hay registrado ningún estudio en curso sobre el AOD-9604 (consulta de octubre de 2026).</w:t>
      </w:r>
    </w:p>
    <w:p>
      <w:pPr>
        <w:pStyle w:val="BodyText"/>
      </w:pPr>
      <w:r>
        <w:rPr>
          <w:bCs/>
          <w:b/>
        </w:rPr>
        <w:t xml:space="preserve">Valoración:</w:t>
      </w:r>
      <w:r>
        <w:t xml:space="preserve"> </w:t>
      </w:r>
      <w:r>
        <w:t xml:space="preserve">no se vislumbra ninguna vía por la que el AOD-9604 pueda convertirse en un medicamento autorizado en un futuro previsible. Con los principios activos basados en GLP-1 existen hoy medicamentos para adelgazar con una eficacia grande y bien documentada; un péptido cuyo propio desarrollo como producto para adelgazar no tuvo éxito difícilmente despertará un nuevo interés inversor. Por ello, el AOD-9604 seguirá siendo previsiblemente un producto del mercado gris.</w:t>
      </w:r>
    </w:p>
    <w:bookmarkEnd w:id="323"/>
    <w:bookmarkStart w:id="324" w:name="conclusión-13"/>
    <w:p>
      <w:pPr>
        <w:pStyle w:val="Heading3"/>
      </w:pPr>
      <w:r>
        <w:t xml:space="preserve">Conclusión</w:t>
      </w:r>
    </w:p>
    <w:p>
      <w:pPr>
        <w:pStyle w:val="FirstParagraph"/>
      </w:pPr>
      <w:r>
        <w:t xml:space="preserve">El AOD-9604 es un trozo corto de la hormona del crecimiento que, en ratas y ratones, estimuló la degradación de grasa sin elevar la glucemia. Aunque en la década de 2000 se realizaron estudios en humanos, sus resultados no se han publicado en revistas revisadas por pares y su desarrollo como medicamento para adelgazar se interrumpió. Por tanto, faltan por completo datos sólidos sobre la eficacia y la seguridad en humanos. El AOD-9604 no está autorizado como medicamento en ningún lugar y está expresamente prohibido en el deporte.</w:t>
      </w:r>
    </w:p>
    <w:bookmarkEnd w:id="324"/>
    <w:bookmarkEnd w:id="325"/>
    <w:bookmarkStart w:id="337" w:name="orforglipron-a-modo-de-comparación"/>
    <w:p>
      <w:pPr>
        <w:pStyle w:val="Heading2"/>
      </w:pPr>
      <w:r>
        <w:t xml:space="preserve">Orforglipron (a modo de comparación)</w:t>
      </w:r>
    </w:p>
    <w:bookmarkStart w:id="326" w:name="ficha-14"/>
    <w:p>
      <w:pPr>
        <w:pStyle w:val="Heading3"/>
      </w:pPr>
      <w:r>
        <w:t xml:space="preserve">Ficha</w:t>
      </w:r>
    </w:p>
    <w:p>
      <w:pPr>
        <w:numPr>
          <w:ilvl w:val="0"/>
          <w:numId w:val="1108"/>
        </w:numPr>
        <w:pStyle w:val="Compact"/>
      </w:pPr>
      <w:r>
        <w:rPr>
          <w:bCs/>
          <w:b/>
        </w:rPr>
        <w:t xml:space="preserve">Tipo/estructura:</w:t>
      </w:r>
      <w:r>
        <w:t xml:space="preserve"> </w:t>
      </w:r>
      <w:r>
        <w:rPr>
          <w:bCs/>
          <w:b/>
        </w:rPr>
        <w:t xml:space="preserve">no es un péptido</w:t>
      </w:r>
      <w:r>
        <w:t xml:space="preserve">, sino una molécula pequeña de síntesis química («small molecule») que actúa sobre el receptor de GLP-1 como un péptido. Código de desarrollo LY3502970. Toma una vez al día en comprimido o cápsula.</w:t>
      </w:r>
    </w:p>
    <w:p>
      <w:pPr>
        <w:numPr>
          <w:ilvl w:val="0"/>
          <w:numId w:val="1108"/>
        </w:numPr>
        <w:pStyle w:val="Compact"/>
      </w:pPr>
      <w:r>
        <w:rPr>
          <w:bCs/>
          <w:b/>
        </w:rPr>
        <w:t xml:space="preserve">Origen:</w:t>
      </w:r>
      <w:r>
        <w:t xml:space="preserve"> </w:t>
      </w:r>
      <w:r>
        <w:t xml:space="preserve">descubierto originalmente por Chugai Pharmaceutical, licenciado y desarrollado por Eli Lilly.</w:t>
      </w:r>
    </w:p>
    <w:p>
      <w:pPr>
        <w:numPr>
          <w:ilvl w:val="0"/>
          <w:numId w:val="1108"/>
        </w:numPr>
        <w:pStyle w:val="Compact"/>
      </w:pPr>
      <w:r>
        <w:rPr>
          <w:bCs/>
          <w:b/>
        </w:rPr>
        <w:t xml:space="preserve">Mecanismo de acción:</w:t>
      </w:r>
      <w:r>
        <w:t xml:space="preserve"> </w:t>
      </w:r>
      <w:r>
        <w:t xml:space="preserve">agonista del receptor de GLP-1, la misma diana que la semaglutida o la liraglutida, pero con una estructura química completamente diferente.</w:t>
      </w:r>
    </w:p>
    <w:p>
      <w:pPr>
        <w:numPr>
          <w:ilvl w:val="0"/>
          <w:numId w:val="1108"/>
        </w:numPr>
        <w:pStyle w:val="Compact"/>
      </w:pPr>
      <w:r>
        <w:rPr>
          <w:bCs/>
          <w:b/>
        </w:rPr>
        <w:t xml:space="preserve">Autorización UE / EE. UU.:</w:t>
      </w:r>
      <w:r>
        <w:t xml:space="preserve"> </w:t>
      </w:r>
      <w:r>
        <w:t xml:space="preserve">según la información recopilada para este libro (octubre de 2026), no consta como autorizado; se han presentado o anunciado solicitudes de autorización sobre la base de los estudios de fase 3; compruébelo en su versión actual.</w:t>
      </w:r>
    </w:p>
    <w:p>
      <w:pPr>
        <w:numPr>
          <w:ilvl w:val="0"/>
          <w:numId w:val="1108"/>
        </w:numPr>
        <w:pStyle w:val="Compact"/>
      </w:pPr>
      <w:r>
        <w:rPr>
          <w:bCs/>
          <w:b/>
        </w:rPr>
        <w:t xml:space="preserve">AMA (WADA):</w:t>
      </w:r>
      <w:r>
        <w:t xml:space="preserve"> </w:t>
      </w:r>
      <w:r>
        <w:t xml:space="preserve">no figura por su nombre; mientras no esté autorizado en ningún país, está prohibido en la clase S0 (situación en 2026, compruébelo en su versión actual).</w:t>
      </w:r>
    </w:p>
    <w:p>
      <w:pPr>
        <w:numPr>
          <w:ilvl w:val="0"/>
          <w:numId w:val="1108"/>
        </w:numPr>
        <w:pStyle w:val="Compact"/>
      </w:pPr>
      <w:r>
        <w:rPr>
          <w:bCs/>
          <w:b/>
        </w:rPr>
        <w:t xml:space="preserve">Nivel de evidencia:</w:t>
      </w:r>
      <w:r>
        <w:t xml:space="preserve"> </w:t>
      </w:r>
      <w:r>
        <w:rPr>
          <w:bCs/>
          <w:b/>
        </w:rPr>
        <w:t xml:space="preserve">A</w:t>
      </w:r>
      <w:r>
        <w:t xml:space="preserve"> </w:t>
      </w:r>
      <w:r>
        <w:t xml:space="preserve">según los datos disponibles (varios grandes estudios de fase 3, incluido un estudio de seguridad cardiovascular); la autorización formal aún está pendiente o debe comprobarse.</w:t>
      </w:r>
    </w:p>
    <w:bookmarkEnd w:id="326"/>
    <w:bookmarkStart w:id="327" w:name="X05eff9d45353f907606529727efb1e856867e2d"/>
    <w:p>
      <w:pPr>
        <w:pStyle w:val="Heading3"/>
      </w:pPr>
      <w:r>
        <w:t xml:space="preserve">Por qué este capítulo figura en un libro sobre péptidos</w:t>
      </w:r>
    </w:p>
    <w:p>
      <w:pPr>
        <w:pStyle w:val="FirstParagraph"/>
      </w:pPr>
      <w:r>
        <w:t xml:space="preserve">Todos los fármacos GLP-1 hasta 2025 eran péptidos. Los péptidos se digieren en gran parte en el tracto gastrointestinal y apenas se absorben; por eso deben inyectarse. La única excepción, la semaglutida en comprimidos, necesita un excipiente que facilite la absorción a través de la mucosa gástrica y unas normas de toma estrictas: en ayunas, con poca agua y con antelación al desayuno (véanse el capítulo Semaglutida y la Parte I sobre la cuestión de cómo llegan los péptidos al organismo).</w:t>
      </w:r>
    </w:p>
    <w:p>
      <w:pPr>
        <w:pStyle w:val="BodyText"/>
      </w:pPr>
      <w:r>
        <w:t xml:space="preserve">El orforglipron evita este problema por principio: como molécula pequeña, se absorbe desde el intestino como un comprimido convencional. Según los estudios, puede tomarse sin tener en cuenta las comidas ni la cantidad de agua (Rosenstock 2026, PMID 41765029). Por ello, el orforglipron es el caso de comparación más importante para la cuestión de si el futuro de los medicamentos para adelgazar está realmente en los péptidos (véase la Parte V).</w:t>
      </w:r>
    </w:p>
    <w:bookmarkEnd w:id="327"/>
    <w:bookmarkStart w:id="328" w:name="cómo-se-supone-que-actúa-14"/>
    <w:p>
      <w:pPr>
        <w:pStyle w:val="Heading3"/>
      </w:pPr>
      <w:r>
        <w:t xml:space="preserve">Cómo se supone que actúa</w:t>
      </w:r>
    </w:p>
    <w:p>
      <w:pPr>
        <w:pStyle w:val="FirstParagraph"/>
      </w:pPr>
      <w:r>
        <w:t xml:space="preserve">El orforglipron se une al receptor de GLP-1 y desencadena efectos similares a los de los agonistas peptídicos: menos apetito, vaciamiento gástrico retrasado y más insulina de forma dependiente de la glucemia. Solo activa el receptor de GLP-1, no los receptores de GIP ni de glucagón. Estudios en personas con diabetes tipo 2 mostraron mejoras en marcadores de la función de las células beta y de la sensibilidad a la insulina (Rosenstock 2025, PMID 40808573).</w:t>
      </w:r>
    </w:p>
    <w:bookmarkEnd w:id="328"/>
    <w:bookmarkStart w:id="331" w:name="estudios-en-humanos-14"/>
    <w:p>
      <w:pPr>
        <w:pStyle w:val="Heading3"/>
      </w:pPr>
      <w:r>
        <w:t xml:space="preserve">Estudios en humanos</w:t>
      </w:r>
    </w:p>
    <w:p>
      <w:pPr>
        <w:pStyle w:val="FirstParagraph"/>
      </w:pPr>
      <w:r>
        <w:rPr>
          <w:bCs/>
          <w:b/>
        </w:rPr>
        <w:t xml:space="preserve">Magnitud de la evidencia disponible:</w:t>
      </w:r>
      <w:r>
        <w:t xml:space="preserve"> </w:t>
      </w:r>
      <w:r>
        <w:t xml:space="preserve">La búsqueda automatizada en PubMed (octubre de 2026) arrojó 20 estudios en humanos. En ClinicalTrials.gov había 53 estudios registrados. Los programas de registro se denominan</w:t>
      </w:r>
      <w:r>
        <w:t xml:space="preserve"> </w:t>
      </w:r>
      <w:r>
        <w:rPr>
          <w:bCs/>
          <w:b/>
        </w:rPr>
        <w:t xml:space="preserve">ATTAIN</w:t>
      </w:r>
      <w:r>
        <w:t xml:space="preserve"> </w:t>
      </w:r>
      <w:r>
        <w:t xml:space="preserve">(obesidad) y</w:t>
      </w:r>
      <w:r>
        <w:t xml:space="preserve"> </w:t>
      </w:r>
      <w:r>
        <w:rPr>
          <w:bCs/>
          <w:b/>
        </w:rPr>
        <w:t xml:space="preserve">ACHIEVE</w:t>
      </w:r>
      <w:r>
        <w:t xml:space="preserve"> </w:t>
      </w:r>
      <w:r>
        <w:t xml:space="preserve">(diabetes tipo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Fase 2 obesidad (Wharton 2023), PMID 37351564</w:t>
            </w:r>
          </w:p>
        </w:tc>
        <w:tc>
          <w:tcPr/>
          <w:p>
            <w:pPr>
              <w:pStyle w:val="Compact"/>
              <w:jc w:val="left"/>
            </w:pPr>
            <w:r>
              <w:t xml:space="preserve">272 adultos sin diabetes, frente a placebo</w:t>
            </w:r>
          </w:p>
        </w:tc>
        <w:tc>
          <w:tcPr/>
          <w:p>
            <w:pPr>
              <w:pStyle w:val="Compact"/>
              <w:jc w:val="left"/>
            </w:pPr>
            <w:r>
              <w:t xml:space="preserve">36 semanas</w:t>
            </w:r>
          </w:p>
        </w:tc>
        <w:tc>
          <w:tcPr/>
          <w:p>
            <w:pPr>
              <w:pStyle w:val="Compact"/>
              <w:jc w:val="left"/>
            </w:pPr>
            <w:r>
              <w:t xml:space="preserve">−9,4 a −14,7 % de peso frente a −2,3 %</w:t>
            </w:r>
          </w:p>
        </w:tc>
      </w:tr>
      <w:tr>
        <w:tc>
          <w:tcPr/>
          <w:p>
            <w:pPr>
              <w:pStyle w:val="Compact"/>
              <w:jc w:val="left"/>
            </w:pPr>
            <w:r>
              <w:t xml:space="preserve">ATTAIN-1 (Wharton 2025), PMID 40960239</w:t>
            </w:r>
          </w:p>
        </w:tc>
        <w:tc>
          <w:tcPr/>
          <w:p>
            <w:pPr>
              <w:pStyle w:val="Compact"/>
              <w:jc w:val="left"/>
            </w:pPr>
            <w:r>
              <w:t xml:space="preserve">3127 adultos con obesidad sin diabetes, frente a placebo</w:t>
            </w:r>
          </w:p>
        </w:tc>
        <w:tc>
          <w:tcPr/>
          <w:p>
            <w:pPr>
              <w:pStyle w:val="Compact"/>
              <w:jc w:val="left"/>
            </w:pPr>
            <w:r>
              <w:t xml:space="preserve">72 semanas</w:t>
            </w:r>
          </w:p>
        </w:tc>
        <w:tc>
          <w:tcPr/>
          <w:p>
            <w:pPr>
              <w:pStyle w:val="Compact"/>
              <w:jc w:val="left"/>
            </w:pPr>
            <w:r>
              <w:t xml:space="preserve">−7,5 / −8,4 / −11,2 % frente a −2,1 %</w:t>
            </w:r>
          </w:p>
        </w:tc>
      </w:tr>
      <w:tr>
        <w:tc>
          <w:tcPr/>
          <w:p>
            <w:pPr>
              <w:pStyle w:val="Compact"/>
              <w:jc w:val="left"/>
            </w:pPr>
            <w:r>
              <w:t xml:space="preserve">ATTAIN-2 (Horn 2026), PMID 41275875</w:t>
            </w:r>
          </w:p>
        </w:tc>
        <w:tc>
          <w:tcPr/>
          <w:p>
            <w:pPr>
              <w:pStyle w:val="Compact"/>
              <w:jc w:val="left"/>
            </w:pPr>
            <w:r>
              <w:t xml:space="preserve">1613 adultos con obesidad y diabetes tipo 2</w:t>
            </w:r>
          </w:p>
        </w:tc>
        <w:tc>
          <w:tcPr/>
          <w:p>
            <w:pPr>
              <w:pStyle w:val="Compact"/>
              <w:jc w:val="left"/>
            </w:pPr>
            <w:r>
              <w:t xml:space="preserve">72 semanas</w:t>
            </w:r>
          </w:p>
        </w:tc>
        <w:tc>
          <w:tcPr/>
          <w:p>
            <w:pPr>
              <w:pStyle w:val="Compact"/>
              <w:jc w:val="left"/>
            </w:pPr>
            <w:r>
              <w:t xml:space="preserve">−5,1 / −7,0 / −9,6 % frente a −2,5 %</w:t>
            </w:r>
          </w:p>
        </w:tc>
      </w:tr>
      <w:tr>
        <w:tc>
          <w:tcPr/>
          <w:p>
            <w:pPr>
              <w:pStyle w:val="Compact"/>
              <w:jc w:val="left"/>
            </w:pPr>
            <w:r>
              <w:t xml:space="preserve">ATTAIN-MAINTAIN (Aronne 2026), PMID 42120723</w:t>
            </w:r>
          </w:p>
        </w:tc>
        <w:tc>
          <w:tcPr/>
          <w:p>
            <w:pPr>
              <w:pStyle w:val="Compact"/>
              <w:jc w:val="left"/>
            </w:pPr>
            <w:r>
              <w:t xml:space="preserve">376 adultos tras tirzepatida o semaglutida, cambio frente a placebo</w:t>
            </w:r>
          </w:p>
        </w:tc>
        <w:tc>
          <w:tcPr/>
          <w:p>
            <w:pPr>
              <w:pStyle w:val="Compact"/>
              <w:jc w:val="left"/>
            </w:pPr>
            <w:r>
              <w:t xml:space="preserve">52 semanas</w:t>
            </w:r>
          </w:p>
        </w:tc>
        <w:tc>
          <w:tcPr/>
          <w:p>
            <w:pPr>
              <w:pStyle w:val="Compact"/>
              <w:jc w:val="left"/>
            </w:pPr>
            <w:r>
              <w:t xml:space="preserve">se mantuvo el 74,7 % y el 79,3 % de la pérdida de peso (placebo 49,2 % y 37,6 %)</w:t>
            </w:r>
          </w:p>
        </w:tc>
      </w:tr>
      <w:tr>
        <w:tc>
          <w:tcPr/>
          <w:p>
            <w:pPr>
              <w:pStyle w:val="Compact"/>
              <w:jc w:val="left"/>
            </w:pPr>
            <w:r>
              <w:t xml:space="preserve">ACHIEVE-1 (Rosenstock 2025), PMID 40544435</w:t>
            </w:r>
          </w:p>
        </w:tc>
        <w:tc>
          <w:tcPr/>
          <w:p>
            <w:pPr>
              <w:pStyle w:val="Compact"/>
              <w:jc w:val="left"/>
            </w:pPr>
            <w:r>
              <w:t xml:space="preserve">559 adultos con diabetes tipo 2 precoz</w:t>
            </w:r>
          </w:p>
        </w:tc>
        <w:tc>
          <w:tcPr/>
          <w:p>
            <w:pPr>
              <w:pStyle w:val="Compact"/>
              <w:jc w:val="left"/>
            </w:pPr>
            <w:r>
              <w:t xml:space="preserve">40 semanas</w:t>
            </w:r>
          </w:p>
        </w:tc>
        <w:tc>
          <w:tcPr/>
          <w:p>
            <w:pPr>
              <w:pStyle w:val="Compact"/>
              <w:jc w:val="left"/>
            </w:pPr>
            <w:r>
              <w:t xml:space="preserve">HbA1c −1,24 a −1,48 frente a −0,41</w:t>
            </w:r>
          </w:p>
        </w:tc>
      </w:tr>
      <w:tr>
        <w:tc>
          <w:tcPr/>
          <w:p>
            <w:pPr>
              <w:pStyle w:val="Compact"/>
              <w:jc w:val="left"/>
            </w:pPr>
            <w:r>
              <w:t xml:space="preserve">ACHIEVE-3 (Rosenstock 2026), PMID 41765029</w:t>
            </w:r>
          </w:p>
        </w:tc>
        <w:tc>
          <w:tcPr/>
          <w:p>
            <w:pPr>
              <w:pStyle w:val="Compact"/>
              <w:jc w:val="left"/>
            </w:pPr>
            <w:r>
              <w:t xml:space="preserve">1698 adultos con diabetes tipo 2, abierto frente a semaglutida en comprimidos</w:t>
            </w:r>
          </w:p>
        </w:tc>
        <w:tc>
          <w:tcPr/>
          <w:p>
            <w:pPr>
              <w:pStyle w:val="Compact"/>
              <w:jc w:val="left"/>
            </w:pPr>
            <w:r>
              <w:t xml:space="preserve">52 semanas</w:t>
            </w:r>
          </w:p>
        </w:tc>
        <w:tc>
          <w:tcPr/>
          <w:p>
            <w:pPr>
              <w:pStyle w:val="Compact"/>
              <w:jc w:val="left"/>
            </w:pPr>
            <w:r>
              <w:t xml:space="preserve">HbA1c −1,71 / −1,91 frente a −1,23 / −1,47</w:t>
            </w:r>
          </w:p>
        </w:tc>
      </w:tr>
      <w:tr>
        <w:tc>
          <w:tcPr/>
          <w:p>
            <w:pPr>
              <w:pStyle w:val="Compact"/>
              <w:jc w:val="left"/>
            </w:pPr>
            <w:r>
              <w:t xml:space="preserve">ACHIEVE-4 (Klein 2026), PMID 42815506</w:t>
            </w:r>
          </w:p>
        </w:tc>
        <w:tc>
          <w:tcPr/>
          <w:p>
            <w:pPr>
              <w:pStyle w:val="Compact"/>
              <w:jc w:val="left"/>
            </w:pPr>
            <w:r>
              <w:t xml:space="preserve">2749 adultos con diabetes tipo 2 y alto riesgo cardiovascular, frente a insulina glargina</w:t>
            </w:r>
          </w:p>
        </w:tc>
        <w:tc>
          <w:tcPr/>
          <w:p>
            <w:pPr>
              <w:pStyle w:val="Compact"/>
              <w:jc w:val="left"/>
            </w:pPr>
            <w:r>
              <w:t xml:space="preserve">mediana de 2 años</w:t>
            </w:r>
          </w:p>
        </w:tc>
        <w:tc>
          <w:tcPr/>
          <w:p>
            <w:pPr>
              <w:pStyle w:val="Compact"/>
              <w:jc w:val="left"/>
            </w:pPr>
            <w:r>
              <w:t xml:space="preserve">MACE-4: 4,2 % frente a 5,0 % (no inferior)</w:t>
            </w:r>
          </w:p>
        </w:tc>
      </w:tr>
    </w:tbl>
    <w:bookmarkStart w:id="329" w:name="obesidad-attain"/>
    <w:p>
      <w:pPr>
        <w:pStyle w:val="Heading4"/>
      </w:pPr>
      <w:r>
        <w:t xml:space="preserve">Obesidad: ATTAIN</w:t>
      </w:r>
    </w:p>
    <w:p>
      <w:pPr>
        <w:pStyle w:val="FirstParagraph"/>
      </w:pPr>
      <w:r>
        <w:rPr>
          <w:bCs/>
          <w:b/>
        </w:rPr>
        <w:t xml:space="preserve">ATTAIN-1</w:t>
      </w:r>
      <w:r>
        <w:t xml:space="preserve"> </w:t>
      </w:r>
      <w:r>
        <w:t xml:space="preserve">(Wharton 2025, PMID 40960239) es el estudio principal. A las 72 semanas, los 3127 participantes perdieron con la dosis más alta una media del 11,2 % de su peso, y con placebo el 2,1 %. Con la dosis más alta, el 54,6 % alcanzó una pérdida de peso de al menos el 10 % y el 18,4 % de al menos el 20 %. Entre el 5,3 y el 10,3 % abandonaron por efectos secundarios (placebo 2,7 %).</w:t>
      </w:r>
    </w:p>
    <w:p>
      <w:pPr>
        <w:pStyle w:val="BodyText"/>
      </w:pPr>
      <w:r>
        <w:t xml:space="preserve">Para situarlo en contexto: es claramente menos que con la semaglutida o la tirzepatida inyectadas en sus estudios de registro y menos de lo que había hecho esperar el estudio de fase 2, con hasta un 14,7 % a las 36 semanas (Wharton 2023, PMID 37351564). No obstante, las comparaciones cruzadas entre estudios solo ofrecen una orientación aproximada.</w:t>
      </w:r>
    </w:p>
    <w:p>
      <w:pPr>
        <w:pStyle w:val="BodyText"/>
      </w:pPr>
      <w:r>
        <w:rPr>
          <w:bCs/>
          <w:b/>
        </w:rPr>
        <w:t xml:space="preserve">ATTAIN-2</w:t>
      </w:r>
      <w:r>
        <w:t xml:space="preserve"> </w:t>
      </w:r>
      <w:r>
        <w:t xml:space="preserve">(Horn 2026, PMID 41275875) mostró en personas con diabetes tipo 2 una pérdida de peso de hasta el 9,6 % frente al 2,5 % con placebo.</w:t>
      </w:r>
    </w:p>
    <w:p>
      <w:pPr>
        <w:pStyle w:val="BodyText"/>
      </w:pPr>
      <w:r>
        <w:rPr>
          <w:bCs/>
          <w:b/>
        </w:rPr>
        <w:t xml:space="preserve">ATTAIN-MAINTAIN</w:t>
      </w:r>
      <w:r>
        <w:t xml:space="preserve"> </w:t>
      </w:r>
      <w:r>
        <w:t xml:space="preserve">(Aronne 2026, PMID 42120723) es especialmente interesante para la práctica. Participantes que previamente habían perdido peso en el estudio SURMOUNT-5 con tirzepatida o semaglutida inyectadas cambiaron a orforglipron o placebo. A las 52 semanas, quienes habían sido tratados antes con tirzepatida mantuvieron con orforglipron el 74,7 % de su pérdida de peso (placebo 49,2 %), y quienes habían sido tratados antes con semaglutida, el 79,3 % (placebo 37,6 %). No hubo un grupo de comparación que simplemente siguiera recibiendo la inyección; los propios autores lo señalan como limitación. Con ello, el concepto «adelgazar con la inyección, mantener con el comprimido» se demuestra por primera vez, pero todavía no se ha comparado con la alternativa «continuar con la inyección».</w:t>
      </w:r>
    </w:p>
    <w:bookmarkEnd w:id="329"/>
    <w:bookmarkStart w:id="330" w:name="diabetes-tipo-2-achieve"/>
    <w:p>
      <w:pPr>
        <w:pStyle w:val="Heading4"/>
      </w:pPr>
      <w:r>
        <w:t xml:space="preserve">Diabetes tipo 2: ACHIEVE</w:t>
      </w:r>
    </w:p>
    <w:p>
      <w:pPr>
        <w:numPr>
          <w:ilvl w:val="0"/>
          <w:numId w:val="1109"/>
        </w:numPr>
        <w:pStyle w:val="Compact"/>
      </w:pPr>
      <w:r>
        <w:rPr>
          <w:bCs/>
          <w:b/>
        </w:rPr>
        <w:t xml:space="preserve">ACHIEVE-1</w:t>
      </w:r>
      <w:r>
        <w:t xml:space="preserve"> </w:t>
      </w:r>
      <w:r>
        <w:t xml:space="preserve">(Rosenstock 2025, PMID 40544435): en la diabetes tipo 2 precoz sin otros fármacos, la HbA1c disminuyó a las 40 semanas hasta 1,48 puntos porcentuales (placebo −0,41) y el peso hasta un 7,6 %. No se produjeron hipoglucemias graves.</w:t>
      </w:r>
    </w:p>
    <w:p>
      <w:pPr>
        <w:numPr>
          <w:ilvl w:val="0"/>
          <w:numId w:val="1109"/>
        </w:numPr>
        <w:pStyle w:val="Compact"/>
      </w:pPr>
      <w:r>
        <w:rPr>
          <w:bCs/>
          <w:b/>
        </w:rPr>
        <w:t xml:space="preserve">ACHIEVE-2</w:t>
      </w:r>
      <w:r>
        <w:t xml:space="preserve"> </w:t>
      </w:r>
      <w:r>
        <w:t xml:space="preserve">(Welch 2026, PMID 42259339): frente al inhibidor de SGLT2 dapagliflozina, el orforglipron no fue inferior en HbA1c y fue más potente con todas las dosis (hasta −1,56 frente a −0,81 puntos porcentuales).</w:t>
      </w:r>
    </w:p>
    <w:p>
      <w:pPr>
        <w:numPr>
          <w:ilvl w:val="0"/>
          <w:numId w:val="1109"/>
        </w:numPr>
        <w:pStyle w:val="Compact"/>
      </w:pPr>
      <w:r>
        <w:rPr>
          <w:bCs/>
          <w:b/>
        </w:rPr>
        <w:t xml:space="preserve">ACHIEVE-3</w:t>
      </w:r>
      <w:r>
        <w:t xml:space="preserve"> </w:t>
      </w:r>
      <w:r>
        <w:t xml:space="preserve">(Rosenstock 2026, PMID 41765029): en comparación directa con la semaglutida en comprimidos, el orforglipron redujo más la HbA1c (−1,91 frente a −1,47 puntos porcentuales con las respectivas dosis más altas). El estudio era abierto, es decir, no cegado. Las molestias gastrointestinales fueron más frecuentes con orforglipron (58–59 % frente a 37–45 %), al igual que los abandonos por efectos secundarios (9–10 % frente a 4–5 %).</w:t>
      </w:r>
    </w:p>
    <w:p>
      <w:pPr>
        <w:numPr>
          <w:ilvl w:val="0"/>
          <w:numId w:val="1109"/>
        </w:numPr>
        <w:pStyle w:val="Compact"/>
      </w:pPr>
      <w:r>
        <w:rPr>
          <w:bCs/>
          <w:b/>
        </w:rPr>
        <w:t xml:space="preserve">ACHIEVE-4</w:t>
      </w:r>
      <w:r>
        <w:t xml:space="preserve"> </w:t>
      </w:r>
      <w:r>
        <w:t xml:space="preserve">(Klein 2026, PMID 42815506): el estudio de seguridad cardiovascular (véase más abajo).</w:t>
      </w:r>
    </w:p>
    <w:bookmarkEnd w:id="330"/>
    <w:bookmarkEnd w:id="331"/>
    <w:bookmarkStart w:id="332" w:name="estudios-en-animales-y-de-laboratorio-14"/>
    <w:p>
      <w:pPr>
        <w:pStyle w:val="Heading3"/>
      </w:pPr>
      <w:r>
        <w:t xml:space="preserve">Estudios en animales y de laboratorio</w:t>
      </w:r>
    </w:p>
    <w:p>
      <w:pPr>
        <w:pStyle w:val="FirstParagraph"/>
      </w:pPr>
      <w:r>
        <w:t xml:space="preserve">Para este capítulo comparativo no se exponen en detalle los datos preclínicos. Es importante una diferencia farmacológica: como molécula pequeña, el orforglipron se degrada mediante enzimas hepáticas. Por ello se han realizado numerosos estudios sobre interacciones con otros medicamentos, por ejemplo con claritromicina, ciclosporina, carbamazepina o quinidina (NCT05469126, NCT05573230, NCT06370728, NCT06704763). Los agonistas peptídicos, en cambio, se degradan como las proteínas y apenas presentan este tipo de interacciones.</w:t>
      </w:r>
    </w:p>
    <w:bookmarkEnd w:id="332"/>
    <w:bookmarkStart w:id="333" w:name="riesgos-y-efectos-adversos-14"/>
    <w:p>
      <w:pPr>
        <w:pStyle w:val="Heading3"/>
      </w:pPr>
      <w:r>
        <w:t xml:space="preserve">Riesgos y efectos adversos</w:t>
      </w:r>
    </w:p>
    <w:p>
      <w:pPr>
        <w:pStyle w:val="FirstParagraph"/>
      </w:pPr>
      <w:r>
        <w:rPr>
          <w:bCs/>
          <w:b/>
        </w:rPr>
        <w:t xml:space="preserve">Demostrado en estudios:</w:t>
      </w:r>
    </w:p>
    <w:p>
      <w:pPr>
        <w:numPr>
          <w:ilvl w:val="0"/>
          <w:numId w:val="1110"/>
        </w:numPr>
        <w:pStyle w:val="Compact"/>
      </w:pPr>
      <w:r>
        <w:rPr>
          <w:bCs/>
          <w:b/>
        </w:rPr>
        <w:t xml:space="preserve">Molestias gastrointestinales</w:t>
      </w:r>
      <w:r>
        <w:t xml:space="preserve">, como con todos los agonistas de GLP-1, en su mayoría de leves a moderadas y durante el escalado de dosis. En ACHIEVE-4, el 62,1 % con orforglipron frente al 14,2 % con insulina glargina refirió molestias gastrointestinales (Klein 2026, PMID 42815506).</w:t>
      </w:r>
    </w:p>
    <w:p>
      <w:pPr>
        <w:numPr>
          <w:ilvl w:val="0"/>
          <w:numId w:val="1110"/>
        </w:numPr>
        <w:pStyle w:val="Compact"/>
      </w:pPr>
      <w:r>
        <w:rPr>
          <w:bCs/>
          <w:b/>
        </w:rPr>
        <w:t xml:space="preserve">Abandonos por efectos secundarios:</w:t>
      </w:r>
      <w:r>
        <w:t xml:space="preserve"> </w:t>
      </w:r>
      <w:r>
        <w:t xml:space="preserve">en ATTAIN-1, hasta el 10,3 % (Wharton 2025, PMID 40960239); en comparación con la semaglutida en comprimidos, aproximadamente el doble de frecuentes (Rosenstock 2026, PMID 41765029).</w:t>
      </w:r>
    </w:p>
    <w:p>
      <w:pPr>
        <w:numPr>
          <w:ilvl w:val="0"/>
          <w:numId w:val="1110"/>
        </w:numPr>
        <w:pStyle w:val="Compact"/>
      </w:pPr>
      <w:r>
        <w:rPr>
          <w:bCs/>
          <w:b/>
        </w:rPr>
        <w:t xml:space="preserve">Pulso:</w:t>
      </w:r>
      <w:r>
        <w:t xml:space="preserve"> </w:t>
      </w:r>
      <w:r>
        <w:t xml:space="preserve">en ACHIEVE-3, la frecuencia cardíaca aumentó con orforglipron entre 3,7 y 4,7 latidos por minuto, y con semaglutida en comprimidos entre 1,0 y 1,5 (Rosenstock 2026, PMID 41765029).</w:t>
      </w:r>
    </w:p>
    <w:p>
      <w:pPr>
        <w:numPr>
          <w:ilvl w:val="0"/>
          <w:numId w:val="1110"/>
        </w:numPr>
        <w:pStyle w:val="Compact"/>
      </w:pPr>
      <w:r>
        <w:rPr>
          <w:bCs/>
          <w:b/>
        </w:rPr>
        <w:t xml:space="preserve">Seguridad cardiovascular:</w:t>
      </w:r>
      <w:r>
        <w:t xml:space="preserve"> </w:t>
      </w:r>
      <w:r>
        <w:t xml:space="preserve">en ACHIEVE-4 se produjeron eventos cardiovasculares graves en el 4,2 % con orforglipron y en el 5,0 % con insulina glargina (hazard ratio 0,84; IC del 95 % 0,59–1,20); por tanto, el orforglipron no fue inferior. Las hipoglucemias clínicamente significativas o graves fueron menos frecuentes (6,8 % frente a 19,2 %) (Klein 2026, PMID 42815506). Un estudio de criterios de valoración propio deberá mostrar si el orforglipron, como algunos agonistas peptídicos,</w:t>
      </w:r>
      <w:r>
        <w:t xml:space="preserve"> </w:t>
      </w:r>
      <w:r>
        <w:rPr>
          <w:iCs/>
          <w:i/>
        </w:rPr>
        <w:t xml:space="preserve">reduce</w:t>
      </w:r>
      <w:r>
        <w:t xml:space="preserve"> </w:t>
      </w:r>
      <w:r>
        <w:t xml:space="preserve">los eventos cardiovasculares (NCT07241390).</w:t>
      </w:r>
    </w:p>
    <w:p>
      <w:pPr>
        <w:numPr>
          <w:ilvl w:val="0"/>
          <w:numId w:val="1110"/>
        </w:numPr>
        <w:pStyle w:val="Compact"/>
      </w:pPr>
      <w:r>
        <w:rPr>
          <w:bCs/>
          <w:b/>
        </w:rPr>
        <w:t xml:space="preserve">Hígado:</w:t>
      </w:r>
      <w:r>
        <w:t xml:space="preserve"> </w:t>
      </w:r>
      <w:r>
        <w:t xml:space="preserve">con moléculas pequeñas de GLP-1 de otros fabricantes, las elevaciones de las enzimas hepáticas fueron un problema. Un análisis agrupado de siete estudios de fase 3 con 11.220 participantes no encontró para el orforglipron ningún caso de daño hepático inducido por fármacos; los valores hepáticos incluso disminuyeron de media (Wharton 2026, PMID 42338042).</w:t>
      </w:r>
    </w:p>
    <w:bookmarkEnd w:id="333"/>
    <w:bookmarkStart w:id="334" w:name="situación-legal-14"/>
    <w:p>
      <w:pPr>
        <w:pStyle w:val="Heading3"/>
      </w:pPr>
      <w:r>
        <w:t xml:space="preserve">Situación legal</w:t>
      </w:r>
    </w:p>
    <w:p>
      <w:pPr>
        <w:numPr>
          <w:ilvl w:val="0"/>
          <w:numId w:val="1111"/>
        </w:numPr>
        <w:pStyle w:val="Compact"/>
      </w:pPr>
      <w:r>
        <w:rPr>
          <w:bCs/>
          <w:b/>
        </w:rPr>
        <w:t xml:space="preserve">UE / Austria / Alemania:</w:t>
      </w:r>
      <w:r>
        <w:t xml:space="preserve"> </w:t>
      </w:r>
      <w:r>
        <w:t xml:space="preserve">a octubre de 2026 consta como no autorizado; cabe esperar un procedimiento de autorización, que puede estar ya en curso; compruébelo en su versión actual.</w:t>
      </w:r>
    </w:p>
    <w:p>
      <w:pPr>
        <w:numPr>
          <w:ilvl w:val="0"/>
          <w:numId w:val="1111"/>
        </w:numPr>
        <w:pStyle w:val="Compact"/>
      </w:pPr>
      <w:r>
        <w:rPr>
          <w:bCs/>
          <w:b/>
        </w:rPr>
        <w:t xml:space="preserve">EE. UU.:</w:t>
      </w:r>
      <w:r>
        <w:t xml:space="preserve"> </w:t>
      </w:r>
      <w:r>
        <w:t xml:space="preserve">se han presentado o anunciado solicitudes de autorización para la obesidad y la diabetes tipo 2 sobre la base de los datos de ATTAIN y ACHIEVE; compruebe en su versión actual el estado de la decisión.</w:t>
      </w:r>
    </w:p>
    <w:p>
      <w:pPr>
        <w:numPr>
          <w:ilvl w:val="0"/>
          <w:numId w:val="1111"/>
        </w:numPr>
        <w:pStyle w:val="Compact"/>
      </w:pPr>
      <w:r>
        <w:rPr>
          <w:bCs/>
          <w:b/>
        </w:rPr>
        <w:t xml:space="preserve">Deporte:</w:t>
      </w:r>
      <w:r>
        <w:t xml:space="preserve"> </w:t>
      </w:r>
      <w:r>
        <w:t xml:space="preserve">mientras no esté autorizado en ningún país, clase S0 de la AMA (situación en 2026, compruébelo en su versión actual).</w:t>
      </w:r>
    </w:p>
    <w:p>
      <w:pPr>
        <w:numPr>
          <w:ilvl w:val="0"/>
          <w:numId w:val="1111"/>
        </w:numPr>
        <w:pStyle w:val="Compact"/>
      </w:pPr>
      <w:r>
        <w:t xml:space="preserve">Las ofertas de «Orforglipron» no autorizado en internet no son medicamentos controlados.</w:t>
      </w:r>
    </w:p>
    <w:bookmarkEnd w:id="334"/>
    <w:bookmarkStart w:id="335" w:name="estudios-en-curso-y-perspectivas-14"/>
    <w:p>
      <w:pPr>
        <w:pStyle w:val="Heading3"/>
      </w:pPr>
      <w:r>
        <w:t xml:space="preserve">Estudios en curso y perspectivas</w:t>
      </w:r>
    </w:p>
    <w:p>
      <w:pPr>
        <w:pStyle w:val="FirstParagraph"/>
      </w:pPr>
      <w:r>
        <w:rPr>
          <w:bCs/>
          <w:b/>
        </w:rPr>
        <w:t xml:space="preserve">Confirmado (estudios registrados, a octubre de 2026):</w:t>
      </w:r>
    </w:p>
    <w:p>
      <w:pPr>
        <w:numPr>
          <w:ilvl w:val="0"/>
          <w:numId w:val="1112"/>
        </w:numPr>
        <w:pStyle w:val="Compact"/>
      </w:pPr>
      <w:r>
        <w:rPr>
          <w:bCs/>
          <w:b/>
        </w:rPr>
        <w:t xml:space="preserve">Estudio de criterios de valoración cardiovasculares</w:t>
      </w:r>
      <w:r>
        <w:t xml:space="preserve"> </w:t>
      </w:r>
      <w:r>
        <w:t xml:space="preserve">en la arteriosclerosis (NCT07241390, 7140 participantes, hasta 2031).</w:t>
      </w:r>
    </w:p>
    <w:p>
      <w:pPr>
        <w:numPr>
          <w:ilvl w:val="0"/>
          <w:numId w:val="1112"/>
        </w:numPr>
        <w:pStyle w:val="Compact"/>
      </w:pPr>
      <w:r>
        <w:rPr>
          <w:bCs/>
          <w:b/>
        </w:rPr>
        <w:t xml:space="preserve">Enfermedad arterial periférica</w:t>
      </w:r>
      <w:r>
        <w:t xml:space="preserve"> </w:t>
      </w:r>
      <w:r>
        <w:t xml:space="preserve">(NCT07223593),</w:t>
      </w:r>
      <w:r>
        <w:t xml:space="preserve"> </w:t>
      </w:r>
      <w:r>
        <w:rPr>
          <w:bCs/>
          <w:b/>
        </w:rPr>
        <w:t xml:space="preserve">hipertensión arterial</w:t>
      </w:r>
      <w:r>
        <w:t xml:space="preserve"> </w:t>
      </w:r>
      <w:r>
        <w:t xml:space="preserve">(NCT06948422, NCT06948435, NCT06952530),</w:t>
      </w:r>
      <w:r>
        <w:t xml:space="preserve"> </w:t>
      </w:r>
      <w:r>
        <w:rPr>
          <w:bCs/>
          <w:b/>
        </w:rPr>
        <w:t xml:space="preserve">artrosis de rodilla</w:t>
      </w:r>
      <w:r>
        <w:t xml:space="preserve"> </w:t>
      </w:r>
      <w:r>
        <w:t xml:space="preserve">(NCT07153471),</w:t>
      </w:r>
      <w:r>
        <w:t xml:space="preserve"> </w:t>
      </w:r>
      <w:r>
        <w:rPr>
          <w:bCs/>
          <w:b/>
        </w:rPr>
        <w:t xml:space="preserve">incontinencia de esfuerzo</w:t>
      </w:r>
      <w:r>
        <w:t xml:space="preserve"> </w:t>
      </w:r>
      <w:r>
        <w:t xml:space="preserve">en mujeres con obesidad (NCT07202884).</w:t>
      </w:r>
    </w:p>
    <w:p>
      <w:pPr>
        <w:numPr>
          <w:ilvl w:val="0"/>
          <w:numId w:val="1112"/>
        </w:numPr>
        <w:pStyle w:val="Compact"/>
      </w:pPr>
      <w:r>
        <w:rPr>
          <w:bCs/>
          <w:b/>
        </w:rPr>
        <w:t xml:space="preserve">Adolescentes</w:t>
      </w:r>
      <w:r>
        <w:t xml:space="preserve"> </w:t>
      </w:r>
      <w:r>
        <w:t xml:space="preserve">(NCT06672939) y</w:t>
      </w:r>
      <w:r>
        <w:t xml:space="preserve"> </w:t>
      </w:r>
      <w:r>
        <w:rPr>
          <w:bCs/>
          <w:b/>
        </w:rPr>
        <w:t xml:space="preserve">niños con diabetes tipo 2</w:t>
      </w:r>
      <w:r>
        <w:t xml:space="preserve"> </w:t>
      </w:r>
      <w:r>
        <w:t xml:space="preserve">en comparación con dulaglutida (NCT07668336).</w:t>
      </w:r>
    </w:p>
    <w:p>
      <w:pPr>
        <w:numPr>
          <w:ilvl w:val="0"/>
          <w:numId w:val="1112"/>
        </w:numPr>
        <w:pStyle w:val="Compact"/>
      </w:pPr>
      <w:r>
        <w:t xml:space="preserve">Estudio sobre la</w:t>
      </w:r>
      <w:r>
        <w:t xml:space="preserve"> </w:t>
      </w:r>
      <w:r>
        <w:rPr>
          <w:bCs/>
          <w:b/>
        </w:rPr>
        <w:t xml:space="preserve">apnea del sueño</w:t>
      </w:r>
      <w:r>
        <w:t xml:space="preserve"> </w:t>
      </w:r>
      <w:r>
        <w:t xml:space="preserve">(NCT06649045) concluido, publicación pendiente.</w:t>
      </w:r>
    </w:p>
    <w:p>
      <w:pPr>
        <w:pStyle w:val="FirstParagraph"/>
      </w:pPr>
      <w:r>
        <w:rPr>
          <w:bCs/>
          <w:b/>
        </w:rPr>
        <w:t xml:space="preserve">Valoración:</w:t>
      </w:r>
      <w:r>
        <w:t xml:space="preserve"> </w:t>
      </w:r>
      <w:r>
        <w:t xml:space="preserve">previsiblemente, el orforglipron será el primer fármaco GLP-1 no peptídico ampliamente disponible. Su punto fuerte no es la máxima pérdida de peso –en eso van por delante los péptidos inyectables–, sino la toma sencilla, la fabricación probablemente más económica y su idoneidad para el tratamiento continuado tras una fase con inyecciones. Para el mercado de los péptidos, esto supone una competencia seria, sobre todo en el tratamiento a largo plazo y de mantenimiento (véase la Parte V).</w:t>
      </w:r>
    </w:p>
    <w:bookmarkEnd w:id="335"/>
    <w:bookmarkStart w:id="336" w:name="conclusión-14"/>
    <w:p>
      <w:pPr>
        <w:pStyle w:val="Heading3"/>
      </w:pPr>
      <w:r>
        <w:t xml:space="preserve">Conclusión</w:t>
      </w:r>
    </w:p>
    <w:p>
      <w:pPr>
        <w:pStyle w:val="FirstParagraph"/>
      </w:pPr>
      <w:r>
        <w:t xml:space="preserve">El orforglipron no es un péptido, sino una molécula pequeña que, en forma de comprimido, activa el receptor de GLP-1 y puede tragarse sin normas de toma. En ATTAIN-1, el peso disminuyó a las 72 semanas hasta un 11,2 % –menos que con la semaglutida o la tirzepatida inyectadas–, y tras el cambio desde una inyección, los participantes mantuvieron alrededor de tres cuartas partes de su pérdida de peso. En la diabetes tipo 2 redujo la HbA1c más que la semaglutida en comprimidos y demostró seguridad cardiovascular frente a la insulina. Las molestias gastrointestinales y los abandonos del tratamiento son algo más frecuentes que con la semaglutida en comprimidos.</w:t>
      </w:r>
    </w:p>
    <w:bookmarkEnd w:id="336"/>
    <w:bookmarkEnd w:id="337"/>
    <w:bookmarkEnd w:id="338"/>
    <w:bookmarkStart w:id="461" w:name="Xf63fce0567bee1b32a19e886d3ccaf1eaa6ef86"/>
    <w:p>
      <w:pPr>
        <w:pStyle w:val="Heading1"/>
      </w:pPr>
      <w:r>
        <w:t xml:space="preserve">Parte II · B – Curación, regeneración y sistema inmunitario</w:t>
      </w:r>
    </w:p>
    <w:p>
      <w:pPr>
        <w:pStyle w:val="FirstParagraph"/>
      </w:pPr>
      <w:r>
        <w:t xml:space="preserve">Los péptidos de este grupo prometen lo que muchos desean: una curación más rápida de tendones y músculos, una pared intestinal más estanca, un sistema inmunitario más fuerte, menos inflamación. En tiendas en línea, foros de fitness y clínicas de longevidad, el BPC-157, el TB-500 y la timosina alfa 1 figuran entre los «péptidos de investigación» más vendidos de todos.</w:t>
      </w:r>
    </w:p>
    <w:bookmarkStart w:id="339" w:name="lo-que-une-a-estos-péptidos"/>
    <w:p>
      <w:pPr>
        <w:pStyle w:val="Heading3"/>
      </w:pPr>
      <w:r>
        <w:t xml:space="preserve">Lo que une a estos péptidos</w:t>
      </w:r>
    </w:p>
    <w:p>
      <w:pPr>
        <w:pStyle w:val="FirstParagraph"/>
      </w:pPr>
      <w:r>
        <w:t xml:space="preserve">Ninguno de los ocho principios activos pretende modificar un único objetivo claramente medible –como la glucemia o el peso corporal–, sino «estimular» o «normalizar» procesos de reparación y defensa propios del organismo. Esto tiene dos consecuencias que recorren todos los capítulos:</w:t>
      </w:r>
    </w:p>
    <w:p>
      <w:pPr>
        <w:numPr>
          <w:ilvl w:val="0"/>
          <w:numId w:val="1113"/>
        </w:numPr>
        <w:pStyle w:val="Compact"/>
      </w:pPr>
      <w:r>
        <w:rPr>
          <w:bCs/>
          <w:b/>
        </w:rPr>
        <w:t xml:space="preserve">El efecto es difícil de medir.</w:t>
      </w:r>
      <w:r>
        <w:t xml:space="preserve"> </w:t>
      </w:r>
      <w:r>
        <w:t xml:space="preserve">La curación, el dolor y la función inmunitaria fluctúan mucho, dependen de muchos factores y son propensos a los efectos placebo. Por eso, los estudios pequeños sin grupo de control tienen especialmente poco valor probatorio.</w:t>
      </w:r>
    </w:p>
    <w:p>
      <w:pPr>
        <w:numPr>
          <w:ilvl w:val="0"/>
          <w:numId w:val="1113"/>
        </w:numPr>
        <w:pStyle w:val="Compact"/>
      </w:pPr>
      <w:r>
        <w:rPr>
          <w:bCs/>
          <w:b/>
        </w:rPr>
        <w:t xml:space="preserve">La plausibilidad sustituye a menudo a las pruebas.</w:t>
      </w:r>
      <w:r>
        <w:t xml:space="preserve"> </w:t>
      </w:r>
      <w:r>
        <w:t xml:space="preserve">Casi todos los péptidos de este grupo derivan de sustancias propias del organismo: del jugo gástrico (BPC-157), del timo (timosina alfa 1, timalina), de la defensa cutánea (LL-37), de la hormona alfa-MSH (KPV) o de la eritropoyetina (ARA-290). «Propio del organismo» suena inofensivo, pero no dice nada sobre el beneficio y la seguridad de una administración externa en dosis altas.</w:t>
      </w:r>
    </w:p>
    <w:p>
      <w:pPr>
        <w:pStyle w:val="FirstParagraph"/>
      </w:pPr>
      <w:r>
        <w:t xml:space="preserve">Llama además la atención un patrón recurrente: los estudios iniciales pequeños parecen prometedores, pero los estudios más grandes y mejor cegados no los confirman. Así ocurre con la timosina alfa 1 en la sepsis, con la timosina beta 4 en colirio, con el LL-37 en las úlceras de pierna y con la larazotida en la enfermedad celíaca.</w:t>
      </w:r>
    </w:p>
    <w:bookmarkEnd w:id="339"/>
    <w:bookmarkStart w:id="340" w:name="el-grupo-de-un-vistazo"/>
    <w:p>
      <w:pPr>
        <w:pStyle w:val="Heading3"/>
      </w:pPr>
      <w:r>
        <w:t xml:space="preserve">El grupo de un vistazo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w:t>
            </w:r>
          </w:p>
        </w:tc>
        <w:tc>
          <w:tcPr/>
          <w:p>
            <w:pPr>
              <w:pStyle w:val="Compact"/>
              <w:jc w:val="left"/>
            </w:pPr>
            <w:r>
              <w:t xml:space="preserve">En resumen</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no</w:t>
            </w:r>
          </w:p>
        </w:tc>
        <w:tc>
          <w:tcPr/>
          <w:p>
            <w:pPr>
              <w:pStyle w:val="Compact"/>
              <w:jc w:val="left"/>
            </w:pPr>
            <w:r>
              <w:t xml:space="preserve">cientos de estudios en animales, casi todos de un mismo grupo; en humanos, tres minúsculos estudios piloto</w:t>
            </w:r>
          </w:p>
        </w:tc>
      </w:tr>
      <w:tr>
        <w:tc>
          <w:tcPr/>
          <w:p>
            <w:pPr>
              <w:pStyle w:val="Compact"/>
              <w:jc w:val="left"/>
            </w:pPr>
            <w:r>
              <w:t xml:space="preserve">TB-500 / timosina beta 4</w:t>
            </w:r>
          </w:p>
        </w:tc>
        <w:tc>
          <w:tcPr/>
          <w:p>
            <w:pPr>
              <w:pStyle w:val="Compact"/>
              <w:jc w:val="left"/>
            </w:pPr>
            <w:r>
              <w:t xml:space="preserve">B (Tβ4) · D (TB-500)</w:t>
            </w:r>
          </w:p>
        </w:tc>
        <w:tc>
          <w:tcPr/>
          <w:p>
            <w:pPr>
              <w:pStyle w:val="Compact"/>
              <w:jc w:val="left"/>
            </w:pPr>
            <w:r>
              <w:t xml:space="preserve">no</w:t>
            </w:r>
          </w:p>
        </w:tc>
        <w:tc>
          <w:tcPr/>
          <w:p>
            <w:pPr>
              <w:pStyle w:val="Compact"/>
              <w:jc w:val="left"/>
            </w:pPr>
            <w:r>
              <w:t xml:space="preserve">Tβ4 evaluada en ECA, grandes estudios oculares sin beneficio claro; TB-500 nunca en humanos</w:t>
            </w:r>
          </w:p>
        </w:tc>
      </w:tr>
      <w:tr>
        <w:tc>
          <w:tcPr/>
          <w:p>
            <w:pPr>
              <w:pStyle w:val="Compact"/>
              <w:jc w:val="left"/>
            </w:pPr>
            <w:r>
              <w:t xml:space="preserve">Timosina alfa 1</w:t>
            </w:r>
          </w:p>
        </w:tc>
        <w:tc>
          <w:tcPr/>
          <w:p>
            <w:pPr>
              <w:pStyle w:val="Compact"/>
              <w:jc w:val="left"/>
            </w:pPr>
            <w:r>
              <w:t xml:space="preserve">B</w:t>
            </w:r>
          </w:p>
        </w:tc>
        <w:tc>
          <w:tcPr/>
          <w:p>
            <w:pPr>
              <w:pStyle w:val="Compact"/>
              <w:jc w:val="left"/>
            </w:pPr>
            <w:r>
              <w:t xml:space="preserve">China, entre otros; no UE/EE. UU.</w:t>
            </w:r>
          </w:p>
        </w:tc>
        <w:tc>
          <w:tcPr/>
          <w:p>
            <w:pPr>
              <w:pStyle w:val="Compact"/>
              <w:jc w:val="left"/>
            </w:pPr>
            <w:r>
              <w:t xml:space="preserve">muchos ECA; gran estudio en sepsis sin diferencia frente a placebo</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no</w:t>
            </w:r>
          </w:p>
        </w:tc>
        <w:tc>
          <w:tcPr/>
          <w:p>
            <w:pPr>
              <w:pStyle w:val="Compact"/>
              <w:jc w:val="left"/>
            </w:pPr>
            <w:r>
              <w:t xml:space="preserve">eficaz en ratones con colitis; ningún estudio en humanos</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no</w:t>
            </w:r>
          </w:p>
        </w:tc>
        <w:tc>
          <w:tcPr/>
          <w:p>
            <w:pPr>
              <w:pStyle w:val="Compact"/>
              <w:jc w:val="left"/>
            </w:pPr>
            <w:r>
              <w:t xml:space="preserve">péptido de defensa propio del organismo; estudio en heridas con 148 personas sin ventaja</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no</w:t>
            </w:r>
          </w:p>
        </w:tc>
        <w:tc>
          <w:tcPr/>
          <w:p>
            <w:pPr>
              <w:pStyle w:val="Compact"/>
              <w:jc w:val="left"/>
            </w:pPr>
            <w:r>
              <w:t xml:space="preserve">pequeños ECA en lesiones nerviosas por sarcoidosis; sin nuevos estudios desde 2015</w:t>
            </w:r>
          </w:p>
        </w:tc>
      </w:tr>
      <w:tr>
        <w:tc>
          <w:tcPr/>
          <w:p>
            <w:pPr>
              <w:pStyle w:val="Compact"/>
              <w:jc w:val="left"/>
            </w:pPr>
            <w:r>
              <w:t xml:space="preserve">Larazotida</w:t>
            </w:r>
          </w:p>
        </w:tc>
        <w:tc>
          <w:tcPr/>
          <w:p>
            <w:pPr>
              <w:pStyle w:val="Compact"/>
              <w:jc w:val="left"/>
            </w:pPr>
            <w:r>
              <w:t xml:space="preserve">B</w:t>
            </w:r>
          </w:p>
        </w:tc>
        <w:tc>
          <w:tcPr/>
          <w:p>
            <w:pPr>
              <w:pStyle w:val="Compact"/>
              <w:jc w:val="left"/>
            </w:pPr>
            <w:r>
              <w:t xml:space="preserve">no</w:t>
            </w:r>
          </w:p>
        </w:tc>
        <w:tc>
          <w:tcPr/>
          <w:p>
            <w:pPr>
              <w:pStyle w:val="Compact"/>
              <w:jc w:val="left"/>
            </w:pPr>
            <w:r>
              <w:t xml:space="preserve">candidata para la enfermedad celíaca; fase 3 interrumpida</w:t>
            </w:r>
          </w:p>
        </w:tc>
      </w:tr>
      <w:tr>
        <w:tc>
          <w:tcPr/>
          <w:p>
            <w:pPr>
              <w:pStyle w:val="Compact"/>
              <w:jc w:val="left"/>
            </w:pPr>
            <w:r>
              <w:t xml:space="preserve">Timalina / timógeno</w:t>
            </w:r>
          </w:p>
        </w:tc>
        <w:tc>
          <w:tcPr/>
          <w:p>
            <w:pPr>
              <w:pStyle w:val="Compact"/>
              <w:jc w:val="left"/>
            </w:pPr>
            <w:r>
              <w:t xml:space="preserve">C</w:t>
            </w:r>
          </w:p>
        </w:tc>
        <w:tc>
          <w:tcPr/>
          <w:p>
            <w:pPr>
              <w:pStyle w:val="Compact"/>
              <w:jc w:val="left"/>
            </w:pPr>
            <w:r>
              <w:t xml:space="preserve">Rusia</w:t>
            </w:r>
          </w:p>
        </w:tc>
        <w:tc>
          <w:tcPr/>
          <w:p>
            <w:pPr>
              <w:pStyle w:val="Compact"/>
              <w:jc w:val="left"/>
            </w:pPr>
            <w:r>
              <w:t xml:space="preserve">casi solo estudios rusos de una misma escuela, apenas aleatorizados</w:t>
            </w:r>
          </w:p>
        </w:tc>
      </w:tr>
    </w:tbl>
    <w:p>
      <w:pPr>
        <w:pStyle w:val="BodyText"/>
      </w:pPr>
      <w:r>
        <w:t xml:space="preserve">Niveles de evidencia:</w:t>
      </w:r>
      <w:r>
        <w:t xml:space="preserve"> </w:t>
      </w:r>
      <w:r>
        <w:rPr>
          <w:bCs/>
          <w:b/>
        </w:rPr>
        <w:t xml:space="preserve">A</w:t>
      </w:r>
      <w:r>
        <w:t xml:space="preserve"> </w:t>
      </w:r>
      <w:r>
        <w:t xml:space="preserve">varios grandes ECA o autorización ·</w:t>
      </w:r>
      <w:r>
        <w:t xml:space="preserve"> </w:t>
      </w:r>
      <w:r>
        <w:rPr>
          <w:bCs/>
          <w:b/>
        </w:rPr>
        <w:t xml:space="preserve">B</w:t>
      </w:r>
      <w:r>
        <w:t xml:space="preserve"> </w:t>
      </w:r>
      <w:r>
        <w:t xml:space="preserve">ECA aislados ·</w:t>
      </w:r>
      <w:r>
        <w:t xml:space="preserve"> </w:t>
      </w:r>
      <w:r>
        <w:rPr>
          <w:bCs/>
          <w:b/>
        </w:rPr>
        <w:t xml:space="preserve">C</w:t>
      </w:r>
      <w:r>
        <w:t xml:space="preserve"> </w:t>
      </w:r>
      <w:r>
        <w:t xml:space="preserve">solo estudios en humanos pequeños o no controlados ·</w:t>
      </w:r>
      <w:r>
        <w:t xml:space="preserve"> </w:t>
      </w:r>
      <w:r>
        <w:rPr>
          <w:bCs/>
          <w:b/>
        </w:rPr>
        <w:t xml:space="preserve">D</w:t>
      </w:r>
      <w:r>
        <w:t xml:space="preserve"> </w:t>
      </w:r>
      <w:r>
        <w:t xml:space="preserve">solo estudios en animales y de laboratorio. La autorización se refiere a la autorización como medicamento, situación en 2026.</w:t>
      </w:r>
    </w:p>
    <w:p>
      <w:pPr>
        <w:pStyle w:val="BodyText"/>
      </w:pPr>
      <w:r>
        <w:t xml:space="preserve">Ni un solo péptido de este grupo está autorizado como medicamento en la UE o en EE. UU. Los dos principios activos con autorizaciones fuera de Occidente –la timosina alfa 1 y la timalina– se autorizaron sobre la base de estudios que solo en parte resisten los criterios actuales.</w:t>
      </w:r>
    </w:p>
    <w:bookmarkEnd w:id="340"/>
    <w:bookmarkStart w:id="341" w:name="indicaciones-para-la-lectura"/>
    <w:p>
      <w:pPr>
        <w:pStyle w:val="Heading3"/>
      </w:pPr>
      <w:r>
        <w:t xml:space="preserve">Indicaciones para la lectura</w:t>
      </w:r>
    </w:p>
    <w:p>
      <w:pPr>
        <w:pStyle w:val="FirstParagraph"/>
      </w:pPr>
      <w:r>
        <w:t xml:space="preserve">Los capítulos siguen la estructura uniforme de este libro. En este grupo, preste especial atención a tres distinciones:</w:t>
      </w:r>
    </w:p>
    <w:p>
      <w:pPr>
        <w:numPr>
          <w:ilvl w:val="0"/>
          <w:numId w:val="1114"/>
        </w:numPr>
        <w:pStyle w:val="Compact"/>
      </w:pPr>
      <w:r>
        <w:rPr>
          <w:bCs/>
          <w:b/>
        </w:rPr>
        <w:t xml:space="preserve">¿Humano o animal?</w:t>
      </w:r>
      <w:r>
        <w:t xml:space="preserve"> </w:t>
      </w:r>
      <w:r>
        <w:t xml:space="preserve">En el caso del BPC-157, el KPV y el TB-500, casi todo lo que se afirma en internet se basa en experimentos con ratas, ratones o cultivos celulares. Los capítulos lo señalan expresamente en cada caso.</w:t>
      </w:r>
    </w:p>
    <w:p>
      <w:pPr>
        <w:numPr>
          <w:ilvl w:val="0"/>
          <w:numId w:val="1114"/>
        </w:numPr>
        <w:pStyle w:val="Compact"/>
      </w:pPr>
      <w:r>
        <w:rPr>
          <w:bCs/>
          <w:b/>
        </w:rPr>
        <w:t xml:space="preserve">¿Principio activo o valor medido?</w:t>
      </w:r>
      <w:r>
        <w:t xml:space="preserve"> </w:t>
      </w:r>
      <w:r>
        <w:t xml:space="preserve">Sobre el LL-37 hay muchos estudios que</w:t>
      </w:r>
      <w:r>
        <w:t xml:space="preserve"> </w:t>
      </w:r>
      <w:r>
        <w:rPr>
          <w:iCs/>
          <w:i/>
        </w:rPr>
        <w:t xml:space="preserve">miden</w:t>
      </w:r>
      <w:r>
        <w:t xml:space="preserve"> </w:t>
      </w:r>
      <w:r>
        <w:t xml:space="preserve">la sustancia en sangre, pero pocos que la</w:t>
      </w:r>
      <w:r>
        <w:t xml:space="preserve"> </w:t>
      </w:r>
      <w:r>
        <w:rPr>
          <w:iCs/>
          <w:i/>
        </w:rPr>
        <w:t xml:space="preserve">administran</w:t>
      </w:r>
      <w:r>
        <w:t xml:space="preserve"> </w:t>
      </w:r>
      <w:r>
        <w:t xml:space="preserve">como medicamento. Solo estos últimos dicen algo sobre un tratamiento.</w:t>
      </w:r>
    </w:p>
    <w:p>
      <w:pPr>
        <w:numPr>
          <w:ilvl w:val="0"/>
          <w:numId w:val="1114"/>
        </w:numPr>
        <w:pStyle w:val="Compact"/>
      </w:pPr>
      <w:r>
        <w:rPr>
          <w:bCs/>
          <w:b/>
        </w:rPr>
        <w:t xml:space="preserve">¿Original o derivado?</w:t>
      </w:r>
      <w:r>
        <w:t xml:space="preserve"> </w:t>
      </w:r>
      <w:r>
        <w:t xml:space="preserve">El TB-500 no es la timosina beta 4, el timógeno no es la timalina, y el producto que se vende en internet no es la forma farmacéutica utilizada en los estudios.</w:t>
      </w:r>
    </w:p>
    <w:p>
      <w:pPr>
        <w:pStyle w:val="FirstParagraph"/>
      </w:pPr>
      <w:r>
        <w:t xml:space="preserve">Dos capítulos contienen advertencias sobre entradas de registro cuya autenticidad es dudosa: un promotor ha inscrito en ClinicalTrials.gov tanto un estudio de fase 2 sobre el BPC-157 como un estudio sobre el TB-500, uno de los cuales se describe a sí mismo como «ejemplo ficticio». Así pues, tampoco una entrada de registro prueba que un estudio se esté realizando realmente.</w:t>
      </w:r>
    </w:p>
    <w:p>
      <w:pPr>
        <w:pStyle w:val="BodyText"/>
      </w:pPr>
      <w:r>
        <w:t xml:space="preserve">Las cuestiones sobre productos del mercado gris, contaminantes y el riesgo teórico de cáncer por señales de crecimiento y vasculares se tratan con más detalle y de forma transversal a todos los péptidos en el capítulo I.5 y en la Parte IV. Para los deportistas rige lo siguiente: el BPC-157, el TB-500 y el ARA-290 están expresamente prohibidos por la AMA; en el caso de los demás, consulte a su agencia nacional antidopaje antes de cualquier uso.</w:t>
      </w:r>
    </w:p>
    <w:bookmarkEnd w:id="341"/>
    <w:bookmarkStart w:id="359" w:name="bpc-157"/>
    <w:p>
      <w:pPr>
        <w:pStyle w:val="Heading2"/>
      </w:pPr>
      <w:r>
        <w:t xml:space="preserve">BPC-157</w:t>
      </w:r>
    </w:p>
    <w:p>
      <w:pPr>
        <w:pStyle w:val="FirstParagraph"/>
      </w:pPr>
      <w:r>
        <w:t xml:space="preserve">Pocos péptidos se buscan, se recomiendan y se venden tanto en internet como el BPC-157. En foros y vídeos se considera un remedio milagroso para tendones, ligamentos, músculos, intestino e incluso el cerebro. Quien lee la literatura especializada encuentra, efectivamente, mucho más de doscientas publicaciones. Pero el panorama cambia en cuanto se pregunta cuántas de ellas han estudiado a seres humanos: son solo un puñado –pequeñas, no controladas y procedentes de una única consulta privada–. Este capítulo sitúa en contexto qué está demostrado, qué solo se ha mostrado en ratas y dónde están los riesgos.</w:t>
      </w:r>
    </w:p>
    <w:bookmarkStart w:id="342" w:name="ficha-15"/>
    <w:p>
      <w:pPr>
        <w:pStyle w:val="Heading3"/>
      </w:pPr>
      <w:r>
        <w:t xml:space="preserve">Ficha</w:t>
      </w:r>
    </w:p>
    <w:p>
      <w:pPr>
        <w:numPr>
          <w:ilvl w:val="0"/>
          <w:numId w:val="1115"/>
        </w:numPr>
        <w:pStyle w:val="Compact"/>
      </w:pPr>
      <w:r>
        <w:rPr>
          <w:bCs/>
          <w:b/>
        </w:rPr>
        <w:t xml:space="preserve">Tipo y estructura:</w:t>
      </w:r>
      <w:r>
        <w:t xml:space="preserve"> </w:t>
      </w:r>
      <w:r>
        <w:t xml:space="preserve">péptido sintético de 15 aminoácidos (pentadecapéptido) con la secuencia GEPPPGKPADDAGLV (Cox 2017, PMID 28035768).</w:t>
      </w:r>
    </w:p>
    <w:p>
      <w:pPr>
        <w:numPr>
          <w:ilvl w:val="0"/>
          <w:numId w:val="1115"/>
        </w:numPr>
        <w:pStyle w:val="Compact"/>
      </w:pPr>
      <w:r>
        <w:rPr>
          <w:bCs/>
          <w:b/>
        </w:rPr>
        <w:t xml:space="preserve">Origen:</w:t>
      </w:r>
      <w:r>
        <w:t xml:space="preserve"> </w:t>
      </w:r>
      <w:r>
        <w:t xml:space="preserve">derivado de una proteína más grande que se describió en la década de 1990 a partir del jugo gástrico humano («Body Protection Compound», de ahí BPC). El BPC-157 que se vende es un producto de laboratorio; no está demostrado de forma independiente que la secuencia exista en esta forma en el organismo.</w:t>
      </w:r>
    </w:p>
    <w:p>
      <w:pPr>
        <w:numPr>
          <w:ilvl w:val="0"/>
          <w:numId w:val="1115"/>
        </w:numPr>
        <w:pStyle w:val="Compact"/>
      </w:pPr>
      <w:r>
        <w:rPr>
          <w:bCs/>
          <w:b/>
        </w:rPr>
        <w:t xml:space="preserve">Nombres de desarrollo anteriores:</w:t>
      </w:r>
      <w:r>
        <w:t xml:space="preserve"> </w:t>
      </w:r>
      <w:r>
        <w:t xml:space="preserve">PL 14736, PL-10, PLD-116 (empresa Pliva, Croacia), posteriormente «Bepecin» o PCO-02.</w:t>
      </w:r>
    </w:p>
    <w:p>
      <w:pPr>
        <w:numPr>
          <w:ilvl w:val="0"/>
          <w:numId w:val="1115"/>
        </w:numPr>
        <w:pStyle w:val="Compact"/>
      </w:pPr>
      <w:r>
        <w:rPr>
          <w:bCs/>
          <w:b/>
        </w:rPr>
        <w:t xml:space="preserve">Mecanismo de acción (supuesto, a partir de estudios en animales):</w:t>
      </w:r>
      <w:r>
        <w:t xml:space="preserve"> </w:t>
      </w:r>
      <w:r>
        <w:t xml:space="preserve">estímulo de la formación de nuevos vasos sanguíneos (angiogénesis) a través del receptor 2 de VEGF y del sistema del óxido nítrico, efecto sobre la migración de las células del tejido conjuntivo.</w:t>
      </w:r>
    </w:p>
    <w:p>
      <w:pPr>
        <w:numPr>
          <w:ilvl w:val="0"/>
          <w:numId w:val="1115"/>
        </w:numPr>
        <w:pStyle w:val="Compact"/>
      </w:pPr>
      <w:r>
        <w:rPr>
          <w:bCs/>
          <w:b/>
        </w:rPr>
        <w:t xml:space="preserve">Autorización UE:</w:t>
      </w:r>
      <w:r>
        <w:t xml:space="preserve"> </w:t>
      </w:r>
      <w:r>
        <w:t xml:space="preserve">no.</w:t>
      </w:r>
      <w:r>
        <w:t xml:space="preserve"> </w:t>
      </w:r>
      <w:r>
        <w:rPr>
          <w:bCs/>
          <w:b/>
        </w:rPr>
        <w:t xml:space="preserve">Autorización EE. UU.:</w:t>
      </w:r>
      <w:r>
        <w:t xml:space="preserve"> </w:t>
      </w:r>
      <w:r>
        <w:t xml:space="preserve">no; en 2023, la FDA lo clasificó como principio activo con problemas de seguridad para la elaboración de fórmulas magistrales (categoría 2).</w:t>
      </w:r>
    </w:p>
    <w:p>
      <w:pPr>
        <w:numPr>
          <w:ilvl w:val="0"/>
          <w:numId w:val="1115"/>
        </w:numPr>
        <w:pStyle w:val="Compact"/>
      </w:pPr>
      <w:r>
        <w:rPr>
          <w:bCs/>
          <w:b/>
        </w:rPr>
        <w:t xml:space="preserve">WADA:</w:t>
      </w:r>
      <w:r>
        <w:t xml:space="preserve"> </w:t>
      </w:r>
      <w:r>
        <w:t xml:space="preserve">prohibido, grupo S0 «sustancias no aprobadas» (mencionado expresamente).</w:t>
      </w:r>
    </w:p>
    <w:p>
      <w:pPr>
        <w:numPr>
          <w:ilvl w:val="0"/>
          <w:numId w:val="1115"/>
        </w:numPr>
        <w:pStyle w:val="Compact"/>
      </w:pPr>
      <w:r>
        <w:rPr>
          <w:bCs/>
          <w:b/>
        </w:rPr>
        <w:t xml:space="preserve">Nivel de evidencia: C</w:t>
      </w:r>
      <w:r>
        <w:t xml:space="preserve"> </w:t>
      </w:r>
      <w:r>
        <w:t xml:space="preserve">– solo tres estudios muy pequeños y no controlados en humanos, con unas 30 personas en total; ningún estudio aleatorizado concluido.</w:t>
      </w:r>
    </w:p>
    <w:bookmarkEnd w:id="342"/>
    <w:bookmarkStart w:id="343" w:name="cómo-se-supone-que-actúa-15"/>
    <w:p>
      <w:pPr>
        <w:pStyle w:val="Heading3"/>
      </w:pPr>
      <w:r>
        <w:t xml:space="preserve">Cómo se supone que actúa</w:t>
      </w:r>
    </w:p>
    <w:p>
      <w:pPr>
        <w:pStyle w:val="FirstParagraph"/>
      </w:pPr>
      <w:r>
        <w:t xml:space="preserve">La idea básica procede de la investigación gástrica. La mucosa del estómago está expuesta a diario a ácido, enzimas y medicamentos como los analgésicos y, aun así, se repara con asombrosa rapidez. En la década de 1990, investigadores de Zagreb supusieron que unas sustancias protectoras del jugo gástrico eran responsables de esta capacidad y aislaron un péptido al que llamaron «Body Protection Compound». El BPC-157 es un fragmento corto de este.</w:t>
      </w:r>
    </w:p>
    <w:p>
      <w:pPr>
        <w:pStyle w:val="BodyText"/>
      </w:pPr>
      <w:r>
        <w:t xml:space="preserve">Resulta inusual que el BPC-157 se mantenga estable en el jugo gástrico. La mayoría de los péptidos se descomponen allí rápidamente. Los defensores deducen de ello que también podría actuar en comprimidos; en humanos no está demostrado.</w:t>
      </w:r>
    </w:p>
    <w:p>
      <w:pPr>
        <w:pStyle w:val="BodyText"/>
      </w:pPr>
      <w:r>
        <w:t xml:space="preserve">Para el supuesto efecto se discuten sobre todo tres mecanismos, todos ellos procedentes de experimentos con animales y células:</w:t>
      </w:r>
    </w:p>
    <w:p>
      <w:pPr>
        <w:numPr>
          <w:ilvl w:val="0"/>
          <w:numId w:val="1116"/>
        </w:numPr>
        <w:pStyle w:val="Compact"/>
      </w:pPr>
      <w:r>
        <w:rPr>
          <w:bCs/>
          <w:b/>
        </w:rPr>
        <w:t xml:space="preserve">Formación de nuevos vasos:</w:t>
      </w:r>
      <w:r>
        <w:t xml:space="preserve"> </w:t>
      </w:r>
      <w:r>
        <w:t xml:space="preserve">en cultivos de células endoteliales humanas, el BPC-157 aumentó la cantidad del receptor 2 de VEGF (un interruptor central para el crecimiento de nuevos vasos sanguíneos) y activó la vía de señalización posterior Akt-eNOS; en ratas con una arteria de la pata ligada, la irrigación se recuperó más rápidamente (Hsieh 2017, PMID 27847966). Un trabajo procedente de China describió en 2026, en ensayos celulares, otra vía a través de las proteínas FBXO22 y BACH1 (Zhang 2026, PMID 41606641).</w:t>
      </w:r>
    </w:p>
    <w:p>
      <w:pPr>
        <w:numPr>
          <w:ilvl w:val="0"/>
          <w:numId w:val="1116"/>
        </w:numPr>
        <w:pStyle w:val="Compact"/>
      </w:pPr>
      <w:r>
        <w:rPr>
          <w:bCs/>
          <w:b/>
        </w:rPr>
        <w:t xml:space="preserve">Migración y supervivencia celular:</w:t>
      </w:r>
      <w:r>
        <w:t xml:space="preserve"> </w:t>
      </w:r>
      <w:r>
        <w:t xml:space="preserve">en cultivos de células tendinosas de rata, el BPC-157 aceleró la salida de células de fragmentos de tendón, mejoró su supervivencia bajo estrés oxidativo y favoreció su migración; la división celular en sí no aumentó directamente (Chang 2011, PMID 21030672).</w:t>
      </w:r>
    </w:p>
    <w:p>
      <w:pPr>
        <w:numPr>
          <w:ilvl w:val="0"/>
          <w:numId w:val="1116"/>
        </w:numPr>
        <w:pStyle w:val="Compact"/>
      </w:pPr>
      <w:r>
        <w:rPr>
          <w:bCs/>
          <w:b/>
        </w:rPr>
        <w:t xml:space="preserve">Sensibilidad a la hormona del crecimiento:</w:t>
      </w:r>
      <w:r>
        <w:t xml:space="preserve"> </w:t>
      </w:r>
      <w:r>
        <w:t xml:space="preserve">en las mismas células tendinosas de rata, el BPC-157 aumentó el número de receptores de la hormona del crecimiento (Chang 2014, PMID 25415472).</w:t>
      </w:r>
    </w:p>
    <w:p>
      <w:pPr>
        <w:pStyle w:val="FirstParagraph"/>
      </w:pPr>
      <w:r>
        <w:t xml:space="preserve">A ello se suma una gran variedad de otros efectos sobre el óxido nítrico, la coagulación sanguínea y los neurotransmisores, descritos sobre todo en revisiones del grupo de Zagreb (Sikiric 2025, PMID 40573323). Hasta hoy no se conoce ningún receptor concreto al que se una el BPC-157.</w:t>
      </w:r>
    </w:p>
    <w:p>
      <w:pPr>
        <w:pStyle w:val="BodyText"/>
      </w:pPr>
      <w:r>
        <w:t xml:space="preserve">Llama la atención una contradicción que señala una revisión farmacéutica: en animales, el BPC-157 tiene una semivida de menos de 30 minutos, pero los efectos descritos se mantendrían durante horas o días (Mateescu 2026, PMID 42198317). No está claro cómo encaja esto.</w:t>
      </w:r>
    </w:p>
    <w:bookmarkEnd w:id="343"/>
    <w:bookmarkStart w:id="346" w:name="estudios-en-humanos-15"/>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de este libro</w:t>
      </w:r>
      <w:r>
        <w:t xml:space="preserve"> </w:t>
      </w:r>
      <w:r>
        <w:rPr>
          <w:bCs/>
          <w:b/>
        </w:rPr>
        <w:t xml:space="preserve">no</w:t>
      </w:r>
      <w:r>
        <w:t xml:space="preserve"> </w:t>
      </w:r>
      <w:r>
        <w:t xml:space="preserve">encontró en PubMed ningún estudio que cumpliera los criterios de filtro de un estudio en humanos (</w:t>
      </w:r>
      <w:r>
        <w:rPr>
          <w:rStyle w:val="VerbatimChar"/>
        </w:rPr>
        <w:t xml:space="preserve">humanstudien_alle</w:t>
      </w:r>
      <w:r>
        <w:t xml:space="preserve">: 0), y</w:t>
      </w:r>
      <w:r>
        <w:t xml:space="preserve"> </w:t>
      </w:r>
      <w:r>
        <w:rPr>
          <w:bCs/>
          <w:b/>
        </w:rPr>
        <w:t xml:space="preserve">4</w:t>
      </w:r>
      <w:r>
        <w:t xml:space="preserve"> </w:t>
      </w:r>
      <w:r>
        <w:t xml:space="preserve">entradas en el registro de estudios ClinicalTrials.gov. En total, PubMed recoge para el BPC-157 unas 230 publicaciones, casi exclusivamente experimentos con animales, trabajos de laboratorio y artículos de revisión.</w:t>
      </w:r>
    </w:p>
    <w:p>
      <w:pPr>
        <w:pStyle w:val="BodyText"/>
      </w:pPr>
      <w:r>
        <w:t xml:space="preserve">Una búsqueda adicional específica dio con tres pequeños estudios en humanos. Los tres proceden del mismo primer autor, de una consulta privada en Florida, y se publicaron en una revista de medicina alternativa. Una revisión sistemática publicada en 2026 encontró exactamente estos tres trabajos, con 30 personas en total (Poolton 2026, PMID 42885452).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Rodilla (Lee 2021), PMID 34324435</w:t>
            </w:r>
          </w:p>
        </w:tc>
        <w:tc>
          <w:tcPr/>
          <w:p>
            <w:pPr>
              <w:pStyle w:val="Compact"/>
              <w:jc w:val="left"/>
            </w:pPr>
            <w:r>
              <w:t xml:space="preserve">16 personas con dolor de rodilla de diversas causas, revisión retrospectiva de historias clínicas con encuesta telefónica, sin grupo de control</w:t>
            </w:r>
          </w:p>
        </w:tc>
        <w:tc>
          <w:tcPr/>
          <w:p>
            <w:pPr>
              <w:pStyle w:val="Compact"/>
              <w:jc w:val="left"/>
            </w:pPr>
            <w:r>
              <w:t xml:space="preserve">retrospectiva de 6–12 meses</w:t>
            </w:r>
          </w:p>
        </w:tc>
        <w:tc>
          <w:tcPr/>
          <w:p>
            <w:pPr>
              <w:pStyle w:val="Compact"/>
              <w:jc w:val="left"/>
            </w:pPr>
            <w:r>
              <w:t xml:space="preserve">14 de 16 refirieron alivio del dolor; 12 recibieron solo BPC-157, 4 además timosina beta 4</w:t>
            </w:r>
          </w:p>
        </w:tc>
      </w:tr>
      <w:tr>
        <w:tc>
          <w:tcPr/>
          <w:p>
            <w:pPr>
              <w:pStyle w:val="Compact"/>
              <w:jc w:val="left"/>
            </w:pPr>
            <w:r>
              <w:t xml:space="preserve">Cistitis intersticial (Lee 2024), PMID 39325560</w:t>
            </w:r>
          </w:p>
        </w:tc>
        <w:tc>
          <w:tcPr/>
          <w:p>
            <w:pPr>
              <w:pStyle w:val="Compact"/>
              <w:jc w:val="left"/>
            </w:pPr>
            <w:r>
              <w:t xml:space="preserve">12 mujeres con enfermedad crónica de dolor vesical, inyecciones en la pared de la vejiga durante una cistoscopia, sin grupo de control</w:t>
            </w:r>
          </w:p>
        </w:tc>
        <w:tc>
          <w:tcPr/>
          <w:p>
            <w:pPr>
              <w:pStyle w:val="Compact"/>
              <w:jc w:val="left"/>
            </w:pPr>
            <w:r>
              <w:t xml:space="preserve">un tratamiento</w:t>
            </w:r>
          </w:p>
        </w:tc>
        <w:tc>
          <w:tcPr/>
          <w:p>
            <w:pPr>
              <w:pStyle w:val="Compact"/>
              <w:jc w:val="left"/>
            </w:pPr>
            <w:r>
              <w:t xml:space="preserve">10 de 12 indicaron mejoría completa y 2 mejoría predominante; no se notificaron efectos secundarios</w:t>
            </w:r>
          </w:p>
        </w:tc>
      </w:tr>
      <w:tr>
        <w:tc>
          <w:tcPr/>
          <w:p>
            <w:pPr>
              <w:pStyle w:val="Compact"/>
              <w:jc w:val="left"/>
            </w:pPr>
            <w:r>
              <w:t xml:space="preserve">Infusión intravenosa (Lee 2025), PMID 40131143</w:t>
            </w:r>
          </w:p>
        </w:tc>
        <w:tc>
          <w:tcPr/>
          <w:p>
            <w:pPr>
              <w:pStyle w:val="Compact"/>
              <w:jc w:val="left"/>
            </w:pPr>
            <w:r>
              <w:t xml:space="preserve">2 personas, prueba de seguridad en dos días</w:t>
            </w:r>
          </w:p>
        </w:tc>
        <w:tc>
          <w:tcPr/>
          <w:p>
            <w:pPr>
              <w:pStyle w:val="Compact"/>
              <w:jc w:val="left"/>
            </w:pPr>
            <w:r>
              <w:t xml:space="preserve">3 días</w:t>
            </w:r>
          </w:p>
        </w:tc>
        <w:tc>
          <w:tcPr/>
          <w:p>
            <w:pPr>
              <w:pStyle w:val="Compact"/>
              <w:jc w:val="left"/>
            </w:pPr>
            <w:r>
              <w:t xml:space="preserve">sin cambios medibles en los valores sanguíneos analizados, sin molestias</w:t>
            </w:r>
          </w:p>
        </w:tc>
      </w:tr>
    </w:tbl>
    <w:bookmarkStart w:id="344" w:name="qué-valor-tienen-estos-datos"/>
    <w:p>
      <w:pPr>
        <w:pStyle w:val="Heading4"/>
      </w:pPr>
      <w:r>
        <w:t xml:space="preserve">¿Qué valor tienen estos datos?</w:t>
      </w:r>
    </w:p>
    <w:p>
      <w:pPr>
        <w:pStyle w:val="FirstParagraph"/>
      </w:pPr>
      <w:r>
        <w:t xml:space="preserve">Escaso. El estudio de la rodilla no fue un estudio planificado, sino una encuesta telefónica a posteriori entre pacientes que ya habían pagado el tratamiento. No hubo grupo de comparación, ni cegamiento, ni instrumentos de medición de la función o la calidad de vida, ni pruebas de imagen. Las causas del dolor de rodilla iban desde la artrosis hasta las roturas de menisco. Según el resumen, no se utilizaron cuestionarios estandarizados de función (Lee 2021, PMID 34324435).</w:t>
      </w:r>
    </w:p>
    <w:p>
      <w:pPr>
        <w:pStyle w:val="BodyText"/>
      </w:pPr>
      <w:r>
        <w:t xml:space="preserve">El trabajo sobre la cistitis registró el resultado con un único cuestionario global. Que las doce mujeres dieran la mejor valoración posible es inusual para una enfermedad crónica, a menudo difícil de tratar, y sin grupo de control no se puede distinguir de un efecto placebo o de la fluctuación natural de los síntomas. Es destacable, además, que el BPC-157 utilizado procedía de una farmacia de formulación magistral estadounidense (Lee 2024, PMID 39325560).</w:t>
      </w:r>
    </w:p>
    <w:p>
      <w:pPr>
        <w:pStyle w:val="BodyText"/>
      </w:pPr>
      <w:r>
        <w:t xml:space="preserve">El estudio de infusión incluyó a dos personas que ya habían recibido BPC-157 anteriormente. A partir de dos personas no se puede extraer ninguna conclusión sobre la seguridad: los efectos secundarios raros o tardíos permanecen invisibles de este modo (Lee 2025, PMID 40131143).</w:t>
      </w:r>
    </w:p>
    <w:p>
      <w:pPr>
        <w:pStyle w:val="BodyText"/>
      </w:pPr>
      <w:r>
        <w:t xml:space="preserve">La revisión sistemática calificó la calidad metodológica de los tres trabajos como deficiente y la fiabilidad de la evidencia según el sistema GRADE como «muy baja». Su conclusión: el BPC-157 no debería utilizarse en humanos fuera de ensayos clínicos de alta calidad y aprobados éticamente (Poolton 2026, PMID 42885452). Otra revisión sistemática de ortopedia deportiva, con búsqueda hasta junio de 2024, encontró entre 36 trabajos incluidos un único estudio clínico (Vasireddi 2025, PMID 40756949). Varias revisiones recientes de ortopedia y medicina deportiva llegan a la misma conclusión: actualmente no se puede recomendar un uso rutinario (Tham 2026, PMID 42937313; Tewari 2026, PMID 42578445).</w:t>
      </w:r>
    </w:p>
    <w:bookmarkEnd w:id="344"/>
    <w:bookmarkStart w:id="345" w:name="X7aef6e6a46037f5c60d683342b4adbefc54f51c"/>
    <w:p>
      <w:pPr>
        <w:pStyle w:val="Heading4"/>
      </w:pPr>
      <w:r>
        <w:t xml:space="preserve">Qué fue de los estudios anteriores de la empresa</w:t>
      </w:r>
    </w:p>
    <w:p>
      <w:pPr>
        <w:pStyle w:val="FirstParagraph"/>
      </w:pPr>
      <w:r>
        <w:t xml:space="preserve">En la década de 2000, la farmacéutica croata Pliva desarrolló el BPC-157 con el código PL 14736 para las enfermedades inflamatorias intestinales crónicas. Estudios en animales de aquella época señalan que la sustancia se estaba evaluando «actualmente en ensayos clínicos» (Staresinic 2003, PMID 14554208). Una revisión del grupo de Zagreb menciona estudios en colitis ulcerosa y esclerosis múltiple (Seiwerth 2021, PMID 34267654). Los resultados completos de estos estudios no pueden encontrarse en PubMed como trabajo original. Además, en 2015 se registró un estudio de fase 1 con comprimidos («Bepecin», PCO-02) en 42 voluntarios sanos (NCT02637284); su estado lleva años siendo «desconocido» y no se han publicado resultados.</w:t>
      </w:r>
    </w:p>
    <w:p>
      <w:pPr>
        <w:pStyle w:val="BodyText"/>
      </w:pPr>
      <w:r>
        <w:t xml:space="preserve">Para los lectores, esto significa: cuando las páginas web afirman que el BPC-157 ha sido «seguro en ensayos clínicos», se refieren a estudios cuyos datos nadie puede verificar de forma independiente.</w:t>
      </w:r>
    </w:p>
    <w:bookmarkEnd w:id="345"/>
    <w:bookmarkEnd w:id="346"/>
    <w:bookmarkStart w:id="350" w:name="estudios-en-animales-y-de-laboratorio-15"/>
    <w:p>
      <w:pPr>
        <w:pStyle w:val="Heading3"/>
      </w:pPr>
      <w:r>
        <w:t xml:space="preserve">Estudios en animales y de laboratorio</w:t>
      </w:r>
    </w:p>
    <w:p>
      <w:pPr>
        <w:pStyle w:val="FirstParagraph"/>
      </w:pPr>
      <w:r>
        <w:t xml:space="preserve">La investigación preclínica es la razón por la que el BPC-157 se hizo tan conocido. Es amplia, pero inusualmente unilateral en su origen.</w:t>
      </w:r>
    </w:p>
    <w:bookmarkStart w:id="347" w:name="un-grupo-de-investigación-domina"/>
    <w:p>
      <w:pPr>
        <w:pStyle w:val="Heading4"/>
      </w:pPr>
      <w:r>
        <w:t xml:space="preserve">Un grupo de investigación domina</w:t>
      </w:r>
    </w:p>
    <w:p>
      <w:pPr>
        <w:pStyle w:val="FirstParagraph"/>
      </w:pPr>
      <w:r>
        <w:t xml:space="preserve">De los unos 230 resultados en PubMed (consulta de octubre de 2026), aproximadamente 175 citan como autor al farmacólogo de Zagreb Predrag Sikirić, es decir, alrededor de tres cuartas partes. Una revisión sobre la curación de tendones y músculos señaló que en dos décadas solo un puñado de grupos de investigación había estudiado a fondo el BPC-157 (Gwyer 2019, PMID 30915550). Esto es importante para la valoración: los resultados científicos solo se consideran sólidos cuando grupos independientes los reproducen. Una revisión crítica de 2026 sobre trastornos circulatorios en roedores critica los cortos periodos de observación, los experimentos con dosis única y los riesgos de sesgo descritos de forma incompleta, y reclama réplicas independientes y cegadas (Demirtaş 2026, PMID 42794771). Un breve comentario en la revista Inflammopharmacology analizó específicamente en 2025 una extensa revisión de este grupo (Whitehouse 2025, PMID 40759852).</w:t>
      </w:r>
    </w:p>
    <w:p>
      <w:pPr>
        <w:pStyle w:val="BodyText"/>
      </w:pPr>
      <w:r>
        <w:t xml:space="preserve">Sí existen trabajos independientes –sobre todo de Taiwán (células tendinosas, vasos), Corea del Sur y China–, pero son claramente menos frecuentes y en su mayoría ensayos de laboratorio o celulares.</w:t>
      </w:r>
    </w:p>
    <w:bookmarkEnd w:id="347"/>
    <w:bookmarkStart w:id="348" w:name="visión-general-por-sistemas-orgánicos"/>
    <w:p>
      <w:pPr>
        <w:pStyle w:val="Heading4"/>
      </w:pPr>
      <w:r>
        <w:t xml:space="preserve">Visión general por sistemas orgánicos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Ámbito</w:t>
            </w:r>
          </w:p>
        </w:tc>
        <w:tc>
          <w:tcPr/>
          <w:p>
            <w:pPr>
              <w:pStyle w:val="Compact"/>
              <w:jc w:val="left"/>
            </w:pPr>
            <w:r>
              <w:t xml:space="preserve">Modelo típico</w:t>
            </w:r>
          </w:p>
        </w:tc>
        <w:tc>
          <w:tcPr/>
          <w:p>
            <w:pPr>
              <w:pStyle w:val="Compact"/>
              <w:jc w:val="left"/>
            </w:pPr>
            <w:r>
              <w:t xml:space="preserve">Resultado descrito</w:t>
            </w:r>
          </w:p>
        </w:tc>
        <w:tc>
          <w:tcPr/>
          <w:p>
            <w:pPr>
              <w:pStyle w:val="Compact"/>
              <w:jc w:val="left"/>
            </w:pPr>
            <w:r>
              <w:t xml:space="preserve">Ejemplo</w:t>
            </w:r>
          </w:p>
        </w:tc>
      </w:tr>
      <w:tr>
        <w:tc>
          <w:tcPr/>
          <w:p>
            <w:pPr>
              <w:pStyle w:val="Compact"/>
              <w:jc w:val="left"/>
            </w:pPr>
            <w:r>
              <w:t xml:space="preserve">Tendón</w:t>
            </w:r>
          </w:p>
        </w:tc>
        <w:tc>
          <w:tcPr/>
          <w:p>
            <w:pPr>
              <w:pStyle w:val="Compact"/>
              <w:jc w:val="left"/>
            </w:pPr>
            <w:r>
              <w:t xml:space="preserve">tendón de Aquiles seccionado en ratas</w:t>
            </w:r>
          </w:p>
        </w:tc>
        <w:tc>
          <w:tcPr/>
          <w:p>
            <w:pPr>
              <w:pStyle w:val="Compact"/>
              <w:jc w:val="left"/>
            </w:pPr>
            <w:r>
              <w:t xml:space="preserve">mayor resistencia a la carga, mejor función y estructura tisular</w:t>
            </w:r>
          </w:p>
        </w:tc>
        <w:tc>
          <w:tcPr/>
          <w:p>
            <w:pPr>
              <w:pStyle w:val="Compact"/>
              <w:jc w:val="left"/>
            </w:pPr>
            <w:r>
              <w:t xml:space="preserve">Staresinic 2003, PMID 14554208</w:t>
            </w:r>
          </w:p>
        </w:tc>
      </w:tr>
      <w:tr>
        <w:tc>
          <w:tcPr/>
          <w:p>
            <w:pPr>
              <w:pStyle w:val="Compact"/>
              <w:jc w:val="left"/>
            </w:pPr>
            <w:r>
              <w:t xml:space="preserve">Ligamento</w:t>
            </w:r>
          </w:p>
        </w:tc>
        <w:tc>
          <w:tcPr/>
          <w:p>
            <w:pPr>
              <w:pStyle w:val="Compact"/>
              <w:jc w:val="left"/>
            </w:pPr>
            <w:r>
              <w:t xml:space="preserve">ligamento de la rodilla lesionado en ratas</w:t>
            </w:r>
          </w:p>
        </w:tc>
        <w:tc>
          <w:tcPr/>
          <w:p>
            <w:pPr>
              <w:pStyle w:val="Compact"/>
              <w:jc w:val="left"/>
            </w:pPr>
            <w:r>
              <w:t xml:space="preserve">mejor curación</w:t>
            </w:r>
          </w:p>
        </w:tc>
        <w:tc>
          <w:tcPr/>
          <w:p>
            <w:pPr>
              <w:pStyle w:val="Compact"/>
              <w:jc w:val="left"/>
            </w:pPr>
            <w:r>
              <w:t xml:space="preserve">Cerovecki 2010, PMID 20225319</w:t>
            </w:r>
          </w:p>
        </w:tc>
      </w:tr>
      <w:tr>
        <w:tc>
          <w:tcPr/>
          <w:p>
            <w:pPr>
              <w:pStyle w:val="Compact"/>
              <w:jc w:val="left"/>
            </w:pPr>
            <w:r>
              <w:t xml:space="preserve">Músculo</w:t>
            </w:r>
          </w:p>
        </w:tc>
        <w:tc>
          <w:tcPr/>
          <w:p>
            <w:pPr>
              <w:pStyle w:val="Compact"/>
              <w:jc w:val="left"/>
            </w:pPr>
            <w:r>
              <w:t xml:space="preserve">músculo del muslo seccionado en ratas</w:t>
            </w:r>
          </w:p>
        </w:tc>
        <w:tc>
          <w:tcPr/>
          <w:p>
            <w:pPr>
              <w:pStyle w:val="Compact"/>
              <w:jc w:val="left"/>
            </w:pPr>
            <w:r>
              <w:t xml:space="preserve">mejor función</w:t>
            </w:r>
          </w:p>
        </w:tc>
        <w:tc>
          <w:tcPr/>
          <w:p>
            <w:pPr>
              <w:pStyle w:val="Compact"/>
              <w:jc w:val="left"/>
            </w:pPr>
            <w:r>
              <w:t xml:space="preserve">Staresinic 2006, PMID 16609979</w:t>
            </w:r>
          </w:p>
        </w:tc>
      </w:tr>
      <w:tr>
        <w:tc>
          <w:tcPr/>
          <w:p>
            <w:pPr>
              <w:pStyle w:val="Compact"/>
              <w:jc w:val="left"/>
            </w:pPr>
            <w:r>
              <w:t xml:space="preserve">Hueso</w:t>
            </w:r>
          </w:p>
        </w:tc>
        <w:tc>
          <w:tcPr/>
          <w:p>
            <w:pPr>
              <w:pStyle w:val="Compact"/>
              <w:jc w:val="left"/>
            </w:pPr>
            <w:r>
              <w:t xml:space="preserve">defecto óseo en conejos</w:t>
            </w:r>
          </w:p>
        </w:tc>
        <w:tc>
          <w:tcPr/>
          <w:p>
            <w:pPr>
              <w:pStyle w:val="Compact"/>
              <w:jc w:val="left"/>
            </w:pPr>
            <w:r>
              <w:t xml:space="preserve">curación del defecto claramente mejor en radiografía y tejido</w:t>
            </w:r>
          </w:p>
        </w:tc>
        <w:tc>
          <w:tcPr/>
          <w:p>
            <w:pPr>
              <w:pStyle w:val="Compact"/>
              <w:jc w:val="left"/>
            </w:pPr>
            <w:r>
              <w:t xml:space="preserve">Sebecić 1999, PMID 10071911</w:t>
            </w:r>
          </w:p>
        </w:tc>
      </w:tr>
      <w:tr>
        <w:tc>
          <w:tcPr/>
          <w:p>
            <w:pPr>
              <w:pStyle w:val="Compact"/>
              <w:jc w:val="left"/>
            </w:pPr>
            <w:r>
              <w:t xml:space="preserve">Piel</w:t>
            </w:r>
          </w:p>
        </w:tc>
        <w:tc>
          <w:tcPr/>
          <w:p>
            <w:pPr>
              <w:pStyle w:val="Compact"/>
              <w:jc w:val="left"/>
            </w:pPr>
            <w:r>
              <w:t xml:space="preserve">heridas incisas, quemaduras y heridas diabéticas en ratas</w:t>
            </w:r>
          </w:p>
        </w:tc>
        <w:tc>
          <w:tcPr/>
          <w:p>
            <w:pPr>
              <w:pStyle w:val="Compact"/>
              <w:jc w:val="left"/>
            </w:pPr>
            <w:r>
              <w:t xml:space="preserve">curación más rápida de las heridas</w:t>
            </w:r>
          </w:p>
        </w:tc>
        <w:tc>
          <w:tcPr/>
          <w:p>
            <w:pPr>
              <w:pStyle w:val="Compact"/>
              <w:jc w:val="left"/>
            </w:pPr>
            <w:r>
              <w:t xml:space="preserve">Seiwerth 2021, PMID 34267654</w:t>
            </w:r>
          </w:p>
        </w:tc>
      </w:tr>
      <w:tr>
        <w:tc>
          <w:tcPr/>
          <w:p>
            <w:pPr>
              <w:pStyle w:val="Compact"/>
              <w:jc w:val="left"/>
            </w:pPr>
            <w:r>
              <w:t xml:space="preserve">Intestino</w:t>
            </w:r>
          </w:p>
        </w:tc>
        <w:tc>
          <w:tcPr/>
          <w:p>
            <w:pPr>
              <w:pStyle w:val="Compact"/>
              <w:jc w:val="left"/>
            </w:pPr>
            <w:r>
              <w:t xml:space="preserve">fístulas, colitis, anastomosis en ratas</w:t>
            </w:r>
          </w:p>
        </w:tc>
        <w:tc>
          <w:tcPr/>
          <w:p>
            <w:pPr>
              <w:pStyle w:val="Compact"/>
              <w:jc w:val="left"/>
            </w:pPr>
            <w:r>
              <w:t xml:space="preserve">curación de las fístulas y suturas</w:t>
            </w:r>
          </w:p>
        </w:tc>
        <w:tc>
          <w:tcPr/>
          <w:p>
            <w:pPr>
              <w:pStyle w:val="Compact"/>
              <w:jc w:val="left"/>
            </w:pPr>
            <w:r>
              <w:t xml:space="preserve">Sikiric 2020, PMID 32329684</w:t>
            </w:r>
          </w:p>
        </w:tc>
      </w:tr>
      <w:tr>
        <w:tc>
          <w:tcPr/>
          <w:p>
            <w:pPr>
              <w:pStyle w:val="Compact"/>
              <w:jc w:val="left"/>
            </w:pPr>
            <w:r>
              <w:t xml:space="preserve">Estómago</w:t>
            </w:r>
          </w:p>
        </w:tc>
        <w:tc>
          <w:tcPr/>
          <w:p>
            <w:pPr>
              <w:pStyle w:val="Compact"/>
              <w:jc w:val="left"/>
            </w:pPr>
            <w:r>
              <w:t xml:space="preserve">lesiones por analgésicos y alcohol</w:t>
            </w:r>
          </w:p>
        </w:tc>
        <w:tc>
          <w:tcPr/>
          <w:p>
            <w:pPr>
              <w:pStyle w:val="Compact"/>
              <w:jc w:val="left"/>
            </w:pPr>
            <w:r>
              <w:t xml:space="preserve">protección de la mucosa</w:t>
            </w:r>
          </w:p>
        </w:tc>
        <w:tc>
          <w:tcPr/>
          <w:p>
            <w:pPr>
              <w:pStyle w:val="Compact"/>
              <w:jc w:val="left"/>
            </w:pPr>
            <w:r>
              <w:t xml:space="preserve">Ilic 2011, PMID 21295044</w:t>
            </w:r>
          </w:p>
        </w:tc>
      </w:tr>
      <w:tr>
        <w:tc>
          <w:tcPr/>
          <w:p>
            <w:pPr>
              <w:pStyle w:val="Compact"/>
              <w:jc w:val="left"/>
            </w:pPr>
            <w:r>
              <w:t xml:space="preserve">Vasos</w:t>
            </w:r>
          </w:p>
        </w:tc>
        <w:tc>
          <w:tcPr/>
          <w:p>
            <w:pPr>
              <w:pStyle w:val="Compact"/>
              <w:jc w:val="left"/>
            </w:pPr>
            <w:r>
              <w:t xml:space="preserve">arterias y venas ligadas</w:t>
            </w:r>
          </w:p>
        </w:tc>
        <w:tc>
          <w:tcPr/>
          <w:p>
            <w:pPr>
              <w:pStyle w:val="Compact"/>
              <w:jc w:val="left"/>
            </w:pPr>
            <w:r>
              <w:t xml:space="preserve">circulación colateral, mejor irrigación</w:t>
            </w:r>
          </w:p>
        </w:tc>
        <w:tc>
          <w:tcPr/>
          <w:p>
            <w:pPr>
              <w:pStyle w:val="Compact"/>
              <w:jc w:val="left"/>
            </w:pPr>
            <w:r>
              <w:t xml:space="preserve">Sikiric 2022, PMID 35125818</w:t>
            </w:r>
          </w:p>
        </w:tc>
      </w:tr>
    </w:tbl>
    <w:p>
      <w:pPr>
        <w:pStyle w:val="BodyText"/>
      </w:pPr>
      <w:r>
        <w:t xml:space="preserve">A ello se suman trabajos sobre cerebro, ojo, corazón, vejiga, intoxicaciones y descompensaciones metabólicas, en ratas y ratones. Los defensores interpretan esta enorme amplitud como una fortaleza. Desde el punto de vista metodológico es más bien una señal de alarma: una sustancia que mejora casi cualquier trastorno en casi cualquier modelo probado exige una comprobación especialmente cuidadosa e independiente.</w:t>
      </w:r>
    </w:p>
    <w:bookmarkEnd w:id="348"/>
    <w:bookmarkStart w:id="349" w:name="farmacocinética-y-toxicología"/>
    <w:p>
      <w:pPr>
        <w:pStyle w:val="Heading4"/>
      </w:pPr>
      <w:r>
        <w:t xml:space="preserve">Farmacocinética y toxicología</w:t>
      </w:r>
    </w:p>
    <w:p>
      <w:pPr>
        <w:pStyle w:val="FirstParagraph"/>
      </w:pPr>
      <w:r>
        <w:t xml:space="preserve">Un grupo de trabajo chino estudió el BPC-157 según las reglas habituales del desarrollo de fármacos. En ratas y perros beagle, la semivida del péptido inalterado fue inferior a 30 minutos; tras la inyección intramuscular llegó a la circulación sanguínea entre un 14 y un 19 por ciento en ratas y entre un 45 y un 51 por ciento en perros. El BPC-157 se descompuso rápidamente en pequeños fragmentos y aminoácidos y se eliminó por la orina y la bilis (He 2022, PMID 36588717). En pruebas de toxicidad en ratones, ratas, conejos y perros, los mismos investigadores no encontraron daños graves, ni daño genético, ni daño a embriones; en perros, con la dosis más alta, el valor de creatinina disminuyó transitoriamente (Xu 2020, PMID 32334036). Estos datos en animales son un requisito previo para los estudios en humanos, pero no los sustituyen.</w:t>
      </w:r>
    </w:p>
    <w:bookmarkEnd w:id="349"/>
    <w:bookmarkEnd w:id="350"/>
    <w:bookmarkStart w:id="355" w:name="riesgos-y-efectos-adversos-15"/>
    <w:p>
      <w:pPr>
        <w:pStyle w:val="Heading3"/>
      </w:pPr>
      <w:r>
        <w:t xml:space="preserve">Riesgos y efectos adversos</w:t>
      </w:r>
    </w:p>
    <w:bookmarkStart w:id="351" w:name="demostrado"/>
    <w:p>
      <w:pPr>
        <w:pStyle w:val="Heading4"/>
      </w:pPr>
      <w:r>
        <w:t xml:space="preserve">Demostrado</w:t>
      </w:r>
    </w:p>
    <w:p>
      <w:pPr>
        <w:pStyle w:val="FirstParagraph"/>
      </w:pPr>
      <w:r>
        <w:t xml:space="preserve">Prácticamente no existen efectos secundarios demostrados en humanos, pero no porque el BPC-157 sea demostrablemente seguro, sino porque casi nadie los ha buscado de forma sistemática. Los tres estudios piloto, con unas 30 personas en total, no notificaron efectos secundarios (Poolton 2026, PMID 42885452). Con 30 personas solo pueden detectarse problemas frecuentes y de aparición inmediata. Un efecto secundario que afecte a una de cada mil personas permanecería invisible.</w:t>
      </w:r>
    </w:p>
    <w:bookmarkEnd w:id="351"/>
    <w:bookmarkStart w:id="352" w:name="Xf263269a4901b8d389a5a10eba3c12572f0c895"/>
    <w:p>
      <w:pPr>
        <w:pStyle w:val="Heading4"/>
      </w:pPr>
      <w:r>
        <w:t xml:space="preserve">Teórico: formación de nuevos vasos y crecimiento tumoral</w:t>
      </w:r>
    </w:p>
    <w:p>
      <w:pPr>
        <w:pStyle w:val="FirstParagraph"/>
      </w:pPr>
      <w:r>
        <w:t xml:space="preserve">El riesgo teórico más discutido se deriva directamente del supuesto mecanismo de acción. Si el BPC-157 favorece la formación de nuevos vasos sanguíneos, podría –según esta preocupación– mejorar también la irrigación de tumores ya existentes, quizá aún no detectados. Los tumores a partir de unos pocos milímetros de tamaño necesitan vasos sanguíneos propios para seguir creciendo. Por eso, los inhibidores de la vía de señalización de VEGF son fármacos contra el cáncer consolidados. Una sustancia que aumenta el receptor 2 de VEGF en cultivos celulares (Hsieh 2017, PMID 27847966) merece cautela en este punto. Varias revisiones citan expresamente la formación patológica de vasos y una posible promoción del cáncer como riesgo no aclarado (Moiz 2026, PMID 42757290).</w:t>
      </w:r>
    </w:p>
    <w:p>
      <w:pPr>
        <w:pStyle w:val="BodyText"/>
      </w:pPr>
      <w:r>
        <w:t xml:space="preserve">El grupo de Zagreb lo rebate: el BPC-157 regularía la formación de vasos en lugar de estimularla a ciegas, impediría por ejemplo en la córnea del ojo una invasión vascular patológica y mostraría incluso efectos antitumorales en experimentos con animales y células (Sikiric 2025, PMID 40573323). Estos datos proceden, a su vez, mayoritariamente del mismo grupo. No se han publicado para el BPC-157 estudios a largo plazo sobre la aparición de cáncer (estudios de carcinogenicidad), como los habituales en los medicamentos autorizados. La cuestión queda, por tanto, abierta: ni confirmada ni refutada. La Parte IV de este libro trata con detalle el tema de las señales de crecimiento y el riesgo de cáncer.</w:t>
      </w:r>
    </w:p>
    <w:bookmarkEnd w:id="352"/>
    <w:bookmarkStart w:id="353" w:name="riesgos-del-mercado-gris"/>
    <w:p>
      <w:pPr>
        <w:pStyle w:val="Heading4"/>
      </w:pPr>
      <w:r>
        <w:t xml:space="preserve">Riesgos del mercado gris</w:t>
      </w:r>
    </w:p>
    <w:p>
      <w:pPr>
        <w:pStyle w:val="FirstParagraph"/>
      </w:pPr>
      <w:r>
        <w:t xml:space="preserve">El mayor riesgo práctico probablemente no esté en el principio activo en sí, sino en los productos. El BPC-157 se vende mayoritariamente como «Research Chemical», sin calidad farmacéutica. Las revisiones citan como peligros concretos los contaminantes, las concentraciones incorrectas, la falta de esterilidad y la calidad de fabricación variable (Tham 2026, PMID 42937313; Mendias 2026, PMID 41966639). Ya en 2017, un laboratorio antidopaje describió BPC-157 procedente de viales incautados (Cox 2017, PMID 28035768). En las inyecciones se añaden riesgos de infección por soluciones no estériles. El capítulo I.5 y la Parte IV tratan con detalle los análisis de laboratorio de péptidos del mercado gris.</w:t>
      </w:r>
    </w:p>
    <w:bookmarkEnd w:id="353"/>
    <w:bookmarkStart w:id="354" w:name="otras-cuestiones-abiertas"/>
    <w:p>
      <w:pPr>
        <w:pStyle w:val="Heading4"/>
      </w:pPr>
      <w:r>
        <w:t xml:space="preserve">Otras cuestiones abiertas</w:t>
      </w:r>
    </w:p>
    <w:p>
      <w:pPr>
        <w:numPr>
          <w:ilvl w:val="0"/>
          <w:numId w:val="1117"/>
        </w:numPr>
        <w:pStyle w:val="Compact"/>
      </w:pPr>
      <w:r>
        <w:rPr>
          <w:bCs/>
          <w:b/>
        </w:rPr>
        <w:t xml:space="preserve">Interacciones:</w:t>
      </w:r>
      <w:r>
        <w:t xml:space="preserve"> </w:t>
      </w:r>
      <w:r>
        <w:t xml:space="preserve">en experimentos con animales, el BPC-157 influyó en la coagulación sanguínea, la presión arterial y los mensajeros del sistema nervioso (Sikiric 2025, PMID 40573323). Nadie sabe si esto es relevante en humanos para personas que toman anticoagulantes, tienen enfermedades cardiovasculares o toman medicamentos psiquiátricos.</w:t>
      </w:r>
    </w:p>
    <w:p>
      <w:pPr>
        <w:numPr>
          <w:ilvl w:val="0"/>
          <w:numId w:val="1117"/>
        </w:numPr>
        <w:pStyle w:val="Compact"/>
      </w:pPr>
      <w:r>
        <w:rPr>
          <w:bCs/>
          <w:b/>
        </w:rPr>
        <w:t xml:space="preserve">Embarazo y lactancia, niños y adolescentes:</w:t>
      </w:r>
      <w:r>
        <w:t xml:space="preserve"> </w:t>
      </w:r>
      <w:r>
        <w:t xml:space="preserve">no hay datos en humanos.</w:t>
      </w:r>
    </w:p>
    <w:p>
      <w:pPr>
        <w:numPr>
          <w:ilvl w:val="0"/>
          <w:numId w:val="1117"/>
        </w:numPr>
        <w:pStyle w:val="Compact"/>
      </w:pPr>
      <w:r>
        <w:rPr>
          <w:bCs/>
          <w:b/>
        </w:rPr>
        <w:t xml:space="preserve">Efecto placebo:</w:t>
      </w:r>
      <w:r>
        <w:t xml:space="preserve"> </w:t>
      </w:r>
      <w:r>
        <w:t xml:space="preserve">una revisión de medicina deportiva señala que las redes sociales pueden reforzar el efecto placebo con este tipo de péptidos (Mendias 2026, PMID 41966639). Por tanto, los testimonios personales de éxito no son una prueba de eficacia.</w:t>
      </w:r>
    </w:p>
    <w:bookmarkEnd w:id="354"/>
    <w:bookmarkEnd w:id="355"/>
    <w:bookmarkStart w:id="356" w:name="situación-legal-15"/>
    <w:p>
      <w:pPr>
        <w:pStyle w:val="Heading3"/>
      </w:pPr>
      <w:r>
        <w:t xml:space="preserve">Situación legal</w:t>
      </w:r>
    </w:p>
    <w:p>
      <w:pPr>
        <w:pStyle w:val="FirstParagraph"/>
      </w:pPr>
      <w:r>
        <w:rPr>
          <w:iCs/>
          <w:i/>
        </w:rPr>
        <w:t xml:space="preserve">Situación en 2026, compruébelo en su versión actual.</w:t>
      </w:r>
    </w:p>
    <w:p>
      <w:pPr>
        <w:numPr>
          <w:ilvl w:val="0"/>
          <w:numId w:val="1118"/>
        </w:numPr>
        <w:pStyle w:val="Compact"/>
      </w:pPr>
      <w:r>
        <w:rPr>
          <w:bCs/>
          <w:b/>
        </w:rPr>
        <w:t xml:space="preserve">UE:</w:t>
      </w:r>
      <w:r>
        <w:t xml:space="preserve"> </w:t>
      </w:r>
      <w:r>
        <w:t xml:space="preserve">el BPC-157 no está autorizado como medicamento en ningún Estado miembro. Una sustancia que se ofrece para tratar enfermedades en humanos se considera jurídicamente un medicamento; sin autorización no puede comercializarse. La indicación «solo para fines de investigación» no cambia nada si el producto está claramente destinado al uso en humanos.</w:t>
      </w:r>
    </w:p>
    <w:p>
      <w:pPr>
        <w:numPr>
          <w:ilvl w:val="0"/>
          <w:numId w:val="1118"/>
        </w:numPr>
        <w:pStyle w:val="Compact"/>
      </w:pPr>
      <w:r>
        <w:rPr>
          <w:bCs/>
          <w:b/>
        </w:rPr>
        <w:t xml:space="preserve">Alemania y Austria:</w:t>
      </w:r>
      <w:r>
        <w:t xml:space="preserve"> </w:t>
      </w:r>
      <w:r>
        <w:t xml:space="preserve">sin autorización y sin base para formulación magistral. Su dispensación para uso en humanos es ilegal según la respectiva ley del medicamento. En el deporte se aplican además las normas antidopaje.</w:t>
      </w:r>
    </w:p>
    <w:p>
      <w:pPr>
        <w:numPr>
          <w:ilvl w:val="0"/>
          <w:numId w:val="1118"/>
        </w:numPr>
        <w:pStyle w:val="Compact"/>
      </w:pPr>
      <w:r>
        <w:rPr>
          <w:bCs/>
          <w:b/>
        </w:rPr>
        <w:t xml:space="preserve">EE. UU.:</w:t>
      </w:r>
      <w:r>
        <w:t xml:space="preserve"> </w:t>
      </w:r>
      <w:r>
        <w:t xml:space="preserve">sin autorización de la FDA. En 2023, la FDA clasificó el BPC-157, entre las sustancias de partida para la elaboración de fórmulas magistrales (el llamado compounding), en la categoría 2: sustancias con importantes problemas de seguridad. Según el criterio de la autoridad, las farmacias de formulación magistral no pueden, por tanto, procesarlo. Desde entonces, la clasificación de los péptidos se ha debatido de forma controvertida en el comité asesor de la FDA sobre formulación magistral (PCAC) y en círculos especializados (Willis 2026, PMID 42752426); son posibles cambios.</w:t>
      </w:r>
    </w:p>
    <w:p>
      <w:pPr>
        <w:numPr>
          <w:ilvl w:val="0"/>
          <w:numId w:val="1118"/>
        </w:numPr>
        <w:pStyle w:val="Compact"/>
      </w:pPr>
      <w:r>
        <w:rPr>
          <w:bCs/>
          <w:b/>
        </w:rPr>
        <w:t xml:space="preserve">WADA:</w:t>
      </w:r>
      <w:r>
        <w:t xml:space="preserve"> </w:t>
      </w:r>
      <w:r>
        <w:t xml:space="preserve">desde 2022, el BPC-157 figura por su nombre en el grupo S0 (sustancias no aprobadas) de la Lista de Prohibiciones y, por tanto, está prohibido en competición y fuera de ella. Una revisión de 2025 indica, en sentido contrario, que el BPC-157 no figura actualmente en la lista (Józwiak 2025, PMID 40005999); según el conocimiento del autor, esto no es así en la lista actual. Los laboratorios antidopaje han desarrollado métodos de detección en orina (Tian 2023, PMID 37959764).</w:t>
      </w:r>
    </w:p>
    <w:bookmarkEnd w:id="356"/>
    <w:bookmarkStart w:id="357" w:name="estudios-en-curso-y-perspectivas-15"/>
    <w:p>
      <w:pPr>
        <w:pStyle w:val="Heading3"/>
      </w:pPr>
      <w:r>
        <w:t xml:space="preserve">Estudios en curso y perspectivas</w:t>
      </w:r>
    </w:p>
    <w:p>
      <w:pPr>
        <w:pStyle w:val="FirstParagraph"/>
      </w:pPr>
      <w:r>
        <w:t xml:space="preserve">En octubre de 2026 hay cuatro estudios con BPC-157 inscritos en ClinicalTrials.gov: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Diseño</w:t>
            </w:r>
          </w:p>
        </w:tc>
        <w:tc>
          <w:tcPr/>
          <w:p>
            <w:pPr>
              <w:pStyle w:val="Compact"/>
              <w:jc w:val="left"/>
            </w:pPr>
            <w:r>
              <w:t xml:space="preserve">Estado</w:t>
            </w:r>
          </w:p>
        </w:tc>
        <w:tc>
          <w:tcPr/>
          <w:p>
            <w:pPr>
              <w:pStyle w:val="Compact"/>
              <w:jc w:val="left"/>
            </w:pPr>
            <w:r>
              <w:t xml:space="preserve">Tema</w:t>
            </w:r>
          </w:p>
        </w:tc>
      </w:tr>
      <w:tr>
        <w:tc>
          <w:tcPr/>
          <w:p>
            <w:pPr>
              <w:pStyle w:val="Compact"/>
              <w:jc w:val="left"/>
            </w:pPr>
            <w:r>
              <w:t xml:space="preserve">NCT07437547</w:t>
            </w:r>
          </w:p>
        </w:tc>
        <w:tc>
          <w:tcPr/>
          <w:p>
            <w:pPr>
              <w:pStyle w:val="Compact"/>
              <w:jc w:val="left"/>
            </w:pPr>
            <w:r>
              <w:t xml:space="preserve">fase 2, aleatorizado, doble ciego, placebo, 120 personas previstas</w:t>
            </w:r>
          </w:p>
        </w:tc>
        <w:tc>
          <w:tcPr/>
          <w:p>
            <w:pPr>
              <w:pStyle w:val="Compact"/>
              <w:jc w:val="left"/>
            </w:pPr>
            <w:r>
              <w:t xml:space="preserve">según el registro, en reclutamiento desde febrero de 2026; autenticidad dudosa (véase el texto)</w:t>
            </w:r>
          </w:p>
        </w:tc>
        <w:tc>
          <w:tcPr/>
          <w:p>
            <w:pPr>
              <w:pStyle w:val="Compact"/>
              <w:jc w:val="left"/>
            </w:pPr>
            <w:r>
              <w:t xml:space="preserve">distensión aguda de los isquiotibiales; tiempo hasta la vuelta al deporte, hallazgo en RM</w:t>
            </w:r>
          </w:p>
        </w:tc>
      </w:tr>
      <w:tr>
        <w:tc>
          <w:tcPr/>
          <w:p>
            <w:pPr>
              <w:pStyle w:val="Compact"/>
              <w:jc w:val="left"/>
            </w:pPr>
            <w:r>
              <w:t xml:space="preserve">NCT07803250</w:t>
            </w:r>
          </w:p>
        </w:tc>
        <w:tc>
          <w:tcPr/>
          <w:p>
            <w:pPr>
              <w:pStyle w:val="Compact"/>
              <w:jc w:val="left"/>
            </w:pPr>
            <w:r>
              <w:t xml:space="preserve">fase 1, aleatorizado, 30 personas previstas</w:t>
            </w:r>
          </w:p>
        </w:tc>
        <w:tc>
          <w:tcPr/>
          <w:p>
            <w:pPr>
              <w:pStyle w:val="Compact"/>
              <w:jc w:val="left"/>
            </w:pPr>
            <w:r>
              <w:t xml:space="preserve">aún sin reclutamiento, inicio previsto en 2027</w:t>
            </w:r>
          </w:p>
        </w:tc>
        <w:tc>
          <w:tcPr/>
          <w:p>
            <w:pPr>
              <w:pStyle w:val="Compact"/>
              <w:jc w:val="left"/>
            </w:pPr>
            <w:r>
              <w:t xml:space="preserve">curación tras cirugía del manguito de los rotadores (hombro)</w:t>
            </w:r>
          </w:p>
        </w:tc>
      </w:tr>
      <w:tr>
        <w:tc>
          <w:tcPr/>
          <w:p>
            <w:pPr>
              <w:pStyle w:val="Compact"/>
              <w:jc w:val="left"/>
            </w:pPr>
            <w:r>
              <w:t xml:space="preserve">NCT07752381</w:t>
            </w:r>
          </w:p>
        </w:tc>
        <w:tc>
          <w:tcPr/>
          <w:p>
            <w:pPr>
              <w:pStyle w:val="Compact"/>
              <w:jc w:val="left"/>
            </w:pPr>
            <w:r>
              <w:t xml:space="preserve">un solo grupo sin control, 40 personas</w:t>
            </w:r>
          </w:p>
        </w:tc>
        <w:tc>
          <w:tcPr/>
          <w:p>
            <w:pPr>
              <w:pStyle w:val="Compact"/>
              <w:jc w:val="left"/>
            </w:pPr>
            <w:r>
              <w:t xml:space="preserve">concluido en 2025, sin resultados en el registro</w:t>
            </w:r>
          </w:p>
        </w:tc>
        <w:tc>
          <w:tcPr/>
          <w:p>
            <w:pPr>
              <w:pStyle w:val="Compact"/>
              <w:jc w:val="left"/>
            </w:pPr>
            <w:r>
              <w:t xml:space="preserve">gominolas de un fabricante; marcadores inflamatorios y autoevaluación</w:t>
            </w:r>
          </w:p>
        </w:tc>
      </w:tr>
      <w:tr>
        <w:tc>
          <w:tcPr/>
          <w:p>
            <w:pPr>
              <w:pStyle w:val="Compact"/>
              <w:jc w:val="left"/>
            </w:pPr>
            <w:r>
              <w:t xml:space="preserve">NCT02637284</w:t>
            </w:r>
          </w:p>
        </w:tc>
        <w:tc>
          <w:tcPr/>
          <w:p>
            <w:pPr>
              <w:pStyle w:val="Compact"/>
              <w:jc w:val="left"/>
            </w:pPr>
            <w:r>
              <w:t xml:space="preserve">fase 1, comprimidos, 42 personas sanas previstas</w:t>
            </w:r>
          </w:p>
        </w:tc>
        <w:tc>
          <w:tcPr/>
          <w:p>
            <w:pPr>
              <w:pStyle w:val="Compact"/>
              <w:jc w:val="left"/>
            </w:pPr>
            <w:r>
              <w:t xml:space="preserve">estado desconocido desde 2016</w:t>
            </w:r>
          </w:p>
        </w:tc>
        <w:tc>
          <w:tcPr/>
          <w:p>
            <w:pPr>
              <w:pStyle w:val="Compact"/>
              <w:jc w:val="left"/>
            </w:pPr>
            <w:r>
              <w:t xml:space="preserve">seguridad y farmacocinética</w:t>
            </w:r>
          </w:p>
        </w:tc>
      </w:tr>
    </w:tbl>
    <w:p>
      <w:pPr>
        <w:pStyle w:val="BodyText"/>
      </w:pPr>
      <w:r>
        <w:t xml:space="preserve">Es</w:t>
      </w:r>
      <w:r>
        <w:t xml:space="preserve"> </w:t>
      </w:r>
      <w:r>
        <w:rPr>
          <w:bCs/>
          <w:b/>
        </w:rPr>
        <w:t xml:space="preserve">confirmado</w:t>
      </w:r>
      <w:r>
        <w:t xml:space="preserve"> </w:t>
      </w:r>
      <w:r>
        <w:t xml:space="preserve">muy poco. Sobre el papel, el estudio de fase 2 sobre distensiones de los isquiotibiales (NCT07437547) sería el primer estudio aleatorizado y controlado con placebo, con un criterio de valoración objetivo (RM) y un tamaño suficiente. Sin embargo, al revisarlo para este libro llamó la atención lo siguiente: el mismo promotor («Hudson Biotech»), con el mismo centro de estudio y la misma persona de contacto, ha creado una segunda entrada sobre el TB-500 (NCT07487363) que en su propia descripción se denomina expresamente ejemplo «ficticio» de una entrada de registro. Por tanto, no puede afirmarse con fiabilidad si el estudio del BPC-157 se llevará realmente a cabo. ClinicalTrials.gov solo comprueba las entradas formalmente, no su contenido: un registro por sí solo no demuestra que un estudio se esté realizando.</w:t>
      </w:r>
    </w:p>
    <w:p>
      <w:pPr>
        <w:pStyle w:val="BodyText"/>
      </w:pPr>
      <w:r>
        <w:t xml:space="preserve">El estudio sobre el hombro de la University of Arkansas (NCT07803250) es aleatorizado y cegado, pero pequeño, y aún no ha comenzado. El estudio de las gominolas de un fabricante (NCT07752381) no tiene grupo de control y mide sobre todo datos autodeclarados; no responderá a las cuestiones abiertas.</w:t>
      </w:r>
    </w:p>
    <w:p>
      <w:pPr>
        <w:pStyle w:val="BodyText"/>
      </w:pPr>
      <w:r>
        <w:rPr>
          <w:bCs/>
          <w:b/>
        </w:rPr>
        <w:t xml:space="preserve">Valoración del autor:</w:t>
      </w:r>
      <w:r>
        <w:t xml:space="preserve"> </w:t>
      </w:r>
      <w:r>
        <w:t xml:space="preserve">no cabe esperar datos sólidos de eficacia en humanos antes de 2028. Incluso un resultado positivo de un pequeño estudio piloto sería solo un primer indicio, aún no una base para una autorización, que requiere varios estudios más amplios y datos de seguridad a largo plazo. Un resultado negativo probablemente cambiaría poco la reputación del péptido en internet. Una revisión farmacéutica subraya que hasta hoy no existe una forma farmacéutica estandarizada y validada (Mateescu 2026, PMID 42198317); también esto debe resolverse antes de una autorización.</w:t>
      </w:r>
    </w:p>
    <w:bookmarkEnd w:id="357"/>
    <w:bookmarkStart w:id="358" w:name="conclusión-15"/>
    <w:p>
      <w:pPr>
        <w:pStyle w:val="Heading3"/>
      </w:pPr>
      <w:r>
        <w:t xml:space="preserve">Conclusión</w:t>
      </w:r>
    </w:p>
    <w:p>
      <w:pPr>
        <w:pStyle w:val="FirstParagraph"/>
      </w:pPr>
      <w:r>
        <w:t xml:space="preserve">El BPC-157 es un péptido con un número inusualmente grande de estudios en animales que casi siempre informan de resultados positivos, mayoritariamente de un único grupo de investigación de Zagreb y sin suficiente réplica independiente. En humanos solo existen tres estudios pequeños y no controlados, con unas 30 personas en total, cuya calidad se califica de muy baja (Poolton 2026, PMID 42885452). La seguridad a largo plazo, en particular la cuestión teórica de una promoción del crecimiento tumoral a través de la formación de nuevos vasos, no se ha estudiado, y los productos del mercado gris conllevan sus propios riesgos. Los estudios aleatorizados solo están registrados o previstos (NCT07803250); hasta que haya resultados sólidos, el BPC-157 sigue siendo una sustancia experimental cuyo beneficio en humanos no está demostrado. Para los deportistas, está prohibido según las normas de la AMA.</w:t>
      </w:r>
    </w:p>
    <w:bookmarkEnd w:id="358"/>
    <w:bookmarkEnd w:id="359"/>
    <w:bookmarkStart w:id="375" w:name="tb-500-y-timosina-beta-4"/>
    <w:p>
      <w:pPr>
        <w:pStyle w:val="Heading2"/>
      </w:pPr>
      <w:r>
        <w:t xml:space="preserve">TB-500 y timosina beta 4</w:t>
      </w:r>
    </w:p>
    <w:p>
      <w:pPr>
        <w:pStyle w:val="FirstParagraph"/>
      </w:pPr>
      <w:r>
        <w:t xml:space="preserve">En internet, el «TB-500» y la «timosina beta 4» se venden casi siempre como si fueran lo mismo. Es falso, y la diferencia es decisiva para la valoración. La timosina beta 4 es una proteína propia del organismo de 43 aminoácidos que se ha estudiado en varios ensayos clínicos, sobre todo como colirio y como infusión tras un infarto de miocardio. El TB-500, en cambio, es un fragmento corto y modificado artificialmente de ella que nunca se ha probado en un estudio publicado en humanos. Este capítulo separa ambos con claridad.</w:t>
      </w:r>
    </w:p>
    <w:bookmarkStart w:id="360" w:name="ficha-16"/>
    <w:p>
      <w:pPr>
        <w:pStyle w:val="Heading3"/>
      </w:pPr>
      <w:r>
        <w:t xml:space="preserve">Ficha</w:t>
      </w:r>
    </w:p>
    <w:p>
      <w:pPr>
        <w:numPr>
          <w:ilvl w:val="0"/>
          <w:numId w:val="1119"/>
        </w:numPr>
        <w:pStyle w:val="Compact"/>
      </w:pPr>
      <w:r>
        <w:rPr>
          <w:bCs/>
          <w:b/>
        </w:rPr>
        <w:t xml:space="preserve">Timosina beta 4 (Tβ4):</w:t>
      </w:r>
      <w:r>
        <w:t xml:space="preserve"> </w:t>
      </w:r>
      <w:r>
        <w:t xml:space="preserve">péptido propio del organismo de 43 aminoácidos, presente en casi todas las células; función principal: se une a la proteína estructural actina y regula así la forma y el movimiento celulares. Para los estudios se fabrica por síntesis o mediante ingeniería genética (recombinante); nombres de desarrollo RGN-259 (colirio), RGN-352 (inyección), NL005 (recombinante, China).</w:t>
      </w:r>
    </w:p>
    <w:p>
      <w:pPr>
        <w:numPr>
          <w:ilvl w:val="0"/>
          <w:numId w:val="1119"/>
        </w:numPr>
        <w:pStyle w:val="Compact"/>
      </w:pPr>
      <w:r>
        <w:rPr>
          <w:bCs/>
          <w:b/>
        </w:rPr>
        <w:t xml:space="preserve">TB-500:</w:t>
      </w:r>
      <w:r>
        <w:t xml:space="preserve"> </w:t>
      </w:r>
      <w:r>
        <w:t xml:space="preserve">el fragmento de los aminoácidos 17 a 23 de la Tβ4, modificado químicamente (acetilado) en su inicio, secuencia Ac-LKKTETQ (Esposito 2012, PMID 22962027). Apareció originalmente como medicamento veterinario en la hípica.</w:t>
      </w:r>
    </w:p>
    <w:p>
      <w:pPr>
        <w:numPr>
          <w:ilvl w:val="0"/>
          <w:numId w:val="1119"/>
        </w:numPr>
        <w:pStyle w:val="Compact"/>
      </w:pPr>
      <w:r>
        <w:rPr>
          <w:bCs/>
          <w:b/>
        </w:rPr>
        <w:t xml:space="preserve">Mecanismo de acción (supuesto):</w:t>
      </w:r>
      <w:r>
        <w:t xml:space="preserve"> </w:t>
      </w:r>
      <w:r>
        <w:t xml:space="preserve">estímulo de la migración celular, la formación de nuevos vasos y la cicatrización de heridas, atenuación de la inflamación.</w:t>
      </w:r>
    </w:p>
    <w:p>
      <w:pPr>
        <w:numPr>
          <w:ilvl w:val="0"/>
          <w:numId w:val="1119"/>
        </w:numPr>
        <w:pStyle w:val="Compact"/>
      </w:pPr>
      <w:r>
        <w:rPr>
          <w:bCs/>
          <w:b/>
        </w:rPr>
        <w:t xml:space="preserve">Autorización UE/EE. UU.:</w:t>
      </w:r>
      <w:r>
        <w:t xml:space="preserve"> </w:t>
      </w:r>
      <w:r>
        <w:t xml:space="preserve">ni la Tβ4 ni el TB-500 están autorizados.</w:t>
      </w:r>
    </w:p>
    <w:p>
      <w:pPr>
        <w:numPr>
          <w:ilvl w:val="0"/>
          <w:numId w:val="1119"/>
        </w:numPr>
        <w:pStyle w:val="Compact"/>
      </w:pPr>
      <w:r>
        <w:rPr>
          <w:bCs/>
          <w:b/>
        </w:rPr>
        <w:t xml:space="preserve">WADA:</w:t>
      </w:r>
      <w:r>
        <w:t xml:space="preserve"> </w:t>
      </w:r>
      <w:r>
        <w:t xml:space="preserve">prohibidos (S2, factores de crecimiento; se mencionan expresamente «la timosina β4 y sus derivados, p. ej., TB-500»).</w:t>
      </w:r>
    </w:p>
    <w:p>
      <w:pPr>
        <w:numPr>
          <w:ilvl w:val="0"/>
          <w:numId w:val="1119"/>
        </w:numPr>
        <w:pStyle w:val="Compact"/>
      </w:pPr>
      <w:r>
        <w:rPr>
          <w:bCs/>
          <w:b/>
        </w:rPr>
        <w:t xml:space="preserve">Nivel de evidencia:</w:t>
      </w:r>
      <w:r>
        <w:t xml:space="preserve"> </w:t>
      </w:r>
      <w:r>
        <w:rPr>
          <w:bCs/>
          <w:b/>
        </w:rPr>
        <w:t xml:space="preserve">B</w:t>
      </w:r>
      <w:r>
        <w:t xml:space="preserve"> </w:t>
      </w:r>
      <w:r>
        <w:t xml:space="preserve">para la timosina beta 4 (estudios aleatorizados, en su mayoría pequeños; grandes estudios de fase 3 en ojo seco sin beneficio claro) ·</w:t>
      </w:r>
      <w:r>
        <w:t xml:space="preserve"> </w:t>
      </w:r>
      <w:r>
        <w:rPr>
          <w:bCs/>
          <w:b/>
        </w:rPr>
        <w:t xml:space="preserve">D</w:t>
      </w:r>
      <w:r>
        <w:t xml:space="preserve"> </w:t>
      </w:r>
      <w:r>
        <w:t xml:space="preserve">para el TB-500 (ningún estudio en humanos publicado).</w:t>
      </w:r>
    </w:p>
    <w:bookmarkEnd w:id="360"/>
    <w:bookmarkStart w:id="361" w:name="cómo-se-supone-que-actúa-16"/>
    <w:p>
      <w:pPr>
        <w:pStyle w:val="Heading3"/>
      </w:pPr>
      <w:r>
        <w:t xml:space="preserve">Cómo se supone que actúa</w:t>
      </w:r>
    </w:p>
    <w:p>
      <w:pPr>
        <w:pStyle w:val="FirstParagraph"/>
      </w:pPr>
      <w:r>
        <w:t xml:space="preserve">En las células, la Tβ4 es la proteína más importante que se une a las unidades de actina individuales y las «aparca». La actina forma el armazón interno de la célula; cuando una célula debe moverse –por ejemplo, para cerrar una herida–, este armazón debe reorganizarse rápidamente. La Tβ4 proporciona para ello las piezas.</w:t>
      </w:r>
    </w:p>
    <w:p>
      <w:pPr>
        <w:pStyle w:val="BodyText"/>
      </w:pPr>
      <w:r>
        <w:t xml:space="preserve">Además, fuera de la célula la Tβ4 tiene al parecer efectos de señalización propios. Una revisión describe varios segmentos activos en la molécula: el trozo corto del inicio (Ac-SDKP) actúa en ensayos de laboratorio de forma antiinflamatoria y contra la cicatrización fibrosa, y el segmento 17 a 23 (LKKTETQ) favorece la formación de nuevos vasos, la cicatrización de heridas y la migración celular (Sosne 2010, PMID 20179146). En ensayos celulares, el motivo de unión a la actina, de siete aminoácidos, mostró el mismo efecto sobre la migración de las células vasculares que la molécula completa (Philp 2003, PMID 14500546).</w:t>
      </w:r>
    </w:p>
    <w:p>
      <w:pPr>
        <w:pStyle w:val="BodyText"/>
      </w:pPr>
      <w:r>
        <w:t xml:space="preserve">En este hallazgo de laboratorio se basa la idea del TB-500: si el trozo corto es responsable del efecto, basta con fabricar solo este, más barato y sencillo que la proteína completa. Sin embargo, no se utilizó exactamente la secuencia natural, sino una forma acetilada en su inicio. Un estudio sobre su degradación encontró que el TB-500 se descompone rápidamente y que, en ensayos celulares, no fue el péptido original, sino un producto de degradación (Ac-LKKTE), el que favoreció la cicatrización de heridas (Rahaman 2024, PMID 38382158). Por tanto, no se ha demostrado que el TB-500 haga en el organismo lo mismo que la Tβ4. Una revisión ortopédica de 2026 subraya que el TB-500 se equipara a menudo con la Tβ4, aunque no está demostrada ninguna equivalencia biológica ni clínica (Tham 2026, PMID 42937313).</w:t>
      </w:r>
    </w:p>
    <w:bookmarkEnd w:id="361"/>
    <w:bookmarkStart w:id="366" w:name="estudios-en-humanos-16"/>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encontró</w:t>
      </w:r>
      <w:r>
        <w:t xml:space="preserve"> </w:t>
      </w:r>
      <w:r>
        <w:rPr>
          <w:bCs/>
          <w:b/>
        </w:rPr>
        <w:t xml:space="preserve">9</w:t>
      </w:r>
      <w:r>
        <w:t xml:space="preserve"> </w:t>
      </w:r>
      <w:r>
        <w:t xml:space="preserve">publicaciones clasificadas como estudio en humanos y</w:t>
      </w:r>
      <w:r>
        <w:t xml:space="preserve"> </w:t>
      </w:r>
      <w:r>
        <w:rPr>
          <w:bCs/>
          <w:b/>
        </w:rPr>
        <w:t xml:space="preserve">18</w:t>
      </w:r>
      <w:r>
        <w:t xml:space="preserve"> </w:t>
      </w:r>
      <w:r>
        <w:t xml:space="preserve">entradas en ClinicalTrials.gov. De las nueve publicaciones, solo seis estudian realmente la Tβ4 como principio activo; las demás miden la Tβ4 en sangre o se refieren a otras cuestiones.</w:t>
      </w:r>
      <w:r>
        <w:t xml:space="preserve"> </w:t>
      </w:r>
      <w:r>
        <w:rPr>
          <w:bCs/>
          <w:b/>
        </w:rPr>
        <w:t xml:space="preserve">Ni un solo</w:t>
      </w:r>
      <w:r>
        <w:t xml:space="preserve"> </w:t>
      </w:r>
      <w:r>
        <w:t xml:space="preserve">estudio publicado ha investigado el TB-500 en humanos.</w:t>
      </w:r>
    </w:p>
    <w:bookmarkStart w:id="362" w:name="colirio-rgn-259"/>
    <w:p>
      <w:pPr>
        <w:pStyle w:val="Heading4"/>
      </w:pPr>
      <w:r>
        <w:t xml:space="preserve">Colirio (RGN-259)</w:t>
      </w:r>
    </w:p>
    <w:p>
      <w:pPr>
        <w:pStyle w:val="FirstParagraph"/>
      </w:pPr>
      <w:r>
        <w:t xml:space="preserve">El desarrollo más avanzado de la Tβ4 es como colirio. La empresa RegeneRx y su socio ReGenTree lo han evaluado en el ojo seco y en la queratopatía neurotrófica, una enfermedad rara en la que la córnea cicatriza mal a causa de nervios dañados.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Ojo seco grave (Sosne 2015, PMID 25826322; NCT01393132)</w:t>
            </w:r>
          </w:p>
        </w:tc>
        <w:tc>
          <w:tcPr/>
          <w:p>
            <w:pPr>
              <w:pStyle w:val="Compact"/>
              <w:jc w:val="left"/>
            </w:pPr>
            <w:r>
              <w:t xml:space="preserve">9 personas, aleatorizado frente a solución vehículo</w:t>
            </w:r>
          </w:p>
        </w:tc>
        <w:tc>
          <w:tcPr/>
          <w:p>
            <w:pPr>
              <w:pStyle w:val="Compact"/>
              <w:jc w:val="left"/>
            </w:pPr>
            <w:r>
              <w:t xml:space="preserve">28 días más 28 días de seguimiento</w:t>
            </w:r>
          </w:p>
        </w:tc>
        <w:tc>
          <w:tcPr/>
          <w:p>
            <w:pPr>
              <w:pStyle w:val="Compact"/>
              <w:jc w:val="left"/>
            </w:pPr>
            <w:r>
              <w:t xml:space="preserve">el día 56, síntomas un 35,1 % y tinción corneal un 59,1 % menores que con la solución vehículo</w:t>
            </w:r>
          </w:p>
        </w:tc>
      </w:tr>
      <w:tr>
        <w:tc>
          <w:tcPr/>
          <w:p>
            <w:pPr>
              <w:pStyle w:val="Compact"/>
              <w:jc w:val="left"/>
            </w:pPr>
            <w:r>
              <w:t xml:space="preserve">Ojo seco, modelo de provocación (Sosne 2015, PMID 26056426)</w:t>
            </w:r>
          </w:p>
        </w:tc>
        <w:tc>
          <w:tcPr/>
          <w:p>
            <w:pPr>
              <w:pStyle w:val="Compact"/>
              <w:jc w:val="left"/>
            </w:pPr>
            <w:r>
              <w:t xml:space="preserve">72 personas, ECA</w:t>
            </w:r>
          </w:p>
        </w:tc>
        <w:tc>
          <w:tcPr/>
          <w:p>
            <w:pPr>
              <w:pStyle w:val="Compact"/>
              <w:jc w:val="left"/>
            </w:pPr>
            <w:r>
              <w:t xml:space="preserve">28 días</w:t>
            </w:r>
          </w:p>
        </w:tc>
        <w:tc>
          <w:tcPr/>
          <w:p>
            <w:pPr>
              <w:pStyle w:val="Compact"/>
              <w:jc w:val="left"/>
            </w:pPr>
            <w:r>
              <w:t xml:space="preserve">ambos criterios principales no significativos; algunos criterios secundarios mejores</w:t>
            </w:r>
          </w:p>
        </w:tc>
      </w:tr>
      <w:tr>
        <w:tc>
          <w:tcPr/>
          <w:p>
            <w:pPr>
              <w:pStyle w:val="Compact"/>
              <w:jc w:val="left"/>
            </w:pPr>
            <w:r>
              <w:t xml:space="preserve">ARISE-2 (NCT02974907)</w:t>
            </w:r>
          </w:p>
        </w:tc>
        <w:tc>
          <w:tcPr/>
          <w:p>
            <w:pPr>
              <w:pStyle w:val="Compact"/>
              <w:jc w:val="left"/>
            </w:pPr>
            <w:r>
              <w:t xml:space="preserve">601 personas, fase 3, ECA</w:t>
            </w:r>
          </w:p>
        </w:tc>
        <w:tc>
          <w:tcPr/>
          <w:p>
            <w:pPr>
              <w:pStyle w:val="Compact"/>
              <w:jc w:val="left"/>
            </w:pPr>
            <w:r>
              <w:t xml:space="preserve">28 días</w:t>
            </w:r>
          </w:p>
        </w:tc>
        <w:tc>
          <w:tcPr/>
          <w:p>
            <w:pPr>
              <w:pStyle w:val="Compact"/>
              <w:jc w:val="left"/>
            </w:pPr>
            <w:r>
              <w:t xml:space="preserve">según los resultados del registro, criterios principales prácticamente iguales en ambos grupos</w:t>
            </w:r>
          </w:p>
        </w:tc>
      </w:tr>
      <w:tr>
        <w:tc>
          <w:tcPr/>
          <w:p>
            <w:pPr>
              <w:pStyle w:val="Compact"/>
              <w:jc w:val="left"/>
            </w:pPr>
            <w:r>
              <w:t xml:space="preserve">ARISE-3 (NCT03937882)</w:t>
            </w:r>
          </w:p>
        </w:tc>
        <w:tc>
          <w:tcPr/>
          <w:p>
            <w:pPr>
              <w:pStyle w:val="Compact"/>
              <w:jc w:val="left"/>
            </w:pPr>
            <w:r>
              <w:t xml:space="preserve">700 personas, fase 3, ECA</w:t>
            </w:r>
          </w:p>
        </w:tc>
        <w:tc>
          <w:tcPr/>
          <w:p>
            <w:pPr>
              <w:pStyle w:val="Compact"/>
              <w:jc w:val="left"/>
            </w:pPr>
            <w:r>
              <w:t xml:space="preserve">14 días</w:t>
            </w:r>
          </w:p>
        </w:tc>
        <w:tc>
          <w:tcPr/>
          <w:p>
            <w:pPr>
              <w:pStyle w:val="Compact"/>
              <w:jc w:val="left"/>
            </w:pPr>
            <w:r>
              <w:t xml:space="preserve">tinción corneal −0,41 frente a −0,46 puntos, síntomas −0,4 frente a −0,4 puntos (Tβ4 frente a placebo)</w:t>
            </w:r>
          </w:p>
        </w:tc>
      </w:tr>
      <w:tr>
        <w:tc>
          <w:tcPr/>
          <w:p>
            <w:pPr>
              <w:pStyle w:val="Compact"/>
              <w:jc w:val="left"/>
            </w:pPr>
            <w:r>
              <w:t xml:space="preserve">SEER-1, queratopatía neurotrófica (Sosne 2022, PMID 36613994)</w:t>
            </w:r>
          </w:p>
        </w:tc>
        <w:tc>
          <w:tcPr/>
          <w:p>
            <w:pPr>
              <w:pStyle w:val="Compact"/>
              <w:jc w:val="left"/>
            </w:pPr>
            <w:r>
              <w:t xml:space="preserve">18 personas, fase 3, ECA</w:t>
            </w:r>
          </w:p>
        </w:tc>
        <w:tc>
          <w:tcPr/>
          <w:p>
            <w:pPr>
              <w:pStyle w:val="Compact"/>
              <w:jc w:val="left"/>
            </w:pPr>
            <w:r>
              <w:t xml:space="preserve">4 semanas más 2 semanas</w:t>
            </w:r>
          </w:p>
        </w:tc>
        <w:tc>
          <w:tcPr/>
          <w:p>
            <w:pPr>
              <w:pStyle w:val="Compact"/>
              <w:jc w:val="left"/>
            </w:pPr>
            <w:r>
              <w:t xml:space="preserve">curación completa en 6 de 10 frente a 1 de 8 (p = 0,0656, no significativo)</w:t>
            </w:r>
          </w:p>
        </w:tc>
      </w:tr>
    </w:tbl>
    <w:p>
      <w:pPr>
        <w:pStyle w:val="BodyText"/>
      </w:pPr>
      <w:r>
        <w:t xml:space="preserve">El patrón es típico de un medicamento de beneficio incierto: los estudios pequeños muestran señales favorables y los grandes no las confirman. El pequeño estudio con nueve personas encontró mejoras claras (Sosne 2015, PMID 25826322). Pero ya el estudio con 72 personas no alcanzó ninguno de los dos criterios principales fijados de antemano; los autores destacaron en su lugar mejoras en criterios secundarios (Sosne 2015, PMID 26056426). En los dos grandes estudios de fase 3, ARISE-2 y ARISE-3, con unos 1300 participantes en total, los valores de los criterios principales en los grupos de Tβ4 y de placebo fueron prácticamente iguales según los resultados publicados en el registro (NCT02974907; NCT03937882). No se encontró en PubMed una publicación en revista de estos resultados.</w:t>
      </w:r>
    </w:p>
    <w:p>
      <w:pPr>
        <w:pStyle w:val="BodyText"/>
      </w:pPr>
      <w:r>
        <w:t xml:space="preserve">En la queratopatía neurotrófica, en el pequeño estudio de fase 3 SEER-1 curaron más ojos con Tβ4 que con placebo; sin embargo, la diferencia no alcanzó por poco la significación estadística, y el estudio solo incluyó a 18 personas (Sosne 2022, PMID 36613994). Una revisión Cochrane de 2025 calificó el estudio de «baja fiabilidad» y no encontró una diferencia demostrada (Kruoch 2025, PMID 41347649). Hay en curso un estudio de seguimiento más amplio (SEER-2).</w:t>
      </w:r>
    </w:p>
    <w:bookmarkEnd w:id="362"/>
    <w:bookmarkStart w:id="363" w:name="corazón"/>
    <w:p>
      <w:pPr>
        <w:pStyle w:val="Heading4"/>
      </w:pPr>
      <w:r>
        <w:t xml:space="preserve">Corazón</w:t>
      </w:r>
    </w:p>
    <w:p>
      <w:pPr>
        <w:pStyle w:val="FirstParagraph"/>
      </w:pPr>
      <w:r>
        <w:t xml:space="preserve">La Tβ4 se desarrolló como fármaco cardíaco debido a espectaculares experimentos en ratones (véase Estudios en animales y de laboratorio).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Seguridad, infusión (Ruff 2010, PMID 20536472)</w:t>
            </w:r>
          </w:p>
        </w:tc>
        <w:tc>
          <w:tcPr/>
          <w:p>
            <w:pPr>
              <w:pStyle w:val="Compact"/>
              <w:jc w:val="left"/>
            </w:pPr>
            <w:r>
              <w:t xml:space="preserve">40 personas sanas en 4 grupos de dosis, ECA</w:t>
            </w:r>
          </w:p>
        </w:tc>
        <w:tc>
          <w:tcPr/>
          <w:p>
            <w:pPr>
              <w:pStyle w:val="Compact"/>
              <w:jc w:val="left"/>
            </w:pPr>
            <w:r>
              <w:t xml:space="preserve">dosis única, después 14 días a diario</w:t>
            </w:r>
          </w:p>
        </w:tc>
        <w:tc>
          <w:tcPr/>
          <w:p>
            <w:pPr>
              <w:pStyle w:val="Compact"/>
              <w:jc w:val="left"/>
            </w:pPr>
            <w:r>
              <w:t xml:space="preserve">sin toxicidad limitante de la dosis, sin efectos secundarios graves</w:t>
            </w:r>
          </w:p>
        </w:tc>
      </w:tr>
      <w:tr>
        <w:tc>
          <w:tcPr/>
          <w:p>
            <w:pPr>
              <w:pStyle w:val="Compact"/>
              <w:jc w:val="left"/>
            </w:pPr>
            <w:r>
              <w:t xml:space="preserve">Tβ4 recombinante NL005, fase 1 (Wang 2021, PMID 34346165)</w:t>
            </w:r>
          </w:p>
        </w:tc>
        <w:tc>
          <w:tcPr/>
          <w:p>
            <w:pPr>
              <w:pStyle w:val="Compact"/>
              <w:jc w:val="left"/>
            </w:pPr>
            <w:r>
              <w:t xml:space="preserve">54 personas sanas (dosis única) y 30 personas sanas (dosis múltiple), ECA</w:t>
            </w:r>
          </w:p>
        </w:tc>
        <w:tc>
          <w:tcPr/>
          <w:p>
            <w:pPr>
              <w:pStyle w:val="Compact"/>
              <w:jc w:val="left"/>
            </w:pPr>
            <w:r>
              <w:t xml:space="preserve">hasta 10 días más 28 días</w:t>
            </w:r>
          </w:p>
        </w:tc>
        <w:tc>
          <w:tcPr/>
          <w:p>
            <w:pPr>
              <w:pStyle w:val="Compact"/>
              <w:jc w:val="left"/>
            </w:pPr>
            <w:r>
              <w:t xml:space="preserve">efectos secundarios de leves a moderados, ninguno grave</w:t>
            </w:r>
          </w:p>
        </w:tc>
      </w:tr>
      <w:tr>
        <w:tc>
          <w:tcPr/>
          <w:p>
            <w:pPr>
              <w:pStyle w:val="Compact"/>
              <w:jc w:val="left"/>
            </w:pPr>
            <w:r>
              <w:t xml:space="preserve">NL005 en infarto de miocardio (Zhang 2025, PMID 41229390)</w:t>
            </w:r>
          </w:p>
        </w:tc>
        <w:tc>
          <w:tcPr/>
          <w:p>
            <w:pPr>
              <w:pStyle w:val="Compact"/>
              <w:jc w:val="left"/>
            </w:pPr>
            <w:r>
              <w:t xml:space="preserve">96 personas con IAMCEST tras tratamiento con catéter, ECA frente a placebo</w:t>
            </w:r>
          </w:p>
        </w:tc>
        <w:tc>
          <w:tcPr/>
          <w:p>
            <w:pPr>
              <w:pStyle w:val="Compact"/>
              <w:jc w:val="left"/>
            </w:pPr>
            <w:r>
              <w:t xml:space="preserve">90 días</w:t>
            </w:r>
          </w:p>
        </w:tc>
        <w:tc>
          <w:tcPr/>
          <w:p>
            <w:pPr>
              <w:pStyle w:val="Compact"/>
              <w:jc w:val="left"/>
            </w:pPr>
            <w:r>
              <w:t xml:space="preserve">en conjunto, sin diferencia significativa en el tamaño del infarto; ventaja solo en el subgrupo con administración en las primeras 8 horas (n = 43)</w:t>
            </w:r>
          </w:p>
        </w:tc>
      </w:tr>
      <w:tr>
        <w:tc>
          <w:tcPr/>
          <w:p>
            <w:pPr>
              <w:pStyle w:val="Compact"/>
              <w:jc w:val="left"/>
            </w:pPr>
            <w:r>
              <w:t xml:space="preserve">Células madre pretratadas con Tβ4 (Zhu 2016, PMID 27288307)</w:t>
            </w:r>
          </w:p>
        </w:tc>
        <w:tc>
          <w:tcPr/>
          <w:p>
            <w:pPr>
              <w:pStyle w:val="Compact"/>
              <w:jc w:val="left"/>
            </w:pPr>
            <w:r>
              <w:t xml:space="preserve">10 personas con infarto de miocardio, estudio piloto aleatorizado</w:t>
            </w:r>
          </w:p>
        </w:tc>
        <w:tc>
          <w:tcPr/>
          <w:p>
            <w:pPr>
              <w:pStyle w:val="Compact"/>
              <w:jc w:val="left"/>
            </w:pPr>
            <w:r>
              <w:t xml:space="preserve">6 meses</w:t>
            </w:r>
          </w:p>
        </w:tc>
        <w:tc>
          <w:tcPr/>
          <w:p>
            <w:pPr>
              <w:pStyle w:val="Compact"/>
              <w:jc w:val="left"/>
            </w:pPr>
            <w:r>
              <w:t xml:space="preserve">mayor mejora de la distancia recorrida; la Tβ4 solo se añadió a las células en el laboratorio, no se administró a los pacientes</w:t>
            </w:r>
          </w:p>
        </w:tc>
      </w:tr>
    </w:tbl>
    <w:p>
      <w:pPr>
        <w:pStyle w:val="BodyText"/>
      </w:pPr>
      <w:r>
        <w:t xml:space="preserve">El estudio cardíaco más importante es el estudio chino con 96 pacientes con infarto. Considerando a todos los participantes, la Tβ4 recombinante no redujo de forma significativa el tamaño del infarto a los 90 días; solo se observó una ventaja en el subgrupo que recibió la primera dosis en las ocho horas siguientes (Zhang 2025, PMID 41229390). Los resultados de subgrupos se consideran un indicio, no una prueba. Los propios autores reclaman más estudios aleatorizados.</w:t>
      </w:r>
    </w:p>
    <w:bookmarkEnd w:id="363"/>
    <w:bookmarkStart w:id="364" w:name="piel-y-heridas"/>
    <w:p>
      <w:pPr>
        <w:pStyle w:val="Heading4"/>
      </w:pPr>
      <w:r>
        <w:t xml:space="preserve">Piel y heridas</w:t>
      </w:r>
    </w:p>
    <w:p>
      <w:pPr>
        <w:pStyle w:val="FirstParagraph"/>
      </w:pPr>
      <w:r>
        <w:t xml:space="preserve">En la década de 2000, RegeneRx evaluó un gel de Tβ4 en úlceras venosas de la pierna, úlceras por presión y la enfermedad ampollosa hereditaria epidermólisis bullosa. El estudio sobre úlceras venosas aleatorizó a 73 personas; la seguridad fue comparable a la del placebo, y un efecto solo pudo describirse como tendencia para la concentración del 0,03 % (Guarnera 2010, PMID 20536470). El estudio sobre la epidermólisis bullosa se interrumpió prematuramente (NCT00311766). Ninguno de estos estudios condujo a una autorización.</w:t>
      </w:r>
    </w:p>
    <w:bookmarkEnd w:id="364"/>
    <w:bookmarkStart w:id="365" w:name="tb-500-en-humanos"/>
    <w:p>
      <w:pPr>
        <w:pStyle w:val="Heading4"/>
      </w:pPr>
      <w:r>
        <w:t xml:space="preserve">TB-500 en humanos</w:t>
      </w:r>
    </w:p>
    <w:p>
      <w:pPr>
        <w:pStyle w:val="FirstParagraph"/>
      </w:pPr>
      <w:r>
        <w:t xml:space="preserve">Para el fragmento TB-500 no existe ningún estudio en humanos publicado. Una entrada de registro inscrita en 2026 sobre el TB-500 en enfermedad cardiovascular (NCT07487363) se describe a sí misma, en su propia descripción, como ejemplo «ficticio» de una entrada de registro; por tanto, no puede considerarse un estudio real. La única publicación en humanos que menciona la Tβ4 en molestias articulares es una encuesta telefónica retrospectiva en la que a cuatro personas se les inyectó BPC-157 junto con Tβ4 en la rodilla (Lee 2021, PMID 34324435), demasiado poco para cualquier afirmación.</w:t>
      </w:r>
    </w:p>
    <w:bookmarkEnd w:id="365"/>
    <w:bookmarkEnd w:id="366"/>
    <w:bookmarkStart w:id="367" w:name="estudios-en-animales-y-de-laboratorio-16"/>
    <w:p>
      <w:pPr>
        <w:pStyle w:val="Heading3"/>
      </w:pPr>
      <w:r>
        <w:t xml:space="preserve">Estudios en animales y de laboratorio</w:t>
      </w:r>
    </w:p>
    <w:p>
      <w:pPr>
        <w:pStyle w:val="FirstParagraph"/>
      </w:pPr>
      <w:r>
        <w:t xml:space="preserve">La fama de la Tβ4 como «péptido reparador» procede sobre todo de dos trabajos en la revista Nature. En ratones con infarto de miocardio inducido artificialmente, la Tβ4 mejoró la supervivencia de las células del músculo cardíaco y la función cardíaca (Bock-Marquette 2004, PMID 15565145). Un trabajo posterior mostró en ratones que la Tβ4 activa células progenitoras del epicardio y estimula la formación de nuevos vasos (Smart 2007, PMID 17108969). Sin embargo, un grupo independiente no pudo confirmar que, tras un infarto, la Tβ4 haga surgir nuevas células de músculo cardíaco a partir de estas células (Kispert 2012, PMID 22019445), un ejemplo de lo importantes que son las réplicas independientes.</w:t>
      </w:r>
    </w:p>
    <w:p>
      <w:pPr>
        <w:pStyle w:val="BodyText"/>
      </w:pPr>
      <w:r>
        <w:t xml:space="preserve">Otros hallazgos en animales y de laboratorio se refieren a la piel, la córnea, el cerebro, el riñón y el hígado. En ratas, la Tβ4 mejoró la supervivencia de colgajos cutáneos (Tao 2024, PMID 38757041), y en ratones la consolidación de fracturas óseas (Brady 2014, PMID 25042765). Para tendones, ligamentos y músculos –es decir, precisamente los ámbitos de uso para los que se promociona el TB-500 en internet– solo hay datos en células y roedores (Tham 2026, PMID 42937313). Un estudio en ratas de 2026 encontró, tras la sección del tendón de Aquiles en 32 animales, una mayor resistencia a la rotura y una mejor estructura tisular en el grupo de TB-500 que en el grupo de control (Biçer 2026, PMID 42542926). Es uno de los pocos estudios en animales con el fragmento que realmente se vende.</w:t>
      </w:r>
    </w:p>
    <w:bookmarkEnd w:id="367"/>
    <w:bookmarkStart w:id="371" w:name="riesgos-y-efectos-adversos-16"/>
    <w:p>
      <w:pPr>
        <w:pStyle w:val="Heading3"/>
      </w:pPr>
      <w:r>
        <w:t xml:space="preserve">Riesgos y efectos adversos</w:t>
      </w:r>
    </w:p>
    <w:bookmarkStart w:id="368" w:name="demostrado-timosina-beta-4"/>
    <w:p>
      <w:pPr>
        <w:pStyle w:val="Heading4"/>
      </w:pPr>
      <w:r>
        <w:t xml:space="preserve">Demostrado (timosina beta 4)</w:t>
      </w:r>
    </w:p>
    <w:p>
      <w:pPr>
        <w:pStyle w:val="FirstParagraph"/>
      </w:pPr>
      <w:r>
        <w:t xml:space="preserve">En los estudios aleatorizados con colirio, gel e infusión, la Tβ4 fue bien tolerada. En 40 personas sanas, con infusiones de hasta 1260 mg diarios durante 14 días, no se produjeron efectos secundarios limitantes de la dosis (Ruff 2010, PMID 20536472). En el estudio chino de fase 1, los efectos secundarios fueron de leves a moderados (Wang 2021, PMID 34346165). No obstante, estos estudios son cortos y se refieren a la proteína completa con calidad farmacéutica, no a productos del mercado gris.</w:t>
      </w:r>
    </w:p>
    <w:bookmarkEnd w:id="368"/>
    <w:bookmarkStart w:id="369" w:name="teórico-cáncer"/>
    <w:p>
      <w:pPr>
        <w:pStyle w:val="Heading4"/>
      </w:pPr>
      <w:r>
        <w:t xml:space="preserve">Teórico: cáncer</w:t>
      </w:r>
    </w:p>
    <w:p>
      <w:pPr>
        <w:pStyle w:val="FirstParagraph"/>
      </w:pPr>
      <w:r>
        <w:t xml:space="preserve">La Tβ4 favorece la migración celular y la formación de nuevos vasos, dos propiedades que los tumores también aprovechan para crecer y diseminarse. En muestras de tejido de 138 pacientes con cáncer de vejiga, una elevada producción de Tβ4 se asoció con un estadio avanzado, afectación ganglionar y una supervivencia más corta (Wang 2016, PMID 27596300). En cultivos de células de cáncer de mama, la Tβ4 añadida aumentó el número de células (Larsson 2007, PMID 17495241). Estas asociaciones no demuestran que la Tβ4 administrada desde fuera provoque cáncer. Pero son un motivo por el que los especialistas aconsejan cautela en personas con cáncer o con riesgo elevado de cáncer. Faltan datos a largo plazo. La Parte IV trata el tema con detalle.</w:t>
      </w:r>
    </w:p>
    <w:bookmarkEnd w:id="369"/>
    <w:bookmarkStart w:id="370" w:name="mercado-gris"/>
    <w:p>
      <w:pPr>
        <w:pStyle w:val="Heading4"/>
      </w:pPr>
      <w:r>
        <w:t xml:space="preserve">Mercado gris</w:t>
      </w:r>
    </w:p>
    <w:p>
      <w:pPr>
        <w:pStyle w:val="FirstParagraph"/>
      </w:pPr>
      <w:r>
        <w:t xml:space="preserve">Lo que se vende como «TB-500» no contiene de forma fiable lo que figura en la etiqueta. Un laboratorio de dopaje equino analizó productos ofrecidos en internet y encontró que el contenido de «TB500» y «TB1000» no siempre correspondía a la composición declarada (Delcourt 2023, PMID 36482504). Algunos productos contienen el fragmento, otros posiblemente la Tβ4 completa, y otros contaminantes. A ello se suman los riesgos conocidos de las inyecciones no estériles. Que los laboratorios de dopaje equino desarrollaran ya en 2012 métodos de detección para el TB-500 (Ho 2012, PMID 23084823) muestra de dónde procede el producto: del ámbito veterinario, no de la medicina humana.</w:t>
      </w:r>
    </w:p>
    <w:bookmarkEnd w:id="370"/>
    <w:bookmarkEnd w:id="371"/>
    <w:bookmarkStart w:id="372" w:name="situación-legal-16"/>
    <w:p>
      <w:pPr>
        <w:pStyle w:val="Heading3"/>
      </w:pPr>
      <w:r>
        <w:t xml:space="preserve">Situación legal</w:t>
      </w:r>
    </w:p>
    <w:p>
      <w:pPr>
        <w:pStyle w:val="FirstParagraph"/>
      </w:pPr>
      <w:r>
        <w:rPr>
          <w:iCs/>
          <w:i/>
        </w:rPr>
        <w:t xml:space="preserve">Situación en 2026, compruébelo en su versión actual.</w:t>
      </w:r>
    </w:p>
    <w:p>
      <w:pPr>
        <w:numPr>
          <w:ilvl w:val="0"/>
          <w:numId w:val="1120"/>
        </w:numPr>
        <w:pStyle w:val="Compact"/>
      </w:pPr>
      <w:r>
        <w:rPr>
          <w:bCs/>
          <w:b/>
        </w:rPr>
        <w:t xml:space="preserve">UE, Alemania, Austria:</w:t>
      </w:r>
      <w:r>
        <w:t xml:space="preserve"> </w:t>
      </w:r>
      <w:r>
        <w:t xml:space="preserve">ni la Tβ4 ni el TB-500 están autorizados como medicamento. No se permite su dispensación para uso en humanos; los productos con la indicación «solo para fines de investigación» no cambian nada.</w:t>
      </w:r>
    </w:p>
    <w:p>
      <w:pPr>
        <w:numPr>
          <w:ilvl w:val="0"/>
          <w:numId w:val="1120"/>
        </w:numPr>
        <w:pStyle w:val="Compact"/>
      </w:pPr>
      <w:r>
        <w:rPr>
          <w:bCs/>
          <w:b/>
        </w:rPr>
        <w:t xml:space="preserve">EE. UU.:</w:t>
      </w:r>
      <w:r>
        <w:t xml:space="preserve"> </w:t>
      </w:r>
      <w:r>
        <w:t xml:space="preserve">sin autorización de la FDA. Según el conocimiento del autor, en 2023 la FDA clasificó el fragmento de Tβ4 (TB-500), al igual que el BPC-157, en la categoría 2 de sustancias de partida para fórmulas magistrales, es decir, entre las sustancias con importantes problemas de seguridad; la evaluación de los péptidos para la formulación magistral se debate actualmente de forma controvertida (Willis 2026, PMID 42752426).</w:t>
      </w:r>
    </w:p>
    <w:p>
      <w:pPr>
        <w:numPr>
          <w:ilvl w:val="0"/>
          <w:numId w:val="1120"/>
        </w:numPr>
        <w:pStyle w:val="Compact"/>
      </w:pPr>
      <w:r>
        <w:rPr>
          <w:bCs/>
          <w:b/>
        </w:rPr>
        <w:t xml:space="preserve">WADA:</w:t>
      </w:r>
      <w:r>
        <w:t xml:space="preserve"> </w:t>
      </w:r>
      <w:r>
        <w:t xml:space="preserve">la Tβ4 y sus derivados, como el TB-500, están expresamente prohibidos en la clase S2 (hormonas peptídicas, factores de crecimiento), en competición y fuera de ella. También están prohibidos en la hípica (Delcourt 2025, PMID 39314109).</w:t>
      </w:r>
    </w:p>
    <w:bookmarkEnd w:id="372"/>
    <w:bookmarkStart w:id="373" w:name="estudios-en-curso-y-perspectivas-16"/>
    <w:p>
      <w:pPr>
        <w:pStyle w:val="Heading3"/>
      </w:pPr>
      <w:r>
        <w:t xml:space="preserve">Estudios en curso y perspectivas</w:t>
      </w:r>
    </w:p>
    <w:p>
      <w:pPr>
        <w:pStyle w:val="FirstParagraph"/>
      </w:pPr>
      <w:r>
        <w:rPr>
          <w:bCs/>
          <w:b/>
        </w:rPr>
        <w:t xml:space="preserve">Confirmado (según el registro):</w:t>
      </w:r>
    </w:p>
    <w:p>
      <w:pPr>
        <w:numPr>
          <w:ilvl w:val="0"/>
          <w:numId w:val="1121"/>
        </w:numPr>
        <w:pStyle w:val="Compact"/>
      </w:pPr>
      <w:r>
        <w:rPr>
          <w:bCs/>
          <w:b/>
        </w:rPr>
        <w:t xml:space="preserve">SEER-2 (NCT05555589):</w:t>
      </w:r>
      <w:r>
        <w:t xml:space="preserve"> </w:t>
      </w:r>
      <w:r>
        <w:t xml:space="preserve">estudio de fase 3 con colirio RGN-259 en la queratopatía neurotrófica, 70 personas previstas, en reclutamiento, fin del estudio estimado según el registro en mayo de 2026. En octubre de 2026 no se habían publicado los resultados.</w:t>
      </w:r>
    </w:p>
    <w:p>
      <w:pPr>
        <w:numPr>
          <w:ilvl w:val="0"/>
          <w:numId w:val="1121"/>
        </w:numPr>
        <w:pStyle w:val="Compact"/>
      </w:pPr>
      <w:r>
        <w:rPr>
          <w:bCs/>
          <w:b/>
        </w:rPr>
        <w:t xml:space="preserve">NL005 en infarto de miocardio (NCT07586865):</w:t>
      </w:r>
      <w:r>
        <w:t xml:space="preserve"> </w:t>
      </w:r>
      <w:r>
        <w:t xml:space="preserve">estudio chino de fase 2c con Tβ4 recombinante, 189 personas previstas, criterio principal el tamaño del infarto en la RM cardíaca a los 90 días; aún sin reclutamiento, finalización estimada en 2028. Según el registro, han concluido dos estudios previos de fase 2 del mismo fabricante con 62 y 90 personas (NCT05485818; NCT05984134).</w:t>
      </w:r>
    </w:p>
    <w:p>
      <w:pPr>
        <w:numPr>
          <w:ilvl w:val="0"/>
          <w:numId w:val="1121"/>
        </w:numPr>
        <w:pStyle w:val="Compact"/>
      </w:pPr>
      <w:r>
        <w:rPr>
          <w:bCs/>
          <w:b/>
        </w:rPr>
        <w:t xml:space="preserve">TB-500:</w:t>
      </w:r>
      <w:r>
        <w:t xml:space="preserve"> </w:t>
      </w:r>
      <w:r>
        <w:t xml:space="preserve">ningún estudio en humanos registrado creíble.</w:t>
      </w:r>
    </w:p>
    <w:p>
      <w:pPr>
        <w:pStyle w:val="FirstParagraph"/>
      </w:pPr>
      <w:r>
        <w:rPr>
          <w:bCs/>
          <w:b/>
        </w:rPr>
        <w:t xml:space="preserve">Valoración del autor:</w:t>
      </w:r>
      <w:r>
        <w:t xml:space="preserve"> </w:t>
      </w:r>
      <w:r>
        <w:t xml:space="preserve">la posibilidad más realista de autorización la tiene la Tβ4 como colirio en la rara queratopatía neurotrófica, donde incluso estudios pequeños pueden bastar para una autorización como medicamento huérfano, si SEER-2 resulta positivo. En el ojo seco, los grandes datos de fase 3 hablan en contra de un beneficio clínicamente relevante. En el infarto de miocardio, todo depende del estudio chino en curso. Para el TB-500 como producto para la curación de tendones y músculos no se vislumbra, en un futuro previsible, ninguna investigación seria en humanos.</w:t>
      </w:r>
    </w:p>
    <w:bookmarkEnd w:id="373"/>
    <w:bookmarkStart w:id="374" w:name="conclusión-16"/>
    <w:p>
      <w:pPr>
        <w:pStyle w:val="Heading3"/>
      </w:pPr>
      <w:r>
        <w:t xml:space="preserve">Conclusión</w:t>
      </w:r>
    </w:p>
    <w:p>
      <w:pPr>
        <w:pStyle w:val="FirstParagraph"/>
      </w:pPr>
      <w:r>
        <w:t xml:space="preserve">La timosina beta 4 es un péptido propio del organismo que en estudios aleatorizados fue bien tolerado como colirio e infusión, pero cuyo beneficio no se confirmó en los grandes estudios en ojo seco y en el infarto de miocardio hasta ahora solo se ha insinuado en un subgrupo (Zhang 2025, PMID 41229390). El TB-500 es otra cosa: un fragmento modificado que nunca se ha evaluado en un estudio en humanos publicado y cuyos productos del mercado gris, como se ha demostrado, no siempre contienen lo que se indica. La publicidad del TB-500 se apoya en estudios con la proteína completa, y estos apenas se refieren a tendones, ligamentos o músculos. Para los deportistas, ambas sustancias están prohibidas.</w:t>
      </w:r>
    </w:p>
    <w:bookmarkEnd w:id="374"/>
    <w:bookmarkEnd w:id="375"/>
    <w:bookmarkStart w:id="392" w:name="timosina-alfa-1-timalfasina"/>
    <w:p>
      <w:pPr>
        <w:pStyle w:val="Heading2"/>
      </w:pPr>
      <w:r>
        <w:t xml:space="preserve">Timosina alfa 1 (timalfasina)</w:t>
      </w:r>
    </w:p>
    <w:p>
      <w:pPr>
        <w:pStyle w:val="FirstParagraph"/>
      </w:pPr>
      <w:r>
        <w:t xml:space="preserve">La timosina alfa 1 es un caso especial dentro de este grupo. A diferencia del BPC-157 o del TB-500, es un medicamento autorizado en una serie de países (nombre comercial Zadaxin), se ha evaluado en decenas de estudios aleatorizados con miles de personas y en China forma parte de la rutina en algunos hospitales. Al mismo tiempo, precisamente este péptido muestra cómo cambia el panorama cuando estudios pequeños y antiguos son sustituidos por estudios grandes y cuidadosamente realizados. En Europa y EE. UU. no está autorizada, pero en el ámbito de la «longevidad» y el biohacking se comercializa como potenciador inmunitario.</w:t>
      </w:r>
    </w:p>
    <w:bookmarkStart w:id="376" w:name="ficha-17"/>
    <w:p>
      <w:pPr>
        <w:pStyle w:val="Heading3"/>
      </w:pPr>
      <w:r>
        <w:t xml:space="preserve">Ficha</w:t>
      </w:r>
    </w:p>
    <w:p>
      <w:pPr>
        <w:numPr>
          <w:ilvl w:val="0"/>
          <w:numId w:val="1122"/>
        </w:numPr>
        <w:pStyle w:val="Compact"/>
      </w:pPr>
      <w:r>
        <w:rPr>
          <w:bCs/>
          <w:b/>
        </w:rPr>
        <w:t xml:space="preserve">Tipo y estructura:</w:t>
      </w:r>
      <w:r>
        <w:t xml:space="preserve"> </w:t>
      </w:r>
      <w:r>
        <w:t xml:space="preserve">péptido de 28 aminoácidos, acetilado en su inicio (Iino 2005, PMID 15850471); fragmento de la proteína más grande protimosina alfa.</w:t>
      </w:r>
    </w:p>
    <w:p>
      <w:pPr>
        <w:numPr>
          <w:ilvl w:val="0"/>
          <w:numId w:val="1122"/>
        </w:numPr>
        <w:pStyle w:val="Compact"/>
      </w:pPr>
      <w:r>
        <w:rPr>
          <w:bCs/>
          <w:b/>
        </w:rPr>
        <w:t xml:space="preserve">Origen:</w:t>
      </w:r>
      <w:r>
        <w:t xml:space="preserve"> </w:t>
      </w:r>
      <w:r>
        <w:t xml:space="preserve">aislada en la década de 1970 a partir de un extracto del timo («fracción 5 de timosina»); hoy se sintetiza químicamente. Denominación del principio activo: timalfasina.</w:t>
      </w:r>
    </w:p>
    <w:p>
      <w:pPr>
        <w:numPr>
          <w:ilvl w:val="0"/>
          <w:numId w:val="1122"/>
        </w:numPr>
        <w:pStyle w:val="Compact"/>
      </w:pPr>
      <w:r>
        <w:rPr>
          <w:bCs/>
          <w:b/>
        </w:rPr>
        <w:t xml:space="preserve">Mecanismo de acción:</w:t>
      </w:r>
      <w:r>
        <w:t xml:space="preserve"> </w:t>
      </w:r>
      <w:r>
        <w:t xml:space="preserve">inmunomodulador; favorecería la maduración y la actividad de los linfocitos T y de las células dendríticas.</w:t>
      </w:r>
    </w:p>
    <w:p>
      <w:pPr>
        <w:numPr>
          <w:ilvl w:val="0"/>
          <w:numId w:val="1122"/>
        </w:numPr>
        <w:pStyle w:val="Compact"/>
      </w:pPr>
      <w:r>
        <w:rPr>
          <w:bCs/>
          <w:b/>
        </w:rPr>
        <w:t xml:space="preserve">Autorización UE:</w:t>
      </w:r>
      <w:r>
        <w:t xml:space="preserve"> </w:t>
      </w:r>
      <w:r>
        <w:t xml:space="preserve">sin autorización centralizada.</w:t>
      </w:r>
      <w:r>
        <w:t xml:space="preserve"> </w:t>
      </w:r>
      <w:r>
        <w:rPr>
          <w:bCs/>
          <w:b/>
        </w:rPr>
        <w:t xml:space="preserve">EE. UU.:</w:t>
      </w:r>
      <w:r>
        <w:t xml:space="preserve"> </w:t>
      </w:r>
      <w:r>
        <w:t xml:space="preserve">no autorizada; en 2023, la FDA restringió su uso en farmacias de formulación magistral (Dinetz 2024, PMID 38308608).</w:t>
      </w:r>
      <w:r>
        <w:t xml:space="preserve"> </w:t>
      </w:r>
      <w:r>
        <w:rPr>
          <w:bCs/>
          <w:b/>
        </w:rPr>
        <w:t xml:space="preserve">Otros países:</w:t>
      </w:r>
      <w:r>
        <w:t xml:space="preserve"> </w:t>
      </w:r>
      <w:r>
        <w:t xml:space="preserve">autorizada como Zadaxin, sobre todo en China y otros Estados asiáticos, en general para la hepatitis B crónica y como tratamiento complementario para reforzar el sistema inmunitario.</w:t>
      </w:r>
    </w:p>
    <w:p>
      <w:pPr>
        <w:numPr>
          <w:ilvl w:val="0"/>
          <w:numId w:val="1122"/>
        </w:numPr>
        <w:pStyle w:val="Compact"/>
      </w:pPr>
      <w:r>
        <w:rPr>
          <w:bCs/>
          <w:b/>
        </w:rPr>
        <w:t xml:space="preserve">WADA:</w:t>
      </w:r>
      <w:r>
        <w:t xml:space="preserve"> </w:t>
      </w:r>
      <w:r>
        <w:t xml:space="preserve">no figura expresamente (situación en 2026, compruébelo en su versión actual).</w:t>
      </w:r>
    </w:p>
    <w:p>
      <w:pPr>
        <w:numPr>
          <w:ilvl w:val="0"/>
          <w:numId w:val="1122"/>
        </w:numPr>
        <w:pStyle w:val="Compact"/>
      </w:pPr>
      <w:r>
        <w:rPr>
          <w:bCs/>
          <w:b/>
        </w:rPr>
        <w:t xml:space="preserve">Nivel de evidencia: B</w:t>
      </w:r>
      <w:r>
        <w:t xml:space="preserve"> </w:t>
      </w:r>
      <w:r>
        <w:t xml:space="preserve">– formalmente existen muchos estudios aleatorizados; sin embargo, los estudios grandes y metodológicamente mejores no alcanzaron sus criterios principales, y los resultados positivos proceden en su mayoría de estudios pequeños con alto riesgo de sesgo.</w:t>
      </w:r>
    </w:p>
    <w:bookmarkEnd w:id="376"/>
    <w:bookmarkStart w:id="377" w:name="cómo-se-supone-que-actúa-17"/>
    <w:p>
      <w:pPr>
        <w:pStyle w:val="Heading3"/>
      </w:pPr>
      <w:r>
        <w:t xml:space="preserve">Cómo se supone que actúa</w:t>
      </w:r>
    </w:p>
    <w:p>
      <w:pPr>
        <w:pStyle w:val="FirstParagraph"/>
      </w:pPr>
      <w:r>
        <w:t xml:space="preserve">El timo, situado detrás del esternón, es la «escuela» de los linfocitos T: aquí estos glóbulos blancos aprenden a distinguir lo ajeno de lo propio. Con la edad, el timo se atrofia. Pronto se supuso que mensajeros procedentes del timo dirigían la defensa, y se buscaron en extractos tímicos. La timosina alfa 1 fue una de las primeras sustancias identificadas de este modo.</w:t>
      </w:r>
    </w:p>
    <w:p>
      <w:pPr>
        <w:pStyle w:val="BodyText"/>
      </w:pPr>
      <w:r>
        <w:t xml:space="preserve">En experimentos de laboratorio y con animales, la timosina alfa 1 activa las células dendríticas –los «exploradores» del sistema inmunitario– a través de los llamados receptores de tipo Toll, aumenta la expresión de moléculas de reconocimiento en las células y potencia el efecto del interferón (Garaci 2007, PMID 17600290). De ahí se derivaron las tres grandes ideas de aplicación:</w:t>
      </w:r>
    </w:p>
    <w:p>
      <w:pPr>
        <w:numPr>
          <w:ilvl w:val="0"/>
          <w:numId w:val="1123"/>
        </w:numPr>
        <w:pStyle w:val="Compact"/>
      </w:pPr>
      <w:r>
        <w:rPr>
          <w:bCs/>
          <w:b/>
        </w:rPr>
        <w:t xml:space="preserve">Infecciones víricas crónicas</w:t>
      </w:r>
      <w:r>
        <w:t xml:space="preserve"> </w:t>
      </w:r>
      <w:r>
        <w:t xml:space="preserve">(hepatitis B y C), en las que el sistema inmunitario no elimina el virus por sí solo.</w:t>
      </w:r>
    </w:p>
    <w:p>
      <w:pPr>
        <w:numPr>
          <w:ilvl w:val="0"/>
          <w:numId w:val="1123"/>
        </w:numPr>
        <w:pStyle w:val="Compact"/>
      </w:pPr>
      <w:r>
        <w:rPr>
          <w:bCs/>
          <w:b/>
        </w:rPr>
        <w:t xml:space="preserve">Sepsis e infecciones graves</w:t>
      </w:r>
      <w:r>
        <w:t xml:space="preserve">, en las que tras una reacción excesiva inicial suele seguir una fase de inmunodepresión.</w:t>
      </w:r>
    </w:p>
    <w:p>
      <w:pPr>
        <w:numPr>
          <w:ilvl w:val="0"/>
          <w:numId w:val="1123"/>
        </w:numPr>
        <w:pStyle w:val="Compact"/>
      </w:pPr>
      <w:r>
        <w:rPr>
          <w:bCs/>
          <w:b/>
        </w:rPr>
        <w:t xml:space="preserve">Cáncer</w:t>
      </w:r>
      <w:r>
        <w:t xml:space="preserve">, como complemento de la quimioterapia, la radioterapia y la inmunoterapia.</w:t>
      </w:r>
    </w:p>
    <w:p>
      <w:pPr>
        <w:pStyle w:val="FirstParagraph"/>
      </w:pPr>
      <w:r>
        <w:t xml:space="preserve">La semivida en sangre es de unas dos horas; a las 24 horas, la concentración vuelve al valor inicial (Ancell 2001, PMID 11381492).</w:t>
      </w:r>
    </w:p>
    <w:bookmarkEnd w:id="377"/>
    <w:bookmarkStart w:id="384" w:name="estudios-en-humanos-17"/>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encontró</w:t>
      </w:r>
      <w:r>
        <w:t xml:space="preserve"> </w:t>
      </w:r>
      <w:r>
        <w:rPr>
          <w:bCs/>
          <w:b/>
        </w:rPr>
        <w:t xml:space="preserve">90</w:t>
      </w:r>
      <w:r>
        <w:t xml:space="preserve"> </w:t>
      </w:r>
      <w:r>
        <w:t xml:space="preserve">estudios en humanos en PubMed y</w:t>
      </w:r>
      <w:r>
        <w:t xml:space="preserve"> </w:t>
      </w:r>
      <w:r>
        <w:rPr>
          <w:bCs/>
          <w:b/>
        </w:rPr>
        <w:t xml:space="preserve">66</w:t>
      </w:r>
      <w:r>
        <w:t xml:space="preserve"> </w:t>
      </w:r>
      <w:r>
        <w:t xml:space="preserve">entradas en ClinicalTrials.gov, además de 15 metaanálisis y revisiones sistemáticas. Gran parte de los estudios procede de China y es pequeña. Una revisión de 2024 que resume más de 30 estudios con más de 11.000 personas se redactó expresamente para argumentar en contra de la restricción de la FDA (Dinetz 2024, PMID 38308608); por tanto, no debe leerse como una evaluación neutral.</w:t>
      </w:r>
    </w:p>
    <w:bookmarkStart w:id="378" w:name="los-estudios-grandes-más-importantes"/>
    <w:p>
      <w:pPr>
        <w:pStyle w:val="Heading4"/>
      </w:pPr>
      <w:r>
        <w:t xml:space="preserve">Los estudios grandes más importantes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TESTS, sepsis (Wu 2025, PMID 39814420)</w:t>
            </w:r>
          </w:p>
        </w:tc>
        <w:tc>
          <w:tcPr/>
          <w:p>
            <w:pPr>
              <w:pStyle w:val="Compact"/>
              <w:jc w:val="left"/>
            </w:pPr>
            <w:r>
              <w:t xml:space="preserve">1106 adultos con sepsis, 22 centros en China, ECA doble ciego frente a placebo</w:t>
            </w:r>
          </w:p>
        </w:tc>
        <w:tc>
          <w:tcPr/>
          <w:p>
            <w:pPr>
              <w:pStyle w:val="Compact"/>
              <w:jc w:val="left"/>
            </w:pPr>
            <w:r>
              <w:t xml:space="preserve">7 días de tratamiento, 28 días de observación</w:t>
            </w:r>
          </w:p>
        </w:tc>
        <w:tc>
          <w:tcPr/>
          <w:p>
            <w:pPr>
              <w:pStyle w:val="Compact"/>
              <w:jc w:val="left"/>
            </w:pPr>
            <w:r>
              <w:t xml:space="preserve">mortalidad 23,4 % frente a 24,1 %; sin diferencia</w:t>
            </w:r>
          </w:p>
        </w:tc>
      </w:tr>
      <w:tr>
        <w:tc>
          <w:tcPr/>
          <w:p>
            <w:pPr>
              <w:pStyle w:val="Compact"/>
              <w:jc w:val="left"/>
            </w:pPr>
            <w:r>
              <w:t xml:space="preserve">Pancreatitis necrotizante (Ke 2022, PMID 35713670)</w:t>
            </w:r>
          </w:p>
        </w:tc>
        <w:tc>
          <w:tcPr/>
          <w:p>
            <w:pPr>
              <w:pStyle w:val="Compact"/>
              <w:jc w:val="left"/>
            </w:pPr>
            <w:r>
              <w:t xml:space="preserve">508 personas, ECA doble ciego frente a placebo</w:t>
            </w:r>
          </w:p>
        </w:tc>
        <w:tc>
          <w:tcPr/>
          <w:p>
            <w:pPr>
              <w:pStyle w:val="Compact"/>
              <w:jc w:val="left"/>
            </w:pPr>
            <w:r>
              <w:t xml:space="preserve">14 días de tratamiento</w:t>
            </w:r>
          </w:p>
        </w:tc>
        <w:tc>
          <w:tcPr/>
          <w:p>
            <w:pPr>
              <w:pStyle w:val="Compact"/>
              <w:jc w:val="left"/>
            </w:pPr>
            <w:r>
              <w:t xml:space="preserve">necrosis infectadas 15,7 % frente a 18,1 %; sin diferencia significativa</w:t>
            </w:r>
          </w:p>
        </w:tc>
      </w:tr>
      <w:tr>
        <w:tc>
          <w:tcPr/>
          <w:p>
            <w:pPr>
              <w:pStyle w:val="Compact"/>
              <w:jc w:val="left"/>
            </w:pPr>
            <w:r>
              <w:t xml:space="preserve">Melanoma (Maio 2010, PMID 20194853)</w:t>
            </w:r>
          </w:p>
        </w:tc>
        <w:tc>
          <w:tcPr/>
          <w:p>
            <w:pPr>
              <w:pStyle w:val="Compact"/>
              <w:jc w:val="left"/>
            </w:pPr>
            <w:r>
              <w:t xml:space="preserve">488 personas con melanoma metastásico, ECA con 5 grupos</w:t>
            </w:r>
          </w:p>
        </w:tc>
        <w:tc>
          <w:tcPr/>
          <w:p>
            <w:pPr>
              <w:pStyle w:val="Compact"/>
              <w:jc w:val="left"/>
            </w:pPr>
            <w:r>
              <w:t xml:space="preserve">hasta 24 meses</w:t>
            </w:r>
          </w:p>
        </w:tc>
        <w:tc>
          <w:tcPr/>
          <w:p>
            <w:pPr>
              <w:pStyle w:val="Compact"/>
              <w:jc w:val="left"/>
            </w:pPr>
            <w:r>
              <w:t xml:space="preserve">más respuestas tumorales en dos grupos de Tα1; supervivencia global 9,4 frente a 6,6 meses, no significativa (p = 0,08)</w:t>
            </w:r>
          </w:p>
        </w:tc>
      </w:tr>
      <w:tr>
        <w:tc>
          <w:tcPr/>
          <w:p>
            <w:pPr>
              <w:pStyle w:val="Compact"/>
              <w:jc w:val="left"/>
            </w:pPr>
            <w:r>
              <w:t xml:space="preserve">Cirrosis por hepatitis B (Wu 2018, PMID 30063860)</w:t>
            </w:r>
          </w:p>
        </w:tc>
        <w:tc>
          <w:tcPr/>
          <w:p>
            <w:pPr>
              <w:pStyle w:val="Compact"/>
              <w:jc w:val="left"/>
            </w:pPr>
            <w:r>
              <w:t xml:space="preserve">690 personas, ECA abierto, Tα1 más entecavir frente a entecavir solo</w:t>
            </w:r>
          </w:p>
        </w:tc>
        <w:tc>
          <w:tcPr/>
          <w:p>
            <w:pPr>
              <w:pStyle w:val="Compact"/>
              <w:jc w:val="left"/>
            </w:pPr>
            <w:r>
              <w:t xml:space="preserve">mediana de 38,2 meses</w:t>
            </w:r>
          </w:p>
        </w:tc>
        <w:tc>
          <w:tcPr/>
          <w:p>
            <w:pPr>
              <w:pStyle w:val="Compact"/>
              <w:jc w:val="left"/>
            </w:pPr>
            <w:r>
              <w:t xml:space="preserve">sin diferencia en insuficiencia hepática, cáncer de hígado o muerte</w:t>
            </w:r>
          </w:p>
        </w:tc>
      </w:tr>
      <w:tr>
        <w:tc>
          <w:tcPr/>
          <w:p>
            <w:pPr>
              <w:pStyle w:val="Compact"/>
              <w:jc w:val="left"/>
            </w:pPr>
            <w:r>
              <w:t xml:space="preserve">Hepatitis B, Japón (Iino 2005, PMID 15850471)</w:t>
            </w:r>
          </w:p>
        </w:tc>
        <w:tc>
          <w:tcPr/>
          <w:p>
            <w:pPr>
              <w:pStyle w:val="Compact"/>
              <w:jc w:val="left"/>
            </w:pPr>
            <w:r>
              <w:t xml:space="preserve">316 personas, comparación de dos dosis, sin grupo placebo</w:t>
            </w:r>
          </w:p>
        </w:tc>
        <w:tc>
          <w:tcPr/>
          <w:p>
            <w:pPr>
              <w:pStyle w:val="Compact"/>
              <w:jc w:val="left"/>
            </w:pPr>
            <w:r>
              <w:t xml:space="preserve">24 semanas más 48 semanas</w:t>
            </w:r>
          </w:p>
        </w:tc>
        <w:tc>
          <w:tcPr/>
          <w:p>
            <w:pPr>
              <w:pStyle w:val="Compact"/>
              <w:jc w:val="left"/>
            </w:pPr>
            <w:r>
              <w:t xml:space="preserve">pérdida del antígeno HBe en el 22,8 % con la dosis más alta</w:t>
            </w:r>
          </w:p>
        </w:tc>
      </w:tr>
      <w:tr>
        <w:tc>
          <w:tcPr/>
          <w:p>
            <w:pPr>
              <w:pStyle w:val="Compact"/>
              <w:jc w:val="left"/>
            </w:pPr>
            <w:r>
              <w:t xml:space="preserve">Hepatitis B, fase 3 (Mutchnick 1999, PMID 10607256)</w:t>
            </w:r>
          </w:p>
        </w:tc>
        <w:tc>
          <w:tcPr/>
          <w:p>
            <w:pPr>
              <w:pStyle w:val="Compact"/>
              <w:jc w:val="left"/>
            </w:pPr>
            <w:r>
              <w:t xml:space="preserve">97 personas, ECA doble ciego frente a placebo</w:t>
            </w:r>
          </w:p>
        </w:tc>
        <w:tc>
          <w:tcPr/>
          <w:p>
            <w:pPr>
              <w:pStyle w:val="Compact"/>
              <w:jc w:val="left"/>
            </w:pPr>
            <w:r>
              <w:t xml:space="preserve">12 meses</w:t>
            </w:r>
          </w:p>
        </w:tc>
        <w:tc>
          <w:tcPr/>
          <w:p>
            <w:pPr>
              <w:pStyle w:val="Compact"/>
              <w:jc w:val="left"/>
            </w:pPr>
            <w:r>
              <w:t xml:space="preserve">respuesta completa 14 % frente a 4 %, no significativa</w:t>
            </w:r>
          </w:p>
        </w:tc>
      </w:tr>
    </w:tbl>
    <w:bookmarkEnd w:id="378"/>
    <w:bookmarkStart w:id="379" w:name="hepatitis-b-y-c"/>
    <w:p>
      <w:pPr>
        <w:pStyle w:val="Heading4"/>
      </w:pPr>
      <w:r>
        <w:t xml:space="preserve">Hepatitis B y C</w:t>
      </w:r>
    </w:p>
    <w:p>
      <w:pPr>
        <w:pStyle w:val="FirstParagraph"/>
      </w:pPr>
      <w:r>
        <w:t xml:space="preserve">Las autorizaciones en Asia se basan sobre todo en estudios sobre la hepatitis B crónica de la década de 1990. Un estudio aleatorizado con 98 personas encontró, 18 meses después del inicio, una respuesta virológica completa en el 40,6 por ciento tras seis meses de tratamiento, frente al 9,4 por ciento en el grupo de control no tratado (Chien 1998, PMID 9581695). El estudio de fase 3 doble ciego y controlado con placebo no pudo confirmarlo: 14 por ciento frente a 4 por ciento, sin significación estadística; los propios autores escriben que los resultados no confirmaban observaciones anteriores (Mutchnick 1999, PMID 10607256).</w:t>
      </w:r>
    </w:p>
    <w:p>
      <w:pPr>
        <w:pStyle w:val="BodyText"/>
      </w:pPr>
      <w:r>
        <w:t xml:space="preserve">Un metaanálisis de cuatro estudios pequeños con 199 personas encontró que la timosina alfa 1 obtenía peores resultados que el interferón alfa al final del tratamiento, pero mejores seis meses después (Yang 2008, PMID 18078676). Hoy, la cuestión está en gran medida superada: los comprimidos modernos contra la hepatitis B (como el entecavir) suprimen el virus de forma fiable. En el gran estudio con 690 personas con cirrosis hepática, añadir timosina alfa 1 al entecavir no aportó ninguna ventaja en el criterio principal compuesto por descompensación hepática, cáncer de hígado o muerte (Wu 2018, PMID 30063860). Un metaanálisis de estudios chinos sobre la misma combinación encontró tasas de respuesta mejores a las 24 semanas, pero ninguna diferencia a las 48–52 semanas (Peng 2020, PMID 33076834).</w:t>
      </w:r>
    </w:p>
    <w:p>
      <w:pPr>
        <w:pStyle w:val="BodyText"/>
      </w:pPr>
      <w:r>
        <w:t xml:space="preserve">En una forma de evolución especialmente grave –la insuficiencia hepática aguda sobre crónica en la hepatitis B–, la supervivencia sin trasplante a los 90 días fue, en un estudio abierto con 120 personas, del 75,0 por ciento con timosina alfa 1 frente al 53,4 por ciento; las nuevas infecciones fueron menos frecuentes (Chen 2022, PMID 35616850). El estudio no era cegado, y en un análisis que tenía en cuenta los riesgos competitivos, la diferencia de supervivencia no fue significativa.</w:t>
      </w:r>
    </w:p>
    <w:p>
      <w:pPr>
        <w:pStyle w:val="BodyText"/>
      </w:pPr>
      <w:r>
        <w:t xml:space="preserve">En la hepatitis C, la combinación con interferón mejoró en estudios más pequeños los valores al final del tratamiento (Sherman 1998, PMID 9537454; Andreone 2004, PMID 14738560), pero la respuesta sostenida no difirió sustancialmente. Desde que existen comprimidos de acción directa que eliminan la hepatitis C en la gran mayoría de los casos, la timosina alfa 1 ya no desempeña ningún papel aquí.</w:t>
      </w:r>
    </w:p>
    <w:bookmarkEnd w:id="379"/>
    <w:bookmarkStart w:id="380" w:name="sepsis"/>
    <w:p>
      <w:pPr>
        <w:pStyle w:val="Heading4"/>
      </w:pPr>
      <w:r>
        <w:t xml:space="preserve">Sepsis</w:t>
      </w:r>
    </w:p>
    <w:p>
      <w:pPr>
        <w:pStyle w:val="FirstParagraph"/>
      </w:pPr>
      <w:r>
        <w:t xml:space="preserve">La sepsis permite mostrar especialmente bien la evolución de la evidencia. Los primeros metaanálisis de estudios chinos, en su mayoría pequeños, encontraron una mortalidad claramente menor (Li 2015, PMID 25532482: riesgo relativo de 0,68 en 12 estudios con 1480 personas), pero ellos mismos señalaron la mala calidad de los estudios. El primer estudio aleatorizado más amplio (ETASS), con 361 personas, encontró una mortalidad a los 28 días del 26,0 frente al 35,0 por ciento, justo en el límite de la significación estadística y con simple ciego (Wu 2013, PMID 23327199).</w:t>
      </w:r>
    </w:p>
    <w:p>
      <w:pPr>
        <w:pStyle w:val="BodyText"/>
      </w:pPr>
      <w:r>
        <w:t xml:space="preserve">A continuación, el mismo grupo de trabajo planificó el estudio más grande y mejor hasta la fecha: TESTS, doble ciego, controlado con placebo, con 1106 adultos en 22 centros. Resultado: la mortalidad a los 28 días fue del 23,4 por ciento con timosina alfa 1 y del 24,1 por ciento con placebo, sin diferencia. Tampoco difirió ningún criterio secundario (Wu 2025, PMID 39814420). En subgrupos se insinuaron ventajas en mayores de 60 años y personas con diabetes, pero incluso desventajas en menores de 60 años; estos hallazgos de subgrupos son inciertos.</w:t>
      </w:r>
    </w:p>
    <w:p>
      <w:pPr>
        <w:pStyle w:val="BodyText"/>
      </w:pPr>
      <w:r>
        <w:t xml:space="preserve">Un metaanálisis de 2025 con 11 estudios aleatorizados encontró en conjunto una mortalidad menor, pero no al considerar solo los estudios de alta calidad o solo los multicéntricos; la cantidad de datos disponible sería demasiado pequeña para una conclusión definitiva (Gu 2025, PMID 40969554). Además, muchos estudios chinos combinan la timosina alfa 1 con ulinastatina, otro fármaco utilizado en China; los metaanálisis en red califican la fiabilidad de estos resultados como mayoritariamente baja (Luo 2026, PMID 42205841).</w:t>
      </w:r>
    </w:p>
    <w:bookmarkEnd w:id="380"/>
    <w:bookmarkStart w:id="381" w:name="covid-19"/>
    <w:p>
      <w:pPr>
        <w:pStyle w:val="Heading4"/>
      </w:pPr>
      <w:r>
        <w:t xml:space="preserve">COVID-19</w:t>
      </w:r>
    </w:p>
    <w:p>
      <w:pPr>
        <w:pStyle w:val="FirstParagraph"/>
      </w:pPr>
      <w:r>
        <w:t xml:space="preserve">Durante la pandemia, la timosina alfa 1 se utilizó ampliamente en China. Un análisis retrospectivo temprano de 76 enfermos graves en Wuhan informó de una mortalidad del 11,1 frente al 30,0 por ciento (Liu 2020, PMID 32442287). Un estudio retrospectivo más amplio en cinco hospitales, con más de 2200 personas, encontró lo contrario: tras tener en cuenta los factores de confusión, el tratamiento se asoció con una mayor tasa de no recuperación (Liu 2021, PMID 34408744). Un pequeño estudio piloto aleatorizado con 49 personas encontró aumentos más rápidos de los linfocitos T colaboradores, pero ninguna diferencia significativa en la recuperación (Shehadeh 2023, PMID 36056913).</w:t>
      </w:r>
    </w:p>
    <w:p>
      <w:pPr>
        <w:pStyle w:val="BodyText"/>
      </w:pPr>
      <w:r>
        <w:t xml:space="preserve">Dos metaanálisis llegaron a conclusiones opuestas: uno, con 9 estudios y 5352 personas, no encontró ningún efecto sobre la mortalidad y desaconseja su uso en adultos hospitalizados (Shang 2023, PMID 36527881); otro, con 8 estudios, encontró una mortalidad menor, aunque con una heterogeneidad muy grande entre los estudios (Soeroto 2023, PMID 37845598). Casi todos los datos proceden de estudios observacionales no aleatorizados. Por tanto, no está demostrado un beneficio en la COVID-19.</w:t>
      </w:r>
    </w:p>
    <w:bookmarkEnd w:id="381"/>
    <w:bookmarkStart w:id="382" w:name="cáncer"/>
    <w:p>
      <w:pPr>
        <w:pStyle w:val="Heading4"/>
      </w:pPr>
      <w:r>
        <w:t xml:space="preserve">Cáncer</w:t>
      </w:r>
    </w:p>
    <w:p>
      <w:pPr>
        <w:pStyle w:val="FirstParagraph"/>
      </w:pPr>
      <w:r>
        <w:t xml:space="preserve">El mayor estudio aleatorizado en cáncer evaluó la timosina alfa 1 en el melanoma metastásico como complemento de la quimioterapia con dacarbazina. En dos grupos de Tα1 respondieron más tumores que en el grupo de control (10 y 12 frente a 4 respuestas); la supervivencia global media fue de 9,4 frente a 6,6 meses, pero la diferencia no fue significativa (Maio 2010, PMID 20194853). No siguió ninguna autorización, y el tratamiento del melanoma ha cambiado radicalmente desde entonces gracias a los inhibidores de puntos de control inmunitario.</w:t>
      </w:r>
    </w:p>
    <w:p>
      <w:pPr>
        <w:pStyle w:val="BodyText"/>
      </w:pPr>
      <w:r>
        <w:t xml:space="preserve">Los metaanálisis de estudios chinos sobre cáncer de pulmón y de estómago informan de mejores tasas de respuesta, mejor calidad de vida y menos efectos secundarios de la quimioterapia cuando se añadieron péptidos tímicos (Zeng 2019, PMID 31326719: 27 estudios, 1925 personas; Wang 2026, PMID 42827862: 20 estudios, 1704 personas). Sin embargo, ambos trabajos califican la calidad de la evidencia de moderada a muy baja, y faltan en gran medida datos sobre la supervivencia a largo plazo. Una revisión de estudios oncológicos de 2016 a 2026 encontró mayoritariamente estudios observacionales retrospectivos e informes de casos de China y un registro heterogéneo de los efectos secundarios (Kim 2026, PMID 42797537). Estudios de fase 2 más recientes combinan la timosina alfa 1 con inhibidores de puntos de control inmunitario, por ejemplo antes de la cirugía del cáncer gástrico con 30 personas (Xu 2026, PMID 41749205); sin grupo de control, no puede deducirse de ello la contribución de la timosina alfa 1.</w:t>
      </w:r>
    </w:p>
    <w:bookmarkEnd w:id="382"/>
    <w:bookmarkStart w:id="383" w:name="refuerzo-de-vacunas"/>
    <w:p>
      <w:pPr>
        <w:pStyle w:val="Heading4"/>
      </w:pPr>
      <w:r>
        <w:t xml:space="preserve">Refuerzo de vacunas</w:t>
      </w:r>
    </w:p>
    <w:p>
      <w:pPr>
        <w:pStyle w:val="FirstParagraph"/>
      </w:pPr>
      <w:r>
        <w:t xml:space="preserve">Ya en 1989, 90 hombres de entre 65 y 99 años recibieron, además de la vacuna antigripal, timosina alfa 1 o placebo; no se observaron efectos secundarios (Gravenstein 1989, PMID 2642497). Esta idea se retoma hoy, por ejemplo en pacientes en diálisis en relación con la COVID-19 (Tuthill 2023, PMID 36881981) y en un estudio en curso sobre la dosis de refuerzo en personas mayores (NCT06821100). Faltan datos sólidos de criterios de valoración, es decir, menos enfermedades o muertes.</w:t>
      </w:r>
    </w:p>
    <w:bookmarkEnd w:id="383"/>
    <w:bookmarkEnd w:id="384"/>
    <w:bookmarkStart w:id="385" w:name="estudios-en-animales-y-de-laboratorio-17"/>
    <w:p>
      <w:pPr>
        <w:pStyle w:val="Heading3"/>
      </w:pPr>
      <w:r>
        <w:t xml:space="preserve">Estudios en animales y de laboratorio</w:t>
      </w:r>
    </w:p>
    <w:p>
      <w:pPr>
        <w:pStyle w:val="FirstParagraph"/>
      </w:pPr>
      <w:r>
        <w:t xml:space="preserve">Como la timosina alfa 1 se estudia en humanos desde hace décadas, los estudios en animales desempeñan un papel menor en la valoración. Fueron importantes para la idea oncológica: en modelos de ratón de cáncer de pulmón, leucemia y melanoma, así como en un modelo de rata de metástasis hepáticas, la combinación de timosina alfa 1 con interferón o interleucina-2 y quimioterapia actuó mejor que los tratamientos por separado (Garaci 2007, PMID 17600290). Hasta ahora, estos hallazgos no han podido reproducirse de forma convincente en humanos.</w:t>
      </w:r>
    </w:p>
    <w:bookmarkEnd w:id="385"/>
    <w:bookmarkStart w:id="388" w:name="riesgos-y-efectos-adversos-17"/>
    <w:p>
      <w:pPr>
        <w:pStyle w:val="Heading3"/>
      </w:pPr>
      <w:r>
        <w:t xml:space="preserve">Riesgos y efectos adversos</w:t>
      </w:r>
    </w:p>
    <w:bookmarkStart w:id="386" w:name="demostrado-1"/>
    <w:p>
      <w:pPr>
        <w:pStyle w:val="Heading4"/>
      </w:pPr>
      <w:r>
        <w:t xml:space="preserve">Demostrado</w:t>
      </w:r>
    </w:p>
    <w:p>
      <w:pPr>
        <w:pStyle w:val="FirstParagraph"/>
      </w:pPr>
      <w:r>
        <w:t xml:space="preserve">En los estudios, la timosina alfa 1 se considera bien tolerada. En los estudios más antiguos solo se observó por lo general una irritación local en el lugar de inyección (Ancell 2001, PMID 11381492). En el gran estudio de sepsis TESTS, los criterios de seguridad no difirieron de los del placebo (Wu 2025, PMID 39814420). En la hepatitis B se produjeron en parte fluctuaciones de las enzimas hepáticas, que se interpretaron como expresión de la respuesta inmunitaria (Iino 2005, PMID 15850471).</w:t>
      </w:r>
    </w:p>
    <w:bookmarkEnd w:id="386"/>
    <w:bookmarkStart w:id="387" w:name="a-tener-en-cuenta"/>
    <w:p>
      <w:pPr>
        <w:pStyle w:val="Heading4"/>
      </w:pPr>
      <w:r>
        <w:t xml:space="preserve">A tener en cuenta</w:t>
      </w:r>
    </w:p>
    <w:p>
      <w:pPr>
        <w:numPr>
          <w:ilvl w:val="0"/>
          <w:numId w:val="1124"/>
        </w:numPr>
        <w:pStyle w:val="Compact"/>
      </w:pPr>
      <w:r>
        <w:rPr>
          <w:bCs/>
          <w:b/>
        </w:rPr>
        <w:t xml:space="preserve">Subgrupos con posible daño:</w:t>
      </w:r>
      <w:r>
        <w:t xml:space="preserve"> </w:t>
      </w:r>
      <w:r>
        <w:t xml:space="preserve">en TESTS, la mortalidad en menores de 60 años fue mayor con timosina alfa 1 que con placebo (hazard ratio 1,67) (Wu 2025, PMID 39814420); en la COVID-19, el tratamiento se asoció en un gran estudio observacional con una peor evolución (Liu 2021, PMID 34408744). Ambas cosas pueden deberse al azar o a sesgos, pero muestran que «potenciador inmunitario inofensivo» no es una descripción demostrada.</w:t>
      </w:r>
    </w:p>
    <w:p>
      <w:pPr>
        <w:numPr>
          <w:ilvl w:val="0"/>
          <w:numId w:val="1124"/>
        </w:numPr>
        <w:pStyle w:val="Compact"/>
      </w:pPr>
      <w:r>
        <w:rPr>
          <w:bCs/>
          <w:b/>
        </w:rPr>
        <w:t xml:space="preserve">Enfermedades autoinmunitarias y trasplantes:</w:t>
      </w:r>
      <w:r>
        <w:t xml:space="preserve"> </w:t>
      </w:r>
      <w:r>
        <w:t xml:space="preserve">una sustancia que debe estimular el sistema inmunitario podría, en teoría, agravar enfermedades autoinmunitarias o favorecer el rechazo de órganos trasplantados. Faltan datos sistemáticos al respecto.</w:t>
      </w:r>
    </w:p>
    <w:p>
      <w:pPr>
        <w:numPr>
          <w:ilvl w:val="0"/>
          <w:numId w:val="1124"/>
        </w:numPr>
        <w:pStyle w:val="Compact"/>
      </w:pPr>
      <w:r>
        <w:rPr>
          <w:bCs/>
          <w:b/>
        </w:rPr>
        <w:t xml:space="preserve">Combinación con inmunoterapia:</w:t>
      </w:r>
      <w:r>
        <w:t xml:space="preserve"> </w:t>
      </w:r>
      <w:r>
        <w:t xml:space="preserve">una revisión remite a un informe de caso en el que, con un tratamiento combinado, se produjo una reacción inmunitaria grave en varios órganos, sin que se pudiera establecer con seguridad la timosina alfa 1 como causa (Kim 2026, PMID 42797537).</w:t>
      </w:r>
    </w:p>
    <w:p>
      <w:pPr>
        <w:numPr>
          <w:ilvl w:val="0"/>
          <w:numId w:val="1124"/>
        </w:numPr>
        <w:pStyle w:val="Compact"/>
      </w:pPr>
      <w:r>
        <w:rPr>
          <w:bCs/>
          <w:b/>
        </w:rPr>
        <w:t xml:space="preserve">Mercado gris:</w:t>
      </w:r>
      <w:r>
        <w:t xml:space="preserve"> </w:t>
      </w:r>
      <w:r>
        <w:t xml:space="preserve">fuera de los países con autorización, la timosina alfa 1 se vende como «péptido de investigación». Los estudios sobre Zadaxin no son aplicables a estos productos: su pureza, contenido y esterilidad son desconocidos.</w:t>
      </w:r>
    </w:p>
    <w:bookmarkEnd w:id="387"/>
    <w:bookmarkEnd w:id="388"/>
    <w:bookmarkStart w:id="389" w:name="situación-legal-17"/>
    <w:p>
      <w:pPr>
        <w:pStyle w:val="Heading3"/>
      </w:pPr>
      <w:r>
        <w:t xml:space="preserve">Situación legal</w:t>
      </w:r>
    </w:p>
    <w:p>
      <w:pPr>
        <w:pStyle w:val="FirstParagraph"/>
      </w:pPr>
      <w:r>
        <w:rPr>
          <w:iCs/>
          <w:i/>
        </w:rPr>
        <w:t xml:space="preserve">Situación en 2026, compruébelo en su versión actual.</w:t>
      </w:r>
    </w:p>
    <w:p>
      <w:pPr>
        <w:numPr>
          <w:ilvl w:val="0"/>
          <w:numId w:val="1125"/>
        </w:numPr>
        <w:pStyle w:val="Compact"/>
      </w:pPr>
      <w:r>
        <w:rPr>
          <w:bCs/>
          <w:b/>
        </w:rPr>
        <w:t xml:space="preserve">UE, Alemania, Austria:</w:t>
      </w:r>
      <w:r>
        <w:t xml:space="preserve"> </w:t>
      </w:r>
      <w:r>
        <w:t xml:space="preserve">sin autorización como medicamento. Una prescripción en casos individuales mediante importación individual desde un país con autorización puede ser posible según el derecho nacional en condiciones estrictas; la venta como «Research Peptide» para uso en humanos no está permitida.</w:t>
      </w:r>
    </w:p>
    <w:p>
      <w:pPr>
        <w:numPr>
          <w:ilvl w:val="0"/>
          <w:numId w:val="1125"/>
        </w:numPr>
        <w:pStyle w:val="Compact"/>
      </w:pPr>
      <w:r>
        <w:rPr>
          <w:bCs/>
          <w:b/>
        </w:rPr>
        <w:t xml:space="preserve">EE. UU.:</w:t>
      </w:r>
      <w:r>
        <w:t xml:space="preserve"> </w:t>
      </w:r>
      <w:r>
        <w:t xml:space="preserve">sin autorización de la FDA. En 2023, la FDA incluyó la timosina alfa 1, junto con otros péptidos, en la lista de sustancias con problemas de seguridad para la formulación magistral; los defensores lo critican (Dinetz 2024, PMID 38308608). La clasificación de los péptidos se sigue debatiendo en el comité asesor de la FDA (Willis 2026, PMID 42752426).</w:t>
      </w:r>
    </w:p>
    <w:p>
      <w:pPr>
        <w:numPr>
          <w:ilvl w:val="0"/>
          <w:numId w:val="1125"/>
        </w:numPr>
        <w:pStyle w:val="Compact"/>
      </w:pPr>
      <w:r>
        <w:rPr>
          <w:bCs/>
          <w:b/>
        </w:rPr>
        <w:t xml:space="preserve">China y otros países:</w:t>
      </w:r>
      <w:r>
        <w:t xml:space="preserve"> </w:t>
      </w:r>
      <w:r>
        <w:t xml:space="preserve">autorizada como Zadaxin o timalfasina; en China existen también varios genéricos.</w:t>
      </w:r>
    </w:p>
    <w:p>
      <w:pPr>
        <w:numPr>
          <w:ilvl w:val="0"/>
          <w:numId w:val="1125"/>
        </w:numPr>
        <w:pStyle w:val="Compact"/>
      </w:pPr>
      <w:r>
        <w:rPr>
          <w:bCs/>
          <w:b/>
        </w:rPr>
        <w:t xml:space="preserve">WADA:</w:t>
      </w:r>
      <w:r>
        <w:t xml:space="preserve"> </w:t>
      </w:r>
      <w:r>
        <w:t xml:space="preserve">no figura expresamente en la Lista de Prohibiciones. No obstante, los deportistas deberían informarse en su agencia nacional antidopaje antes de usarla.</w:t>
      </w:r>
    </w:p>
    <w:bookmarkEnd w:id="389"/>
    <w:bookmarkStart w:id="390" w:name="estudios-en-curso-y-perspectivas-17"/>
    <w:p>
      <w:pPr>
        <w:pStyle w:val="Heading3"/>
      </w:pPr>
      <w:r>
        <w:t xml:space="preserve">Estudios en curso y perspectivas</w:t>
      </w:r>
    </w:p>
    <w:p>
      <w:pPr>
        <w:pStyle w:val="FirstParagraph"/>
      </w:pPr>
      <w:r>
        <w:rPr>
          <w:bCs/>
          <w:b/>
        </w:rPr>
        <w:t xml:space="preserve">Confirmado (según el registro):</w:t>
      </w:r>
    </w:p>
    <w:p>
      <w:pPr>
        <w:numPr>
          <w:ilvl w:val="0"/>
          <w:numId w:val="1126"/>
        </w:numPr>
        <w:pStyle w:val="Compact"/>
      </w:pPr>
      <w:r>
        <w:rPr>
          <w:bCs/>
          <w:b/>
        </w:rPr>
        <w:t xml:space="preserve">Cáncer colorrectal tras la cirugía (NCT05086614):</w:t>
      </w:r>
      <w:r>
        <w:t xml:space="preserve"> </w:t>
      </w:r>
      <w:r>
        <w:t xml:space="preserve">estudio de fase 3 de la Universidad Fudan de Shanghái, 2500 personas previstas con cáncer colorrectal en estadio II o III, criterio principal la supervivencia libre de enfermedad a los tres años; finalización estimada en marzo de 2027. El estudio es solo de simple ciego.</w:t>
      </w:r>
    </w:p>
    <w:p>
      <w:pPr>
        <w:numPr>
          <w:ilvl w:val="0"/>
          <w:numId w:val="1126"/>
        </w:numPr>
        <w:pStyle w:val="Compact"/>
      </w:pPr>
      <w:r>
        <w:rPr>
          <w:bCs/>
          <w:b/>
        </w:rPr>
        <w:t xml:space="preserve">Cáncer e inmunoterapia:</w:t>
      </w:r>
      <w:r>
        <w:t xml:space="preserve"> </w:t>
      </w:r>
      <w:r>
        <w:t xml:space="preserve">numerosos estudios chinos de fase 2 más pequeños que combinan la timosina alfa 1 con inhibidores de puntos de control inmunitario y quimioterapia o radioterapia, por ejemplo en el cáncer de mama triple negativo con 572 personas previstas (NCT07884201).</w:t>
      </w:r>
    </w:p>
    <w:p>
      <w:pPr>
        <w:numPr>
          <w:ilvl w:val="0"/>
          <w:numId w:val="1126"/>
        </w:numPr>
        <w:pStyle w:val="Compact"/>
      </w:pPr>
      <w:r>
        <w:rPr>
          <w:bCs/>
          <w:b/>
        </w:rPr>
        <w:t xml:space="preserve">Sepsis:</w:t>
      </w:r>
      <w:r>
        <w:t xml:space="preserve"> </w:t>
      </w:r>
      <w:r>
        <w:t xml:space="preserve">un estudio más pequeño sobre la recuperación de la función inmunitaria en 60 personas (NCT07866118).</w:t>
      </w:r>
    </w:p>
    <w:p>
      <w:pPr>
        <w:numPr>
          <w:ilvl w:val="0"/>
          <w:numId w:val="1126"/>
        </w:numPr>
        <w:pStyle w:val="Compact"/>
      </w:pPr>
      <w:r>
        <w:rPr>
          <w:bCs/>
          <w:b/>
        </w:rPr>
        <w:t xml:space="preserve">Respuesta vacunal en personas mayores (NCT06821100):</w:t>
      </w:r>
      <w:r>
        <w:t xml:space="preserve"> </w:t>
      </w:r>
      <w:r>
        <w:t xml:space="preserve">fase 1, 75 personas previstas.</w:t>
      </w:r>
    </w:p>
    <w:p>
      <w:pPr>
        <w:pStyle w:val="FirstParagraph"/>
      </w:pPr>
      <w:r>
        <w:rPr>
          <w:bCs/>
          <w:b/>
        </w:rPr>
        <w:t xml:space="preserve">Valoración del autor:</w:t>
      </w:r>
      <w:r>
        <w:t xml:space="preserve"> </w:t>
      </w:r>
      <w:r>
        <w:t xml:space="preserve">el gran estudio de cáncer colorrectal es la cuestión abierta más importante. Si resulta positivo, sería la primera gran prueba de un beneficio en una enfermedad oncológica, aunque con reservas debido a la falta de doble ciego. En la sepsis, TESTS probablemente haya respondido por ahora a la cuestión del uso generalizado; los estudios futuros se centrarán en subgrupos con inmunodepresión demostrada. No cabe esperar una autorización en la UE o en EE. UU. en los próximos años.</w:t>
      </w:r>
    </w:p>
    <w:bookmarkEnd w:id="390"/>
    <w:bookmarkStart w:id="391" w:name="conclusión-17"/>
    <w:p>
      <w:pPr>
        <w:pStyle w:val="Heading3"/>
      </w:pPr>
      <w:r>
        <w:t xml:space="preserve">Conclusión</w:t>
      </w:r>
    </w:p>
    <w:p>
      <w:pPr>
        <w:pStyle w:val="FirstParagraph"/>
      </w:pPr>
      <w:r>
        <w:t xml:space="preserve">La timosina alfa 1 es el péptido mejor estudiado de este grupo y un medicamento autorizado en algunos países. Los estudios iniciales pequeños parecían prometedores, pero los estudios grandes y cuidadosamente cegados no mostraron ninguna ventaja en sus criterios principales en la sepsis (Wu 2025, PMID 39814420), la pancreatitis grave (Ke 2022, PMID 35713670) y la cirrosis por hepatitis B (Wu 2018, PMID 30063860). En la COVID-19 y el cáncer, las afirmaciones positivas se basan mayoritariamente en estudios observacionales y estudios de baja calidad. El péptido es bien tolerado en los estudios, pero no existe un beneficio demostrado como «potenciador inmunitario» general para personas sanas.</w:t>
      </w:r>
    </w:p>
    <w:bookmarkEnd w:id="391"/>
    <w:bookmarkEnd w:id="392"/>
    <w:bookmarkStart w:id="403" w:name="kpv"/>
    <w:p>
      <w:pPr>
        <w:pStyle w:val="Heading2"/>
      </w:pPr>
      <w:r>
        <w:t xml:space="preserve">KPV</w:t>
      </w:r>
    </w:p>
    <w:p>
      <w:pPr>
        <w:pStyle w:val="FirstParagraph"/>
      </w:pPr>
      <w:r>
        <w:t xml:space="preserve">El KPV es el péptido más pequeño de este libro: solo tiene tres aminoácidos. En internet se ofrece como antiinflamatorio para el intestino y la piel, a menudo en cápsulas o crema, a veces para inyección. La base científica son experimentos celulares y modelos en ratones; no existen estudios en humanos.</w:t>
      </w:r>
    </w:p>
    <w:bookmarkStart w:id="393" w:name="ficha-18"/>
    <w:p>
      <w:pPr>
        <w:pStyle w:val="Heading3"/>
      </w:pPr>
      <w:r>
        <w:t xml:space="preserve">Ficha</w:t>
      </w:r>
    </w:p>
    <w:p>
      <w:pPr>
        <w:numPr>
          <w:ilvl w:val="0"/>
          <w:numId w:val="1127"/>
        </w:numPr>
        <w:pStyle w:val="Compact"/>
      </w:pPr>
      <w:r>
        <w:rPr>
          <w:bCs/>
          <w:b/>
        </w:rPr>
        <w:t xml:space="preserve">Tipo y estructura:</w:t>
      </w:r>
      <w:r>
        <w:t xml:space="preserve"> </w:t>
      </w:r>
      <w:r>
        <w:t xml:space="preserve">tripéptido formado por los aminoácidos lisina, prolina y valina (Lys-Pro-Val, de ahí KPV).</w:t>
      </w:r>
    </w:p>
    <w:p>
      <w:pPr>
        <w:numPr>
          <w:ilvl w:val="0"/>
          <w:numId w:val="1127"/>
        </w:numPr>
        <w:pStyle w:val="Compact"/>
      </w:pPr>
      <w:r>
        <w:rPr>
          <w:bCs/>
          <w:b/>
        </w:rPr>
        <w:t xml:space="preserve">Origen:</w:t>
      </w:r>
      <w:r>
        <w:t xml:space="preserve"> </w:t>
      </w:r>
      <w:r>
        <w:t xml:space="preserve">corresponde a los tres últimos aminoácidos (posiciones 11 a 13) de la hormona endógena alfa-MSH (hormona estimulante de los melanocitos alfa), que participa, entre otras cosas, en el bronceado de la piel y en el control de la inflamación (Cutuli 2000, PMID 10670585).</w:t>
      </w:r>
    </w:p>
    <w:p>
      <w:pPr>
        <w:numPr>
          <w:ilvl w:val="0"/>
          <w:numId w:val="1127"/>
        </w:numPr>
        <w:pStyle w:val="Compact"/>
      </w:pPr>
      <w:r>
        <w:rPr>
          <w:bCs/>
          <w:b/>
        </w:rPr>
        <w:t xml:space="preserve">Mecanismo de acción (supuesto, a partir de estudios de laboratorio y en animales):</w:t>
      </w:r>
      <w:r>
        <w:t xml:space="preserve"> </w:t>
      </w:r>
      <w:r>
        <w:t xml:space="preserve">inhibición de vías de señalización proinflamatorias en células intestinales e inmunitarias tras su captación a través del transportador de péptidos PepT1.</w:t>
      </w:r>
    </w:p>
    <w:p>
      <w:pPr>
        <w:numPr>
          <w:ilvl w:val="0"/>
          <w:numId w:val="1127"/>
        </w:numPr>
        <w:pStyle w:val="Compact"/>
      </w:pPr>
      <w:r>
        <w:rPr>
          <w:bCs/>
          <w:b/>
        </w:rPr>
        <w:t xml:space="preserve">Autorización UE/EE. UU.:</w:t>
      </w:r>
      <w:r>
        <w:t xml:space="preserve"> </w:t>
      </w:r>
      <w:r>
        <w:t xml:space="preserve">no.</w:t>
      </w:r>
    </w:p>
    <w:p>
      <w:pPr>
        <w:numPr>
          <w:ilvl w:val="0"/>
          <w:numId w:val="1127"/>
        </w:numPr>
        <w:pStyle w:val="Compact"/>
      </w:pPr>
      <w:r>
        <w:rPr>
          <w:bCs/>
          <w:b/>
        </w:rPr>
        <w:t xml:space="preserve">WADA:</w:t>
      </w:r>
      <w:r>
        <w:t xml:space="preserve"> </w:t>
      </w:r>
      <w:r>
        <w:t xml:space="preserve">no figura expresamente; como sustancia no aprobada, en opinión del autor entra en el grupo S0 (situación en 2026, compruébelo en su versión actual).</w:t>
      </w:r>
    </w:p>
    <w:p>
      <w:pPr>
        <w:numPr>
          <w:ilvl w:val="0"/>
          <w:numId w:val="1127"/>
        </w:numPr>
        <w:pStyle w:val="Compact"/>
      </w:pPr>
      <w:r>
        <w:rPr>
          <w:bCs/>
          <w:b/>
        </w:rPr>
        <w:t xml:space="preserve">Nivel de evidencia: D</w:t>
      </w:r>
      <w:r>
        <w:t xml:space="preserve"> </w:t>
      </w:r>
      <w:r>
        <w:t xml:space="preserve">– ningún estudio publicado en humanos.</w:t>
      </w:r>
    </w:p>
    <w:bookmarkEnd w:id="393"/>
    <w:bookmarkStart w:id="394" w:name="cómo-se-supone-que-actúa-18"/>
    <w:p>
      <w:pPr>
        <w:pStyle w:val="Heading3"/>
      </w:pPr>
      <w:r>
        <w:t xml:space="preserve">Cómo se supone que actúa</w:t>
      </w:r>
    </w:p>
    <w:p>
      <w:pPr>
        <w:pStyle w:val="FirstParagraph"/>
      </w:pPr>
      <w:r>
        <w:t xml:space="preserve">La alfa-MSH es conocida sobre todo como hormona del bronceado, pero también tiene efecto antiinflamatorio. Ya en la década de 1990, los investigadores observaron que parte de este efecto depende de los tres últimos aminoácidos. En sangre humana de personas infectadas por el VIH, la alfa-MSH y su fragmento terminal KPV redujeron en el tubo de ensayo la producción de los mensajeros inflamatorios interleucina-1 y TNF-alfa (Catania 1998, PMID 9700761).</w:t>
      </w:r>
    </w:p>
    <w:p>
      <w:pPr>
        <w:pStyle w:val="BodyText"/>
      </w:pPr>
      <w:r>
        <w:t xml:space="preserve">A diferencia de la hormona completa, el KPV no parece actuar a través de los receptores de melanocortina clásicos. En ratones con peritonitis, el KPV inhibió la migración de células inflamatorias sin aumentar el mensajero típico AMPc; los autores suponen una inhibición del efecto de la interleucina-1 (Getting 2003, PMID 12750433). Esto tiene una ventaja práctica: a diferencia del melanotán o de los derivados de la alfa-MSH, el KPV no debería broncear la piel.</w:t>
      </w:r>
    </w:p>
    <w:p>
      <w:pPr>
        <w:pStyle w:val="BodyText"/>
      </w:pPr>
      <w:r>
        <w:t xml:space="preserve">Un segundo mecanismo afecta al intestino. Allí se encuentra el transportador PepT1, que normalmente capta pequeños fragmentos de proteínas de los alimentos. En las enfermedades inflamatorias intestinales crónicas, el PepT1 también se produce en mayor cantidad en el colon. En cultivos de células intestinales e inmunitarias humanas, el KPV fue captado a través del PepT1 e inhibió en concentraciones muy bajas los interruptores inflamatorios NF-kappaB y MAP-cinasas (Dalmasso 2008, PMID 18061177). De ahí surgió la idea de utilizar el KPV en comprimidos contra las inflamaciones intestinales.</w:t>
      </w:r>
    </w:p>
    <w:p>
      <w:pPr>
        <w:pStyle w:val="BodyText"/>
      </w:pPr>
      <w:r>
        <w:t xml:space="preserve">Además, en el laboratorio, la alfa-MSH y el KPV inhibieron el crecimiento de la bacteria Staphylococcus aureus y de la levadura Candida albicans (Cutuli 2000, PMID 10670585).</w:t>
      </w:r>
    </w:p>
    <w:bookmarkEnd w:id="394"/>
    <w:bookmarkStart w:id="395" w:name="estudios-en-humanos-18"/>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encontró</w:t>
      </w:r>
      <w:r>
        <w:t xml:space="preserve"> </w:t>
      </w:r>
      <w:r>
        <w:rPr>
          <w:bCs/>
          <w:b/>
        </w:rPr>
        <w:t xml:space="preserve">0</w:t>
      </w:r>
      <w:r>
        <w:t xml:space="preserve"> </w:t>
      </w:r>
      <w:r>
        <w:t xml:space="preserve">estudios en humanos en PubMed y</w:t>
      </w:r>
      <w:r>
        <w:t xml:space="preserve"> </w:t>
      </w:r>
      <w:r>
        <w:rPr>
          <w:bCs/>
          <w:b/>
        </w:rPr>
        <w:t xml:space="preserve">0</w:t>
      </w:r>
      <w:r>
        <w:t xml:space="preserve"> </w:t>
      </w:r>
      <w:r>
        <w:t xml:space="preserve">entradas en ClinicalTrials.gov. Tampoco una búsqueda adicional específica de estudios piloto, informes de casos o notificaciones de efectos secundarios dio con ninguna publicación en la que personas hubieran recibido KPV.</w:t>
      </w:r>
    </w:p>
    <w:p>
      <w:pPr>
        <w:pStyle w:val="BodyText"/>
      </w:pPr>
      <w:r>
        <w:t xml:space="preserve">Lo que sí existe son ensayos de laboratorio con células o tejidos humanos, por ejemplo:</w:t>
      </w:r>
    </w:p>
    <w:p>
      <w:pPr>
        <w:numPr>
          <w:ilvl w:val="0"/>
          <w:numId w:val="1128"/>
        </w:numPr>
        <w:pStyle w:val="Compact"/>
      </w:pPr>
      <w:r>
        <w:t xml:space="preserve">muestras de sangre de personas infectadas por el VIH en las que el KPV redujo la producción de mensajeros inflamatorios (Catania 1998, PMID 9700761),</w:t>
      </w:r>
    </w:p>
    <w:p>
      <w:pPr>
        <w:numPr>
          <w:ilvl w:val="0"/>
          <w:numId w:val="1128"/>
        </w:numPr>
        <w:pStyle w:val="Compact"/>
      </w:pPr>
      <w:r>
        <w:t xml:space="preserve">líneas celulares de piel humana (Elliott 2004, PMID 15102092),</w:t>
      </w:r>
    </w:p>
    <w:p>
      <w:pPr>
        <w:numPr>
          <w:ilvl w:val="0"/>
          <w:numId w:val="1128"/>
        </w:numPr>
        <w:pStyle w:val="Compact"/>
      </w:pPr>
      <w:r>
        <w:t xml:space="preserve">piel humana donada en la que se comprobó si el KPV atraviesa la piel con microagujas y corriente débil; sin estas ayudas no penetró de forma medible (Pawar 2017, PMID 28343991).</w:t>
      </w:r>
    </w:p>
    <w:p>
      <w:pPr>
        <w:pStyle w:val="FirstParagraph"/>
      </w:pPr>
      <w:r>
        <w:t xml:space="preserve">Estos trabajos dicen algo sobre mecanismos y formas farmacéuticas, pero nada sobre la eficacia o la seguridad en humanos.</w:t>
      </w:r>
    </w:p>
    <w:p>
      <w:pPr>
        <w:pStyle w:val="BodyText"/>
      </w:pPr>
      <w:r>
        <w:t xml:space="preserve">Un pariente cercano, la molécula doble artificial (CKPV)2, se estudió clínicamente a mediados de la década de 2000 como fármaco contra las infecciones por hongos; un trabajo de 2006 menciona que se encontraba «actualmente en ensayo clínico» (Gatti 2006, PMID 16413580). Los resultados de estos estudios no se han publicado en PubMed. Además, el (CKPV)2 es una sustancia distinta del KPV que se vende en internet.</w:t>
      </w:r>
    </w:p>
    <w:bookmarkEnd w:id="395"/>
    <w:bookmarkStart w:id="396" w:name="estudios-en-animales-y-de-laboratorio-18"/>
    <w:p>
      <w:pPr>
        <w:pStyle w:val="Heading3"/>
      </w:pPr>
      <w:r>
        <w:t xml:space="preserve">Estudios en animales y de laboratorio</w:t>
      </w:r>
    </w:p>
    <w:p>
      <w:pPr>
        <w:pStyle w:val="FirstParagraph"/>
      </w:pPr>
      <w:r>
        <w:t xml:space="preserve">El foco de la investigación está en las enfermedades inflamatorias intestinales crónicas. Todos los resultados siguientes proceden de experimentos con ratones: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Estudio</w:t>
            </w:r>
          </w:p>
        </w:tc>
        <w:tc>
          <w:tcPr/>
          <w:p>
            <w:pPr>
              <w:pStyle w:val="Compact"/>
              <w:jc w:val="left"/>
            </w:pPr>
            <w:r>
              <w:t xml:space="preserve">Modelo</w:t>
            </w:r>
          </w:p>
        </w:tc>
        <w:tc>
          <w:tcPr/>
          <w:p>
            <w:pPr>
              <w:pStyle w:val="Compact"/>
              <w:jc w:val="left"/>
            </w:pPr>
            <w:r>
              <w:t xml:space="preserve">Resultado</w:t>
            </w:r>
          </w:p>
        </w:tc>
      </w:tr>
      <w:tr>
        <w:tc>
          <w:tcPr/>
          <w:p>
            <w:pPr>
              <w:pStyle w:val="Compact"/>
              <w:jc w:val="left"/>
            </w:pPr>
            <w:r>
              <w:t xml:space="preserve">Dalmasso 2008, PMID 18061177</w:t>
            </w:r>
          </w:p>
        </w:tc>
        <w:tc>
          <w:tcPr/>
          <w:p>
            <w:pPr>
              <w:pStyle w:val="Compact"/>
              <w:jc w:val="left"/>
            </w:pPr>
            <w:r>
              <w:t xml:space="preserve">colitis inducida químicamente en ratones, KPV en el agua de bebida</w:t>
            </w:r>
          </w:p>
        </w:tc>
        <w:tc>
          <w:tcPr/>
          <w:p>
            <w:pPr>
              <w:pStyle w:val="Compact"/>
              <w:jc w:val="left"/>
            </w:pPr>
            <w:r>
              <w:t xml:space="preserve">menos inflamación, menos mensajeros inflamatorios</w:t>
            </w:r>
          </w:p>
        </w:tc>
      </w:tr>
      <w:tr>
        <w:tc>
          <w:tcPr/>
          <w:p>
            <w:pPr>
              <w:pStyle w:val="Compact"/>
              <w:jc w:val="left"/>
            </w:pPr>
            <w:r>
              <w:t xml:space="preserve">Kannengiesser 2008, PMID 18092346</w:t>
            </w:r>
          </w:p>
        </w:tc>
        <w:tc>
          <w:tcPr/>
          <w:p>
            <w:pPr>
              <w:pStyle w:val="Compact"/>
              <w:jc w:val="left"/>
            </w:pPr>
            <w:r>
              <w:t xml:space="preserve">dos modelos de colitis en ratones</w:t>
            </w:r>
          </w:p>
        </w:tc>
        <w:tc>
          <w:tcPr/>
          <w:p>
            <w:pPr>
              <w:pStyle w:val="Compact"/>
              <w:jc w:val="left"/>
            </w:pPr>
            <w:r>
              <w:t xml:space="preserve">recuperación más rápida, menos células inflamatorias; en un modelo sobrevivieron todos los animales tratados</w:t>
            </w:r>
          </w:p>
        </w:tc>
      </w:tr>
      <w:tr>
        <w:tc>
          <w:tcPr/>
          <w:p>
            <w:pPr>
              <w:pStyle w:val="Compact"/>
              <w:jc w:val="left"/>
            </w:pPr>
            <w:r>
              <w:t xml:space="preserve">Viennois 2016, PMID 27458604</w:t>
            </w:r>
          </w:p>
        </w:tc>
        <w:tc>
          <w:tcPr/>
          <w:p>
            <w:pPr>
              <w:pStyle w:val="Compact"/>
              <w:jc w:val="left"/>
            </w:pPr>
            <w:r>
              <w:t xml:space="preserve">cáncer colorrectal asociado a inflamación en ratones</w:t>
            </w:r>
          </w:p>
        </w:tc>
        <w:tc>
          <w:tcPr/>
          <w:p>
            <w:pPr>
              <w:pStyle w:val="Compact"/>
              <w:jc w:val="left"/>
            </w:pPr>
            <w:r>
              <w:t xml:space="preserve">el KPV impidió la aparición de tumores, pero solo en ratones con PepT1 funcional</w:t>
            </w:r>
          </w:p>
        </w:tc>
      </w:tr>
      <w:tr>
        <w:tc>
          <w:tcPr/>
          <w:p>
            <w:pPr>
              <w:pStyle w:val="Compact"/>
              <w:jc w:val="left"/>
            </w:pPr>
            <w:r>
              <w:t xml:space="preserve">Xiao 2017, PMID 28143741</w:t>
            </w:r>
          </w:p>
        </w:tc>
        <w:tc>
          <w:tcPr/>
          <w:p>
            <w:pPr>
              <w:pStyle w:val="Compact"/>
              <w:jc w:val="left"/>
            </w:pPr>
            <w:r>
              <w:t xml:space="preserve">colitis en ratones, KPV en nanopartículas</w:t>
            </w:r>
          </w:p>
        </w:tc>
        <w:tc>
          <w:tcPr/>
          <w:p>
            <w:pPr>
              <w:pStyle w:val="Compact"/>
              <w:jc w:val="left"/>
            </w:pPr>
            <w:r>
              <w:t xml:space="preserve">efecto más potente que el KPV libre</w:t>
            </w:r>
          </w:p>
        </w:tc>
      </w:tr>
    </w:tbl>
    <w:p>
      <w:pPr>
        <w:pStyle w:val="BodyText"/>
      </w:pPr>
      <w:r>
        <w:t xml:space="preserve">Otros trabajos estudian el KPV en hidrogeles para heridas y mucosas, en nanopartículas contra la calcificación vascular o en el metabolismo de las células adiposas, casi exclusivamente en cultivos celulares o en roedores. Llama la atención que gran parte de la literatura reciente desarrolla formas farmacéuticas (nanopartículas, geles, parches). Esto indica que el KPV solo, en comprimido o crema, al parecer no llega suficientemente bien al lugar de acción, un punto relevante para los productos que se venden libremente.</w:t>
      </w:r>
    </w:p>
    <w:bookmarkEnd w:id="396"/>
    <w:bookmarkStart w:id="399" w:name="riesgos-y-efectos-adversos-18"/>
    <w:p>
      <w:pPr>
        <w:pStyle w:val="Heading3"/>
      </w:pPr>
      <w:r>
        <w:t xml:space="preserve">Riesgos y efectos adversos</w:t>
      </w:r>
    </w:p>
    <w:bookmarkStart w:id="397" w:name="demostrado-2"/>
    <w:p>
      <w:pPr>
        <w:pStyle w:val="Heading4"/>
      </w:pPr>
      <w:r>
        <w:t xml:space="preserve">Demostrado</w:t>
      </w:r>
    </w:p>
    <w:p>
      <w:pPr>
        <w:pStyle w:val="FirstParagraph"/>
      </w:pPr>
      <w:r>
        <w:t xml:space="preserve">Ninguno, porque no existen estudios en humanos. La ausencia de efectos secundarios notificados no es aquí un indicio de seguridad.</w:t>
      </w:r>
    </w:p>
    <w:bookmarkEnd w:id="397"/>
    <w:bookmarkStart w:id="398" w:name="teórico"/>
    <w:p>
      <w:pPr>
        <w:pStyle w:val="Heading4"/>
      </w:pPr>
      <w:r>
        <w:t xml:space="preserve">Teórico</w:t>
      </w:r>
    </w:p>
    <w:p>
      <w:pPr>
        <w:numPr>
          <w:ilvl w:val="0"/>
          <w:numId w:val="1129"/>
        </w:numPr>
        <w:pStyle w:val="Compact"/>
      </w:pPr>
      <w:r>
        <w:rPr>
          <w:bCs/>
          <w:b/>
        </w:rPr>
        <w:t xml:space="preserve">Atenuación de las defensas:</w:t>
      </w:r>
      <w:r>
        <w:t xml:space="preserve"> </w:t>
      </w:r>
      <w:r>
        <w:t xml:space="preserve">una sustancia que inhibe las señales inflamatorias podría, en principio, perjudicar también la defensa frente a infecciones. Los hallazgos de laboratorio apuntan más bien a un efecto antimicrobiano propio (Cutuli 2000, PMID 10670585), pero faltan datos en humanos.</w:t>
      </w:r>
    </w:p>
    <w:p>
      <w:pPr>
        <w:numPr>
          <w:ilvl w:val="0"/>
          <w:numId w:val="1129"/>
        </w:numPr>
        <w:pStyle w:val="Compact"/>
      </w:pPr>
      <w:r>
        <w:rPr>
          <w:bCs/>
          <w:b/>
        </w:rPr>
        <w:t xml:space="preserve">Absorción y dosis poco claras:</w:t>
      </w:r>
      <w:r>
        <w:t xml:space="preserve"> </w:t>
      </w:r>
      <w:r>
        <w:t xml:space="preserve">no se ha estudiado en humanos cuánto KPV de una cápsula o crema llega realmente a ser eficaz.</w:t>
      </w:r>
    </w:p>
    <w:p>
      <w:pPr>
        <w:numPr>
          <w:ilvl w:val="0"/>
          <w:numId w:val="1129"/>
        </w:numPr>
        <w:pStyle w:val="Compact"/>
      </w:pPr>
      <w:r>
        <w:rPr>
          <w:bCs/>
          <w:b/>
        </w:rPr>
        <w:t xml:space="preserve">Calidad del mercado gris:</w:t>
      </w:r>
      <w:r>
        <w:t xml:space="preserve"> </w:t>
      </w:r>
      <w:r>
        <w:t xml:space="preserve">el KPV se vende como «péptido de investigación» sin control farmacéutico. Una revisión de medicina deportiva menciona expresamente el KPV entre los fragmentos peptídicos que circulan en los ambientes del culturismo y advierte de productos mal etiquetados o contaminados (Coutinho 2026, PMID 41880199).</w:t>
      </w:r>
    </w:p>
    <w:bookmarkEnd w:id="398"/>
    <w:bookmarkEnd w:id="399"/>
    <w:bookmarkStart w:id="400" w:name="situación-legal-18"/>
    <w:p>
      <w:pPr>
        <w:pStyle w:val="Heading3"/>
      </w:pPr>
      <w:r>
        <w:t xml:space="preserve">Situación legal</w:t>
      </w:r>
    </w:p>
    <w:p>
      <w:pPr>
        <w:pStyle w:val="FirstParagraph"/>
      </w:pPr>
      <w:r>
        <w:rPr>
          <w:iCs/>
          <w:i/>
        </w:rPr>
        <w:t xml:space="preserve">Situación en 2026, compruébelo en su versión actual.</w:t>
      </w:r>
    </w:p>
    <w:p>
      <w:pPr>
        <w:numPr>
          <w:ilvl w:val="0"/>
          <w:numId w:val="1130"/>
        </w:numPr>
        <w:pStyle w:val="Compact"/>
      </w:pPr>
      <w:r>
        <w:rPr>
          <w:bCs/>
          <w:b/>
        </w:rPr>
        <w:t xml:space="preserve">UE, Alemania, Austria:</w:t>
      </w:r>
      <w:r>
        <w:t xml:space="preserve"> </w:t>
      </w:r>
      <w:r>
        <w:t xml:space="preserve">no autorizado como medicamento. Si el KPV se ofrece con afirmaciones sobre el alivio de enfermedades, se considera un medicamento no autorizado. Como ingrediente de cosméticos se aplican las normas del Reglamento europeo sobre productos cosméticos; allí no se permiten promesas curativas.</w:t>
      </w:r>
    </w:p>
    <w:p>
      <w:pPr>
        <w:numPr>
          <w:ilvl w:val="0"/>
          <w:numId w:val="1130"/>
        </w:numPr>
        <w:pStyle w:val="Compact"/>
      </w:pPr>
      <w:r>
        <w:rPr>
          <w:bCs/>
          <w:b/>
        </w:rPr>
        <w:t xml:space="preserve">EE. UU.:</w:t>
      </w:r>
      <w:r>
        <w:t xml:space="preserve"> </w:t>
      </w:r>
      <w:r>
        <w:t xml:space="preserve">sin autorización de la FDA.</w:t>
      </w:r>
    </w:p>
    <w:p>
      <w:pPr>
        <w:numPr>
          <w:ilvl w:val="0"/>
          <w:numId w:val="1130"/>
        </w:numPr>
        <w:pStyle w:val="Compact"/>
      </w:pPr>
      <w:r>
        <w:rPr>
          <w:bCs/>
          <w:b/>
        </w:rPr>
        <w:t xml:space="preserve">WADA:</w:t>
      </w:r>
      <w:r>
        <w:t xml:space="preserve"> </w:t>
      </w:r>
      <w:r>
        <w:t xml:space="preserve">no figura por su nombre. Como sustancia farmacológicamente activa sin autorización, en opinión del autor el KPV entra en S0 (sustancias no aprobadas).</w:t>
      </w:r>
    </w:p>
    <w:bookmarkEnd w:id="400"/>
    <w:bookmarkStart w:id="401" w:name="estudios-en-curso-y-perspectivas-18"/>
    <w:p>
      <w:pPr>
        <w:pStyle w:val="Heading3"/>
      </w:pPr>
      <w:r>
        <w:t xml:space="preserve">Estudios en curso y perspectivas</w:t>
      </w:r>
    </w:p>
    <w:p>
      <w:pPr>
        <w:pStyle w:val="FirstParagraph"/>
      </w:pPr>
      <w:r>
        <w:rPr>
          <w:bCs/>
          <w:b/>
        </w:rPr>
        <w:t xml:space="preserve">Confirmado:</w:t>
      </w:r>
      <w:r>
        <w:t xml:space="preserve"> </w:t>
      </w:r>
      <w:r>
        <w:t xml:space="preserve">en octubre de 2026 no hay ningún estudio con KPV registrado en ClinicalTrials.gov.</w:t>
      </w:r>
    </w:p>
    <w:p>
      <w:pPr>
        <w:pStyle w:val="BodyText"/>
      </w:pPr>
      <w:r>
        <w:rPr>
          <w:bCs/>
          <w:b/>
        </w:rPr>
        <w:t xml:space="preserve">Valoración del autor:</w:t>
      </w:r>
      <w:r>
        <w:t xml:space="preserve"> </w:t>
      </w:r>
      <w:r>
        <w:t xml:space="preserve">los datos en ratones sobre inflamaciones intestinales son coherentes y proceden de varios grupos independientes, lo que es más de lo que pueden presentar muchos otros «péptidos de investigación». Pero sin una empresa que desarrolle el KPV como medicamento, no se vislumbra ningún estudio en humanos. Es más probable que el KPV se siga investigando en el laboratorio como componente de nuevas formas farmacéuticas (nanopartículas, geles).</w:t>
      </w:r>
    </w:p>
    <w:bookmarkEnd w:id="401"/>
    <w:bookmarkStart w:id="402" w:name="conclusión-18"/>
    <w:p>
      <w:pPr>
        <w:pStyle w:val="Heading3"/>
      </w:pPr>
      <w:r>
        <w:t xml:space="preserve">Conclusión</w:t>
      </w:r>
    </w:p>
    <w:p>
      <w:pPr>
        <w:pStyle w:val="FirstParagraph"/>
      </w:pPr>
      <w:r>
        <w:t xml:space="preserve">El KPV es un fragmento de tres aminoácidos de la hormona endógena alfa-MSH que, en cultivos celulares y en ratones, redujo claramente la inflamación intestinal (Dalmasso 2008, PMID 18061177; Kannengiesser 2008, PMID 18092346). El KPV nunca se ha estudiado en humanos, ni en cuanto a eficacia ni en cuanto a seguridad. Por tanto, todas las afirmaciones sobre efectos intestinales o cutáneos en humanos son suposiciones basadas en experimentos con animales. Quien utiliza productos de KPV de internet forma parte de un autoexperimento no controlado con productos de calidad desconocida.</w:t>
      </w:r>
    </w:p>
    <w:bookmarkEnd w:id="402"/>
    <w:bookmarkEnd w:id="403"/>
    <w:bookmarkStart w:id="417" w:name="ll-37"/>
    <w:p>
      <w:pPr>
        <w:pStyle w:val="Heading2"/>
      </w:pPr>
      <w:r>
        <w:t xml:space="preserve">LL-37</w:t>
      </w:r>
    </w:p>
    <w:p>
      <w:pPr>
        <w:pStyle w:val="FirstParagraph"/>
      </w:pPr>
      <w:r>
        <w:t xml:space="preserve">El LL-37 es un péptido de defensa propio del organismo. La piel, las mucosas y los glóbulos blancos lo producen para matar bacterias, hongos y virus. En el ámbito de los péptidos se ofrece como «antibiótico natural» y como remedio contra infecciones crónicas, la borreliosis o la «inmunodeficiencia». En cuanto a la evidencia disponible, hay que distinguir cuidadosamente: existen muchísimos estudios en los que el LL-37 se ha</w:t>
      </w:r>
      <w:r>
        <w:t xml:space="preserve"> </w:t>
      </w:r>
      <w:r>
        <w:rPr>
          <w:iCs/>
          <w:i/>
        </w:rPr>
        <w:t xml:space="preserve">medido</w:t>
      </w:r>
      <w:r>
        <w:t xml:space="preserve"> </w:t>
      </w:r>
      <w:r>
        <w:t xml:space="preserve">en sangre o tejido, pero solo un puñado en los que las personas han</w:t>
      </w:r>
      <w:r>
        <w:t xml:space="preserve"> </w:t>
      </w:r>
      <w:r>
        <w:rPr>
          <w:iCs/>
          <w:i/>
        </w:rPr>
        <w:t xml:space="preserve">recibido</w:t>
      </w:r>
      <w:r>
        <w:t xml:space="preserve"> </w:t>
      </w:r>
      <w:r>
        <w:t xml:space="preserve">LL-37 como principio activo.</w:t>
      </w:r>
    </w:p>
    <w:bookmarkStart w:id="404" w:name="ficha-19"/>
    <w:p>
      <w:pPr>
        <w:pStyle w:val="Heading3"/>
      </w:pPr>
      <w:r>
        <w:t xml:space="preserve">Ficha</w:t>
      </w:r>
    </w:p>
    <w:p>
      <w:pPr>
        <w:numPr>
          <w:ilvl w:val="0"/>
          <w:numId w:val="1131"/>
        </w:numPr>
        <w:pStyle w:val="Compact"/>
      </w:pPr>
      <w:r>
        <w:rPr>
          <w:bCs/>
          <w:b/>
        </w:rPr>
        <w:t xml:space="preserve">Tipo y estructura:</w:t>
      </w:r>
      <w:r>
        <w:t xml:space="preserve"> </w:t>
      </w:r>
      <w:r>
        <w:t xml:space="preserve">péptido de 37 aminoácidos, los dos primeros son leucinas (de ahí «LL»). Es la única catelicidina del ser humano, que es como se llama una familia de péptidos de defensa.</w:t>
      </w:r>
    </w:p>
    <w:p>
      <w:pPr>
        <w:numPr>
          <w:ilvl w:val="0"/>
          <w:numId w:val="1131"/>
        </w:numPr>
        <w:pStyle w:val="Compact"/>
      </w:pPr>
      <w:r>
        <w:rPr>
          <w:bCs/>
          <w:b/>
        </w:rPr>
        <w:t xml:space="preserve">Origen:</w:t>
      </w:r>
      <w:r>
        <w:t xml:space="preserve"> </w:t>
      </w:r>
      <w:r>
        <w:t xml:space="preserve">se escinde de la proteína precursora hCAP18; el gen correspondiente (CAMP) se activa, entre otras cosas, por la vitamina D (Gombart 2005, PMID 15985530).</w:t>
      </w:r>
    </w:p>
    <w:p>
      <w:pPr>
        <w:numPr>
          <w:ilvl w:val="0"/>
          <w:numId w:val="1131"/>
        </w:numPr>
        <w:pStyle w:val="Compact"/>
      </w:pPr>
      <w:r>
        <w:rPr>
          <w:bCs/>
          <w:b/>
        </w:rPr>
        <w:t xml:space="preserve">Mecanismo de acción:</w:t>
      </w:r>
      <w:r>
        <w:t xml:space="preserve"> </w:t>
      </w:r>
      <w:r>
        <w:t xml:space="preserve">destruye la envoltura de los microbios; al mismo tiempo atrae células inmunitarias, favorece la formación de nuevos vasos y la cicatrización de heridas e influye en las reacciones inflamatorias.</w:t>
      </w:r>
    </w:p>
    <w:p>
      <w:pPr>
        <w:numPr>
          <w:ilvl w:val="0"/>
          <w:numId w:val="1131"/>
        </w:numPr>
        <w:pStyle w:val="Compact"/>
      </w:pPr>
      <w:r>
        <w:rPr>
          <w:bCs/>
          <w:b/>
        </w:rPr>
        <w:t xml:space="preserve">Autorización UE/EE. UU.:</w:t>
      </w:r>
      <w:r>
        <w:t xml:space="preserve"> </w:t>
      </w:r>
      <w:r>
        <w:t xml:space="preserve">no.</w:t>
      </w:r>
    </w:p>
    <w:p>
      <w:pPr>
        <w:numPr>
          <w:ilvl w:val="0"/>
          <w:numId w:val="1131"/>
        </w:numPr>
        <w:pStyle w:val="Compact"/>
      </w:pPr>
      <w:r>
        <w:rPr>
          <w:bCs/>
          <w:b/>
        </w:rPr>
        <w:t xml:space="preserve">WADA:</w:t>
      </w:r>
      <w:r>
        <w:t xml:space="preserve"> </w:t>
      </w:r>
      <w:r>
        <w:t xml:space="preserve">no figura expresamente; como sustancia no aprobada, en opinión del autor entra en S0 (situación en 2026, compruébelo en su versión actual).</w:t>
      </w:r>
    </w:p>
    <w:p>
      <w:pPr>
        <w:numPr>
          <w:ilvl w:val="0"/>
          <w:numId w:val="1131"/>
        </w:numPr>
        <w:pStyle w:val="Compact"/>
      </w:pPr>
      <w:r>
        <w:rPr>
          <w:bCs/>
          <w:b/>
        </w:rPr>
        <w:t xml:space="preserve">Nivel de evidencia: B</w:t>
      </w:r>
      <w:r>
        <w:t xml:space="preserve"> </w:t>
      </w:r>
      <w:r>
        <w:t xml:space="preserve">– algunos estudios aleatorizados de tamaño pequeño a mediano con aplicación local en heridas; el más grande de ellos no alcanzó su objetivo principal.</w:t>
      </w:r>
    </w:p>
    <w:bookmarkEnd w:id="404"/>
    <w:bookmarkStart w:id="405" w:name="cómo-se-supone-que-actúa-19"/>
    <w:p>
      <w:pPr>
        <w:pStyle w:val="Heading3"/>
      </w:pPr>
      <w:r>
        <w:t xml:space="preserve">Cómo se supone que actúa</w:t>
      </w:r>
    </w:p>
    <w:p>
      <w:pPr>
        <w:pStyle w:val="FirstParagraph"/>
      </w:pPr>
      <w:r>
        <w:t xml:space="preserve">El LL-37 pertenece al sistema inmunitario innato, la primera línea de defensa, inespecífica. El péptido tiene carga positiva y se adhiere a las envolturas de carga negativa de las bacterias, que con ello se vuelven permeables. Además, actúa como sustancia señalizadora: atrae glóbulos blancos y estimula la migración de las células cutáneas; por eso resultó interesante para la cicatrización de heridas.</w:t>
      </w:r>
    </w:p>
    <w:p>
      <w:pPr>
        <w:pStyle w:val="BodyText"/>
      </w:pPr>
      <w:r>
        <w:t xml:space="preserve">En el ser humano, la producción de LL-37 está estrechamente ligada a la vitamina D. El gen de la proteína precursora tiene un interruptor al que se une el receptor de la vitamina D; este interruptor se encuentra en los primates, pero no en ratones, ratas o perros (Gombart 2005, PMID 15985530). Esto explica por qué muchos estudios administran vitamina D y miden el LL-37, y por qué los experimentos con animales sobre el LL-37 solo son trasladables al ser humano de forma limitada.</w:t>
      </w:r>
    </w:p>
    <w:p>
      <w:pPr>
        <w:pStyle w:val="BodyText"/>
      </w:pPr>
      <w:r>
        <w:t xml:space="preserve">La otra cara: el LL-37 también puede avivar la inflamación. En la psoriasis, el LL-37 se une al material genético propio de células desintegradas y lo hace «visible» para determinadas células inmunitarias, que entonces liberan interferón (Lande 2007, PMID 17873860). En dos tercios de las personas estudiadas con psoriasis moderada a grave se encontraron linfocitos T dirigidos contra el propio LL-37 (Lande 2014, PMID 25470744). En la rosácea, los afectados producen cantidades inusualmente altas de LL-37 en la piel de la cara, y en ratones la inyección de estos péptidos desencadenó inflamaciones cutáneas (Yamasaki 2007, PMID 17676051).</w:t>
      </w:r>
    </w:p>
    <w:bookmarkEnd w:id="405"/>
    <w:bookmarkStart w:id="409" w:name="estudios-en-humanos-19"/>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encontró</w:t>
      </w:r>
      <w:r>
        <w:t xml:space="preserve"> </w:t>
      </w:r>
      <w:r>
        <w:rPr>
          <w:bCs/>
          <w:b/>
        </w:rPr>
        <w:t xml:space="preserve">91</w:t>
      </w:r>
      <w:r>
        <w:t xml:space="preserve"> </w:t>
      </w:r>
      <w:r>
        <w:t xml:space="preserve">publicaciones clasificadas como estudio en humanos y</w:t>
      </w:r>
      <w:r>
        <w:t xml:space="preserve"> </w:t>
      </w:r>
      <w:r>
        <w:rPr>
          <w:bCs/>
          <w:b/>
        </w:rPr>
        <w:t xml:space="preserve">20</w:t>
      </w:r>
      <w:r>
        <w:t xml:space="preserve"> </w:t>
      </w:r>
      <w:r>
        <w:t xml:space="preserve">entradas en ClinicalTrials.gov. La inmensa mayoría de ellas</w:t>
      </w:r>
      <w:r>
        <w:t xml:space="preserve"> </w:t>
      </w:r>
      <w:r>
        <w:rPr>
          <w:iCs/>
          <w:i/>
        </w:rPr>
        <w:t xml:space="preserve">no</w:t>
      </w:r>
      <w:r>
        <w:t xml:space="preserve"> </w:t>
      </w:r>
      <w:r>
        <w:t xml:space="preserve">administra LL-37 como principio activo: se trata de estudios de vitamina D o de probióticos que registran el LL-37 como valor medido, o de estudios observacionales sobre las concentraciones de LL-37 en enfermedades. Estudios en los que se haya administrado el propio LL-37 solo se encuentran cinco en PubMed; en el registro, dos.</w:t>
      </w:r>
    </w:p>
    <w:bookmarkStart w:id="406" w:name="X663e463dc3f8fd3ae07b28d30265aa24f3b7ce4"/>
    <w:p>
      <w:pPr>
        <w:pStyle w:val="Heading4"/>
      </w:pPr>
      <w:r>
        <w:t xml:space="preserve">Estudios de intervención: LL-37 como principio activo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Úlceras venosas de pierna (Grönberg 2014, PMID 25041740)</w:t>
            </w:r>
          </w:p>
        </w:tc>
        <w:tc>
          <w:tcPr/>
          <w:p>
            <w:pPr>
              <w:pStyle w:val="Compact"/>
              <w:jc w:val="left"/>
            </w:pPr>
            <w:r>
              <w:t xml:space="preserve">34 personas, primera aplicación en humanos, ECA doble ciego con tres concentraciones y placebo</w:t>
            </w:r>
          </w:p>
        </w:tc>
        <w:tc>
          <w:tcPr/>
          <w:p>
            <w:pPr>
              <w:pStyle w:val="Compact"/>
              <w:jc w:val="left"/>
            </w:pPr>
            <w:r>
              <w:t xml:space="preserve">4 semanas de tratamiento</w:t>
            </w:r>
          </w:p>
        </w:tc>
        <w:tc>
          <w:tcPr/>
          <w:p>
            <w:pPr>
              <w:pStyle w:val="Compact"/>
              <w:jc w:val="left"/>
            </w:pPr>
            <w:r>
              <w:t xml:space="preserve">superficie de la herida reducida un 68 % con la concentración más baja y un 50 % con la intermedia; la concentración más alta no fue mejor que el placebo</w:t>
            </w:r>
          </w:p>
        </w:tc>
      </w:tr>
      <w:tr>
        <w:tc>
          <w:tcPr/>
          <w:p>
            <w:pPr>
              <w:pStyle w:val="Compact"/>
              <w:jc w:val="left"/>
            </w:pPr>
            <w:r>
              <w:t xml:space="preserve">HEAL LL-37, úlceras venosas de pierna (Mahlapuu 2021, PMID 34687253)</w:t>
            </w:r>
          </w:p>
        </w:tc>
        <w:tc>
          <w:tcPr/>
          <w:p>
            <w:pPr>
              <w:pStyle w:val="Compact"/>
              <w:jc w:val="left"/>
            </w:pPr>
            <w:r>
              <w:t xml:space="preserve">148 personas, fase 2b, ECA doble ciego</w:t>
            </w:r>
          </w:p>
        </w:tc>
        <w:tc>
          <w:tcPr/>
          <w:p>
            <w:pPr>
              <w:pStyle w:val="Compact"/>
              <w:jc w:val="left"/>
            </w:pPr>
            <w:r>
              <w:t xml:space="preserve">3 brazos, además de la compresión</w:t>
            </w:r>
          </w:p>
        </w:tc>
        <w:tc>
          <w:tcPr/>
          <w:p>
            <w:pPr>
              <w:pStyle w:val="Compact"/>
              <w:jc w:val="left"/>
            </w:pPr>
            <w:r>
              <w:t xml:space="preserve">sin diferencia significativa frente a placebo; ventaja solo en un análisis posterior de subgrupos de heridas grandes</w:t>
            </w:r>
          </w:p>
        </w:tc>
      </w:tr>
      <w:tr>
        <w:tc>
          <w:tcPr/>
          <w:p>
            <w:pPr>
              <w:pStyle w:val="Compact"/>
              <w:jc w:val="left"/>
            </w:pPr>
            <w:r>
              <w:t xml:space="preserve">Úlcera de pie diabético (Miranda 2023, PMID 37480520; NCT04098562)</w:t>
            </w:r>
          </w:p>
        </w:tc>
        <w:tc>
          <w:tcPr/>
          <w:p>
            <w:pPr>
              <w:pStyle w:val="Compact"/>
              <w:jc w:val="left"/>
            </w:pPr>
            <w:r>
              <w:t xml:space="preserve">personas con úlcera de pie levemente infectada en Yakarta, ECA doble ciego frente a crema placebo</w:t>
            </w:r>
          </w:p>
        </w:tc>
        <w:tc>
          <w:tcPr/>
          <w:p>
            <w:pPr>
              <w:pStyle w:val="Compact"/>
              <w:jc w:val="left"/>
            </w:pPr>
            <w:r>
              <w:t xml:space="preserve">4 semanas</w:t>
            </w:r>
          </w:p>
        </w:tc>
        <w:tc>
          <w:tcPr/>
          <w:p>
            <w:pPr>
              <w:pStyle w:val="Compact"/>
              <w:jc w:val="left"/>
            </w:pPr>
            <w:r>
              <w:t xml:space="preserve">mayor aumento del tejido de granulación; sin reducción de marcadores inflamatorios ni del recuento bacteriano</w:t>
            </w:r>
          </w:p>
        </w:tc>
      </w:tr>
      <w:tr>
        <w:tc>
          <w:tcPr/>
          <w:p>
            <w:pPr>
              <w:pStyle w:val="Compact"/>
              <w:jc w:val="left"/>
            </w:pPr>
            <w:r>
              <w:t xml:space="preserve">COVID-19, LL-37 oral a partir de bacterias lácticas (Zhao 2023, PMID 37605995)</w:t>
            </w:r>
          </w:p>
        </w:tc>
        <w:tc>
          <w:tcPr/>
          <w:p>
            <w:pPr>
              <w:pStyle w:val="Compact"/>
              <w:jc w:val="left"/>
            </w:pPr>
            <w:r>
              <w:t xml:space="preserve">238 pacientes hospitalizados, ECA abierto, un solo centro</w:t>
            </w:r>
          </w:p>
        </w:tc>
        <w:tc>
          <w:tcPr/>
          <w:p>
            <w:pPr>
              <w:pStyle w:val="Compact"/>
              <w:jc w:val="left"/>
            </w:pPr>
            <w:r>
              <w:t xml:space="preserve">estancia hospitalaria</w:t>
            </w:r>
          </w:p>
        </w:tc>
        <w:tc>
          <w:tcPr/>
          <w:p>
            <w:pPr>
              <w:pStyle w:val="Compact"/>
              <w:jc w:val="left"/>
            </w:pPr>
            <w:r>
              <w:t xml:space="preserve">PCR del virus negativa de media a los 9,8 días en lugar de 14,0; sin efectos secundarios graves</w:t>
            </w:r>
          </w:p>
        </w:tc>
      </w:tr>
      <w:tr>
        <w:tc>
          <w:tcPr/>
          <w:p>
            <w:pPr>
              <w:pStyle w:val="Compact"/>
              <w:jc w:val="left"/>
            </w:pPr>
            <w:r>
              <w:t xml:space="preserve">Melanoma, inyección en los tumores (NCT02225366)</w:t>
            </w:r>
          </w:p>
        </w:tc>
        <w:tc>
          <w:tcPr/>
          <w:p>
            <w:pPr>
              <w:pStyle w:val="Compact"/>
              <w:jc w:val="left"/>
            </w:pPr>
            <w:r>
              <w:t xml:space="preserve">4 personas, fase 1/2 sin grupo de control</w:t>
            </w:r>
          </w:p>
        </w:tc>
        <w:tc>
          <w:tcPr/>
          <w:p>
            <w:pPr>
              <w:pStyle w:val="Compact"/>
              <w:jc w:val="left"/>
            </w:pPr>
            <w:r>
              <w:t xml:space="preserve">hasta 8 semanas</w:t>
            </w:r>
          </w:p>
        </w:tc>
        <w:tc>
          <w:tcPr/>
          <w:p>
            <w:pPr>
              <w:pStyle w:val="Compact"/>
              <w:jc w:val="left"/>
            </w:pPr>
            <w:r>
              <w:t xml:space="preserve">búsqueda de dosis; número pequeño de casos, véase Riesgos</w:t>
            </w:r>
          </w:p>
        </w:tc>
      </w:tr>
    </w:tbl>
    <w:p>
      <w:pPr>
        <w:pStyle w:val="BodyText"/>
      </w:pPr>
      <w:r>
        <w:t xml:space="preserve">Los estudios en heridas muestran el patrón conocido: el primer estudio pequeño fue alentador; llamativamente, actuaron las concentraciones más bajas, no la más alta (Grönberg 2014, PMID 25041740). El estudio de fase 2b más grande, HEAL LL-37, con 148 personas, no encontró ninguna ventaja frente a placebo en el grupo total. Un beneficio en heridas grandes solo apareció en un análisis de subgrupos definido a posteriori, que los propios autores consideran motivo para un nuevo estudio, no una prueba (Mahlapuu 2021, PMID 34687253).</w:t>
      </w:r>
    </w:p>
    <w:p>
      <w:pPr>
        <w:pStyle w:val="BodyText"/>
      </w:pPr>
      <w:r>
        <w:t xml:space="preserve">El estudio indonesio sobre la úlcera de pie diabético midió como variable principal la proporción de tejido de granulación, es decir, de tejido de curación nuevo: un marcador intermedio, no la curación completa de la herida. Los marcadores inflamatorios y la colonización bacteriana no disminuyeron más con LL-37 que con placebo (Miranda 2023, PMID 37480520).</w:t>
      </w:r>
    </w:p>
    <w:p>
      <w:pPr>
        <w:pStyle w:val="BodyText"/>
      </w:pPr>
      <w:r>
        <w:t xml:space="preserve">El estudio sobre la COVID-19 no utilizó el péptido LL-37, sino bacterias lácticas modificadas genéticamente que debían producir LL-37 en el intestino. No era cegado y se realizó en un único centro; se midió el tiempo hasta la PCR negativa, no la evolución de la enfermedad ni la mortalidad (Zhao 2023, PMID 37605995).</w:t>
      </w:r>
    </w:p>
    <w:bookmarkEnd w:id="406"/>
    <w:bookmarkStart w:id="407" w:name="Xb10c31340857ea1f2eb5753ac6a3141a1634185"/>
    <w:p>
      <w:pPr>
        <w:pStyle w:val="Heading4"/>
      </w:pPr>
      <w:r>
        <w:t xml:space="preserve">Estudios observacionales: LL-37 como valor medido</w:t>
      </w:r>
    </w:p>
    <w:p>
      <w:pPr>
        <w:pStyle w:val="FirstParagraph"/>
      </w:pPr>
      <w:r>
        <w:t xml:space="preserve">Estos estudios no dicen nada sobre si el LL-37 administrado ayuda. Solo muestran cómo produce el organismo LL-37 en las enfermedades. Algunos ejemplos:</w:t>
      </w:r>
    </w:p>
    <w:p>
      <w:pPr>
        <w:numPr>
          <w:ilvl w:val="0"/>
          <w:numId w:val="1132"/>
        </w:numPr>
        <w:pStyle w:val="Compact"/>
      </w:pPr>
      <w:r>
        <w:t xml:space="preserve">En 50 personas con tuberculosis pulmonar, las concentraciones de LL-37 en sangre fueron mayores que en la neumonía por otras bacterias y en personas sanas (Majewski 2017, PMID 28956425).</w:t>
      </w:r>
    </w:p>
    <w:p>
      <w:pPr>
        <w:numPr>
          <w:ilvl w:val="0"/>
          <w:numId w:val="1132"/>
        </w:numPr>
        <w:pStyle w:val="Compact"/>
      </w:pPr>
      <w:r>
        <w:t xml:space="preserve">En 76 niños con meningitis bacteriana, el LL-37 en el líquido cefalorraquídeo aumentó con la cantidad de bacterias; una relación alta entre LL-37 y bacterias se asoció con menos daños auditivos (Savonius 2018, PMID 28827496).</w:t>
      </w:r>
    </w:p>
    <w:p>
      <w:pPr>
        <w:numPr>
          <w:ilvl w:val="0"/>
          <w:numId w:val="1132"/>
        </w:numPr>
        <w:pStyle w:val="Compact"/>
      </w:pPr>
      <w:r>
        <w:t xml:space="preserve">En 30 pacientes de cuidados intensivos con sepsis, las concentraciones de LL-37 aumentaron tras dosis altas de vitamina D (Quraishi 2015, PMID 26086941).</w:t>
      </w:r>
    </w:p>
    <w:bookmarkEnd w:id="407"/>
    <w:bookmarkStart w:id="408" w:name="X58efb8e0f78133406c5c9959b7a5748638bc1fe"/>
    <w:p>
      <w:pPr>
        <w:pStyle w:val="Heading4"/>
      </w:pPr>
      <w:r>
        <w:t xml:space="preserve">Indirectamente: estimular el LL-37 a través de la vitamina D</w:t>
      </w:r>
    </w:p>
    <w:p>
      <w:pPr>
        <w:pStyle w:val="FirstParagraph"/>
      </w:pPr>
      <w:r>
        <w:t xml:space="preserve">En un estudio doble ciego de Bangladés con 288 personas con tuberculosis pulmonar, a las cuatro semanas había más participantes con cultivo negativo cuando recibían además vitamina D3 y fenilbutirato, dos sustancias que estimulan la producción propia de LL-37 (71 % frente a 42,2 % con placebo) (Mily 2015, PMID 26394045). Es una afirmación sobre esta combinación, no sobre el LL-37 como péptido. La vitamina D en sí no es un péptido y no se trata específicamente en este libro.</w:t>
      </w:r>
    </w:p>
    <w:bookmarkEnd w:id="408"/>
    <w:bookmarkEnd w:id="409"/>
    <w:bookmarkStart w:id="410" w:name="estudios-en-animales-y-de-laboratorio-19"/>
    <w:p>
      <w:pPr>
        <w:pStyle w:val="Heading3"/>
      </w:pPr>
      <w:r>
        <w:t xml:space="preserve">Estudios en animales y de laboratorio</w:t>
      </w:r>
    </w:p>
    <w:p>
      <w:pPr>
        <w:pStyle w:val="FirstParagraph"/>
      </w:pPr>
      <w:r>
        <w:t xml:space="preserve">En el laboratorio, el LL-37 mata una amplia gama de bacterias, hongos y algunos virus y favorece la migración de las células cutáneas. Una revisión sobre su papel en el cáncer resume que, en experimentos celulares y con animales, el LL-37</w:t>
      </w:r>
      <w:r>
        <w:t xml:space="preserve"> </w:t>
      </w:r>
      <w:r>
        <w:rPr>
          <w:iCs/>
          <w:i/>
        </w:rPr>
        <w:t xml:space="preserve">favorece</w:t>
      </w:r>
      <w:r>
        <w:t xml:space="preserve"> </w:t>
      </w:r>
      <w:r>
        <w:t xml:space="preserve">el crecimiento tumoral en el cáncer de ovario, pulmón, mama, próstata y páncreas, así como en el melanoma, mientras que lo</w:t>
      </w:r>
      <w:r>
        <w:t xml:space="preserve"> </w:t>
      </w:r>
      <w:r>
        <w:rPr>
          <w:iCs/>
          <w:i/>
        </w:rPr>
        <w:t xml:space="preserve">inhibe</w:t>
      </w:r>
      <w:r>
        <w:t xml:space="preserve"> </w:t>
      </w:r>
      <w:r>
        <w:t xml:space="preserve">en el cáncer de colon, de estómago y en algunos cánceres hematológicos (Chen 2018, PMID 29843147). Así pues, la misma sustancia puede actuar de forma opuesta según el tejido.</w:t>
      </w:r>
    </w:p>
    <w:p>
      <w:pPr>
        <w:pStyle w:val="BodyText"/>
      </w:pPr>
      <w:r>
        <w:t xml:space="preserve">Para la extrapolación es importante lo siguiente: los ratones poseen una catelicidina propia que solo se parece al LL-37 humano y la regulan de otra manera (Gombart 2005, PMID 15985530). Por eso, los hallazgos en ratones sobre el LL-37 deben valorarse con aún más cautela que en el caso de otros péptidos.</w:t>
      </w:r>
    </w:p>
    <w:bookmarkEnd w:id="410"/>
    <w:bookmarkStart w:id="413" w:name="riesgos-y-efectos-adversos-19"/>
    <w:p>
      <w:pPr>
        <w:pStyle w:val="Heading3"/>
      </w:pPr>
      <w:r>
        <w:t xml:space="preserve">Riesgos y efectos adversos</w:t>
      </w:r>
    </w:p>
    <w:bookmarkStart w:id="411" w:name="demostrado-3"/>
    <w:p>
      <w:pPr>
        <w:pStyle w:val="Heading4"/>
      </w:pPr>
      <w:r>
        <w:t xml:space="preserve">Demostrado</w:t>
      </w:r>
    </w:p>
    <w:p>
      <w:pPr>
        <w:pStyle w:val="FirstParagraph"/>
      </w:pPr>
      <w:r>
        <w:t xml:space="preserve">En los estudios en heridas, el LL-37 aplicado localmente fue bien tolerado; no hubo problemas de seguridad en cuanto a efectos secundarios locales o generales (Grönberg 2014, PMID 25041740; Mahlapuu 2021, PMID 34687253).</w:t>
      </w:r>
    </w:p>
    <w:p>
      <w:pPr>
        <w:pStyle w:val="BodyText"/>
      </w:pPr>
      <w:r>
        <w:t xml:space="preserve">Sin embargo, un informe de caso del estudio de melanoma muestra que el LL-37 en forma inyectable no es inofensivo: en una mujer de 63 años que recibió ocho inyecciones semanales en metástasis cutáneas aparecieron, unos 45 días después del inicio, numerosas lesiones cutáneas verrugosas y ampollas en el tronco y las extremidades, que inicialmente se tomaron por cáncer de piel. Histológicamente se observaron alteraciones inflamatorias con células cutáneas atípicas; todas las lesiones remitieron en los dos meses siguientes a la retirada (Dolkar 2018, PMID 29665030).</w:t>
      </w:r>
    </w:p>
    <w:bookmarkEnd w:id="411"/>
    <w:bookmarkStart w:id="412" w:name="Xa3363bd6ece83fbc799240dd7bc5a2427b80d60"/>
    <w:p>
      <w:pPr>
        <w:pStyle w:val="Heading4"/>
      </w:pPr>
      <w:r>
        <w:t xml:space="preserve">Teórico y derivado de la investigación de enfermedades</w:t>
      </w:r>
    </w:p>
    <w:p>
      <w:pPr>
        <w:numPr>
          <w:ilvl w:val="0"/>
          <w:numId w:val="1133"/>
        </w:numPr>
        <w:pStyle w:val="Compact"/>
      </w:pPr>
      <w:r>
        <w:rPr>
          <w:bCs/>
          <w:b/>
        </w:rPr>
        <w:t xml:space="preserve">Autoinmunidad y enfermedades cutáneas:</w:t>
      </w:r>
      <w:r>
        <w:t xml:space="preserve"> </w:t>
      </w:r>
      <w:r>
        <w:t xml:space="preserve">el LL-37 es en la psoriasis un desencadenante de la inflamación y una diana de linfocitos T mal dirigidos (Lande 2007, PMID 17873860; Lande 2014, PMID 25470744), y en la rosácea participa en la inflamación cutánea (Yamasaki 2007, PMID 17676051). Las personas con estas u otras enfermedades autoinmunitarias (como el lupus) deberían ser especialmente prudentes; no hay estudios al respecto.</w:t>
      </w:r>
    </w:p>
    <w:p>
      <w:pPr>
        <w:numPr>
          <w:ilvl w:val="0"/>
          <w:numId w:val="1133"/>
        </w:numPr>
        <w:pStyle w:val="Compact"/>
      </w:pPr>
      <w:r>
        <w:rPr>
          <w:bCs/>
          <w:b/>
        </w:rPr>
        <w:t xml:space="preserve">Cáncer:</w:t>
      </w:r>
      <w:r>
        <w:t xml:space="preserve"> </w:t>
      </w:r>
      <w:r>
        <w:t xml:space="preserve">como el LL-37 favorece en ensayos de laboratorio el crecimiento de algunos tipos de tumores (Chen 2018, PMID 29843147), su uso en personas con cáncer o antecedentes de cáncer no puede evaluarse sin estudios.</w:t>
      </w:r>
    </w:p>
    <w:p>
      <w:pPr>
        <w:numPr>
          <w:ilvl w:val="0"/>
          <w:numId w:val="1133"/>
        </w:numPr>
        <w:pStyle w:val="Compact"/>
      </w:pPr>
      <w:r>
        <w:rPr>
          <w:bCs/>
          <w:b/>
        </w:rPr>
        <w:t xml:space="preserve">Daño celular a concentraciones altas:</w:t>
      </w:r>
      <w:r>
        <w:t xml:space="preserve"> </w:t>
      </w:r>
      <w:r>
        <w:t xml:space="preserve">el péptido ataca las envolturas celulares; en concentraciones más altas también puede dañar células humanas. Esto podría explicar por qué en el primer estudio en heridas la concentración más alta no fue eficaz.</w:t>
      </w:r>
    </w:p>
    <w:p>
      <w:pPr>
        <w:numPr>
          <w:ilvl w:val="0"/>
          <w:numId w:val="1133"/>
        </w:numPr>
        <w:pStyle w:val="Compact"/>
      </w:pPr>
      <w:r>
        <w:rPr>
          <w:bCs/>
          <w:b/>
        </w:rPr>
        <w:t xml:space="preserve">Mercado gris:</w:t>
      </w:r>
      <w:r>
        <w:t xml:space="preserve"> </w:t>
      </w:r>
      <w:r>
        <w:t xml:space="preserve">como con todos los «péptidos de investigación», la pureza, el contenido y la esterilidad son desconocidos. Esto se aplica especialmente a las inyecciones.</w:t>
      </w:r>
    </w:p>
    <w:bookmarkEnd w:id="412"/>
    <w:bookmarkEnd w:id="413"/>
    <w:bookmarkStart w:id="414" w:name="situación-legal-19"/>
    <w:p>
      <w:pPr>
        <w:pStyle w:val="Heading3"/>
      </w:pPr>
      <w:r>
        <w:t xml:space="preserve">Situación legal</w:t>
      </w:r>
    </w:p>
    <w:p>
      <w:pPr>
        <w:pStyle w:val="FirstParagraph"/>
      </w:pPr>
      <w:r>
        <w:rPr>
          <w:iCs/>
          <w:i/>
        </w:rPr>
        <w:t xml:space="preserve">Situación en 2026, compruébelo en su versión actual.</w:t>
      </w:r>
    </w:p>
    <w:p>
      <w:pPr>
        <w:numPr>
          <w:ilvl w:val="0"/>
          <w:numId w:val="1134"/>
        </w:numPr>
        <w:pStyle w:val="Compact"/>
      </w:pPr>
      <w:r>
        <w:rPr>
          <w:bCs/>
          <w:b/>
        </w:rPr>
        <w:t xml:space="preserve">UE, Alemania, Austria:</w:t>
      </w:r>
      <w:r>
        <w:t xml:space="preserve"> </w:t>
      </w:r>
      <w:r>
        <w:t xml:space="preserve">el LL-37 no está autorizado como medicamento. Según el conocimiento del autor, su desarrollo como producto para heridas por parte de una empresa sueca (con el nombre de ropocamptida) no ha pasado de la fase 2. No se permite su venta para uso en humanos.</w:t>
      </w:r>
    </w:p>
    <w:p>
      <w:pPr>
        <w:numPr>
          <w:ilvl w:val="0"/>
          <w:numId w:val="1134"/>
        </w:numPr>
        <w:pStyle w:val="Compact"/>
      </w:pPr>
      <w:r>
        <w:rPr>
          <w:bCs/>
          <w:b/>
        </w:rPr>
        <w:t xml:space="preserve">EE. UU.:</w:t>
      </w:r>
      <w:r>
        <w:t xml:space="preserve"> </w:t>
      </w:r>
      <w:r>
        <w:t xml:space="preserve">sin autorización de la FDA.</w:t>
      </w:r>
    </w:p>
    <w:p>
      <w:pPr>
        <w:numPr>
          <w:ilvl w:val="0"/>
          <w:numId w:val="1134"/>
        </w:numPr>
        <w:pStyle w:val="Compact"/>
      </w:pPr>
      <w:r>
        <w:rPr>
          <w:bCs/>
          <w:b/>
        </w:rPr>
        <w:t xml:space="preserve">WADA:</w:t>
      </w:r>
      <w:r>
        <w:t xml:space="preserve"> </w:t>
      </w:r>
      <w:r>
        <w:t xml:space="preserve">no figura por su nombre; en opinión del autor, debe clasificarse como sustancia no aprobada en S0.</w:t>
      </w:r>
    </w:p>
    <w:bookmarkEnd w:id="414"/>
    <w:bookmarkStart w:id="415" w:name="estudios-en-curso-y-perspectivas-19"/>
    <w:p>
      <w:pPr>
        <w:pStyle w:val="Heading3"/>
      </w:pPr>
      <w:r>
        <w:t xml:space="preserve">Estudios en curso y perspectivas</w:t>
      </w:r>
    </w:p>
    <w:p>
      <w:pPr>
        <w:pStyle w:val="FirstParagraph"/>
      </w:pPr>
      <w:r>
        <w:rPr>
          <w:bCs/>
          <w:b/>
        </w:rPr>
        <w:t xml:space="preserve">Confirmado:</w:t>
      </w:r>
      <w:r>
        <w:t xml:space="preserve"> </w:t>
      </w:r>
      <w:r>
        <w:t xml:space="preserve">en octubre de 2026 no hay registrado en ClinicalTrials.gov ningún estudio en curso en el que se administre LL-37 como principio activo. Las dos entradas con LL-37 como principio activo (melanoma, NCT02225366; úlcera de pie diabético, NCT04098562) están concluidas o tienen un estado desconocido. Las demás entradas del registro solo miden el LL-37 como biomarcador, por ejemplo en la encía o con la administración de vitamina D.</w:t>
      </w:r>
    </w:p>
    <w:p>
      <w:pPr>
        <w:pStyle w:val="BodyText"/>
      </w:pPr>
      <w:r>
        <w:rPr>
          <w:bCs/>
          <w:b/>
        </w:rPr>
        <w:t xml:space="preserve">Valoración del autor:</w:t>
      </w:r>
      <w:r>
        <w:t xml:space="preserve"> </w:t>
      </w:r>
      <w:r>
        <w:t xml:space="preserve">el propio LL-37 difícilmente tendrá futuro como medicamento: es demasiado inestable, daña las células a concentraciones altas y conlleva riesgos autoinmunitarios. La investigación se desplaza hacia derivados acortados o modificados y hacia vías para aumentar la producción propia. Un estudio en heridas en el subgrupo de úlceras de pierna grandes, como reclaman los autores de HEAL, sería el siguiente paso lógico; no está registrado.</w:t>
      </w:r>
    </w:p>
    <w:bookmarkEnd w:id="415"/>
    <w:bookmarkStart w:id="416" w:name="conclusión-19"/>
    <w:p>
      <w:pPr>
        <w:pStyle w:val="Heading3"/>
      </w:pPr>
      <w:r>
        <w:t xml:space="preserve">Conclusión</w:t>
      </w:r>
    </w:p>
    <w:p>
      <w:pPr>
        <w:pStyle w:val="FirstParagraph"/>
      </w:pPr>
      <w:r>
        <w:t xml:space="preserve">El LL-37 es un importante péptido de defensa propio del organismo cuyas concentraciones se han medido en muchos estudios, pero que como principio activo solo se ha administrado en humanos en unos pocos estudios pequeños. Aplicado sobre heridas fue bien tolerado, pero el mayor estudio aleatorizado, con 148 personas, no encontró ninguna ventaja frente a placebo (Mahlapuu 2021, PMID 34687253). Al mismo tiempo, el LL-37 desempeña un papel como impulsor de la inflamación en la psoriasis y la rosácea, y un tratamiento inyectable desencadenó en un caso documentado alteraciones cutáneas marcadas. Para las aplicaciones promocionadas en internet –por ejemplo, contra infecciones crónicas o como potenciador inmunitario inyectable– no existen estudios en humanos.</w:t>
      </w:r>
    </w:p>
    <w:bookmarkEnd w:id="416"/>
    <w:bookmarkEnd w:id="417"/>
    <w:bookmarkStart w:id="430" w:name="ara-290-cibinetida"/>
    <w:p>
      <w:pPr>
        <w:pStyle w:val="Heading2"/>
      </w:pPr>
      <w:r>
        <w:t xml:space="preserve">ARA-290 (cibinetida)</w:t>
      </w:r>
    </w:p>
    <w:p>
      <w:pPr>
        <w:pStyle w:val="FirstParagraph"/>
      </w:pPr>
      <w:r>
        <w:t xml:space="preserve">El ARA-290 es un péptido artificial derivado de la hormona hematopoyética eritropoyetina (EPO), la hormona que se hizo famosa como sustancia dopante en el ciclismo. Sin embargo, el ARA-290 no debe estimular precisamente la formación de sangre, sino aprovechar solo las propiedades protectoras de tejidos de la EPO. En estudios pequeños sobre el dolor neuropático en el contexto de la sarcoidosis mostró señales alentadoras. En el ámbito del biohacking se ofrece ya como péptido de «regeneración nerviosa» y «antienvejecimiento».</w:t>
      </w:r>
    </w:p>
    <w:bookmarkStart w:id="418" w:name="ficha-20"/>
    <w:p>
      <w:pPr>
        <w:pStyle w:val="Heading3"/>
      </w:pPr>
      <w:r>
        <w:t xml:space="preserve">Ficha</w:t>
      </w:r>
    </w:p>
    <w:p>
      <w:pPr>
        <w:numPr>
          <w:ilvl w:val="0"/>
          <w:numId w:val="1135"/>
        </w:numPr>
        <w:pStyle w:val="Compact"/>
      </w:pPr>
      <w:r>
        <w:rPr>
          <w:bCs/>
          <w:b/>
        </w:rPr>
        <w:t xml:space="preserve">Tipo y estructura:</w:t>
      </w:r>
      <w:r>
        <w:t xml:space="preserve"> </w:t>
      </w:r>
      <w:r>
        <w:t xml:space="preserve">péptido sintético de 11 aminoácidos (Winicki 2022, PMID 36741836); denominación del principio activo: cibinetida.</w:t>
      </w:r>
    </w:p>
    <w:p>
      <w:pPr>
        <w:numPr>
          <w:ilvl w:val="0"/>
          <w:numId w:val="1135"/>
        </w:numPr>
        <w:pStyle w:val="Compact"/>
      </w:pPr>
      <w:r>
        <w:rPr>
          <w:bCs/>
          <w:b/>
        </w:rPr>
        <w:t xml:space="preserve">Origen:</w:t>
      </w:r>
      <w:r>
        <w:t xml:space="preserve"> </w:t>
      </w:r>
      <w:r>
        <w:t xml:space="preserve">reproducido a partir de un segmento de la estructura espacial de la eritropoyetina que sería responsable de su protección tisular; desarrollado por la empresa estadounidense Araim Pharmaceuticals.</w:t>
      </w:r>
    </w:p>
    <w:p>
      <w:pPr>
        <w:numPr>
          <w:ilvl w:val="0"/>
          <w:numId w:val="1135"/>
        </w:numPr>
        <w:pStyle w:val="Compact"/>
      </w:pPr>
      <w:r>
        <w:rPr>
          <w:bCs/>
          <w:b/>
        </w:rPr>
        <w:t xml:space="preserve">Mecanismo de acción:</w:t>
      </w:r>
      <w:r>
        <w:t xml:space="preserve"> </w:t>
      </w:r>
      <w:r>
        <w:t xml:space="preserve">se une a un llamado «receptor de reparación innato» (una combinación del receptor de EPO y la subunidad de receptor CD131), no al receptor de EPO clásico de la hematopoyesis; atenuaría la inflamación y estimularía la reparación tisular.</w:t>
      </w:r>
    </w:p>
    <w:p>
      <w:pPr>
        <w:numPr>
          <w:ilvl w:val="0"/>
          <w:numId w:val="1135"/>
        </w:numPr>
        <w:pStyle w:val="Compact"/>
      </w:pPr>
      <w:r>
        <w:rPr>
          <w:bCs/>
          <w:b/>
        </w:rPr>
        <w:t xml:space="preserve">Autorización UE/EE. UU.:</w:t>
      </w:r>
      <w:r>
        <w:t xml:space="preserve"> </w:t>
      </w:r>
      <w:r>
        <w:t xml:space="preserve">no.</w:t>
      </w:r>
    </w:p>
    <w:p>
      <w:pPr>
        <w:numPr>
          <w:ilvl w:val="0"/>
          <w:numId w:val="1135"/>
        </w:numPr>
        <w:pStyle w:val="Compact"/>
      </w:pPr>
      <w:r>
        <w:rPr>
          <w:bCs/>
          <w:b/>
        </w:rPr>
        <w:t xml:space="preserve">WADA:</w:t>
      </w:r>
      <w:r>
        <w:t xml:space="preserve"> </w:t>
      </w:r>
      <w:r>
        <w:t xml:space="preserve">prohibido; los agonistas no hematopoyéticos del receptor de EPO como el ARA-290 se mencionan expresamente en la clase S2; los laboratorios antidopaje han desarrollado métodos de detección (Thomas 2017, PMID 28941172). Situación en 2026, compruébelo en su versión actual.</w:t>
      </w:r>
    </w:p>
    <w:p>
      <w:pPr>
        <w:numPr>
          <w:ilvl w:val="0"/>
          <w:numId w:val="1135"/>
        </w:numPr>
        <w:pStyle w:val="Compact"/>
      </w:pPr>
      <w:r>
        <w:rPr>
          <w:bCs/>
          <w:b/>
        </w:rPr>
        <w:t xml:space="preserve">Nivel de evidencia: B</w:t>
      </w:r>
      <w:r>
        <w:t xml:space="preserve"> </w:t>
      </w:r>
      <w:r>
        <w:t xml:space="preserve">– varios estudios pequeños de fase 2, aleatorizados y controlados con placebo; ningún estudio de fase 3.</w:t>
      </w:r>
    </w:p>
    <w:bookmarkEnd w:id="418"/>
    <w:bookmarkStart w:id="419" w:name="cómo-se-supone-que-actúa-20"/>
    <w:p>
      <w:pPr>
        <w:pStyle w:val="Heading3"/>
      </w:pPr>
      <w:r>
        <w:t xml:space="preserve">Cómo se supone que actúa</w:t>
      </w:r>
    </w:p>
    <w:p>
      <w:pPr>
        <w:pStyle w:val="FirstParagraph"/>
      </w:pPr>
      <w:r>
        <w:t xml:space="preserve">La eritropoyetina se produce en el riñón y estimula en la médula ósea la formación de glóbulos rojos. En la década de 2000 se observó en experimentos con animales que la EPO puede además proteger de daños los nervios, el corazón y los riñones. Pero como medicamento para ese fin la EPO no es adecuada: aumenta el número de glóbulos rojos, espesa la sangre y eleva el riesgo de trombosis.</w:t>
      </w:r>
    </w:p>
    <w:p>
      <w:pPr>
        <w:pStyle w:val="BodyText"/>
      </w:pPr>
      <w:r>
        <w:t xml:space="preserve">Los desarrolladores del ARA-290 supusieron que el efecto protector se produce a través de un receptor distinto del de la hematopoyesis. Este «receptor de reparación» solo se produce en mayor cantidad cuando hay daño tisular o inflamación. El ARA-290 debería activar únicamente este receptor de forma selectiva. En ratas con lesión nerviosa redujo de forma dependiente de la dosis la hipersensibilidad al tacto y al frío durante hasta 20 semanas y atenuó la activación de células inmunitarias en la médula espinal (Swartjes 2014, PMID 24529189).</w:t>
      </w:r>
    </w:p>
    <w:p>
      <w:pPr>
        <w:pStyle w:val="BodyText"/>
      </w:pPr>
      <w:r>
        <w:t xml:space="preserve">El ARA-290 se degrada rápidamente en la sangre; un laboratorio antidopaje describió una marcada degradación enzimática con un producto de degradación principal (Thomas 2017, PMID 28941172).</w:t>
      </w:r>
    </w:p>
    <w:bookmarkEnd w:id="419"/>
    <w:bookmarkStart w:id="422" w:name="estudios-en-humanos-20"/>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encontró</w:t>
      </w:r>
      <w:r>
        <w:t xml:space="preserve"> </w:t>
      </w:r>
      <w:r>
        <w:rPr>
          <w:bCs/>
          <w:b/>
        </w:rPr>
        <w:t xml:space="preserve">5</w:t>
      </w:r>
      <w:r>
        <w:t xml:space="preserve"> </w:t>
      </w:r>
      <w:r>
        <w:t xml:space="preserve">estudios en humanos en PubMed y</w:t>
      </w:r>
      <w:r>
        <w:t xml:space="preserve"> </w:t>
      </w:r>
      <w:r>
        <w:rPr>
          <w:bCs/>
          <w:b/>
        </w:rPr>
        <w:t xml:space="preserve">5</w:t>
      </w:r>
      <w:r>
        <w:t xml:space="preserve"> </w:t>
      </w:r>
      <w:r>
        <w:t xml:space="preserve">entradas en ClinicalTrials.gov. Se buscó específicamente otro estudio (edema macular diabético). Todos los estudios son pequeños y duraron entre cuatro y doce semanas.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Sarcoidosis, estudio piloto (Heij 2012, PMID 23168581)</w:t>
            </w:r>
          </w:p>
        </w:tc>
        <w:tc>
          <w:tcPr/>
          <w:p>
            <w:pPr>
              <w:pStyle w:val="Compact"/>
              <w:jc w:val="left"/>
            </w:pPr>
            <w:r>
              <w:t xml:space="preserve">22 personas con dolor neuropático en la sarcoidosis, ECA doble ciego, infusión</w:t>
            </w:r>
          </w:p>
        </w:tc>
        <w:tc>
          <w:tcPr/>
          <w:p>
            <w:pPr>
              <w:pStyle w:val="Compact"/>
              <w:jc w:val="left"/>
            </w:pPr>
            <w:r>
              <w:t xml:space="preserve">4 semanas</w:t>
            </w:r>
          </w:p>
        </w:tc>
        <w:tc>
          <w:tcPr/>
          <w:p>
            <w:pPr>
              <w:pStyle w:val="Compact"/>
              <w:jc w:val="left"/>
            </w:pPr>
            <w:r>
              <w:t xml:space="preserve">cuestionario de neuropatía −11,5 frente a −2,9 puntos; escala principal de dolor igualmente mejorada en ambos grupos</w:t>
            </w:r>
          </w:p>
        </w:tc>
      </w:tr>
      <w:tr>
        <w:tc>
          <w:tcPr/>
          <w:p>
            <w:pPr>
              <w:pStyle w:val="Compact"/>
              <w:jc w:val="left"/>
            </w:pPr>
            <w:r>
              <w:t xml:space="preserve">Sarcoidosis, inyección subcutánea (Dahan 2013, PMID 24136731)</w:t>
            </w:r>
          </w:p>
        </w:tc>
        <w:tc>
          <w:tcPr/>
          <w:p>
            <w:pPr>
              <w:pStyle w:val="Compact"/>
              <w:jc w:val="left"/>
            </w:pPr>
            <w:r>
              <w:t xml:space="preserve">personas con pérdida de fibras nerviosas en la sarcoidosis, estudio cegado y controlado con placebo</w:t>
            </w:r>
          </w:p>
        </w:tc>
        <w:tc>
          <w:tcPr/>
          <w:p>
            <w:pPr>
              <w:pStyle w:val="Compact"/>
              <w:jc w:val="left"/>
            </w:pPr>
            <w:r>
              <w:t xml:space="preserve">28 días</w:t>
            </w:r>
          </w:p>
        </w:tc>
        <w:tc>
          <w:tcPr/>
          <w:p>
            <w:pPr>
              <w:pStyle w:val="Compact"/>
              <w:jc w:val="left"/>
            </w:pPr>
            <w:r>
              <w:t xml:space="preserve">mejoría de los síntomas, más fibras nerviosas en la córnea, mayor distancia recorrida</w:t>
            </w:r>
          </w:p>
        </w:tc>
      </w:tr>
      <w:tr>
        <w:tc>
          <w:tcPr/>
          <w:p>
            <w:pPr>
              <w:pStyle w:val="Compact"/>
              <w:jc w:val="left"/>
            </w:pPr>
            <w:r>
              <w:t xml:space="preserve">Sarcoidosis, fase 2b (Culver 2017, PMID 28475703; NCT02039687)</w:t>
            </w:r>
          </w:p>
        </w:tc>
        <w:tc>
          <w:tcPr/>
          <w:p>
            <w:pPr>
              <w:pStyle w:val="Compact"/>
              <w:jc w:val="left"/>
            </w:pPr>
            <w:r>
              <w:t xml:space="preserve">64 personas, ECA con tres dosis y placebo</w:t>
            </w:r>
          </w:p>
        </w:tc>
        <w:tc>
          <w:tcPr/>
          <w:p>
            <w:pPr>
              <w:pStyle w:val="Compact"/>
              <w:jc w:val="left"/>
            </w:pPr>
            <w:r>
              <w:t xml:space="preserve">28 días</w:t>
            </w:r>
          </w:p>
        </w:tc>
        <w:tc>
          <w:tcPr/>
          <w:p>
            <w:pPr>
              <w:pStyle w:val="Compact"/>
              <w:jc w:val="left"/>
            </w:pPr>
            <w:r>
              <w:t xml:space="preserve">superficie de fibras nerviosas corneales aumentada de forma significativa solo con la dosis intermedia; dolor mejorado en todos los grupos, incluido el placebo</w:t>
            </w:r>
          </w:p>
        </w:tc>
      </w:tr>
      <w:tr>
        <w:tc>
          <w:tcPr/>
          <w:p>
            <w:pPr>
              <w:pStyle w:val="Compact"/>
              <w:jc w:val="left"/>
            </w:pPr>
            <w:r>
              <w:t xml:space="preserve">Diabetes tipo 2 con neuropatía (Brines 2015, PMID 25387363)</w:t>
            </w:r>
          </w:p>
        </w:tc>
        <w:tc>
          <w:tcPr/>
          <w:p>
            <w:pPr>
              <w:pStyle w:val="Compact"/>
              <w:jc w:val="left"/>
            </w:pPr>
            <w:r>
              <w:t xml:space="preserve">personas con diabetes tipo 2 y dolor neuropático, fase 2, frente a placebo</w:t>
            </w:r>
          </w:p>
        </w:tc>
        <w:tc>
          <w:tcPr/>
          <w:p>
            <w:pPr>
              <w:pStyle w:val="Compact"/>
              <w:jc w:val="left"/>
            </w:pPr>
            <w:r>
              <w:t xml:space="preserve">28 días más 28 días</w:t>
            </w:r>
          </w:p>
        </w:tc>
        <w:tc>
          <w:tcPr/>
          <w:p>
            <w:pPr>
              <w:pStyle w:val="Compact"/>
              <w:jc w:val="left"/>
            </w:pPr>
            <w:r>
              <w:t xml:space="preserve">HbA1c y lípidos sanguíneos mejorados, cuestionario de neuropatía mejor</w:t>
            </w:r>
          </w:p>
        </w:tc>
      </w:tr>
      <w:tr>
        <w:tc>
          <w:tcPr/>
          <w:p>
            <w:pPr>
              <w:pStyle w:val="Compact"/>
              <w:jc w:val="left"/>
            </w:pPr>
            <w:r>
              <w:t xml:space="preserve">Edema macular diabético (Lois 2020, PMID 32674280)</w:t>
            </w:r>
          </w:p>
        </w:tc>
        <w:tc>
          <w:tcPr/>
          <w:p>
            <w:pPr>
              <w:pStyle w:val="Compact"/>
              <w:jc w:val="left"/>
            </w:pPr>
            <w:r>
              <w:t xml:space="preserve">9 personas, fase 2 sin grupo de control</w:t>
            </w:r>
          </w:p>
        </w:tc>
        <w:tc>
          <w:tcPr/>
          <w:p>
            <w:pPr>
              <w:pStyle w:val="Compact"/>
              <w:jc w:val="left"/>
            </w:pPr>
            <w:r>
              <w:t xml:space="preserve">12 semanas</w:t>
            </w:r>
          </w:p>
        </w:tc>
        <w:tc>
          <w:tcPr/>
          <w:p>
            <w:pPr>
              <w:pStyle w:val="Compact"/>
              <w:jc w:val="left"/>
            </w:pPr>
            <w:r>
              <w:t xml:space="preserve">sin mejora de la agudeza visual ni del grosor retiniano; sin anticuerpos contra el principio activo</w:t>
            </w:r>
          </w:p>
        </w:tc>
      </w:tr>
      <w:tr>
        <w:tc>
          <w:tcPr/>
          <w:p>
            <w:pPr>
              <w:pStyle w:val="Compact"/>
              <w:jc w:val="left"/>
            </w:pPr>
            <w:r>
              <w:t xml:space="preserve">Personas sanas, estado de ánimo (Cerit 2015, PMID 26431906)</w:t>
            </w:r>
          </w:p>
        </w:tc>
        <w:tc>
          <w:tcPr/>
          <w:p>
            <w:pPr>
              <w:pStyle w:val="Compact"/>
              <w:jc w:val="left"/>
            </w:pPr>
            <w:r>
              <w:t xml:space="preserve">36 personas sanas, ECA doble ciego, dosis única</w:t>
            </w:r>
          </w:p>
        </w:tc>
        <w:tc>
          <w:tcPr/>
          <w:p>
            <w:pPr>
              <w:pStyle w:val="Compact"/>
              <w:jc w:val="left"/>
            </w:pPr>
            <w:r>
              <w:t xml:space="preserve">1 semana</w:t>
            </w:r>
          </w:p>
        </w:tc>
        <w:tc>
          <w:tcPr/>
          <w:p>
            <w:pPr>
              <w:pStyle w:val="Compact"/>
              <w:jc w:val="left"/>
            </w:pPr>
            <w:r>
              <w:t xml:space="preserve">sin efecto sobre el estado de ánimo; los hallazgos no hablan claramente a favor de un efecto antidepresivo</w:t>
            </w:r>
          </w:p>
        </w:tc>
      </w:tr>
    </w:tbl>
    <w:bookmarkStart w:id="420" w:name="X04d33347e2ce44d871d08d07e91dd4b55d2bc88"/>
    <w:p>
      <w:pPr>
        <w:pStyle w:val="Heading4"/>
      </w:pPr>
      <w:r>
        <w:t xml:space="preserve">Sarcoidosis: el principal campo de aplicación</w:t>
      </w:r>
    </w:p>
    <w:p>
      <w:pPr>
        <w:pStyle w:val="FirstParagraph"/>
      </w:pPr>
      <w:r>
        <w:t xml:space="preserve">La sarcoidosis es una enfermedad inflamatoria en la que se forman pequeños nódulos en los pulmones, la piel, los ojos y otros órganos. Muchas personas afectadas sufren dolores urentes y parestesias por daño de las fibras nerviosas finas (neuropatía de fibras pequeñas). Apenas existen tratamientos eficaces.</w:t>
      </w:r>
    </w:p>
    <w:p>
      <w:pPr>
        <w:pStyle w:val="BodyText"/>
      </w:pPr>
      <w:r>
        <w:t xml:space="preserve">En el primer estudio piloto, con 22 personas, un cuestionario sobre los síntomas de neuropatía mejoró con ARA-290 claramente más que con placebo. Sin embargo, los valores del cuestionario principal de dolor y de la fatiga mejoraron por igual en ambos grupos, un indicio de un efecto placebo considerable (Heij 2012, PMID 23168581).</w:t>
      </w:r>
    </w:p>
    <w:p>
      <w:pPr>
        <w:pStyle w:val="BodyText"/>
      </w:pPr>
      <w:r>
        <w:t xml:space="preserve">El estudio más grande, un estudio de fase 2b con 64 personas, eligió como criterio principal la superficie de las fibras nerviosas finas de la córnea, que puede medirse con un microscopio especial. Solo con la dosis intermedia de las tres aumentó esta superficie de forma significativa frente a placebo; la dosis baja y la alta no mostraron ningún efecto significativo. El dolor mejoró en todos los grupos, también con placebo (Culver 2017, PMID 28475703). Las fibras nerviosas corneales son un marcador sustitutivo (criterio de valoración subrogado): no está demostrado que más fibras nerviosas en la córnea signifiquen también menos dolor de forma duradera.</w:t>
      </w:r>
    </w:p>
    <w:p>
      <w:pPr>
        <w:pStyle w:val="BodyText"/>
      </w:pPr>
      <w:r>
        <w:t xml:space="preserve">Una revisión de miembros del grupo de investigación de Leiden calificó las perspectivas de prometedoras (van Velzen 2014, PMID 24555851). Hay que tener en cuenta que una gran parte de los estudios procede de la empresa desarrolladora y de investigadores estrechamente vinculados a ella.</w:t>
      </w:r>
    </w:p>
    <w:bookmarkEnd w:id="420"/>
    <w:bookmarkStart w:id="421" w:name="diabetes"/>
    <w:p>
      <w:pPr>
        <w:pStyle w:val="Heading4"/>
      </w:pPr>
      <w:r>
        <w:t xml:space="preserve">Diabetes</w:t>
      </w:r>
    </w:p>
    <w:p>
      <w:pPr>
        <w:pStyle w:val="FirstParagraph"/>
      </w:pPr>
      <w:r>
        <w:t xml:space="preserve">En personas con diabetes tipo 2 y neuropatía dolorosa mejoraron con ARA-290, a lo largo de 28 días, la glucemia a largo plazo (HbA1c), los lípidos sanguíneos y los síntomas de neuropatía (Brines 2015, PMID 25387363). El resumen no indica el número de participantes; el estudio fue corto. Un estudio sueco registrado por separado sobre el efecto glucémico en la prediabetes, con 24 personas previstas, tiene un estado desconocido (NCT01933529). En nueve personas con edema macular diabético –una hinchazón del centro de la retina– no mejoraron ni la agudeza visual ni el grosor retiniano (Lois 2020, PMID 32674280).</w:t>
      </w:r>
    </w:p>
    <w:bookmarkEnd w:id="421"/>
    <w:bookmarkEnd w:id="422"/>
    <w:bookmarkStart w:id="423" w:name="estudios-en-animales-y-de-laboratorio-20"/>
    <w:p>
      <w:pPr>
        <w:pStyle w:val="Heading3"/>
      </w:pPr>
      <w:r>
        <w:t xml:space="preserve">Estudios en animales y de laboratorio</w:t>
      </w:r>
    </w:p>
    <w:p>
      <w:pPr>
        <w:pStyle w:val="FirstParagraph"/>
      </w:pPr>
      <w:r>
        <w:t xml:space="preserve">La investigación en animales sobre el ARA-290 es amplia. En ratas, ratones y cerdos se describieron efectos protectores en el dolor neuropático (Swartjes 2014, PMID 24529189; Pulman 2013, PMID 23262243), en el daño renal tras un trastorno de la irrigación en cerdos (van Rijt 2013, PMID 23302512), en la diabetes en ratas (Muller 2016, PMID 26736179) y en alteraciones similares al alzhéimer (Al-Onaizi 2022, PMID 34343617). En un estudio a largo plazo en ratas envejecidas a lo largo de 15 meses, el ARA-290 redujo los signos de inflamación en el corazón y atenuó el deterioro de la función cardíaca asociado a la edad (Winicki 2022, PMID 36741836); en este trabajo se apoya su comercialización como «péptido antienvejecimiento». Todos estos resultados proceden de experimentos con animales.</w:t>
      </w:r>
    </w:p>
    <w:bookmarkEnd w:id="423"/>
    <w:bookmarkStart w:id="426" w:name="riesgos-y-efectos-adversos-20"/>
    <w:p>
      <w:pPr>
        <w:pStyle w:val="Heading3"/>
      </w:pPr>
      <w:r>
        <w:t xml:space="preserve">Riesgos y efectos adversos</w:t>
      </w:r>
    </w:p>
    <w:bookmarkStart w:id="424" w:name="demostrado-4"/>
    <w:p>
      <w:pPr>
        <w:pStyle w:val="Heading4"/>
      </w:pPr>
      <w:r>
        <w:t xml:space="preserve">Demostrado</w:t>
      </w:r>
    </w:p>
    <w:p>
      <w:pPr>
        <w:pStyle w:val="FirstParagraph"/>
      </w:pPr>
      <w:r>
        <w:t xml:space="preserve">En ninguno de los estudios publicados se notificaron problemas de seguridad (Heij 2012, PMID 23168581; Brines 2015, PMID 25387363). En el estudio de edema macular, de doce semanas, no se produjeron efectos secundarios graves ni anticuerpos contra el ARA-290 (Lois 2020, PMID 32674280). Sin embargo, la base de datos es pequeña, con claramente menos de 200 personas tratadas en total y periodos de tratamiento de como máximo doce semanas.</w:t>
      </w:r>
    </w:p>
    <w:bookmarkEnd w:id="424"/>
    <w:bookmarkStart w:id="425" w:name="teórico-1"/>
    <w:p>
      <w:pPr>
        <w:pStyle w:val="Heading4"/>
      </w:pPr>
      <w:r>
        <w:t xml:space="preserve">Teórico</w:t>
      </w:r>
    </w:p>
    <w:p>
      <w:pPr>
        <w:numPr>
          <w:ilvl w:val="0"/>
          <w:numId w:val="1136"/>
        </w:numPr>
        <w:pStyle w:val="Compact"/>
      </w:pPr>
      <w:r>
        <w:rPr>
          <w:bCs/>
          <w:b/>
        </w:rPr>
        <w:t xml:space="preserve">Efectos similares a la EPO:</w:t>
      </w:r>
      <w:r>
        <w:t xml:space="preserve"> </w:t>
      </w:r>
      <w:r>
        <w:t xml:space="preserve">el ARA-290 se diseñó para que no estimule la hematopoyesis. No se ha estudiado en humanos si con un uso más prolongado o dosis más altas, como las que circulan en el mercado gris, aparecen aun así efectos similares a los de la EPO.</w:t>
      </w:r>
    </w:p>
    <w:p>
      <w:pPr>
        <w:numPr>
          <w:ilvl w:val="0"/>
          <w:numId w:val="1136"/>
        </w:numPr>
        <w:pStyle w:val="Compact"/>
      </w:pPr>
      <w:r>
        <w:rPr>
          <w:bCs/>
          <w:b/>
        </w:rPr>
        <w:t xml:space="preserve">Crecimiento tumoral:</w:t>
      </w:r>
      <w:r>
        <w:t xml:space="preserve"> </w:t>
      </w:r>
      <w:r>
        <w:t xml:space="preserve">se sospecha que la propia EPO favorece el crecimiento tumoral en algunos cánceres. Se desconoce si esto desempeña algún papel en el caso del ARA-290; faltan datos a largo plazo.</w:t>
      </w:r>
    </w:p>
    <w:p>
      <w:pPr>
        <w:numPr>
          <w:ilvl w:val="0"/>
          <w:numId w:val="1136"/>
        </w:numPr>
        <w:pStyle w:val="Compact"/>
      </w:pPr>
      <w:r>
        <w:rPr>
          <w:bCs/>
          <w:b/>
        </w:rPr>
        <w:t xml:space="preserve">Mercado gris:</w:t>
      </w:r>
      <w:r>
        <w:t xml:space="preserve"> </w:t>
      </w:r>
      <w:r>
        <w:t xml:space="preserve">los estudios se realizaron con calidad farmacéutica. La pureza y el contenido de los productos que se venden libremente son desconocidos.</w:t>
      </w:r>
    </w:p>
    <w:bookmarkEnd w:id="425"/>
    <w:bookmarkEnd w:id="426"/>
    <w:bookmarkStart w:id="427" w:name="situación-legal-20"/>
    <w:p>
      <w:pPr>
        <w:pStyle w:val="Heading3"/>
      </w:pPr>
      <w:r>
        <w:t xml:space="preserve">Situación legal</w:t>
      </w:r>
    </w:p>
    <w:p>
      <w:pPr>
        <w:pStyle w:val="FirstParagraph"/>
      </w:pPr>
      <w:r>
        <w:rPr>
          <w:iCs/>
          <w:i/>
        </w:rPr>
        <w:t xml:space="preserve">Situación en 2026, compruébelo en su versión actual.</w:t>
      </w:r>
    </w:p>
    <w:p>
      <w:pPr>
        <w:numPr>
          <w:ilvl w:val="0"/>
          <w:numId w:val="1137"/>
        </w:numPr>
        <w:pStyle w:val="Compact"/>
      </w:pPr>
      <w:r>
        <w:rPr>
          <w:bCs/>
          <w:b/>
        </w:rPr>
        <w:t xml:space="preserve">UE, Alemania, Austria:</w:t>
      </w:r>
      <w:r>
        <w:t xml:space="preserve"> </w:t>
      </w:r>
      <w:r>
        <w:t xml:space="preserve">no autorizado. No se permite su dispensación para uso en humanos.</w:t>
      </w:r>
    </w:p>
    <w:p>
      <w:pPr>
        <w:numPr>
          <w:ilvl w:val="0"/>
          <w:numId w:val="1137"/>
        </w:numPr>
        <w:pStyle w:val="Compact"/>
      </w:pPr>
      <w:r>
        <w:rPr>
          <w:bCs/>
          <w:b/>
        </w:rPr>
        <w:t xml:space="preserve">EE. UU.:</w:t>
      </w:r>
      <w:r>
        <w:t xml:space="preserve"> </w:t>
      </w:r>
      <w:r>
        <w:t xml:space="preserve">sin autorización de la FDA.</w:t>
      </w:r>
    </w:p>
    <w:p>
      <w:pPr>
        <w:numPr>
          <w:ilvl w:val="0"/>
          <w:numId w:val="1137"/>
        </w:numPr>
        <w:pStyle w:val="Compact"/>
      </w:pPr>
      <w:r>
        <w:rPr>
          <w:bCs/>
          <w:b/>
        </w:rPr>
        <w:t xml:space="preserve">WADA:</w:t>
      </w:r>
      <w:r>
        <w:t xml:space="preserve"> </w:t>
      </w:r>
      <w:r>
        <w:t xml:space="preserve">prohibido en competición y fuera de ella (S2, hormonas peptídicas y sustancias relacionadas; el ARA-290 se cita como ejemplo de agonista no hematopoyético del receptor de EPO).</w:t>
      </w:r>
    </w:p>
    <w:bookmarkEnd w:id="427"/>
    <w:bookmarkStart w:id="428" w:name="estudios-en-curso-y-perspectivas-20"/>
    <w:p>
      <w:pPr>
        <w:pStyle w:val="Heading3"/>
      </w:pPr>
      <w:r>
        <w:t xml:space="preserve">Estudios en curso y perspectivas</w:t>
      </w:r>
    </w:p>
    <w:p>
      <w:pPr>
        <w:pStyle w:val="FirstParagraph"/>
      </w:pPr>
      <w:r>
        <w:rPr>
          <w:bCs/>
          <w:b/>
        </w:rPr>
        <w:t xml:space="preserve">Confirmado:</w:t>
      </w:r>
      <w:r>
        <w:t xml:space="preserve"> </w:t>
      </w:r>
      <w:r>
        <w:t xml:space="preserve">en octubre de 2026 no hay ningún estudio en curso con ARA-290 o cibinetida registrado en ClinicalTrials.gov. El estudio más grande hasta la fecha (NCT02039687) concluyó en 2015; desde entonces no se ha iniciado ningún estudio de fase 3. El estudio sobre el edema macular finalizó con nueve personas (NCT06626971).</w:t>
      </w:r>
    </w:p>
    <w:p>
      <w:pPr>
        <w:pStyle w:val="BodyText"/>
      </w:pPr>
      <w:r>
        <w:rPr>
          <w:bCs/>
          <w:b/>
        </w:rPr>
        <w:t xml:space="preserve">Valoración del autor:</w:t>
      </w:r>
      <w:r>
        <w:t xml:space="preserve"> </w:t>
      </w:r>
      <w:r>
        <w:t xml:space="preserve">los resultados en la neuropatía de la sarcoidosis fueron lo suficientemente interesantes como para un estudio de fase 3, que sin embargo, más de diez años después del estudio de fase 2b, no se ha iniciado de forma visible. Sin un nuevo desarrollador o financiador, una autorización es improbable. Su comercialización en el mercado gris como producto antienvejecimiento se apoya en estudios en ratas y tiene poco que ver con las aplicaciones estudiadas en humanos.</w:t>
      </w:r>
    </w:p>
    <w:bookmarkEnd w:id="428"/>
    <w:bookmarkStart w:id="429" w:name="conclusión-20"/>
    <w:p>
      <w:pPr>
        <w:pStyle w:val="Heading3"/>
      </w:pPr>
      <w:r>
        <w:t xml:space="preserve">Conclusión</w:t>
      </w:r>
    </w:p>
    <w:p>
      <w:pPr>
        <w:pStyle w:val="FirstParagraph"/>
      </w:pPr>
      <w:r>
        <w:t xml:space="preserve">El ARA-290 es un péptido derivado de la eritropoyetina que debe proteger los tejidos sin estimular la hematopoyesis. En pequeños estudios aleatorizados sobre el daño nervioso causado por la sarcoidosis aumentaron las fibras nerviosas de la córnea, aunque solo con una de las tres dosis, y el dolor mejoró claramente también con placebo (Culver 2017, PMID 28475703). La tolerabilidad fue buena en los estudios cortos; faltan datos a largo plazo. Desde 2015 no hay nuevos estudios registrados; en el deporte, el ARA-290 está prohibido.</w:t>
      </w:r>
    </w:p>
    <w:bookmarkEnd w:id="429"/>
    <w:bookmarkEnd w:id="430"/>
    <w:bookmarkStart w:id="444" w:name="larazotida"/>
    <w:p>
      <w:pPr>
        <w:pStyle w:val="Heading2"/>
      </w:pPr>
      <w:r>
        <w:t xml:space="preserve">Larazotida</w:t>
      </w:r>
    </w:p>
    <w:p>
      <w:pPr>
        <w:pStyle w:val="FirstParagraph"/>
      </w:pPr>
      <w:r>
        <w:t xml:space="preserve">La larazotida es el único péptido de este grupo que llegó hasta un estudio de registro de fase 3 sin haber sido autorizado antes en ningún lugar. Debía convertirse en el primer medicamento contra la enfermedad celíaca, una enfermedad en la que hasta hoy solo ayuda una dieta sin gluten de por vida. El concepto en que se basa, el sellado de una pared intestinal «permeable», hace que la larazotida resulte interesante también para el entorno del «leaky gut» (intestino permeable). La historia de este principio activo muestra lo difícil que es convertir una idea plausible en un medicamento eficaz.</w:t>
      </w:r>
    </w:p>
    <w:bookmarkStart w:id="431" w:name="ficha-21"/>
    <w:p>
      <w:pPr>
        <w:pStyle w:val="Heading3"/>
      </w:pPr>
      <w:r>
        <w:t xml:space="preserve">Ficha</w:t>
      </w:r>
    </w:p>
    <w:p>
      <w:pPr>
        <w:numPr>
          <w:ilvl w:val="0"/>
          <w:numId w:val="1138"/>
        </w:numPr>
        <w:pStyle w:val="Compact"/>
      </w:pPr>
      <w:r>
        <w:rPr>
          <w:bCs/>
          <w:b/>
        </w:rPr>
        <w:t xml:space="preserve">Tipo y estructura:</w:t>
      </w:r>
      <w:r>
        <w:t xml:space="preserve"> </w:t>
      </w:r>
      <w:r>
        <w:t xml:space="preserve">péptido sintético de 8 aminoácidos (Gopalakrishnan 2012, PMID 22401908), como sal de acetato (acetato de larazotida); código de desarrollo AT-1001.</w:t>
      </w:r>
    </w:p>
    <w:p>
      <w:pPr>
        <w:numPr>
          <w:ilvl w:val="0"/>
          <w:numId w:val="1138"/>
        </w:numPr>
        <w:pStyle w:val="Compact"/>
      </w:pPr>
      <w:r>
        <w:rPr>
          <w:bCs/>
          <w:b/>
        </w:rPr>
        <w:t xml:space="preserve">Origen:</w:t>
      </w:r>
      <w:r>
        <w:t xml:space="preserve"> </w:t>
      </w:r>
      <w:r>
        <w:t xml:space="preserve">derivada de la investigación sobre la toxina zonula occludens de la bacteria del cólera, que abre las uniones entre las células intestinales; la larazotida actuaría a la inversa.</w:t>
      </w:r>
    </w:p>
    <w:p>
      <w:pPr>
        <w:numPr>
          <w:ilvl w:val="0"/>
          <w:numId w:val="1138"/>
        </w:numPr>
        <w:pStyle w:val="Compact"/>
      </w:pPr>
      <w:r>
        <w:rPr>
          <w:bCs/>
          <w:b/>
        </w:rPr>
        <w:t xml:space="preserve">Mecanismo de acción:</w:t>
      </w:r>
      <w:r>
        <w:t xml:space="preserve"> </w:t>
      </w:r>
      <w:r>
        <w:t xml:space="preserve">regulador de las «tight junctions» (uniones estrechas entre las células intestinales); se considera antagonista del mensajero endógeno zonulina. Actúa localmente en el intestino y apenas se absorbe a la sangre.</w:t>
      </w:r>
    </w:p>
    <w:p>
      <w:pPr>
        <w:numPr>
          <w:ilvl w:val="0"/>
          <w:numId w:val="1138"/>
        </w:numPr>
        <w:pStyle w:val="Compact"/>
      </w:pPr>
      <w:r>
        <w:rPr>
          <w:bCs/>
          <w:b/>
        </w:rPr>
        <w:t xml:space="preserve">Autorización UE/EE. UU.:</w:t>
      </w:r>
      <w:r>
        <w:t xml:space="preserve"> </w:t>
      </w:r>
      <w:r>
        <w:t xml:space="preserve">no.</w:t>
      </w:r>
    </w:p>
    <w:p>
      <w:pPr>
        <w:numPr>
          <w:ilvl w:val="0"/>
          <w:numId w:val="1138"/>
        </w:numPr>
        <w:pStyle w:val="Compact"/>
      </w:pPr>
      <w:r>
        <w:rPr>
          <w:bCs/>
          <w:b/>
        </w:rPr>
        <w:t xml:space="preserve">WADA:</w:t>
      </w:r>
      <w:r>
        <w:t xml:space="preserve"> </w:t>
      </w:r>
      <w:r>
        <w:t xml:space="preserve">no figura; sin efecto reconocible de mejora del rendimiento (situación en 2026, compruébelo en su versión actual).</w:t>
      </w:r>
    </w:p>
    <w:p>
      <w:pPr>
        <w:numPr>
          <w:ilvl w:val="0"/>
          <w:numId w:val="1138"/>
        </w:numPr>
        <w:pStyle w:val="Compact"/>
      </w:pPr>
      <w:r>
        <w:rPr>
          <w:bCs/>
          <w:b/>
        </w:rPr>
        <w:t xml:space="preserve">Nivel de evidencia: B</w:t>
      </w:r>
      <w:r>
        <w:t xml:space="preserve"> </w:t>
      </w:r>
      <w:r>
        <w:t xml:space="preserve">– varios estudios aleatorizados de fase 2 con resultados dispares; el estudio de fase 3 se interrumpió, sin resultados publicados.</w:t>
      </w:r>
    </w:p>
    <w:bookmarkEnd w:id="431"/>
    <w:bookmarkStart w:id="432" w:name="cómo-se-supone-que-actúa-21"/>
    <w:p>
      <w:pPr>
        <w:pStyle w:val="Heading3"/>
      </w:pPr>
      <w:r>
        <w:t xml:space="preserve">Cómo se supone que actúa</w:t>
      </w:r>
    </w:p>
    <w:p>
      <w:pPr>
        <w:pStyle w:val="FirstParagraph"/>
      </w:pPr>
      <w:r>
        <w:t xml:space="preserve">En la enfermedad celíaca, el sistema inmunitario de las personas con predisposición genética reacciona al gluten, una proteína presente en el trigo, el centeno y la cebada. Fragmentos del gluten atraviesan la mucosa intestinal y desencadenan allí una inflamación que destruye las vellosidades intestinales. Parte de estos fragmentos pasa probablemente por los espacios entre las células intestinales. Estos espacios están cerrados por las tight junctions, una especie de cremallera molecular.</w:t>
      </w:r>
    </w:p>
    <w:p>
      <w:pPr>
        <w:pStyle w:val="BodyText"/>
      </w:pPr>
      <w:r>
        <w:t xml:space="preserve">El mensajero zonulina puede abrir esta cremallera; la gliadina, un componente del gluten, libera zonulina. La larazotida bloquearía esta vía. En cultivos de células intestinales humanas, la larazotida impidió la redistribución de las proteínas de cierre y redujo el paso de un fragmento de gliadina a través de la capa celular; en ratones modificados genéticamente con sensibilidad al gluten se conservó la estructura de las uniones estrechas (Gopalakrishnan 2012, PMID 22401908). Trabajos más recientes suponen además una inhibición de la enzima cinasa de la cadena ligera de la miosina, que pone en tensión las uniones celulares (Slifer 2021, PMID 33881350).</w:t>
      </w:r>
    </w:p>
    <w:p>
      <w:pPr>
        <w:pStyle w:val="BodyText"/>
      </w:pPr>
      <w:r>
        <w:t xml:space="preserve">La larazotida nunca se concibió como sustituto de la dieta sin gluten. El objetivo era un tratamiento complementario para las personas afectadas que, a pesar de la dieta, tienen síntomas, por ejemplo por trazas inadvertidas de gluten.</w:t>
      </w:r>
    </w:p>
    <w:bookmarkEnd w:id="432"/>
    <w:bookmarkStart w:id="436" w:name="estudios-en-humanos-21"/>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encontró</w:t>
      </w:r>
      <w:r>
        <w:t xml:space="preserve"> </w:t>
      </w:r>
      <w:r>
        <w:rPr>
          <w:bCs/>
          <w:b/>
        </w:rPr>
        <w:t xml:space="preserve">4</w:t>
      </w:r>
      <w:r>
        <w:t xml:space="preserve"> </w:t>
      </w:r>
      <w:r>
        <w:t xml:space="preserve">estudios en humanos en PubMed y</w:t>
      </w:r>
      <w:r>
        <w:t xml:space="preserve"> </w:t>
      </w:r>
      <w:r>
        <w:rPr>
          <w:bCs/>
          <w:b/>
        </w:rPr>
        <w:t xml:space="preserve">29</w:t>
      </w:r>
      <w:r>
        <w:t xml:space="preserve"> </w:t>
      </w:r>
      <w:r>
        <w:t xml:space="preserve">entradas en ClinicalTrials.gov. Sin embargo, de estas 29 entradas, 19 se refieren a un medicamento completamente distinto: el migalastat contra la enfermedad de Fabry llevaba antes el mismo código de desarrollo AT1001. A la larazotida corresponden realmente</w:t>
      </w:r>
      <w:r>
        <w:t xml:space="preserve"> </w:t>
      </w:r>
      <w:r>
        <w:rPr>
          <w:bCs/>
          <w:b/>
        </w:rPr>
        <w:t xml:space="preserve">10</w:t>
      </w:r>
      <w:r>
        <w:t xml:space="preserve"> </w:t>
      </w:r>
      <w:r>
        <w:t xml:space="preserve">entradas de registro. Un metaanálisis de 2022 resumió cuatro estudios aleatorizados con 626 personas (Hoilat 2022, PMID 34339872).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Provocación con gluten (Leffler 2012, PMID 22825365)</w:t>
            </w:r>
          </w:p>
        </w:tc>
        <w:tc>
          <w:tcPr/>
          <w:p>
            <w:pPr>
              <w:pStyle w:val="Compact"/>
              <w:jc w:val="left"/>
            </w:pPr>
            <w:r>
              <w:t xml:space="preserve">86 personas con enfermedad celíaca, ECA con 4 dosis y placebo</w:t>
            </w:r>
          </w:p>
        </w:tc>
        <w:tc>
          <w:tcPr/>
          <w:p>
            <w:pPr>
              <w:pStyle w:val="Compact"/>
              <w:jc w:val="left"/>
            </w:pPr>
            <w:r>
              <w:t xml:space="preserve">14 días</w:t>
            </w:r>
          </w:p>
        </w:tc>
        <w:tc>
          <w:tcPr/>
          <w:p>
            <w:pPr>
              <w:pStyle w:val="Compact"/>
              <w:jc w:val="left"/>
            </w:pPr>
            <w:r>
              <w:t xml:space="preserve">prueba de permeabilidad sin diferencia significativa; menos síntomas con algunas dosis bajas</w:t>
            </w:r>
          </w:p>
        </w:tc>
      </w:tr>
      <w:tr>
        <w:tc>
          <w:tcPr/>
          <w:p>
            <w:pPr>
              <w:pStyle w:val="Compact"/>
              <w:jc w:val="left"/>
            </w:pPr>
            <w:r>
              <w:t xml:space="preserve">Provocación con gluten (Kelly 2013, PMID 23163616)</w:t>
            </w:r>
          </w:p>
        </w:tc>
        <w:tc>
          <w:tcPr/>
          <w:p>
            <w:pPr>
              <w:pStyle w:val="Compact"/>
              <w:jc w:val="left"/>
            </w:pPr>
            <w:r>
              <w:t xml:space="preserve">184 personas, ECA con 3 dosis y placebo, 2,7 g de gluten al día</w:t>
            </w:r>
          </w:p>
        </w:tc>
        <w:tc>
          <w:tcPr/>
          <w:p>
            <w:pPr>
              <w:pStyle w:val="Compact"/>
              <w:jc w:val="left"/>
            </w:pPr>
            <w:r>
              <w:t xml:space="preserve">6 semanas</w:t>
            </w:r>
          </w:p>
        </w:tc>
        <w:tc>
          <w:tcPr/>
          <w:p>
            <w:pPr>
              <w:pStyle w:val="Compact"/>
              <w:jc w:val="left"/>
            </w:pPr>
            <w:r>
              <w:t xml:space="preserve">permeabilidad sin cambios; menos síntomas solo con 1 mg; menor aumento de los anticuerpos celíacos</w:t>
            </w:r>
          </w:p>
        </w:tc>
      </w:tr>
      <w:tr>
        <w:tc>
          <w:tcPr/>
          <w:p>
            <w:pPr>
              <w:pStyle w:val="Compact"/>
              <w:jc w:val="left"/>
            </w:pPr>
            <w:r>
              <w:t xml:space="preserve">Síntomas pese a la dieta (Leffler 2015, PMID 25683116; NCT01396213)</w:t>
            </w:r>
          </w:p>
        </w:tc>
        <w:tc>
          <w:tcPr/>
          <w:p>
            <w:pPr>
              <w:pStyle w:val="Compact"/>
              <w:jc w:val="left"/>
            </w:pPr>
            <w:r>
              <w:t xml:space="preserve">342 personas, ECA con 3 dosis y placebo</w:t>
            </w:r>
          </w:p>
        </w:tc>
        <w:tc>
          <w:tcPr/>
          <w:p>
            <w:pPr>
              <w:pStyle w:val="Compact"/>
              <w:jc w:val="left"/>
            </w:pPr>
            <w:r>
              <w:t xml:space="preserve">12 semanas</w:t>
            </w:r>
          </w:p>
        </w:tc>
        <w:tc>
          <w:tcPr/>
          <w:p>
            <w:pPr>
              <w:pStyle w:val="Compact"/>
              <w:jc w:val="left"/>
            </w:pPr>
            <w:r>
              <w:t xml:space="preserve">objetivo principal alcanzado solo con la dosis más baja (0,5 mg); 1 mg y 2 mg no mejores que placebo</w:t>
            </w:r>
          </w:p>
        </w:tc>
      </w:tr>
      <w:tr>
        <w:tc>
          <w:tcPr/>
          <w:p>
            <w:pPr>
              <w:pStyle w:val="Compact"/>
              <w:jc w:val="left"/>
            </w:pPr>
            <w:r>
              <w:t xml:space="preserve">CeDLara, fase 3 (NCT03569007)</w:t>
            </w:r>
          </w:p>
        </w:tc>
        <w:tc>
          <w:tcPr/>
          <w:p>
            <w:pPr>
              <w:pStyle w:val="Compact"/>
              <w:jc w:val="left"/>
            </w:pPr>
            <w:r>
              <w:t xml:space="preserve">307 personas, aleatorizado, cegado</w:t>
            </w:r>
          </w:p>
        </w:tc>
        <w:tc>
          <w:tcPr/>
          <w:p>
            <w:pPr>
              <w:pStyle w:val="Compact"/>
              <w:jc w:val="left"/>
            </w:pPr>
            <w:r>
              <w:t xml:space="preserve">12 semanas previstas</w:t>
            </w:r>
          </w:p>
        </w:tc>
        <w:tc>
          <w:tcPr/>
          <w:p>
            <w:pPr>
              <w:pStyle w:val="Compact"/>
              <w:jc w:val="left"/>
            </w:pPr>
            <w:r>
              <w:t xml:space="preserve">interrumpido por el promotor en 2022; sin resultados publicados</w:t>
            </w:r>
          </w:p>
        </w:tc>
      </w:tr>
      <w:tr>
        <w:tc>
          <w:tcPr/>
          <w:p>
            <w:pPr>
              <w:pStyle w:val="Compact"/>
              <w:jc w:val="left"/>
            </w:pPr>
            <w:r>
              <w:t xml:space="preserve">MIS-C en niños (Yonker 2025, PMID 40737433)</w:t>
            </w:r>
          </w:p>
        </w:tc>
        <w:tc>
          <w:tcPr/>
          <w:p>
            <w:pPr>
              <w:pStyle w:val="Compact"/>
              <w:jc w:val="left"/>
            </w:pPr>
            <w:r>
              <w:t xml:space="preserve">12 niños con síndrome inflamatorio tras la COVID-19, fase 2a, ECA</w:t>
            </w:r>
          </w:p>
        </w:tc>
        <w:tc>
          <w:tcPr/>
          <w:p>
            <w:pPr>
              <w:pStyle w:val="Compact"/>
              <w:jc w:val="left"/>
            </w:pPr>
            <w:r>
              <w:t xml:space="preserve">3 semanas</w:t>
            </w:r>
          </w:p>
        </w:tc>
        <w:tc>
          <w:tcPr/>
          <w:p>
            <w:pPr>
              <w:pStyle w:val="Compact"/>
              <w:jc w:val="left"/>
            </w:pPr>
            <w:r>
              <w:t xml:space="preserve">remisión más rápida de las molestias gastrointestinales; sin efectos secundarios atribuibles a la larazotida</w:t>
            </w:r>
          </w:p>
        </w:tc>
      </w:tr>
    </w:tbl>
    <w:bookmarkStart w:id="433" w:name="enfermedad-celíaca-fase-2"/>
    <w:p>
      <w:pPr>
        <w:pStyle w:val="Heading4"/>
      </w:pPr>
      <w:r>
        <w:t xml:space="preserve">Enfermedad celíaca: fase 2</w:t>
      </w:r>
    </w:p>
    <w:p>
      <w:pPr>
        <w:pStyle w:val="FirstParagraph"/>
      </w:pPr>
      <w:r>
        <w:t xml:space="preserve">En los dos estudios con provocación controlada con gluten, la larazotida debía impedir el aumento de la permeabilidad intestinal. Esta se midió con una prueba de azúcares en orina (cociente lactulosa-manitol). En la práctica, esta prueba resultó tan variable que no pudo demostrarse ningún efecto (Leffler 2012, PMID 22825365; Kelly 2013, PMID 23163616). En los síntomas apareció un patrón inusual: las dosis bajas actuaban en parte mejor que las altas. En el estudio con 184 personas, solo la dosis de 1 mg limitó de forma significativa los síntomas desencadenados por el gluten; al mismo tiempo, los anticuerpos celíacos aumentaron claramente menos con todas las dosis de larazotida que con placebo (Kelly 2013, PMID 23163616).</w:t>
      </w:r>
    </w:p>
    <w:p>
      <w:pPr>
        <w:pStyle w:val="BodyText"/>
      </w:pPr>
      <w:r>
        <w:t xml:space="preserve">El mayor estudio de fase 2, con 342 personas que tenían síntomas a pesar de la dieta sin gluten, solo alcanzó su objetivo principal con la dosis más baja, de 0,5 mg. Con esta dosis hubo un 26 por ciento menos de días con síntomas celíacos. Las dosis más altas no fueron mejores que el placebo en ningún criterio de valoración; los propios autores califican los resultados de «dispares» (Leffler 2015, PMID 25683116). Un medicamento en el que solo actúa la dosis más baja es farmacológicamente inusual y deja dudas sobre si se trata de un efecto real o de una casualidad.</w:t>
      </w:r>
    </w:p>
    <w:p>
      <w:pPr>
        <w:pStyle w:val="BodyText"/>
      </w:pPr>
      <w:r>
        <w:t xml:space="preserve">El metaanálisis no encontró ningún efecto sobre la permeabilidad intestinal y sí una mejoría de los síntomas solo con provocación con gluten, pero no en personas con dieta sin gluten, es decir, precisamente no en el grupo para el que estaba pensada la larazotida (Hoilat 2022, PMID 34339872).</w:t>
      </w:r>
    </w:p>
    <w:bookmarkEnd w:id="433"/>
    <w:bookmarkStart w:id="434" w:name="Xb7a49002710f9fc474ea0bcae44c1f0e5ee5dad"/>
    <w:p>
      <w:pPr>
        <w:pStyle w:val="Heading4"/>
      </w:pPr>
      <w:r>
        <w:t xml:space="preserve">Enfermedad celíaca: el estudio de fase 3 CeDLara</w:t>
      </w:r>
    </w:p>
    <w:p>
      <w:pPr>
        <w:pStyle w:val="FirstParagraph"/>
      </w:pPr>
      <w:r>
        <w:t xml:space="preserve">Sobre la base de los resultados con 0,5 mg comenzó en 2019 el estudio de fase 3 CeDLara, con larazotida en microesferas gastrorresistentes (NCT03569007). Según el registro se incluyeron 307 personas; el estudio fue «finalizado por el promotor» en julio de 2022. Según el conocimiento del autor, el fabricante de entonces, 9 Meters Biopharma, justificó la interrupción afirmando que un análisis intermedio había mostrado que se habrían necesitado claramente más participantes para demostrar una diferencia frente a placebo. No existe en PubMed ninguna publicación científica de los resultados. Las revisiones constatan que hasta hoy ningún medicamento para la enfermedad celíaca ha concluido con éxito un estudio de fase 3 (D’heedene 2024, PMID 38648685) y que ningún tratamiento ha demostrado ser una alternativa eficaz a la dieta sin gluten (Girbal-González 2025, PMID 41010485).</w:t>
      </w:r>
    </w:p>
    <w:bookmarkEnd w:id="434"/>
    <w:bookmarkStart w:id="435" w:name="Xc9a8cf52e18fcc0bf242a95a849e3f32538c065"/>
    <w:p>
      <w:pPr>
        <w:pStyle w:val="Heading4"/>
      </w:pPr>
      <w:r>
        <w:t xml:space="preserve">Nueva aplicación: síndrome inflamatorio tras la COVID-19</w:t>
      </w:r>
    </w:p>
    <w:p>
      <w:pPr>
        <w:pStyle w:val="FirstParagraph"/>
      </w:pPr>
      <w:r>
        <w:t xml:space="preserve">Un grupo de investigación supone que en el síndrome inflamatorio multisistémico en niños (MIS-C) tras la COVID-19 llegan componentes del virus desde el intestino a la sangre. En una primera serie de casos con cuatro niños, la proteína vírica desapareció de la sangre con larazotida y las molestias gastrointestinales remitieron más rápidamente que en 22 niños de comparación (Yonker 2022, PMID 35211683). Un estudio aleatorizado de fase 2a con solo 12 niños confirmó mejorías más rápidas de los síntomas; no se observaron efectos secundarios atribuibles a la larazotida (Yonker 2025, PMID 40737433). El estudio se interrumpió por la disminución del número de casos (NCT05022303). Según el registro, un estudio sobre la COVID persistente con 107 niños y adultos está concluido desde junio de 2026 (NCT05747534); en octubre de 2026 no se habían publicado los resultados.</w:t>
      </w:r>
    </w:p>
    <w:bookmarkEnd w:id="435"/>
    <w:bookmarkEnd w:id="436"/>
    <w:bookmarkStart w:id="437" w:name="estudios-en-animales-y-de-laboratorio-21"/>
    <w:p>
      <w:pPr>
        <w:pStyle w:val="Heading3"/>
      </w:pPr>
      <w:r>
        <w:t xml:space="preserve">Estudios en animales y de laboratorio</w:t>
      </w:r>
    </w:p>
    <w:p>
      <w:pPr>
        <w:pStyle w:val="FirstParagraph"/>
      </w:pPr>
      <w:r>
        <w:t xml:space="preserve">Además de en la enfermedad celíaca, la larazotida se ha evaluado en modelos animales de otras enfermedades con alteración de la barrera intestinal. En ratones propensos a la inflamación articular, la larazotida redujo la aparición de artritis (Tajik 2020, PMID 32332732). En cerdos favoreció la recuperación del tejido del intestino delgado tras un trastorno de la irrigación (Slifer 2021, PMID 33881350). En ratas se describieron efectos en la pancreatitis aguda y la insuficiencia hepática aguda (Karahan 2024, PMID 38441784; Caliskan 2021, PMID 34791921). Son experimentos con animales; de ellos no pueden deducirse conclusiones sobre el reumatismo, el páncreas o el hígado en humanos.</w:t>
      </w:r>
    </w:p>
    <w:bookmarkEnd w:id="437"/>
    <w:bookmarkStart w:id="440" w:name="riesgos-y-efectos-adversos-21"/>
    <w:p>
      <w:pPr>
        <w:pStyle w:val="Heading3"/>
      </w:pPr>
      <w:r>
        <w:t xml:space="preserve">Riesgos y efectos adversos</w:t>
      </w:r>
    </w:p>
    <w:bookmarkStart w:id="438" w:name="demostrado-5"/>
    <w:p>
      <w:pPr>
        <w:pStyle w:val="Heading4"/>
      </w:pPr>
      <w:r>
        <w:t xml:space="preserve">Demostrado</w:t>
      </w:r>
    </w:p>
    <w:p>
      <w:pPr>
        <w:pStyle w:val="FirstParagraph"/>
      </w:pPr>
      <w:r>
        <w:t xml:space="preserve">La larazotida fue bien tolerada en todos los estudios. En el estudio con 86 personas no se produjeron efectos secundarios graves; los más frecuentes fueron la cefalea y las infecciones urinarias (Leffler 2012, PMID 22825365). En el mayor estudio de fase 2, la seguridad fue comparable a la del placebo (Leffler 2015, PMID 25683116). El metaanálisis no encontró en conjunto ninguna acumulación de efectos secundarios frente a placebo (Hoilat 2022, PMID 34339872). Como la larazotida apenas llega a la sangre, un perfil de seguridad favorable es plausible.</w:t>
      </w:r>
    </w:p>
    <w:bookmarkEnd w:id="438"/>
    <w:bookmarkStart w:id="439" w:name="a-tener-en-cuenta-1"/>
    <w:p>
      <w:pPr>
        <w:pStyle w:val="Heading4"/>
      </w:pPr>
      <w:r>
        <w:t xml:space="preserve">A tener en cuenta</w:t>
      </w:r>
    </w:p>
    <w:p>
      <w:pPr>
        <w:numPr>
          <w:ilvl w:val="0"/>
          <w:numId w:val="1139"/>
        </w:numPr>
        <w:pStyle w:val="Compact"/>
      </w:pPr>
      <w:r>
        <w:rPr>
          <w:bCs/>
          <w:b/>
        </w:rPr>
        <w:t xml:space="preserve">No es una alternativa a la dieta:</w:t>
      </w:r>
      <w:r>
        <w:t xml:space="preserve"> </w:t>
      </w:r>
      <w:r>
        <w:t xml:space="preserve">incluso en los estudios positivos, la larazotida no protegió del daño causado por cantidades mayores de gluten. Quien relaja la dieta sin gluten por un producto así se arriesga a sufrir daños intestinales.</w:t>
      </w:r>
    </w:p>
    <w:p>
      <w:pPr>
        <w:numPr>
          <w:ilvl w:val="0"/>
          <w:numId w:val="1139"/>
        </w:numPr>
        <w:pStyle w:val="Compact"/>
      </w:pPr>
      <w:r>
        <w:rPr>
          <w:bCs/>
          <w:b/>
        </w:rPr>
        <w:t xml:space="preserve">Mercado gris:</w:t>
      </w:r>
      <w:r>
        <w:t xml:space="preserve"> </w:t>
      </w:r>
      <w:r>
        <w:t xml:space="preserve">la larazotida se ofrece ocasionalmente como «péptido para el leaky gut». Los estudios utilizaron una forma farmacéutica gastrorresistente especial; se desconoce si los productos que se venden libremente llevan siquiera el principio activo al lugar de acción. Para el concepto de «leaky gut» sin enfermedad celíaca no hay estudios con larazotida.</w:t>
      </w:r>
    </w:p>
    <w:bookmarkEnd w:id="439"/>
    <w:bookmarkEnd w:id="440"/>
    <w:bookmarkStart w:id="441" w:name="situación-legal-21"/>
    <w:p>
      <w:pPr>
        <w:pStyle w:val="Heading3"/>
      </w:pPr>
      <w:r>
        <w:t xml:space="preserve">Situación legal</w:t>
      </w:r>
    </w:p>
    <w:p>
      <w:pPr>
        <w:pStyle w:val="FirstParagraph"/>
      </w:pPr>
      <w:r>
        <w:rPr>
          <w:iCs/>
          <w:i/>
        </w:rPr>
        <w:t xml:space="preserve">Situación en 2026, compruébelo en su versión actual.</w:t>
      </w:r>
    </w:p>
    <w:p>
      <w:pPr>
        <w:numPr>
          <w:ilvl w:val="0"/>
          <w:numId w:val="1140"/>
        </w:numPr>
        <w:pStyle w:val="Compact"/>
      </w:pPr>
      <w:r>
        <w:rPr>
          <w:bCs/>
          <w:b/>
        </w:rPr>
        <w:t xml:space="preserve">UE, Alemania, Austria:</w:t>
      </w:r>
      <w:r>
        <w:t xml:space="preserve"> </w:t>
      </w:r>
      <w:r>
        <w:t xml:space="preserve">no autorizada.</w:t>
      </w:r>
    </w:p>
    <w:p>
      <w:pPr>
        <w:numPr>
          <w:ilvl w:val="0"/>
          <w:numId w:val="1140"/>
        </w:numPr>
        <w:pStyle w:val="Compact"/>
      </w:pPr>
      <w:r>
        <w:rPr>
          <w:bCs/>
          <w:b/>
        </w:rPr>
        <w:t xml:space="preserve">EE. UU.:</w:t>
      </w:r>
      <w:r>
        <w:t xml:space="preserve"> </w:t>
      </w:r>
      <w:r>
        <w:t xml:space="preserve">no autorizada. Según el conocimiento del autor, el desarrollador había obtenido de la FDA una revisión acelerada («Fast Track») para la enfermedad celíaca; tras la interrupción del estudio de fase 3 no se presentó ninguna solicitud de autorización.</w:t>
      </w:r>
    </w:p>
    <w:p>
      <w:pPr>
        <w:numPr>
          <w:ilvl w:val="0"/>
          <w:numId w:val="1140"/>
        </w:numPr>
        <w:pStyle w:val="Compact"/>
      </w:pPr>
      <w:r>
        <w:rPr>
          <w:bCs/>
          <w:b/>
        </w:rPr>
        <w:t xml:space="preserve">WADA:</w:t>
      </w:r>
      <w:r>
        <w:t xml:space="preserve"> </w:t>
      </w:r>
      <w:r>
        <w:t xml:space="preserve">no figura.</w:t>
      </w:r>
    </w:p>
    <w:bookmarkEnd w:id="441"/>
    <w:bookmarkStart w:id="442" w:name="estudios-en-curso-y-perspectivas-21"/>
    <w:p>
      <w:pPr>
        <w:pStyle w:val="Heading3"/>
      </w:pPr>
      <w:r>
        <w:t xml:space="preserve">Estudios en curso y perspectivas</w:t>
      </w:r>
    </w:p>
    <w:p>
      <w:pPr>
        <w:pStyle w:val="FirstParagraph"/>
      </w:pPr>
      <w:r>
        <w:rPr>
          <w:bCs/>
          <w:b/>
        </w:rPr>
        <w:t xml:space="preserve">Confirmado:</w:t>
      </w:r>
      <w:r>
        <w:t xml:space="preserve"> </w:t>
      </w:r>
      <w:r>
        <w:t xml:space="preserve">en octubre de 2026 no hay ningún estudio en curso con larazotida registrado en ClinicalTrials.gov. El estudio sobre la COVID persistente (NCT05747534) ha concluido; los resultados están pendientes.</w:t>
      </w:r>
    </w:p>
    <w:p>
      <w:pPr>
        <w:pStyle w:val="BodyText"/>
      </w:pPr>
      <w:r>
        <w:rPr>
          <w:bCs/>
          <w:b/>
        </w:rPr>
        <w:t xml:space="preserve">Valoración del autor:</w:t>
      </w:r>
      <w:r>
        <w:t xml:space="preserve"> </w:t>
      </w:r>
      <w:r>
        <w:t xml:space="preserve">tras la interrupción de CeDLara, la larazotida probablemente no tenga futuro en la enfermedad celíaca, salvo que un nuevo desarrollador adquiera los derechos. Otros enfoques –enzimas que degradan el gluten, inhibidores de la transglutaminasa 2 o procedimientos de tolerancia inmunitaria– se consideran actualmente más prometedores (D’heedene 2024, PMID 38648685). En el MIS-C y la COVID persistente, el desarrollo posterior depende de los resultados aún no publicados.</w:t>
      </w:r>
    </w:p>
    <w:bookmarkEnd w:id="442"/>
    <w:bookmarkStart w:id="443" w:name="conclusión-21"/>
    <w:p>
      <w:pPr>
        <w:pStyle w:val="Heading3"/>
      </w:pPr>
      <w:r>
        <w:t xml:space="preserve">Conclusión</w:t>
      </w:r>
    </w:p>
    <w:p>
      <w:pPr>
        <w:pStyle w:val="FirstParagraph"/>
      </w:pPr>
      <w:r>
        <w:t xml:space="preserve">La larazotida es un péptido de ocho aminoácidos que debe sellar las uniones entre las células intestinales y fue el primer principio activo contra la enfermedad celíaca que llegó a un estudio de fase 3. En los estudios de fase 2, los resultados fueron dispares: no pudo demostrarse un efecto sobre la permeabilidad intestinal, y en los síntomas pese a la dieta solo actuó la dosis más baja (Leffler 2015, PMID 25683116). El estudio de fase 3 CeDLara se interrumpió en 2022 y sus resultados no se publicaron. La larazotida es bien tolerada, pero ni está autorizada ni se ha demostrado eficaz, y no sustituye a la dieta sin gluten.</w:t>
      </w:r>
    </w:p>
    <w:bookmarkEnd w:id="443"/>
    <w:bookmarkEnd w:id="444"/>
    <w:bookmarkStart w:id="460" w:name="timalina-y-timógeno"/>
    <w:p>
      <w:pPr>
        <w:pStyle w:val="Heading2"/>
      </w:pPr>
      <w:r>
        <w:t xml:space="preserve">Timalina y timógeno</w:t>
      </w:r>
    </w:p>
    <w:p>
      <w:pPr>
        <w:pStyle w:val="FirstParagraph"/>
      </w:pPr>
      <w:r>
        <w:t xml:space="preserve">La timalina es un extracto del timo de terneros, y el timógeno, un dipéptido sintético derivado de ella. Ambos proceden de la medicina militar soviética de las décadas de 1970 y 1980 y siguen comercializándose hoy en Rusia como medicamentos. En los círculos occidentales de la longevidad se comercializan como «biorreguladores» que «rejuvenecerían» el sistema inmunitario y prolongarían la vida. La base de estas promesas es casi exclusivamente la investigación de una única escuela en torno al gerontólogo de San Petersburgo Vladimir Khavinson. Este capítulo sitúa esta investigación en contexto y explica por qué sus resultados deben leerse con gran cautela.</w:t>
      </w:r>
    </w:p>
    <w:bookmarkStart w:id="445" w:name="ficha-22"/>
    <w:p>
      <w:pPr>
        <w:pStyle w:val="Heading3"/>
      </w:pPr>
      <w:r>
        <w:t xml:space="preserve">Ficha</w:t>
      </w:r>
    </w:p>
    <w:p>
      <w:pPr>
        <w:numPr>
          <w:ilvl w:val="0"/>
          <w:numId w:val="1141"/>
        </w:numPr>
        <w:pStyle w:val="Compact"/>
      </w:pPr>
      <w:r>
        <w:rPr>
          <w:bCs/>
          <w:b/>
        </w:rPr>
        <w:t xml:space="preserve">Timalina:</w:t>
      </w:r>
      <w:r>
        <w:t xml:space="preserve"> </w:t>
      </w:r>
      <w:r>
        <w:t xml:space="preserve">mezcla de péptidos obtenida por extracción ácida del timo de terneros (Morozov 1997, PMID 9637345); no es una sustancia definida de forma uniforme. Como componentes activos más importantes se citan los dipéptidos Lys-Glu (KE) y Glu-Trp (EW) (Linkova 2023, PMID 37686182).</w:t>
      </w:r>
    </w:p>
    <w:p>
      <w:pPr>
        <w:numPr>
          <w:ilvl w:val="0"/>
          <w:numId w:val="1141"/>
        </w:numPr>
        <w:pStyle w:val="Compact"/>
      </w:pPr>
      <w:r>
        <w:rPr>
          <w:bCs/>
          <w:b/>
        </w:rPr>
        <w:t xml:space="preserve">Timógeno:</w:t>
      </w:r>
      <w:r>
        <w:t xml:space="preserve"> </w:t>
      </w:r>
      <w:r>
        <w:t xml:space="preserve">dipéptido L-Glu-L-Trp de fabricación sintética, aislado a partir de la timalina (Anisimov 2000, PMID 11707921); en Rusia también está disponible como espray nasal.</w:t>
      </w:r>
    </w:p>
    <w:p>
      <w:pPr>
        <w:numPr>
          <w:ilvl w:val="0"/>
          <w:numId w:val="1141"/>
        </w:numPr>
        <w:pStyle w:val="Compact"/>
      </w:pPr>
      <w:r>
        <w:rPr>
          <w:bCs/>
          <w:b/>
        </w:rPr>
        <w:t xml:space="preserve">Mecanismo de acción (afirmado):</w:t>
      </w:r>
      <w:r>
        <w:t xml:space="preserve"> </w:t>
      </w:r>
      <w:r>
        <w:t xml:space="preserve">estímulo de la maduración de los linfocitos T, «normalización» de la función inmunitaria y de la coagulación sanguínea; según la teoría de Khavinson, los péptidos cortos actúan como «biorreguladores» directamente sobre la actividad génica.</w:t>
      </w:r>
    </w:p>
    <w:p>
      <w:pPr>
        <w:numPr>
          <w:ilvl w:val="0"/>
          <w:numId w:val="1141"/>
        </w:numPr>
        <w:pStyle w:val="Compact"/>
      </w:pPr>
      <w:r>
        <w:rPr>
          <w:bCs/>
          <w:b/>
        </w:rPr>
        <w:t xml:space="preserve">Autorización:</w:t>
      </w:r>
      <w:r>
        <w:t xml:space="preserve"> </w:t>
      </w:r>
      <w:r>
        <w:t xml:space="preserve">autorizados como medicamentos en Rusia y en algunos Estados sucesores de la Unión Soviética;</w:t>
      </w:r>
      <w:r>
        <w:t xml:space="preserve"> </w:t>
      </w:r>
      <w:r>
        <w:rPr>
          <w:bCs/>
          <w:b/>
        </w:rPr>
        <w:t xml:space="preserve">UE y EE. UU.:</w:t>
      </w:r>
      <w:r>
        <w:t xml:space="preserve"> </w:t>
      </w:r>
      <w:r>
        <w:t xml:space="preserve">no.</w:t>
      </w:r>
    </w:p>
    <w:p>
      <w:pPr>
        <w:numPr>
          <w:ilvl w:val="0"/>
          <w:numId w:val="1141"/>
        </w:numPr>
        <w:pStyle w:val="Compact"/>
      </w:pPr>
      <w:r>
        <w:rPr>
          <w:bCs/>
          <w:b/>
        </w:rPr>
        <w:t xml:space="preserve">WADA:</w:t>
      </w:r>
      <w:r>
        <w:t xml:space="preserve"> </w:t>
      </w:r>
      <w:r>
        <w:t xml:space="preserve">no figuran expresamente (situación en 2026, compruébelo en su versión actual).</w:t>
      </w:r>
    </w:p>
    <w:p>
      <w:pPr>
        <w:numPr>
          <w:ilvl w:val="0"/>
          <w:numId w:val="1141"/>
        </w:numPr>
        <w:pStyle w:val="Compact"/>
      </w:pPr>
      <w:r>
        <w:rPr>
          <w:bCs/>
          <w:b/>
        </w:rPr>
        <w:t xml:space="preserve">Nivel de evidencia: C</w:t>
      </w:r>
      <w:r>
        <w:t xml:space="preserve"> </w:t>
      </w:r>
      <w:r>
        <w:t xml:space="preserve">– en su mayoría estudios pequeños, abiertos o descritos de forma insuficiente; en PubMed solo hay un único estudio descrito como aleatorizado y controlado con placebo.</w:t>
      </w:r>
    </w:p>
    <w:bookmarkEnd w:id="445"/>
    <w:bookmarkStart w:id="446" w:name="cómo-se-supone-que-actúa-22"/>
    <w:p>
      <w:pPr>
        <w:pStyle w:val="Heading3"/>
      </w:pPr>
      <w:r>
        <w:t xml:space="preserve">Cómo se supone que actúa</w:t>
      </w:r>
    </w:p>
    <w:p>
      <w:pPr>
        <w:pStyle w:val="FirstParagraph"/>
      </w:pPr>
      <w:r>
        <w:t xml:space="preserve">La idea sigue la misma lógica que en el caso de la timosina alfa 1 (véase ese capítulo): el timo educa a los linfocitos T y se atrofia con la edad, por lo que los mensajeros tímicos deberían reforzar las defensas. Sin embargo, mientras que la timosina alfa 1 es un péptido definido con precisión y de secuencia conocida, la timalina es una mezcla de muchos componentes de origen animal.</w:t>
      </w:r>
    </w:p>
    <w:p>
      <w:pPr>
        <w:pStyle w:val="BodyText"/>
      </w:pPr>
      <w:r>
        <w:t xml:space="preserve">A partir de esta mezcla, los investigadores aislaron el dipéptido Glu-Trp y lo comercializaron de forma sintética como timógeno. Favorecería la diferenciación de los linfocitos T y el reconocimiento de antígenos, y activaría los fagocitos (Morozov 1997, PMID 9637345).</w:t>
      </w:r>
    </w:p>
    <w:p>
      <w:pPr>
        <w:pStyle w:val="BodyText"/>
      </w:pPr>
      <w:r>
        <w:t xml:space="preserve">Khavinson desarrolló a partir de ello una teoría más amplia: los péptidos cortos procedentes de distintos órganos actuarían de forma específica en cada tejido y «regularían» la actividad génica: péptidos de la glándula pineal para la glándula pineal, del timo para el sistema inmunitario, etcétera (Khavinson 2002, PMID 12374906). También el Epitalon, que se trata en la Parte II · D, procede de esta escuela. Esta teoría apenas se ha comprobado fuera del grupo de trabajo y no se corresponde con la comprensión general de cómo actúan los mensajeros peptídicos, es decir, por regla general a través de receptores en la superficie celular. Los trabajos más recientes del grupo basan el mecanismo sobre todo en simulaciones por ordenador de la unión al material genético y en cultivos celulares (Linkova 2023, PMID 37686182).</w:t>
      </w:r>
    </w:p>
    <w:bookmarkEnd w:id="446"/>
    <w:bookmarkStart w:id="451" w:name="estudios-en-humanos-22"/>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encontró</w:t>
      </w:r>
      <w:r>
        <w:t xml:space="preserve"> </w:t>
      </w:r>
      <w:r>
        <w:rPr>
          <w:bCs/>
          <w:b/>
        </w:rPr>
        <w:t xml:space="preserve">17</w:t>
      </w:r>
      <w:r>
        <w:t xml:space="preserve"> </w:t>
      </w:r>
      <w:r>
        <w:t xml:space="preserve">estudios en humanos en PubMed y</w:t>
      </w:r>
      <w:r>
        <w:t xml:space="preserve"> </w:t>
      </w:r>
      <w:r>
        <w:rPr>
          <w:bCs/>
          <w:b/>
        </w:rPr>
        <w:t xml:space="preserve">0</w:t>
      </w:r>
      <w:r>
        <w:t xml:space="preserve"> </w:t>
      </w:r>
      <w:r>
        <w:t xml:space="preserve">entradas en ClinicalTrials.gov. En total, PubMed recoge unas 290 publicaciones sobre timalina o timógeno; de ellas, unas 250 están en ruso, y solo una única menciona en el título o el resumen «aleatorizado» o «placebo». En la mayoría de los estudios en humanos, PubMed solo ofrece un breve resumen en ruso o ucraniano, a menudo sin datos sobre el número de participantes, el grupo de control o el cegamiento.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«Prolongación de la vida» (Khavinson 2003, PMID 14523363)</w:t>
            </w:r>
          </w:p>
        </w:tc>
        <w:tc>
          <w:tcPr/>
          <w:p>
            <w:pPr>
              <w:pStyle w:val="Compact"/>
              <w:jc w:val="left"/>
            </w:pPr>
            <w:r>
              <w:t xml:space="preserve">266 personas mayores, timalina y/o epitalamina frente a control; asignación y cegamiento no descritos</w:t>
            </w:r>
          </w:p>
        </w:tc>
        <w:tc>
          <w:tcPr/>
          <w:p>
            <w:pPr>
              <w:pStyle w:val="Compact"/>
              <w:jc w:val="left"/>
            </w:pPr>
            <w:r>
              <w:t xml:space="preserve">6–8 años de observación</w:t>
            </w:r>
          </w:p>
        </w:tc>
        <w:tc>
          <w:tcPr/>
          <w:p>
            <w:pPr>
              <w:pStyle w:val="Compact"/>
              <w:jc w:val="left"/>
            </w:pPr>
            <w:r>
              <w:t xml:space="preserve">mortalidad en el grupo de timalina 2,0 a 2,1 veces menor que en el control</w:t>
            </w:r>
          </w:p>
        </w:tc>
      </w:tr>
      <w:tr>
        <w:tc>
          <w:tcPr/>
          <w:p>
            <w:pPr>
              <w:pStyle w:val="Compact"/>
              <w:jc w:val="left"/>
            </w:pPr>
            <w:r>
              <w:t xml:space="preserve">Antes de operaciones abdominales (Smirnov 2011, PMID 21957588)</w:t>
            </w:r>
          </w:p>
        </w:tc>
        <w:tc>
          <w:tcPr/>
          <w:p>
            <w:pPr>
              <w:pStyle w:val="Compact"/>
              <w:jc w:val="left"/>
            </w:pPr>
            <w:r>
              <w:t xml:space="preserve">personas mayores con tumores abdominales, ECA doble ciego frente a placebo, timógeno en gotas nasales; número de participantes no indicado en el resumen</w:t>
            </w:r>
          </w:p>
        </w:tc>
        <w:tc>
          <w:tcPr/>
          <w:p>
            <w:pPr>
              <w:pStyle w:val="Compact"/>
              <w:jc w:val="left"/>
            </w:pPr>
            <w:r>
              <w:t xml:space="preserve">7 días antes de la operación</w:t>
            </w:r>
          </w:p>
        </w:tc>
        <w:tc>
          <w:tcPr/>
          <w:p>
            <w:pPr>
              <w:pStyle w:val="Compact"/>
              <w:jc w:val="left"/>
            </w:pPr>
            <w:r>
              <w:t xml:space="preserve">menos complicaciones tras la operación</w:t>
            </w:r>
          </w:p>
        </w:tc>
      </w:tr>
      <w:tr>
        <w:tc>
          <w:tcPr/>
          <w:p>
            <w:pPr>
              <w:pStyle w:val="Compact"/>
              <w:jc w:val="left"/>
            </w:pPr>
            <w:r>
              <w:t xml:space="preserve">COVID-19 grave (Kuznik 2022, PMID 36169363)</w:t>
            </w:r>
          </w:p>
        </w:tc>
        <w:tc>
          <w:tcPr/>
          <w:p>
            <w:pPr>
              <w:pStyle w:val="Compact"/>
              <w:jc w:val="left"/>
            </w:pPr>
            <w:r>
              <w:t xml:space="preserve">tres grupos: tratamiento básico, más tocilizumab, más timalina; asignación no descrita</w:t>
            </w:r>
          </w:p>
        </w:tc>
        <w:tc>
          <w:tcPr/>
          <w:p>
            <w:pPr>
              <w:pStyle w:val="Compact"/>
              <w:jc w:val="left"/>
            </w:pPr>
            <w:r>
              <w:t xml:space="preserve">estancia hospitalaria</w:t>
            </w:r>
          </w:p>
        </w:tc>
        <w:tc>
          <w:tcPr/>
          <w:p>
            <w:pPr>
              <w:pStyle w:val="Compact"/>
              <w:jc w:val="left"/>
            </w:pPr>
            <w:r>
              <w:t xml:space="preserve">mortalidad hospitalaria 40,9 %, 28,4 % y 20,6 %</w:t>
            </w:r>
          </w:p>
        </w:tc>
      </w:tr>
      <w:tr>
        <w:tc>
          <w:tcPr/>
          <w:p>
            <w:pPr>
              <w:pStyle w:val="Compact"/>
              <w:jc w:val="left"/>
            </w:pPr>
            <w:r>
              <w:t xml:space="preserve">Esquizofrenia resistente al tratamiento (Govorin 1990, PMID 2163147)</w:t>
            </w:r>
          </w:p>
        </w:tc>
        <w:tc>
          <w:tcPr/>
          <w:p>
            <w:pPr>
              <w:pStyle w:val="Compact"/>
              <w:jc w:val="left"/>
            </w:pPr>
            <w:r>
              <w:t xml:space="preserve">36 personas, sin grupo de control</w:t>
            </w:r>
          </w:p>
        </w:tc>
        <w:tc>
          <w:tcPr/>
          <w:p>
            <w:pPr>
              <w:pStyle w:val="Compact"/>
              <w:jc w:val="left"/>
            </w:pPr>
            <w:r>
              <w:t xml:space="preserve">no indicada</w:t>
            </w:r>
          </w:p>
        </w:tc>
        <w:tc>
          <w:tcPr/>
          <w:p>
            <w:pPr>
              <w:pStyle w:val="Compact"/>
              <w:jc w:val="left"/>
            </w:pPr>
            <w:r>
              <w:t xml:space="preserve">se informa de mejoría de los síntomas psíquicos</w:t>
            </w:r>
          </w:p>
        </w:tc>
      </w:tr>
      <w:tr>
        <w:tc>
          <w:tcPr/>
          <w:p>
            <w:pPr>
              <w:pStyle w:val="Compact"/>
              <w:jc w:val="left"/>
            </w:pPr>
            <w:r>
              <w:t xml:space="preserve">Párkinson (Musienko 1999, PMID 10424021)</w:t>
            </w:r>
          </w:p>
        </w:tc>
        <w:tc>
          <w:tcPr/>
          <w:p>
            <w:pPr>
              <w:pStyle w:val="Compact"/>
              <w:jc w:val="left"/>
            </w:pPr>
            <w:r>
              <w:t xml:space="preserve">15 personas, sin grupo de control</w:t>
            </w:r>
          </w:p>
        </w:tc>
        <w:tc>
          <w:tcPr/>
          <w:p>
            <w:pPr>
              <w:pStyle w:val="Compact"/>
              <w:jc w:val="left"/>
            </w:pPr>
            <w:r>
              <w:t xml:space="preserve">una serie de tratamiento</w:t>
            </w:r>
          </w:p>
        </w:tc>
        <w:tc>
          <w:tcPr/>
          <w:p>
            <w:pPr>
              <w:pStyle w:val="Compact"/>
              <w:jc w:val="left"/>
            </w:pPr>
            <w:r>
              <w:t xml:space="preserve">se informa de mejoría del bienestar y de los síntomas</w:t>
            </w:r>
          </w:p>
        </w:tc>
      </w:tr>
    </w:tbl>
    <w:bookmarkStart w:id="447" w:name="Xd8be8367c70d818d348b59a5339b847a993a2ab"/>
    <w:p>
      <w:pPr>
        <w:pStyle w:val="Heading4"/>
      </w:pPr>
      <w:r>
        <w:t xml:space="preserve">El estudio a largo plazo sobre la prolongación de la vida</w:t>
      </w:r>
    </w:p>
    <w:p>
      <w:pPr>
        <w:pStyle w:val="FirstParagraph"/>
      </w:pPr>
      <w:r>
        <w:t xml:space="preserve">El trabajo más conocido es a la vez el más problemático. Durante seis a ocho años se observó a 266 personas mayores en San Petersburgo y Kiev, algunas de las cuales recibieron en los dos o tres primeros años timalina, epitalamina o ambas. Se informa de una mortalidad 2,0 a 2,1 veces menor con timalina y 4,1 veces menor con un tratamiento combinado anual durante seis años (Khavinson 2003, PMID 14523363).</w:t>
      </w:r>
    </w:p>
    <w:p>
      <w:pPr>
        <w:pStyle w:val="BodyText"/>
      </w:pPr>
      <w:r>
        <w:t xml:space="preserve">Tales efectos serían espectaculares, mayores que con casi cualquier medicamento consolidado. Pero el resumen no describe ni cómo se asignó a los participantes a los grupos, ni si hubo cegamiento, ni cuántas personas había en cada grupo. Quien está más sano y activo participa con más probabilidad en un tratamiento de años; sin asignación aleatoria, una diferencia así puede surgir solo por ello. No existen réplicas independientes.</w:t>
      </w:r>
    </w:p>
    <w:bookmarkEnd w:id="447"/>
    <w:bookmarkStart w:id="448" w:name="covid-19-1"/>
    <w:p>
      <w:pPr>
        <w:pStyle w:val="Heading4"/>
      </w:pPr>
      <w:r>
        <w:t xml:space="preserve">COVID-19</w:t>
      </w:r>
    </w:p>
    <w:p>
      <w:pPr>
        <w:pStyle w:val="FirstParagraph"/>
      </w:pPr>
      <w:r>
        <w:t xml:space="preserve">Durante la pandemia, el grupo de trabajo informó sobre la timalina en enfermos graves de COVID-19. En un análisis, la mortalidad hospitalaria fue del 40,9 por ciento con el tratamiento básico, del 28,4 por ciento con tocilizumab adicional y del 20,6 por ciento con timalina adicional (Kuznik 2022, PMID 36169363). El resumen no indica cómo se asignó a las personas a los grupos ni qué tamaño tenían estos. Otro trabajo informa de descensos más rápidos de los marcadores de inflamación y coagulación (Khavinson 2021, PMID 33575961). Tras la experiencia con la timosina alfa 1, en la que datos observacionales iniciales favorables no se confirmaron en estudios más grandes (véase ese capítulo), estas cifras no son sólidas sin una confirmación aleatorizada.</w:t>
      </w:r>
    </w:p>
    <w:bookmarkEnd w:id="448"/>
    <w:bookmarkStart w:id="449" w:name="el-único-estudio-controlado-con-placebo"/>
    <w:p>
      <w:pPr>
        <w:pStyle w:val="Heading4"/>
      </w:pPr>
      <w:r>
        <w:t xml:space="preserve">El único estudio controlado con placebo</w:t>
      </w:r>
    </w:p>
    <w:p>
      <w:pPr>
        <w:pStyle w:val="FirstParagraph"/>
      </w:pPr>
      <w:r>
        <w:t xml:space="preserve">El único estudio descrito como doble ciego, aleatorizado y controlado con placebo investigó gotas nasales de timógeno en personas mayores antes de operaciones de tumores abdominales. Se informa de menos complicaciones tras la operación y de una evolución de la curación más corta (Smirnov 2011, PMID 21957588). El resumen ruso no indica el número de participantes ni la magnitud de los efectos.</w:t>
      </w:r>
    </w:p>
    <w:bookmarkEnd w:id="449"/>
    <w:bookmarkStart w:id="450" w:name="otros-estudios"/>
    <w:p>
      <w:pPr>
        <w:pStyle w:val="Heading4"/>
      </w:pPr>
      <w:r>
        <w:t xml:space="preserve">Otros estudios</w:t>
      </w:r>
    </w:p>
    <w:p>
      <w:pPr>
        <w:pStyle w:val="FirstParagraph"/>
      </w:pPr>
      <w:r>
        <w:t xml:space="preserve">Los demás estudios en humanos proceden en su mayoría de las décadas de 1980 y 1990 y abarcan un espectro llamativamente amplio: tuberculosis, disentería, erisipela, heridas purulentas, peritonitis en niños, pancreatitis, colitis ulcerosa, inflamaciones de los órganos genitales femeninos, esquizofrenia y párkinson. Casi siempre se administró timalina o timógeno además del tratamiento estándar, sin placebo y en general sin asignación aleatoria. Con frecuencia se midieron valores de laboratorio del sistema inmunitario, no criterios de valoración duros como la curación o la supervivencia.</w:t>
      </w:r>
    </w:p>
    <w:bookmarkEnd w:id="450"/>
    <w:bookmarkEnd w:id="451"/>
    <w:bookmarkStart w:id="452" w:name="estudios-en-animales-y-de-laboratorio-22"/>
    <w:p>
      <w:pPr>
        <w:pStyle w:val="Heading3"/>
      </w:pPr>
      <w:r>
        <w:t xml:space="preserve">Estudios en animales y de laboratorio</w:t>
      </w:r>
    </w:p>
    <w:p>
      <w:pPr>
        <w:pStyle w:val="FirstParagraph"/>
      </w:pPr>
      <w:r>
        <w:t xml:space="preserve">Los estudios en animales proceden igualmente en su mayoría de grupos de trabajo rusos y ucranianos. En 76 ratas que recibieron durante doce meses Glu-Trp (timógeno) o solución salina, la duración media de la vida fue igual; el diez por ciento más longevo vivió más con timógeno, y los tumores aparecieron con menos frecuencia (Anisimov 2000, PMID 11707921). En cultivos de células madre sanguíneas humanas, la timalina influyó en su diferenciación (Khavinson 2020, PMID 33237528). Otros trabajos describen efectos sobre la coagulación sanguínea, la aparición de cáncer tras irradiación o sustancias químicas y las infecciones en roedores.</w:t>
      </w:r>
    </w:p>
    <w:bookmarkEnd w:id="452"/>
    <w:bookmarkStart w:id="453" w:name="X03838cca3bfb6e458bc3a534b36e2c42557dc39"/>
    <w:p>
      <w:pPr>
        <w:pStyle w:val="Heading3"/>
      </w:pPr>
      <w:r>
        <w:t xml:space="preserve">Calidad de la investigación: una valoración crítica</w:t>
      </w:r>
    </w:p>
    <w:p>
      <w:pPr>
        <w:pStyle w:val="FirstParagraph"/>
      </w:pPr>
      <w:r>
        <w:t xml:space="preserve">Para valorar la timalina y el timógeno, el origen de los datos es más importante que los resultados individuales:</w:t>
      </w:r>
    </w:p>
    <w:p>
      <w:pPr>
        <w:numPr>
          <w:ilvl w:val="0"/>
          <w:numId w:val="1142"/>
        </w:numPr>
        <w:pStyle w:val="Compact"/>
      </w:pPr>
      <w:r>
        <w:rPr>
          <w:bCs/>
          <w:b/>
        </w:rPr>
        <w:t xml:space="preserve">Una escuela, apenas confirmación independiente.</w:t>
      </w:r>
      <w:r>
        <w:t xml:space="preserve"> </w:t>
      </w:r>
      <w:r>
        <w:t xml:space="preserve">Gran parte de los trabajos procede de Khavinson, sus colaboradores o institutos cooperantes. Según PubMed, Khavinson participa en más de 80 de las unas 290 publicaciones; muchas otras proceden de grupos estrechamente vinculados. Faltan estudios de réplica independientes occidentales.</w:t>
      </w:r>
    </w:p>
    <w:p>
      <w:pPr>
        <w:numPr>
          <w:ilvl w:val="0"/>
          <w:numId w:val="1142"/>
        </w:numPr>
        <w:pStyle w:val="Compact"/>
      </w:pPr>
      <w:r>
        <w:rPr>
          <w:bCs/>
          <w:b/>
        </w:rPr>
        <w:t xml:space="preserve">Idioma y accesibilidad.</w:t>
      </w:r>
      <w:r>
        <w:t xml:space="preserve"> </w:t>
      </w:r>
      <w:r>
        <w:t xml:space="preserve">Unos 250 de los trabajos están en ruso, en PubMed a menudo solo con un breve resumen. Los textos completos son de difícil acceso y los métodos apenas pueden comprobarse.</w:t>
      </w:r>
    </w:p>
    <w:p>
      <w:pPr>
        <w:numPr>
          <w:ilvl w:val="0"/>
          <w:numId w:val="1142"/>
        </w:numPr>
        <w:pStyle w:val="Compact"/>
      </w:pPr>
      <w:r>
        <w:rPr>
          <w:bCs/>
          <w:b/>
        </w:rPr>
        <w:t xml:space="preserve">Diseño de los estudios.</w:t>
      </w:r>
      <w:r>
        <w:t xml:space="preserve"> </w:t>
      </w:r>
      <w:r>
        <w:t xml:space="preserve">Casi ningún estudio está aleatorizado, cegado y registrado previamente según los estándares actuales. Ni un solo estudio está inscrito en ClinicalTrials.gov.</w:t>
      </w:r>
    </w:p>
    <w:p>
      <w:pPr>
        <w:numPr>
          <w:ilvl w:val="0"/>
          <w:numId w:val="1142"/>
        </w:numPr>
        <w:pStyle w:val="Compact"/>
      </w:pPr>
      <w:r>
        <w:rPr>
          <w:bCs/>
          <w:b/>
        </w:rPr>
        <w:t xml:space="preserve">Efectos inusualmente grandes en muchísimas enfermedades.</w:t>
      </w:r>
      <w:r>
        <w:t xml:space="preserve"> </w:t>
      </w:r>
      <w:r>
        <w:t xml:space="preserve">Un preparado que actúa por igual en la tuberculosis, la esquizofrenia, el párkinson, la COVID-19 y el envejecimiento y reduce a la mitad la mortalidad es, desde el punto de vista metodológico, una señal de alarma, no una recomendación.</w:t>
      </w:r>
    </w:p>
    <w:p>
      <w:pPr>
        <w:numPr>
          <w:ilvl w:val="0"/>
          <w:numId w:val="1142"/>
        </w:numPr>
        <w:pStyle w:val="Compact"/>
      </w:pPr>
      <w:r>
        <w:rPr>
          <w:bCs/>
          <w:b/>
        </w:rPr>
        <w:t xml:space="preserve">Conflictos de intereses.</w:t>
      </w:r>
      <w:r>
        <w:t xml:space="preserve"> </w:t>
      </w:r>
      <w:r>
        <w:t xml:space="preserve">El grupo de trabajo desarrolló los propios preparados; según el conocimiento del autor, los «biorreguladores» de esta escuela se comercializan internacionalmente como complementos alimenticios. Faltan evaluaciones independientes por investigadores sin tales vínculos.</w:t>
      </w:r>
    </w:p>
    <w:p>
      <w:pPr>
        <w:pStyle w:val="FirstParagraph"/>
      </w:pPr>
      <w:r>
        <w:t xml:space="preserve">Esto no significa que todos los resultados tengan que ser falsos. Significa que, según los criterios de este libro, no pueden considerarse prueba de un beneficio mientras no se confirmen en estudios independientes y bien planificados.</w:t>
      </w:r>
    </w:p>
    <w:bookmarkEnd w:id="453"/>
    <w:bookmarkStart w:id="456" w:name="riesgos-y-efectos-adversos-22"/>
    <w:p>
      <w:pPr>
        <w:pStyle w:val="Heading3"/>
      </w:pPr>
      <w:r>
        <w:t xml:space="preserve">Riesgos y efectos adversos</w:t>
      </w:r>
    </w:p>
    <w:bookmarkStart w:id="454" w:name="demostrado-6"/>
    <w:p>
      <w:pPr>
        <w:pStyle w:val="Heading4"/>
      </w:pPr>
      <w:r>
        <w:t xml:space="preserve">Demostrado</w:t>
      </w:r>
    </w:p>
    <w:p>
      <w:pPr>
        <w:pStyle w:val="FirstParagraph"/>
      </w:pPr>
      <w:r>
        <w:t xml:space="preserve">No existen datos de seguridad recogidos sistemáticamente según los estándares actuales. Los estudios disponibles apenas informan de efectos secundarios, lo que en estudios pequeños y no cegados dice poco.</w:t>
      </w:r>
    </w:p>
    <w:bookmarkEnd w:id="454"/>
    <w:bookmarkStart w:id="455" w:name="teórico-2"/>
    <w:p>
      <w:pPr>
        <w:pStyle w:val="Heading4"/>
      </w:pPr>
      <w:r>
        <w:t xml:space="preserve">Teórico</w:t>
      </w:r>
    </w:p>
    <w:p>
      <w:pPr>
        <w:numPr>
          <w:ilvl w:val="0"/>
          <w:numId w:val="1143"/>
        </w:numPr>
        <w:pStyle w:val="Compact"/>
      </w:pPr>
      <w:r>
        <w:rPr>
          <w:bCs/>
          <w:b/>
        </w:rPr>
        <w:t xml:space="preserve">Material de partida animal:</w:t>
      </w:r>
      <w:r>
        <w:t xml:space="preserve"> </w:t>
      </w:r>
      <w:r>
        <w:t xml:space="preserve">la timalina es un extracto de timo de ternero. Con los extractos animales existen en principio riesgos por contaminantes, variaciones entre lotes y reacciones alérgicas. También la transmisión de patógenos a partir de tejido bovino es un riesgo teórico que depende de la calidad de fabricación.</w:t>
      </w:r>
    </w:p>
    <w:p>
      <w:pPr>
        <w:numPr>
          <w:ilvl w:val="0"/>
          <w:numId w:val="1143"/>
        </w:numPr>
        <w:pStyle w:val="Compact"/>
      </w:pPr>
      <w:r>
        <w:rPr>
          <w:bCs/>
          <w:b/>
        </w:rPr>
        <w:t xml:space="preserve">Inmunoestimulación:</w:t>
      </w:r>
      <w:r>
        <w:t xml:space="preserve"> </w:t>
      </w:r>
      <w:r>
        <w:t xml:space="preserve">en enfermedades autoinmunitarias o tras un trasplante de órganos, estimular el sistema inmunitario podría ser perjudicial. Faltan datos al respecto.</w:t>
      </w:r>
    </w:p>
    <w:p>
      <w:pPr>
        <w:numPr>
          <w:ilvl w:val="0"/>
          <w:numId w:val="1143"/>
        </w:numPr>
        <w:pStyle w:val="Compact"/>
      </w:pPr>
      <w:r>
        <w:rPr>
          <w:bCs/>
          <w:b/>
        </w:rPr>
        <w:t xml:space="preserve">Mercado gris y «biorreguladores»:</w:t>
      </w:r>
      <w:r>
        <w:t xml:space="preserve"> </w:t>
      </w:r>
      <w:r>
        <w:t xml:space="preserve">fuera de Rusia, la timalina, el timógeno y productos relacionados se distribuyen por internet, en parte como solución inyectable y en parte como cápsulas con la denominación «biorregulador». El origen, el contenido y la calidad de estos productos no son verificables.</w:t>
      </w:r>
    </w:p>
    <w:bookmarkEnd w:id="455"/>
    <w:bookmarkEnd w:id="456"/>
    <w:bookmarkStart w:id="457" w:name="situación-legal-22"/>
    <w:p>
      <w:pPr>
        <w:pStyle w:val="Heading3"/>
      </w:pPr>
      <w:r>
        <w:t xml:space="preserve">Situación legal</w:t>
      </w:r>
    </w:p>
    <w:p>
      <w:pPr>
        <w:pStyle w:val="FirstParagraph"/>
      </w:pPr>
      <w:r>
        <w:rPr>
          <w:iCs/>
          <w:i/>
        </w:rPr>
        <w:t xml:space="preserve">Situación en 2026, compruébelo en su versión actual.</w:t>
      </w:r>
    </w:p>
    <w:p>
      <w:pPr>
        <w:numPr>
          <w:ilvl w:val="0"/>
          <w:numId w:val="1144"/>
        </w:numPr>
        <w:pStyle w:val="Compact"/>
      </w:pPr>
      <w:r>
        <w:rPr>
          <w:bCs/>
          <w:b/>
        </w:rPr>
        <w:t xml:space="preserve">Rusia y algunos Estados sucesores de la Unión Soviética:</w:t>
      </w:r>
      <w:r>
        <w:t xml:space="preserve"> </w:t>
      </w:r>
      <w:r>
        <w:t xml:space="preserve">la timalina y el timógeno están autorizados como medicamentos.</w:t>
      </w:r>
    </w:p>
    <w:p>
      <w:pPr>
        <w:numPr>
          <w:ilvl w:val="0"/>
          <w:numId w:val="1144"/>
        </w:numPr>
        <w:pStyle w:val="Compact"/>
      </w:pPr>
      <w:r>
        <w:rPr>
          <w:bCs/>
          <w:b/>
        </w:rPr>
        <w:t xml:space="preserve">UE, Alemania, Austria:</w:t>
      </w:r>
      <w:r>
        <w:t xml:space="preserve"> </w:t>
      </w:r>
      <w:r>
        <w:t xml:space="preserve">sin autorización. La importación y la dispensación para uso en humanos solo están permitidas en las estrictas condiciones de la respectiva legislación farmacéutica. Las cápsulas con extractos de órganos que se venden como complementos alimenticios no pueden prometer efectos sobre enfermedades; si deben clasificarse como medicamentos depende de cada caso.</w:t>
      </w:r>
    </w:p>
    <w:p>
      <w:pPr>
        <w:numPr>
          <w:ilvl w:val="0"/>
          <w:numId w:val="1144"/>
        </w:numPr>
        <w:pStyle w:val="Compact"/>
      </w:pPr>
      <w:r>
        <w:rPr>
          <w:bCs/>
          <w:b/>
        </w:rPr>
        <w:t xml:space="preserve">EE. UU.:</w:t>
      </w:r>
      <w:r>
        <w:t xml:space="preserve"> </w:t>
      </w:r>
      <w:r>
        <w:t xml:space="preserve">sin autorización de la FDA.</w:t>
      </w:r>
    </w:p>
    <w:p>
      <w:pPr>
        <w:numPr>
          <w:ilvl w:val="0"/>
          <w:numId w:val="1144"/>
        </w:numPr>
        <w:pStyle w:val="Compact"/>
      </w:pPr>
      <w:r>
        <w:rPr>
          <w:bCs/>
          <w:b/>
        </w:rPr>
        <w:t xml:space="preserve">WADA:</w:t>
      </w:r>
      <w:r>
        <w:t xml:space="preserve"> </w:t>
      </w:r>
      <w:r>
        <w:t xml:space="preserve">no figuran por su nombre.</w:t>
      </w:r>
    </w:p>
    <w:bookmarkEnd w:id="457"/>
    <w:bookmarkStart w:id="458" w:name="estudios-en-curso-y-perspectivas-22"/>
    <w:p>
      <w:pPr>
        <w:pStyle w:val="Heading3"/>
      </w:pPr>
      <w:r>
        <w:t xml:space="preserve">Estudios en curso y perspectivas</w:t>
      </w:r>
    </w:p>
    <w:p>
      <w:pPr>
        <w:pStyle w:val="FirstParagraph"/>
      </w:pPr>
      <w:r>
        <w:rPr>
          <w:bCs/>
          <w:b/>
        </w:rPr>
        <w:t xml:space="preserve">Confirmado:</w:t>
      </w:r>
      <w:r>
        <w:t xml:space="preserve"> </w:t>
      </w:r>
      <w:r>
        <w:t xml:space="preserve">en octubre de 2026 no hay ningún estudio sobre timalina o timógeno registrado en ClinicalTrials.gov.</w:t>
      </w:r>
    </w:p>
    <w:p>
      <w:pPr>
        <w:pStyle w:val="BodyText"/>
      </w:pPr>
      <w:r>
        <w:rPr>
          <w:bCs/>
          <w:b/>
        </w:rPr>
        <w:t xml:space="preserve">Valoración del autor:</w:t>
      </w:r>
      <w:r>
        <w:t xml:space="preserve"> </w:t>
      </w:r>
      <w:r>
        <w:t xml:space="preserve">una autorización en la UE o en EE. UU. está descartada sin nuevos estudios realizados según los estándares internacionales, y no se vislumbran tales estudios. Por ello, la timalina y el timógeno seguirán siendo previsiblemente un fenómeno del mercado sanitario de habla rusa y del ámbito internacional de la longevidad.</w:t>
      </w:r>
    </w:p>
    <w:bookmarkEnd w:id="458"/>
    <w:bookmarkStart w:id="459" w:name="conclusión-22"/>
    <w:p>
      <w:pPr>
        <w:pStyle w:val="Heading3"/>
      </w:pPr>
      <w:r>
        <w:t xml:space="preserve">Conclusión</w:t>
      </w:r>
    </w:p>
    <w:p>
      <w:pPr>
        <w:pStyle w:val="FirstParagraph"/>
      </w:pPr>
      <w:r>
        <w:t xml:space="preserve">La timalina es un extracto de timo de ternero y el timógeno, un dipéptido derivado de ella; ambos están autorizados en Rusia y en Occidente se promocionan como «biorreguladores» para prolongar la vida. La evidencia procede casi por completo de una única escuela de investigación rusa, está publicada mayoritariamente en ruso y consiste en estudios pequeños, en su mayoría no aleatorizados. La tan citada reducción a la mitad de la mortalidad en personas mayores (Khavinson 2003, PMID 14523363) se basa en un estudio cuyo diseño no está descrito de forma comprensible en el resumen. Según los criterios actuales, no está demostrado ningún beneficio, y la calidad de los productos que se venden libremente es desconocida.</w:t>
      </w:r>
    </w:p>
    <w:bookmarkEnd w:id="459"/>
    <w:bookmarkEnd w:id="460"/>
    <w:bookmarkEnd w:id="461"/>
    <w:bookmarkStart w:id="593" w:name="Xae690155ef751dceb129ff3ae952d09796820fe"/>
    <w:p>
      <w:pPr>
        <w:pStyle w:val="Heading1"/>
      </w:pPr>
      <w:r>
        <w:t xml:space="preserve">Parte II · C – El eje de la hormona del crecimiento</w:t>
      </w:r>
    </w:p>
    <w:p>
      <w:pPr>
        <w:pStyle w:val="FirstParagraph"/>
      </w:pPr>
      <w:r>
        <w:t xml:space="preserve">La hormona del crecimiento (GH, del inglés</w:t>
      </w:r>
      <w:r>
        <w:t xml:space="preserve"> </w:t>
      </w:r>
      <w:r>
        <w:rPr>
          <w:iCs/>
          <w:i/>
        </w:rPr>
        <w:t xml:space="preserve">growth hormone</w:t>
      </w:r>
      <w:r>
        <w:t xml:space="preserve">) es una de las hormonas más mitificadas que existen. En los gimnasios se la considera la hormona del músculo y de la quema de grasa, y en las consultas antienvejecimiento, una «fuente de la juventud». La hormona del crecimiento auténtica es una proteína grande, cara y sujeta a prescripción médica. Los péptidos de esta parte prometen un camino aparentemente más elegante: harían que el organismo libere</w:t>
      </w:r>
      <w:r>
        <w:t xml:space="preserve"> </w:t>
      </w:r>
      <w:r>
        <w:rPr>
          <w:iCs/>
          <w:i/>
        </w:rPr>
        <w:t xml:space="preserve">más hormona del crecimiento propia</w:t>
      </w:r>
      <w:r>
        <w:t xml:space="preserve">, o bien aportan directamente el mensajero posterior, el IGF-1.</w:t>
      </w:r>
    </w:p>
    <w:bookmarkStart w:id="462" w:name="el-eje-en-cuatro-estaciones"/>
    <w:p>
      <w:pPr>
        <w:pStyle w:val="Heading3"/>
      </w:pPr>
      <w:r>
        <w:t xml:space="preserve">El eje en cuatro estaciones</w:t>
      </w:r>
    </w:p>
    <w:p>
      <w:pPr>
        <w:numPr>
          <w:ilvl w:val="0"/>
          <w:numId w:val="1145"/>
        </w:numPr>
        <w:pStyle w:val="Compact"/>
      </w:pPr>
      <w:r>
        <w:t xml:space="preserve">La</w:t>
      </w:r>
      <w:r>
        <w:t xml:space="preserve"> </w:t>
      </w:r>
      <w:r>
        <w:rPr>
          <w:bCs/>
          <w:b/>
        </w:rPr>
        <w:t xml:space="preserve">GHRH</w:t>
      </w:r>
      <w:r>
        <w:t xml:space="preserve"> </w:t>
      </w:r>
      <w:r>
        <w:t xml:space="preserve">(hormona liberadora de la hormona del crecimiento), procedente del diencéfalo, da a la hipófisis la señal para la liberación. Su antagonista, la somatostatina, la frena.</w:t>
      </w:r>
    </w:p>
    <w:p>
      <w:pPr>
        <w:numPr>
          <w:ilvl w:val="0"/>
          <w:numId w:val="1145"/>
        </w:numPr>
        <w:pStyle w:val="Compact"/>
      </w:pPr>
      <w:r>
        <w:t xml:space="preserve">La</w:t>
      </w:r>
      <w:r>
        <w:t xml:space="preserve"> </w:t>
      </w:r>
      <w:r>
        <w:rPr>
          <w:bCs/>
          <w:b/>
        </w:rPr>
        <w:t xml:space="preserve">grelina</w:t>
      </w:r>
      <w:r>
        <w:t xml:space="preserve">, una hormona del estómago, potencia la liberación a través de un receptor propio (GHS-R1a) y, al mismo tiempo, da hambre (Kojima 1999, PMID 10604470).</w:t>
      </w:r>
    </w:p>
    <w:p>
      <w:pPr>
        <w:numPr>
          <w:ilvl w:val="0"/>
          <w:numId w:val="1145"/>
        </w:numPr>
        <w:pStyle w:val="Compact"/>
      </w:pPr>
      <w:r>
        <w:t xml:space="preserve">La</w:t>
      </w:r>
      <w:r>
        <w:t xml:space="preserve"> </w:t>
      </w:r>
      <w:r>
        <w:rPr>
          <w:bCs/>
          <w:b/>
        </w:rPr>
        <w:t xml:space="preserve">hormona del crecimiento</w:t>
      </w:r>
      <w:r>
        <w:t xml:space="preserve"> </w:t>
      </w:r>
      <w:r>
        <w:t xml:space="preserve">es liberada por la hipófisis en pulsos, sobre todo por la noche.</w:t>
      </w:r>
    </w:p>
    <w:p>
      <w:pPr>
        <w:numPr>
          <w:ilvl w:val="0"/>
          <w:numId w:val="1145"/>
        </w:numPr>
        <w:pStyle w:val="Compact"/>
      </w:pPr>
      <w:r>
        <w:t xml:space="preserve">El</w:t>
      </w:r>
      <w:r>
        <w:t xml:space="preserve"> </w:t>
      </w:r>
      <w:r>
        <w:rPr>
          <w:bCs/>
          <w:b/>
        </w:rPr>
        <w:t xml:space="preserve">IGF-1</w:t>
      </w:r>
      <w:r>
        <w:t xml:space="preserve"> </w:t>
      </w:r>
      <w:r>
        <w:t xml:space="preserve">(factor de crecimiento insulínico tipo 1) se produce sobre todo en el hígado como respuesta a la hormona del crecimiento y media muchos de sus efectos anabólicos. A su vez, las concentraciones altas de IGF-1 frenan el eje.</w:t>
      </w:r>
    </w:p>
    <w:p>
      <w:pPr>
        <w:pStyle w:val="FirstParagraph"/>
      </w:pPr>
      <w:r>
        <w:t xml:space="preserve">Los principios activos de esta parte actúan en distintas estaciones: los</w:t>
      </w:r>
      <w:r>
        <w:t xml:space="preserve"> </w:t>
      </w:r>
      <w:r>
        <w:rPr>
          <w:bCs/>
          <w:b/>
        </w:rPr>
        <w:t xml:space="preserve">análogos de la GHRH</w:t>
      </w:r>
      <w:r>
        <w:t xml:space="preserve"> </w:t>
      </w:r>
      <w:r>
        <w:t xml:space="preserve">(sermorelina, tesamorelina, CJC-1295), en el receptor de la GHRH; los</w:t>
      </w:r>
      <w:r>
        <w:t xml:space="preserve"> </w:t>
      </w:r>
      <w:r>
        <w:rPr>
          <w:bCs/>
          <w:b/>
        </w:rPr>
        <w:t xml:space="preserve">miméticos de la grelina</w:t>
      </w:r>
      <w:r>
        <w:t xml:space="preserve"> </w:t>
      </w:r>
      <w:r>
        <w:t xml:space="preserve">(ipamorelina, GHRP-2, GHRP-6, hexarelina, macimorelina y, a modo de comparación, el no péptido ibutamoreno), en el receptor de la grelina; el</w:t>
      </w:r>
      <w:r>
        <w:t xml:space="preserve"> </w:t>
      </w:r>
      <w:r>
        <w:rPr>
          <w:bCs/>
          <w:b/>
        </w:rPr>
        <w:t xml:space="preserve">IGF-1 y sus variantes</w:t>
      </w:r>
      <w:r>
        <w:t xml:space="preserve"> </w:t>
      </w:r>
      <w:r>
        <w:t xml:space="preserve">(mecasermina, IGF-1 LR3), directamente al final de la cadena.</w:t>
      </w:r>
    </w:p>
    <w:bookmarkEnd w:id="462"/>
    <w:bookmarkStart w:id="463" w:name="por-qué-este-grupo-es-tan-popular"/>
    <w:p>
      <w:pPr>
        <w:pStyle w:val="Heading3"/>
      </w:pPr>
      <w:r>
        <w:t xml:space="preserve">Por qué este grupo es tan popular</w:t>
      </w:r>
    </w:p>
    <w:p>
      <w:pPr>
        <w:pStyle w:val="FirstParagraph"/>
      </w:pPr>
      <w:r>
        <w:t xml:space="preserve">La hormona del crecimiento degrada la grasa y aumenta la masa magra: esto está bien demostrado. Una revisión de estudios aleatorizados en personas jóvenes y entrenadas encontró un aumento de la masa libre de grasa de 2,1 kg, pero ninguna mejora de la fuerza ni de la resistencia, y a cambio más retención de líquidos y cansancio (Liu 2008, PMID 18347346). En personas mayores sanas, la masa grasa disminuyó 2,1 kg y la masa magra aumentó 2,1 kg; al mismo tiempo fueron más frecuentes la hinchazón de los tejidos, el dolor articular, el síndrome del túnel carpiano y el aumento de las mamas en los hombres (Liu 2007, PMID 17227934). Como la liberación de hormona del crecimiento disminuye con la edad, resulta tentadora la idea de «dar marcha atrás». Los liberadores se consideran una alternativa más suave porque se conserva la regulación propia del organismo. A ello se suma que muchos de ellos pueden adquirirse en línea a bajo precio como «Research Peptides».</w:t>
      </w:r>
    </w:p>
    <w:p>
      <w:pPr>
        <w:pStyle w:val="BodyText"/>
      </w:pPr>
      <w:r>
        <w:t xml:space="preserve">El patrón que recorre casi todos los capítulos: el IGF-1 y la masa magra aumentan, pero la fuerza, la función o la evolución de las enfermedades apenas mejoran en estudios controlados, mientras que aumentan la glucemia, la retención de líquidos y, con algunas sustancias, las hormonas del estrés.</w:t>
      </w:r>
    </w:p>
    <w:bookmarkEnd w:id="463"/>
    <w:bookmarkStart w:id="464" w:name="Xfe7b70ae66f57a084796aba0ce5ff92ed004125"/>
    <w:p>
      <w:pPr>
        <w:pStyle w:val="Heading3"/>
      </w:pPr>
      <w:r>
        <w:t xml:space="preserve">La cuestión abierta más importante: el cáncer</w:t>
      </w:r>
    </w:p>
    <w:p>
      <w:pPr>
        <w:pStyle w:val="FirstParagraph"/>
      </w:pPr>
      <w:r>
        <w:t xml:space="preserve">El IGF-1 favorece la división celular y mantiene vivas las células. Si una elevación continuada aumenta el riesgo de cáncer es la cuestión central de seguridad de este grupo. Las pruebas, resumidas con sobriedad:</w:t>
      </w:r>
    </w:p>
    <w:p>
      <w:pPr>
        <w:numPr>
          <w:ilvl w:val="0"/>
          <w:numId w:val="1146"/>
        </w:numPr>
        <w:pStyle w:val="Compact"/>
      </w:pPr>
      <w:r>
        <w:rPr>
          <w:bCs/>
          <w:b/>
        </w:rPr>
        <w:t xml:space="preserve">IGF-1 alto de forma natural:</w:t>
      </w:r>
      <w:r>
        <w:t xml:space="preserve"> </w:t>
      </w:r>
      <w:r>
        <w:t xml:space="preserve">en estudios observacionales, una concentración más alta se asocia con un riesgo moderadamente mayor de cáncer de próstata y de cáncer de mama premenopáusico (Renehan 2004, PMID 15110491). Análisis genéticos con cientos de miles de participantes indican que la relación podría ser causal en el cáncer de mama y el colorrectal (Murphy 2020, PMID 32169310; Murphy 2020, PMID 31884074).</w:t>
      </w:r>
    </w:p>
    <w:p>
      <w:pPr>
        <w:numPr>
          <w:ilvl w:val="0"/>
          <w:numId w:val="1146"/>
        </w:numPr>
        <w:pStyle w:val="Compact"/>
      </w:pPr>
      <w:r>
        <w:rPr>
          <w:bCs/>
          <w:b/>
        </w:rPr>
        <w:t xml:space="preserve">Exceso natural de hormona del crecimiento (acromegalia):</w:t>
      </w:r>
      <w:r>
        <w:t xml:space="preserve"> </w:t>
      </w:r>
      <w:r>
        <w:t xml:space="preserve">un metaanálisis de 23 estudios encontró una tasa de cáncer aproximadamente un 50 % mayor, pero también apunta a sesgos en los estudios más antiguos (Dal 2018, PMID 29590449).</w:t>
      </w:r>
    </w:p>
    <w:p>
      <w:pPr>
        <w:numPr>
          <w:ilvl w:val="0"/>
          <w:numId w:val="1146"/>
        </w:numPr>
        <w:pStyle w:val="Compact"/>
      </w:pPr>
      <w:r>
        <w:rPr>
          <w:bCs/>
          <w:b/>
        </w:rPr>
        <w:t xml:space="preserve">Déficit de IGF-1 de por vida (síndrome de Laron):</w:t>
      </w:r>
      <w:r>
        <w:t xml:space="preserve"> </w:t>
      </w:r>
      <w:r>
        <w:t xml:space="preserve">el cáncer apareció con una rareza llamativa (Guevara-Aguirre 2011, PMID 21325617).</w:t>
      </w:r>
    </w:p>
    <w:p>
      <w:pPr>
        <w:numPr>
          <w:ilvl w:val="0"/>
          <w:numId w:val="1146"/>
        </w:numPr>
        <w:pStyle w:val="Compact"/>
      </w:pPr>
      <w:r>
        <w:rPr>
          <w:bCs/>
          <w:b/>
        </w:rPr>
        <w:t xml:space="preserve">Hormona del crecimiento como medicamento:</w:t>
      </w:r>
      <w:r>
        <w:t xml:space="preserve"> </w:t>
      </w:r>
      <w:r>
        <w:t xml:space="preserve">en una cohorte europea con 23.984 niños tratados no se encontró un riesgo aumentado en general en niños sin enfermedad previa, pero sí anomalías en algunos tipos de cáncer y en niños que habían tenido cáncer anteriormente (Swerdlow 2017, PMID 28187225). En 8418 adultos tratados con hipopituitarismo, el riesgo de cáncer no fue mayor (Child 2015, PMID 25810462).</w:t>
      </w:r>
    </w:p>
    <w:p>
      <w:pPr>
        <w:pStyle w:val="FirstParagraph"/>
      </w:pPr>
      <w:r>
        <w:t xml:space="preserve">Conclusión: en personas con un déficit real, según los conocimientos actuales, un tratamiento sustitutivo no se asocia con un riesgo de cáncer claramente mayor. Para las personas sanas que elevan durante años una concentración normal faltan datos, y la biología habla más a favor que en contra de cierto riesgo. La Parte IV profundiza en el tema.</w:t>
      </w:r>
    </w:p>
    <w:bookmarkEnd w:id="464"/>
    <w:bookmarkStart w:id="465" w:name="visión-general"/>
    <w:p>
      <w:pPr>
        <w:pStyle w:val="Heading3"/>
      </w:pPr>
      <w:r>
        <w:t xml:space="preserve">Visión general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w:t>
            </w:r>
          </w:p>
        </w:tc>
        <w:tc>
          <w:tcPr/>
          <w:p>
            <w:pPr>
              <w:pStyle w:val="Compact"/>
              <w:jc w:val="left"/>
            </w:pPr>
            <w:r>
              <w:t xml:space="preserve">En resumen</w:t>
            </w:r>
          </w:p>
        </w:tc>
      </w:tr>
      <w:tr>
        <w:tc>
          <w:tcPr/>
          <w:p>
            <w:pPr>
              <w:pStyle w:val="Compact"/>
              <w:jc w:val="left"/>
            </w:pPr>
            <w:r>
              <w:t xml:space="preserve">Sermorelina</w:t>
            </w:r>
          </w:p>
        </w:tc>
        <w:tc>
          <w:tcPr/>
          <w:p>
            <w:pPr>
              <w:pStyle w:val="Compact"/>
              <w:jc w:val="left"/>
            </w:pPr>
            <w:r>
              <w:t xml:space="preserve">B</w:t>
            </w:r>
          </w:p>
        </w:tc>
        <w:tc>
          <w:tcPr/>
          <w:p>
            <w:pPr>
              <w:pStyle w:val="Compact"/>
              <w:jc w:val="left"/>
            </w:pPr>
            <w:r>
              <w:t xml:space="preserve">antes EE. UU. (Geref), hoy ninguna</w:t>
            </w:r>
          </w:p>
        </w:tc>
        <w:tc>
          <w:tcPr/>
          <w:p>
            <w:pPr>
              <w:pStyle w:val="Compact"/>
              <w:jc w:val="left"/>
            </w:pPr>
            <w:r>
              <w:t xml:space="preserve">fragmento de GHRH; niños con déficit de GH</w:t>
            </w:r>
          </w:p>
        </w:tc>
      </w:tr>
      <w:tr>
        <w:tc>
          <w:tcPr/>
          <w:p>
            <w:pPr>
              <w:pStyle w:val="Compact"/>
              <w:jc w:val="left"/>
            </w:pPr>
            <w:r>
              <w:t xml:space="preserve">Tesamorelina</w:t>
            </w:r>
          </w:p>
        </w:tc>
        <w:tc>
          <w:tcPr/>
          <w:p>
            <w:pPr>
              <w:pStyle w:val="Compact"/>
              <w:jc w:val="left"/>
            </w:pPr>
            <w:r>
              <w:t xml:space="preserve">A</w:t>
            </w:r>
          </w:p>
        </w:tc>
        <w:tc>
          <w:tcPr/>
          <w:p>
            <w:pPr>
              <w:pStyle w:val="Compact"/>
              <w:jc w:val="left"/>
            </w:pPr>
            <w:r>
              <w:t xml:space="preserve">EE. UU. (Egrifta)</w:t>
            </w:r>
          </w:p>
        </w:tc>
        <w:tc>
          <w:tcPr/>
          <w:p>
            <w:pPr>
              <w:pStyle w:val="Compact"/>
              <w:jc w:val="left"/>
            </w:pPr>
            <w:r>
              <w:t xml:space="preserve">menos grasa abdominal y hepática en el VIH</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ninguna</w:t>
            </w:r>
          </w:p>
        </w:tc>
        <w:tc>
          <w:tcPr/>
          <w:p>
            <w:pPr>
              <w:pStyle w:val="Compact"/>
              <w:jc w:val="left"/>
            </w:pPr>
            <w:r>
              <w:t xml:space="preserve">solo datos de fase 1; variante «sin DAC» sin investigar</w:t>
            </w:r>
          </w:p>
        </w:tc>
      </w:tr>
      <w:tr>
        <w:tc>
          <w:tcPr/>
          <w:p>
            <w:pPr>
              <w:pStyle w:val="Compact"/>
              <w:jc w:val="left"/>
            </w:pPr>
            <w:r>
              <w:t xml:space="preserve">Ipamorelina</w:t>
            </w:r>
          </w:p>
        </w:tc>
        <w:tc>
          <w:tcPr/>
          <w:p>
            <w:pPr>
              <w:pStyle w:val="Compact"/>
              <w:jc w:val="left"/>
            </w:pPr>
            <w:r>
              <w:t xml:space="preserve">B</w:t>
            </w:r>
          </w:p>
        </w:tc>
        <w:tc>
          <w:tcPr/>
          <w:p>
            <w:pPr>
              <w:pStyle w:val="Compact"/>
              <w:jc w:val="left"/>
            </w:pPr>
            <w:r>
              <w:t xml:space="preserve">ninguna</w:t>
            </w:r>
          </w:p>
        </w:tc>
        <w:tc>
          <w:tcPr/>
          <w:p>
            <w:pPr>
              <w:pStyle w:val="Compact"/>
              <w:jc w:val="left"/>
            </w:pPr>
            <w:r>
              <w:t xml:space="preserve">sin beneficio en el íleo posoperatorio</w:t>
            </w:r>
          </w:p>
        </w:tc>
      </w:tr>
      <w:tr>
        <w:tc>
          <w:tcPr/>
          <w:p>
            <w:pPr>
              <w:pStyle w:val="Compact"/>
              <w:jc w:val="left"/>
            </w:pPr>
            <w:r>
              <w:t xml:space="preserve">GHRP-2 (pralmorelina)</w:t>
            </w:r>
          </w:p>
        </w:tc>
        <w:tc>
          <w:tcPr/>
          <w:p>
            <w:pPr>
              <w:pStyle w:val="Compact"/>
              <w:jc w:val="left"/>
            </w:pPr>
            <w:r>
              <w:t xml:space="preserve">B</w:t>
            </w:r>
          </w:p>
        </w:tc>
        <w:tc>
          <w:tcPr/>
          <w:p>
            <w:pPr>
              <w:pStyle w:val="Compact"/>
              <w:jc w:val="left"/>
            </w:pPr>
            <w:r>
              <w:t xml:space="preserve">Japón (diagnóstico)</w:t>
            </w:r>
          </w:p>
        </w:tc>
        <w:tc>
          <w:tcPr/>
          <w:p>
            <w:pPr>
              <w:pStyle w:val="Compact"/>
              <w:jc w:val="left"/>
            </w:pPr>
            <w:r>
              <w:t xml:space="preserve">prueba de déficit de GH</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ninguna</w:t>
            </w:r>
          </w:p>
        </w:tc>
        <w:tc>
          <w:tcPr/>
          <w:p>
            <w:pPr>
              <w:pStyle w:val="Compact"/>
              <w:jc w:val="left"/>
            </w:pPr>
            <w:r>
              <w:t xml:space="preserve">sustancia de investigación y de prueba</w:t>
            </w:r>
          </w:p>
        </w:tc>
      </w:tr>
      <w:tr>
        <w:tc>
          <w:tcPr/>
          <w:p>
            <w:pPr>
              <w:pStyle w:val="Compact"/>
              <w:jc w:val="left"/>
            </w:pPr>
            <w:r>
              <w:t xml:space="preserve">Hexarelina</w:t>
            </w:r>
          </w:p>
        </w:tc>
        <w:tc>
          <w:tcPr/>
          <w:p>
            <w:pPr>
              <w:pStyle w:val="Compact"/>
              <w:jc w:val="left"/>
            </w:pPr>
            <w:r>
              <w:t xml:space="preserve">C</w:t>
            </w:r>
          </w:p>
        </w:tc>
        <w:tc>
          <w:tcPr/>
          <w:p>
            <w:pPr>
              <w:pStyle w:val="Compact"/>
              <w:jc w:val="left"/>
            </w:pPr>
            <w:r>
              <w:t xml:space="preserve">ninguna</w:t>
            </w:r>
          </w:p>
        </w:tc>
        <w:tc>
          <w:tcPr/>
          <w:p>
            <w:pPr>
              <w:pStyle w:val="Compact"/>
              <w:jc w:val="left"/>
            </w:pPr>
            <w:r>
              <w:t xml:space="preserve">efectos cardíacos agudos; pérdida de efecto con la administración continuada</w:t>
            </w:r>
          </w:p>
        </w:tc>
      </w:tr>
      <w:tr>
        <w:tc>
          <w:tcPr/>
          <w:p>
            <w:pPr>
              <w:pStyle w:val="Compact"/>
              <w:jc w:val="left"/>
            </w:pPr>
            <w:r>
              <w:t xml:space="preserve">Macimorelina</w:t>
            </w:r>
          </w:p>
        </w:tc>
        <w:tc>
          <w:tcPr/>
          <w:p>
            <w:pPr>
              <w:pStyle w:val="Compact"/>
              <w:jc w:val="left"/>
            </w:pPr>
            <w:r>
              <w:t xml:space="preserve">A</w:t>
            </w:r>
          </w:p>
        </w:tc>
        <w:tc>
          <w:tcPr/>
          <w:p>
            <w:pPr>
              <w:pStyle w:val="Compact"/>
              <w:jc w:val="left"/>
            </w:pPr>
            <w:r>
              <w:t xml:space="preserve">UE, EE. UU. (diagnóstico)</w:t>
            </w:r>
          </w:p>
        </w:tc>
        <w:tc>
          <w:tcPr/>
          <w:p>
            <w:pPr>
              <w:pStyle w:val="Compact"/>
              <w:jc w:val="left"/>
            </w:pPr>
            <w:r>
              <w:t xml:space="preserve">prueba oral de déficit de GH</w:t>
            </w:r>
          </w:p>
        </w:tc>
      </w:tr>
      <w:tr>
        <w:tc>
          <w:tcPr/>
          <w:p>
            <w:pPr>
              <w:pStyle w:val="Compact"/>
              <w:jc w:val="left"/>
            </w:pPr>
            <w:r>
              <w:t xml:space="preserve">Mecasermina (IGF-1)</w:t>
            </w:r>
          </w:p>
        </w:tc>
        <w:tc>
          <w:tcPr/>
          <w:p>
            <w:pPr>
              <w:pStyle w:val="Compact"/>
              <w:jc w:val="left"/>
            </w:pPr>
            <w:r>
              <w:t xml:space="preserve">A</w:t>
            </w:r>
          </w:p>
        </w:tc>
        <w:tc>
          <w:tcPr/>
          <w:p>
            <w:pPr>
              <w:pStyle w:val="Compact"/>
              <w:jc w:val="left"/>
            </w:pPr>
            <w:r>
              <w:t xml:space="preserve">UE, EE. UU. (Increlex)</w:t>
            </w:r>
          </w:p>
        </w:tc>
        <w:tc>
          <w:tcPr/>
          <w:p>
            <w:pPr>
              <w:pStyle w:val="Compact"/>
              <w:jc w:val="left"/>
            </w:pPr>
            <w:r>
              <w:t xml:space="preserve">déficit grave de IGF-1 en niños</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ninguna</w:t>
            </w:r>
          </w:p>
        </w:tc>
        <w:tc>
          <w:tcPr/>
          <w:p>
            <w:pPr>
              <w:pStyle w:val="Compact"/>
              <w:jc w:val="left"/>
            </w:pPr>
            <w:r>
              <w:t xml:space="preserve">reactivo de laboratorio, nunca probado en humanos</w:t>
            </w:r>
          </w:p>
        </w:tc>
      </w:tr>
      <w:tr>
        <w:tc>
          <w:tcPr/>
          <w:p>
            <w:pPr>
              <w:pStyle w:val="Compact"/>
              <w:jc w:val="left"/>
            </w:pPr>
            <w:r>
              <w:t xml:space="preserve">Ibutamoreno (comparación)</w:t>
            </w:r>
          </w:p>
        </w:tc>
        <w:tc>
          <w:tcPr/>
          <w:p>
            <w:pPr>
              <w:pStyle w:val="Compact"/>
              <w:jc w:val="left"/>
            </w:pPr>
            <w:r>
              <w:t xml:space="preserve">B</w:t>
            </w:r>
          </w:p>
        </w:tc>
        <w:tc>
          <w:tcPr/>
          <w:p>
            <w:pPr>
              <w:pStyle w:val="Compact"/>
              <w:jc w:val="left"/>
            </w:pPr>
            <w:r>
              <w:t xml:space="preserve">ninguna</w:t>
            </w:r>
          </w:p>
        </w:tc>
        <w:tc>
          <w:tcPr/>
          <w:p>
            <w:pPr>
              <w:pStyle w:val="Compact"/>
              <w:jc w:val="left"/>
            </w:pPr>
            <w:r>
              <w:t xml:space="preserve">comprimido; señal de insuficiencia cardíaca</w:t>
            </w:r>
          </w:p>
        </w:tc>
      </w:tr>
    </w:tbl>
    <w:bookmarkEnd w:id="465"/>
    <w:bookmarkStart w:id="466" w:name="indicaciones-para-la-lectura-1"/>
    <w:p>
      <w:pPr>
        <w:pStyle w:val="Heading3"/>
      </w:pPr>
      <w:r>
        <w:t xml:space="preserve">Indicaciones para la lectura</w:t>
      </w:r>
    </w:p>
    <w:p>
      <w:pPr>
        <w:pStyle w:val="FirstParagraph"/>
      </w:pPr>
      <w:r>
        <w:t xml:space="preserve">Quien se interese por aplicaciones con un beneficio real puede empezar por la tesamorelina, la macimorelina y la mecasermina. Quien quiera saber qué hay detrás de los clásicos del mercado gris puede leer CJC-1295, ipamorelina e IGF-1 LR3. El ibutamoreno no es un péptido, pero muestra con especial claridad, en grandes estudios, lo que provoca una estimulación continuada del eje. Todos los principios activos de este grupo figuran en la Lista de Prohibiciones de la Agencia Mundial Antidopaje (grupo S2; situación en 2026, compruébelo en su versión actual).</w:t>
      </w:r>
    </w:p>
    <w:bookmarkEnd w:id="466"/>
    <w:bookmarkStart w:id="479" w:name="sermorelina"/>
    <w:p>
      <w:pPr>
        <w:pStyle w:val="Heading2"/>
      </w:pPr>
      <w:r>
        <w:t xml:space="preserve">Sermorelina</w:t>
      </w:r>
    </w:p>
    <w:p>
      <w:pPr>
        <w:pStyle w:val="FirstParagraph"/>
      </w:pPr>
      <w:r>
        <w:t xml:space="preserve">La sermorelina es un fragmento de historia farmacéutica que vive una segunda vida en internet. En la década de 1990 estuvo autorizada como medicamento en EE. UU., primero como sustancia de prueba para el diagnóstico del déficit de hormona del crecimiento y después para el tratamiento de niños con talla baja. Desde finales de la década de 2000, el preparado original ha desaparecido del mercado. Hoy, la sermorelina se prescribe sobre todo como fórmula magistral en clínicas estadounidenses «antienvejecimiento» y de «salud masculina» y se ofrece en el mercado gris. Este capítulo muestra lo que los estudios antiguos demuestran realmente y lo que no.</w:t>
      </w:r>
    </w:p>
    <w:bookmarkStart w:id="467" w:name="ficha-23"/>
    <w:p>
      <w:pPr>
        <w:pStyle w:val="Heading3"/>
      </w:pPr>
      <w:r>
        <w:t xml:space="preserve">Ficha</w:t>
      </w:r>
    </w:p>
    <w:p>
      <w:pPr>
        <w:numPr>
          <w:ilvl w:val="0"/>
          <w:numId w:val="1147"/>
        </w:numPr>
        <w:pStyle w:val="Compact"/>
      </w:pPr>
      <w:r>
        <w:rPr>
          <w:bCs/>
          <w:b/>
        </w:rPr>
        <w:t xml:space="preserve">Tipo y estructura:</w:t>
      </w:r>
      <w:r>
        <w:t xml:space="preserve"> </w:t>
      </w:r>
      <w:r>
        <w:t xml:space="preserve">péptido sintético de 29 aminoácidos; corresponde al segmento anterior, activo, de la hormona liberadora de la hormona del crecimiento propia del organismo, GHRH(1-29)NH2. Es el péptido sintético más corto con plena actividad GHRH (Prakash 1999, PMID 18031173).</w:t>
      </w:r>
    </w:p>
    <w:p>
      <w:pPr>
        <w:numPr>
          <w:ilvl w:val="0"/>
          <w:numId w:val="1147"/>
        </w:numPr>
        <w:pStyle w:val="Compact"/>
      </w:pPr>
      <w:r>
        <w:rPr>
          <w:bCs/>
          <w:b/>
        </w:rPr>
        <w:t xml:space="preserve">Origen:</w:t>
      </w:r>
      <w:r>
        <w:t xml:space="preserve"> </w:t>
      </w:r>
      <w:r>
        <w:t xml:space="preserve">derivada en la década de 1980 de la GHRH natural; comercializada por Serono como Geref.</w:t>
      </w:r>
    </w:p>
    <w:p>
      <w:pPr>
        <w:numPr>
          <w:ilvl w:val="0"/>
          <w:numId w:val="1147"/>
        </w:numPr>
        <w:pStyle w:val="Compact"/>
      </w:pPr>
      <w:r>
        <w:rPr>
          <w:bCs/>
          <w:b/>
        </w:rPr>
        <w:t xml:space="preserve">Mecanismo de acción:</w:t>
      </w:r>
      <w:r>
        <w:t xml:space="preserve"> </w:t>
      </w:r>
      <w:r>
        <w:t xml:space="preserve">se une al receptor de la GHRH de la hipófisis y desencadena allí una liberación de hormona del crecimiento; se conserva la regulación propia del organismo (freno por la somatostatina, retroalimentación por el IGF-1).</w:t>
      </w:r>
    </w:p>
    <w:p>
      <w:pPr>
        <w:numPr>
          <w:ilvl w:val="0"/>
          <w:numId w:val="1147"/>
        </w:numPr>
        <w:pStyle w:val="Compact"/>
      </w:pPr>
      <w:r>
        <w:rPr>
          <w:bCs/>
          <w:b/>
        </w:rPr>
        <w:t xml:space="preserve">Autorización UE:</w:t>
      </w:r>
      <w:r>
        <w:t xml:space="preserve"> </w:t>
      </w:r>
      <w:r>
        <w:t xml:space="preserve">no (situación en 2026).</w:t>
      </w:r>
      <w:r>
        <w:t xml:space="preserve"> </w:t>
      </w:r>
      <w:r>
        <w:rPr>
          <w:bCs/>
          <w:b/>
        </w:rPr>
        <w:t xml:space="preserve">Autorización EE. UU.:</w:t>
      </w:r>
      <w:r>
        <w:t xml:space="preserve"> </w:t>
      </w:r>
      <w:r>
        <w:t xml:space="preserve">antes sí (Geref como agente diagnóstico y para el tratamiento de niños con déficit de hormona del crecimiento); el preparado original ya no está disponible desde finales de la década de 2000.</w:t>
      </w:r>
    </w:p>
    <w:p>
      <w:pPr>
        <w:numPr>
          <w:ilvl w:val="0"/>
          <w:numId w:val="1147"/>
        </w:numPr>
        <w:pStyle w:val="Compact"/>
      </w:pPr>
      <w:r>
        <w:rPr>
          <w:bCs/>
          <w:b/>
        </w:rPr>
        <w:t xml:space="preserve">WADA:</w:t>
      </w:r>
      <w:r>
        <w:t xml:space="preserve"> </w:t>
      </w:r>
      <w:r>
        <w:t xml:space="preserve">prohibida, grupo S2; la sermorelina se menciona expresamente como análogo de la GHRH.</w:t>
      </w:r>
    </w:p>
    <w:p>
      <w:pPr>
        <w:numPr>
          <w:ilvl w:val="0"/>
          <w:numId w:val="1147"/>
        </w:numPr>
        <w:pStyle w:val="Compact"/>
      </w:pPr>
      <w:r>
        <w:rPr>
          <w:bCs/>
          <w:b/>
        </w:rPr>
        <w:t xml:space="preserve">Nivel de evidencia: B</w:t>
      </w:r>
      <w:r>
        <w:t xml:space="preserve"> </w:t>
      </w:r>
      <w:r>
        <w:t xml:space="preserve">– algunos estudios pequeños aleatorizados o controlados, en su mayoría abiertos y de las décadas de 1980 y 1990; ningún estudio grande moderno.</w:t>
      </w:r>
    </w:p>
    <w:bookmarkEnd w:id="467"/>
    <w:bookmarkStart w:id="468" w:name="cómo-se-supone-que-actúa-23"/>
    <w:p>
      <w:pPr>
        <w:pStyle w:val="Heading3"/>
      </w:pPr>
      <w:r>
        <w:t xml:space="preserve">Cómo se supone que actúa</w:t>
      </w:r>
    </w:p>
    <w:p>
      <w:pPr>
        <w:pStyle w:val="FirstParagraph"/>
      </w:pPr>
      <w:r>
        <w:t xml:space="preserve">La hipófisis libera la hormona del crecimiento en pulsos. La señal de salida la da la GHRH, procedente del diencéfalo. La GHRH producida de forma natural tiene 44 aminoácidos; en la década de 1980, los investigadores constataron que los primeros 29 aminoácidos bastan para el efecto completo. De ahí surgió la sermorelina.</w:t>
      </w:r>
    </w:p>
    <w:p>
      <w:pPr>
        <w:pStyle w:val="BodyText"/>
      </w:pPr>
      <w:r>
        <w:t xml:space="preserve">La ventaja frente a la hormona del crecimiento inyectada residiría en que la hipófisis «decide también»: cuando hay suficiente IGF-1 en la sangre, el organismo frena por sí mismo a través de la somatostatina. Así, las sobredosis como las de la administración directa de GH serían menos probables. El inconveniente: la sermorelina solo actúa si la hipófisis aún puede producir hormona del crecimiento, y su efecto es corto: la semivida en sangre en el ser humano es de solo unos 10 a 20 minutos (Esposito 2003, PMID 14499707). Por eso es eficaz sobre todo en trastornos situados en el diencéfalo, no en la propia hipófisis.</w:t>
      </w:r>
    </w:p>
    <w:bookmarkEnd w:id="468"/>
    <w:bookmarkStart w:id="473" w:name="estudios-en-humanos-23"/>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de este libro con el término «sermorelin»</w:t>
      </w:r>
      <w:r>
        <w:t xml:space="preserve"> </w:t>
      </w:r>
      <w:r>
        <w:rPr>
          <w:bCs/>
          <w:b/>
        </w:rPr>
        <w:t xml:space="preserve">no</w:t>
      </w:r>
      <w:r>
        <w:t xml:space="preserve"> </w:t>
      </w:r>
      <w:r>
        <w:t xml:space="preserve">encontró ningún estudio en humanos (</w:t>
      </w:r>
      <w:r>
        <w:rPr>
          <w:rStyle w:val="VerbatimChar"/>
        </w:rPr>
        <w:t xml:space="preserve">humanstudien_alle</w:t>
      </w:r>
      <w:r>
        <w:t xml:space="preserve">: 0) y</w:t>
      </w:r>
      <w:r>
        <w:t xml:space="preserve"> </w:t>
      </w:r>
      <w:r>
        <w:rPr>
          <w:bCs/>
          <w:b/>
        </w:rPr>
        <w:t xml:space="preserve">27</w:t>
      </w:r>
      <w:r>
        <w:t xml:space="preserve"> </w:t>
      </w:r>
      <w:r>
        <w:t xml:space="preserve">entradas en ClinicalTrials.gov. Ambas cifras engañan: la mayoría de los trabajos clínicos se publicaron con denominaciones como «GHRH(1-29)NH2», «GRF 1-29» o «Geref» y una búsqueda solo por nombre no los recoge. A la inversa, muchas de las 27 entradas del registro no se refieren en absoluto a la sermorelina, sino a la tesamorelina o a pruebas de GHRH en general. Una búsqueda adicional específica arrojó varias decenas de estudios clínicos, en su mayoría pequeños y anteriores al año 2000.</w:t>
      </w:r>
    </w:p>
    <w:bookmarkStart w:id="469" w:name="X247f00a1e62d62511a0641e0576fe4f23887d66"/>
    <w:p>
      <w:pPr>
        <w:pStyle w:val="Heading4"/>
      </w:pPr>
      <w:r>
        <w:t xml:space="preserve">Niños con déficit de hormona del crecimiento</w:t>
      </w:r>
    </w:p>
    <w:p>
      <w:pPr>
        <w:pStyle w:val="FirstParagraph"/>
      </w:pPr>
      <w:r>
        <w:t xml:space="preserve">El principal campo de aplicación era el trastorno del crecimiento en niños. En un estudio abierto y multicéntrico del grupo de estudio de Geref, 110 niños prepuberales sin tratamiento previo recibieron durante un año sermorelina una vez al día por la noche. La velocidad de crecimiento aumentó de 4,1 cm por año a 8,0 cm a los seis meses y 7,2 cm a los doce meses; el 74 % se consideró buen respondedor a los seis meses. No aparecieron alteraciones analíticas llamativas (Thorner 1996, PMID 8772599).</w:t>
      </w:r>
    </w:p>
    <w:p>
      <w:pPr>
        <w:pStyle w:val="BodyText"/>
      </w:pPr>
      <w:r>
        <w:t xml:space="preserve">Un estudio británico temprano con 18 niños mostró ya los límites: solo en 8 niños aumentó la velocidad de crecimiento en los primeros seis meses en más de 2 cm por año; en 14 niños se formaron anticuerpos contra el péptido, sin influencia reconocible en el crecimiento (Ross 1987, PMID 2879138). En un estudio aleatorizado con 43 niños, los niños crecieron más despacio con sermorelina en dosis bajas; solo con hormona del crecimiento mejoró la talla en relación con la edad ósea (Neyzi 1993, PMID 8329826). Una revisión constató que la sermorelina es eficaz en una parte de los niños, pero menos que la hormona del crecimiento, y que faltan datos sobre la talla final (Prakash 1999, PMID 18031173).</w:t>
      </w:r>
    </w:p>
    <w:p>
      <w:pPr>
        <w:pStyle w:val="BodyText"/>
      </w:pPr>
      <w:r>
        <w:t xml:space="preserve">También en niños con talla baja idiopática (es decir, sin déficit hormonal demostrable) aumentó la velocidad de crecimiento con dos inyecciones diarias en un pequeño estudio con 18 niños; tras la retirada volvió a caer por debajo del valor inicial, y la glucemia en ayunas y la insulina aumentaron durante el tratamiento (Kirk 1994, PMID 7955460).</w:t>
      </w:r>
    </w:p>
    <w:bookmarkEnd w:id="469"/>
    <w:bookmarkStart w:id="470" w:name="adultos-mayores"/>
    <w:p>
      <w:pPr>
        <w:pStyle w:val="Heading4"/>
      </w:pPr>
      <w:r>
        <w:t xml:space="preserve">Adultos mayores</w:t>
      </w:r>
    </w:p>
    <w:p>
      <w:pPr>
        <w:pStyle w:val="FirstParagraph"/>
      </w:pPr>
      <w:r>
        <w:t xml:space="preserve">Para el marketing actual («antienvejecimiento») son decisivos los estudios con personas mayores. Hay pocos, y son muy pequeños:</w:t>
      </w:r>
    </w:p>
    <w:p>
      <w:pPr>
        <w:numPr>
          <w:ilvl w:val="0"/>
          <w:numId w:val="1148"/>
        </w:numPr>
        <w:pStyle w:val="Compact"/>
      </w:pPr>
      <w:r>
        <w:t xml:space="preserve">19 mujeres y hombres sanos de entre 55 y 71 años recibieron, tras cuatro semanas de placebo, un análogo de la sermorelina durante 16 semanas. La hormona del crecimiento y el IGF-1 aumentaron, el grosor de la piel aumentó en ambos sexos, y la masa libre de grasa y la sensibilidad a la insulina solo en los hombres. Los hombres refirieron un mejor bienestar y un aumento de la libido; la calidad del sueño no cambió. Como efecto secundario se produjo un aumento transitorio de los lípidos sanguíneos (Khorram 1997, PMID 9141536). El mismo grupo describió cambios en las células inmunitarias (Khorram 1997, PMID 9360512). El estudio era solo de simple ciego y no tenía un grupo de control paralelo.</w:t>
      </w:r>
    </w:p>
    <w:p>
      <w:pPr>
        <w:numPr>
          <w:ilvl w:val="0"/>
          <w:numId w:val="1148"/>
        </w:numPr>
        <w:pStyle w:val="Compact"/>
      </w:pPr>
      <w:r>
        <w:t xml:space="preserve">En 11 hombres sanos de entre 64 y 76 años, seis semanas de inyecciones nocturnas aumentaron la liberación nocturna de GH, pero no cambiaron ni el IGF-1 ni la masa muscular o grasa; dos de seis mediciones de fuerza mejoraron (Vittone 1997, PMID 9005976).</w:t>
      </w:r>
    </w:p>
    <w:p>
      <w:pPr>
        <w:pStyle w:val="FirstParagraph"/>
      </w:pPr>
      <w:r>
        <w:t xml:space="preserve">Dos estudios posteriores sobre la GHRH en personas mayores se interrumpieron con 5 y 13 participantes, respectivamente (NCT00807365, NCT01410799).</w:t>
      </w:r>
    </w:p>
    <w:bookmarkEnd w:id="470"/>
    <w:bookmarkStart w:id="471" w:name="diagnóstico"/>
    <w:p>
      <w:pPr>
        <w:pStyle w:val="Heading4"/>
      </w:pPr>
      <w:r>
        <w:t xml:space="preserve">Diagnóstico</w:t>
      </w:r>
    </w:p>
    <w:p>
      <w:pPr>
        <w:pStyle w:val="FirstParagraph"/>
      </w:pPr>
      <w:r>
        <w:t xml:space="preserve">Como sustancia de prueba, la sermorelina se administraba por vía intravenosa para comprobar si la hipófisis responde a la GHRH. Combinada con el aminoácido arginina, esta prueba se consideraba en adultos una alternativa a la penosa prueba de hipoglucemia insulínica (Prakash 1999, PMID 18031173). Cuando el agente diagnóstico dejó de estar disponible en EE. UU., un estudio en curso sobre una nueva prueba (macimorelina) tuvo que modificar su diseño (Garcia 2013, PMID 23559086).</w:t>
      </w:r>
    </w:p>
    <w:bookmarkEnd w:id="471"/>
    <w:bookmarkStart w:id="472" w:name="la-medicina-masculina-moderna"/>
    <w:p>
      <w:pPr>
        <w:pStyle w:val="Heading4"/>
      </w:pPr>
      <w:r>
        <w:t xml:space="preserve">La «medicina masculina» moderna</w:t>
      </w:r>
    </w:p>
    <w:p>
      <w:pPr>
        <w:pStyle w:val="FirstParagraph"/>
      </w:pPr>
      <w:r>
        <w:t xml:space="preserve">Una revisión retrospectiva de historias clínicas de una clínica masculina estadounidense describió a 14 hombres jóvenes en tratamiento con testosterona a quienes se prescribió una combinación de sermorelina, GHRP-2 y GHRP-6. El IGF-1 aumentó de media de 159,5 a 239,0 ng/ml (Sigalos 2017, PMID 28830317). De los 105 hombres iniciales, solo 14 cumplían los criterios de inclusión; el trabajo no permite afirmaciones sobre la masa muscular, la pérdida de grasa o la seguridad.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Grupo de estudio de Geref (Thorner 1996), PMID 8772599</w:t>
            </w:r>
          </w:p>
        </w:tc>
        <w:tc>
          <w:tcPr/>
          <w:p>
            <w:pPr>
              <w:pStyle w:val="Compact"/>
              <w:jc w:val="left"/>
            </w:pPr>
            <w:r>
              <w:t xml:space="preserve">110 niños con déficit de GH, abierto, sin grupo de control</w:t>
            </w:r>
          </w:p>
        </w:tc>
        <w:tc>
          <w:tcPr/>
          <w:p>
            <w:pPr>
              <w:pStyle w:val="Compact"/>
              <w:jc w:val="left"/>
            </w:pPr>
            <w:r>
              <w:t xml:space="preserve">12 meses</w:t>
            </w:r>
          </w:p>
        </w:tc>
        <w:tc>
          <w:tcPr/>
          <w:p>
            <w:pPr>
              <w:pStyle w:val="Compact"/>
              <w:jc w:val="left"/>
            </w:pPr>
            <w:r>
              <w:t xml:space="preserve">crecimiento 4,1 → 7,2 cm/año</w:t>
            </w:r>
          </w:p>
        </w:tc>
      </w:tr>
      <w:tr>
        <w:tc>
          <w:tcPr/>
          <w:p>
            <w:pPr>
              <w:pStyle w:val="Compact"/>
              <w:jc w:val="left"/>
            </w:pPr>
            <w:r>
              <w:t xml:space="preserve">Comparación con GH (Neyzi 1993), PMID 8329826</w:t>
            </w:r>
          </w:p>
        </w:tc>
        <w:tc>
          <w:tcPr/>
          <w:p>
            <w:pPr>
              <w:pStyle w:val="Compact"/>
              <w:jc w:val="left"/>
            </w:pPr>
            <w:r>
              <w:t xml:space="preserve">43 niños, aleatorizado (2 dosis de sermorelina frente a GH)</w:t>
            </w:r>
          </w:p>
        </w:tc>
        <w:tc>
          <w:tcPr/>
          <w:p>
            <w:pPr>
              <w:pStyle w:val="Compact"/>
              <w:jc w:val="left"/>
            </w:pPr>
            <w:r>
              <w:t xml:space="preserve">6 meses</w:t>
            </w:r>
          </w:p>
        </w:tc>
        <w:tc>
          <w:tcPr/>
          <w:p>
            <w:pPr>
              <w:pStyle w:val="Compact"/>
              <w:jc w:val="left"/>
            </w:pPr>
            <w:r>
              <w:t xml:space="preserve">dosis alta similar a la GH, baja más débil</w:t>
            </w:r>
          </w:p>
        </w:tc>
      </w:tr>
      <w:tr>
        <w:tc>
          <w:tcPr/>
          <w:p>
            <w:pPr>
              <w:pStyle w:val="Compact"/>
              <w:jc w:val="left"/>
            </w:pPr>
            <w:r>
              <w:t xml:space="preserve">Adultos mayores (Khorram 1997), PMID 9141536</w:t>
            </w:r>
          </w:p>
        </w:tc>
        <w:tc>
          <w:tcPr/>
          <w:p>
            <w:pPr>
              <w:pStyle w:val="Compact"/>
              <w:jc w:val="left"/>
            </w:pPr>
            <w:r>
              <w:t xml:space="preserve">19 personas sanas, 55–71 años, simple ciego, fase previa con placebo</w:t>
            </w:r>
          </w:p>
        </w:tc>
        <w:tc>
          <w:tcPr/>
          <w:p>
            <w:pPr>
              <w:pStyle w:val="Compact"/>
              <w:jc w:val="left"/>
            </w:pPr>
            <w:r>
              <w:t xml:space="preserve">5 meses</w:t>
            </w:r>
          </w:p>
        </w:tc>
        <w:tc>
          <w:tcPr/>
          <w:p>
            <w:pPr>
              <w:pStyle w:val="Compact"/>
              <w:jc w:val="left"/>
            </w:pPr>
            <w:r>
              <w:t xml:space="preserve">IGF-1 ↑, masa libre de grasa ↑ solo en hombres</w:t>
            </w:r>
          </w:p>
        </w:tc>
      </w:tr>
      <w:tr>
        <w:tc>
          <w:tcPr/>
          <w:p>
            <w:pPr>
              <w:pStyle w:val="Compact"/>
              <w:jc w:val="left"/>
            </w:pPr>
            <w:r>
              <w:t xml:space="preserve">Hombres mayores (Vittone 1997), PMID 9005976</w:t>
            </w:r>
          </w:p>
        </w:tc>
        <w:tc>
          <w:tcPr/>
          <w:p>
            <w:pPr>
              <w:pStyle w:val="Compact"/>
              <w:jc w:val="left"/>
            </w:pPr>
            <w:r>
              <w:t xml:space="preserve">11 personas sanas, 64–76 años, sin grupo de control</w:t>
            </w:r>
          </w:p>
        </w:tc>
        <w:tc>
          <w:tcPr/>
          <w:p>
            <w:pPr>
              <w:pStyle w:val="Compact"/>
              <w:jc w:val="left"/>
            </w:pPr>
            <w:r>
              <w:t xml:space="preserve">6 semanas</w:t>
            </w:r>
          </w:p>
        </w:tc>
        <w:tc>
          <w:tcPr/>
          <w:p>
            <w:pPr>
              <w:pStyle w:val="Compact"/>
              <w:jc w:val="left"/>
            </w:pPr>
            <w:r>
              <w:t xml:space="preserve">GH ↑, IGF-1 y composición corporal sin cambios</w:t>
            </w:r>
          </w:p>
        </w:tc>
      </w:tr>
      <w:tr>
        <w:tc>
          <w:tcPr/>
          <w:p>
            <w:pPr>
              <w:pStyle w:val="Compact"/>
              <w:jc w:val="left"/>
            </w:pPr>
            <w:r>
              <w:t xml:space="preserve">Clínica masculina (Sigalos 2017), PMID 28830317</w:t>
            </w:r>
          </w:p>
        </w:tc>
        <w:tc>
          <w:tcPr/>
          <w:p>
            <w:pPr>
              <w:pStyle w:val="Compact"/>
              <w:jc w:val="left"/>
            </w:pPr>
            <w:r>
              <w:t xml:space="preserve">14 hombres, retrospectivo, combinación con GHRP-2/-6</w:t>
            </w:r>
          </w:p>
        </w:tc>
        <w:tc>
          <w:tcPr/>
          <w:p>
            <w:pPr>
              <w:pStyle w:val="Compact"/>
              <w:jc w:val="left"/>
            </w:pPr>
            <w:r>
              <w:t xml:space="preserve">media de 134 días</w:t>
            </w:r>
          </w:p>
        </w:tc>
        <w:tc>
          <w:tcPr/>
          <w:p>
            <w:pPr>
              <w:pStyle w:val="Compact"/>
              <w:jc w:val="left"/>
            </w:pPr>
            <w:r>
              <w:t xml:space="preserve">IGF-1 159,5 → 239,0 ng/ml</w:t>
            </w:r>
          </w:p>
        </w:tc>
      </w:tr>
    </w:tbl>
    <w:bookmarkEnd w:id="472"/>
    <w:bookmarkEnd w:id="473"/>
    <w:bookmarkStart w:id="474" w:name="estudios-en-animales-y-de-laboratorio-23"/>
    <w:p>
      <w:pPr>
        <w:pStyle w:val="Heading3"/>
      </w:pPr>
      <w:r>
        <w:t xml:space="preserve">Estudios en animales y de laboratorio</w:t>
      </w:r>
    </w:p>
    <w:p>
      <w:pPr>
        <w:pStyle w:val="FirstParagraph"/>
      </w:pPr>
      <w:r>
        <w:t xml:space="preserve">La propia sermorelina se estudió en el laboratorio sobre todo en relación con su descubrimiento y con variantes de acción más prolongada, por ejemplo variantes acopladas a polietilenglicol que en ratas y cerdos actuaron durante más tiempo que el péptido sin modificar (Esposito 2003, PMID 14499707). Un trabajo puramente computacional que comparó datos de actividad génica de pacientes con glioma con una base de datos de fármacos citó la sermorelina como posible candidata contra los tumores cerebrales recurrentes (Chang 2021, PMID 33842627). Es una hipótesis informática sin confirmación en laboratorio ni en pacientes, y contrasta llamativamente con la preocupación de que estimular el eje del crecimiento pueda más bien favorecer los tumores.</w:t>
      </w:r>
    </w:p>
    <w:bookmarkEnd w:id="474"/>
    <w:bookmarkStart w:id="475" w:name="riesgos-y-efectos-adversos-23"/>
    <w:p>
      <w:pPr>
        <w:pStyle w:val="Heading3"/>
      </w:pPr>
      <w:r>
        <w:t xml:space="preserve">Riesgos y efectos adversos</w:t>
      </w:r>
    </w:p>
    <w:p>
      <w:pPr>
        <w:pStyle w:val="FirstParagraph"/>
      </w:pPr>
      <w:r>
        <w:rPr>
          <w:bCs/>
          <w:b/>
        </w:rPr>
        <w:t xml:space="preserve">Demostrado (a partir de los datos de autorización y de estudios):</w:t>
      </w:r>
      <w:r>
        <w:t xml:space="preserve"> </w:t>
      </w:r>
      <w:r>
        <w:t xml:space="preserve">el enrojecimiento facial transitorio (flush) y el dolor en el lugar de inyección fueron los efectos secundarios más frecuentes (Prakash 1999, PMID 18031173). Los anticuerpos contra la sermorelina aparecieron con frecuencia en niños, sin consecuencias reconocibles (Ross 1987, PMID 2879138). En algunos estudios aumentaron transitoriamente la glucemia, la insulina o los lípidos sanguíneos (Kirk 1994, PMID 7955460; Khorram 1997, PMID 9141536).</w:t>
      </w:r>
    </w:p>
    <w:p>
      <w:pPr>
        <w:pStyle w:val="BodyText"/>
      </w:pPr>
      <w:r>
        <w:rPr>
          <w:bCs/>
          <w:b/>
        </w:rPr>
        <w:t xml:space="preserve">Riesgos a largo plazo:</w:t>
      </w:r>
      <w:r>
        <w:t xml:space="preserve"> </w:t>
      </w:r>
      <w:r>
        <w:t xml:space="preserve">no existen datos sistemáticos a largo plazo sobre la sermorelina en adultos. Un informe de caso describe a un culturista aficionado de 62 años que había utilizado durante unos 20 años hormona del crecimiento y liberadores de GH (entre ellos sermorelina con GHRP-6) y desarrolló dificultades para tragar por un gran osteofito en la columna cervical; los autores consideran posible una relación, pero no demostrada (Perez 2026, PMID 42465868). Sobre la cuestión de fondo de si una elevación continuada del IGF-1 aumenta el riesgo de cáncer, véanse la introducción a este grupo y la Parte IV.</w:t>
      </w:r>
    </w:p>
    <w:p>
      <w:pPr>
        <w:pStyle w:val="BodyText"/>
      </w:pPr>
      <w:r>
        <w:rPr>
          <w:bCs/>
          <w:b/>
        </w:rPr>
        <w:t xml:space="preserve">Mercado gris:</w:t>
      </w:r>
      <w:r>
        <w:t xml:space="preserve"> </w:t>
      </w:r>
      <w:r>
        <w:t xml:space="preserve">en una operación aduanera europea se encontraron, entre los preparados inyectables incautados, además de hormona del crecimiento y melanotán II, también productos de sermorelina, sin etiquetado y en parte sin principio activo (Venhuis 2016, PMID 26456392).</w:t>
      </w:r>
    </w:p>
    <w:bookmarkEnd w:id="475"/>
    <w:bookmarkStart w:id="476" w:name="situación-legal-23"/>
    <w:p>
      <w:pPr>
        <w:pStyle w:val="Heading3"/>
      </w:pPr>
      <w:r>
        <w:t xml:space="preserve">Situación legal</w:t>
      </w:r>
    </w:p>
    <w:p>
      <w:pPr>
        <w:pStyle w:val="FirstParagraph"/>
      </w:pPr>
      <w:r>
        <w:rPr>
          <w:iCs/>
          <w:i/>
        </w:rPr>
        <w:t xml:space="preserve">Situación en 2026, compruébelo en su versión actual.</w:t>
      </w:r>
    </w:p>
    <w:p>
      <w:pPr>
        <w:numPr>
          <w:ilvl w:val="0"/>
          <w:numId w:val="1149"/>
        </w:numPr>
        <w:pStyle w:val="Compact"/>
      </w:pPr>
      <w:r>
        <w:rPr>
          <w:bCs/>
          <w:b/>
        </w:rPr>
        <w:t xml:space="preserve">Antecedentes de la autorización en EE. UU.:</w:t>
      </w:r>
      <w:r>
        <w:t xml:space="preserve"> </w:t>
      </w:r>
      <w:r>
        <w:t xml:space="preserve">Geref estuvo autorizado en EE. UU. primero como agente diagnóstico y, desde la década de 1990, para el tratamiento de niños con déficit de hormona del crecimiento. El fabricante interrumpió la distribución hacia finales de la década de 2000; según la información de acceso público, por motivos de fabricación o económicos y no por un problema de seguridad recién detectado. Que el agente diagnóstico desapareció por esas fechas está documentado en un estudio (Garcia 2013, PMID 23559086). Hoy no existe ningún medicamento fabricado industrialmente con una autorización válida.</w:t>
      </w:r>
    </w:p>
    <w:p>
      <w:pPr>
        <w:numPr>
          <w:ilvl w:val="0"/>
          <w:numId w:val="1149"/>
        </w:numPr>
        <w:pStyle w:val="Compact"/>
      </w:pPr>
      <w:r>
        <w:rPr>
          <w:bCs/>
          <w:b/>
        </w:rPr>
        <w:t xml:space="preserve">EE. UU. hoy:</w:t>
      </w:r>
      <w:r>
        <w:t xml:space="preserve"> </w:t>
      </w:r>
      <w:r>
        <w:t xml:space="preserve">la sermorelina la elaboran farmacias de formulación magistral (compounding) y se prescribe sobre todo en consultas antienvejecimiento. Si esto es lícito, y en qué condiciones, depende de las cambiantes normas de la FDA para los principios activos de formulación magistral, que se debaten de forma controvertida en círculos especializados (Willis 2026, PMID 42752426).</w:t>
      </w:r>
    </w:p>
    <w:p>
      <w:pPr>
        <w:numPr>
          <w:ilvl w:val="0"/>
          <w:numId w:val="1149"/>
        </w:numPr>
        <w:pStyle w:val="Compact"/>
      </w:pPr>
      <w:r>
        <w:rPr>
          <w:bCs/>
          <w:b/>
        </w:rPr>
        <w:t xml:space="preserve">UE, Alemania, Austria:</w:t>
      </w:r>
      <w:r>
        <w:t xml:space="preserve"> </w:t>
      </w:r>
      <w:r>
        <w:t xml:space="preserve">sin autorización y sin ningún medicamento comercializado. La dispensación para uso en humanos sin autorización es ilegal según la respectiva ley del medicamento; las etiquetas «solo para fines de investigación» no cambian nada.</w:t>
      </w:r>
    </w:p>
    <w:p>
      <w:pPr>
        <w:numPr>
          <w:ilvl w:val="0"/>
          <w:numId w:val="1149"/>
        </w:numPr>
        <w:pStyle w:val="Compact"/>
      </w:pPr>
      <w:r>
        <w:rPr>
          <w:bCs/>
          <w:b/>
        </w:rPr>
        <w:t xml:space="preserve">WADA:</w:t>
      </w:r>
      <w:r>
        <w:t xml:space="preserve"> </w:t>
      </w:r>
      <w:r>
        <w:t xml:space="preserve">prohibida (S2). Se han desarrollado métodos de detección de la sermorelina y sus productos de degradación en orina (Memdouh 2021, PMID 34665524).</w:t>
      </w:r>
    </w:p>
    <w:bookmarkEnd w:id="476"/>
    <w:bookmarkStart w:id="477" w:name="estudios-en-curso-y-perspectivas-23"/>
    <w:p>
      <w:pPr>
        <w:pStyle w:val="Heading3"/>
      </w:pPr>
      <w:r>
        <w:t xml:space="preserve">Estudios en curso y perspectivas</w:t>
      </w:r>
    </w:p>
    <w:p>
      <w:pPr>
        <w:pStyle w:val="FirstParagraph"/>
      </w:pPr>
      <w:r>
        <w:t xml:space="preserve">En octubre de 2026 no figura en ClinicalTrials.gov ningún estudio clínico en curso con la propia sermorelina; las entradas del registro con este término de búsqueda se refieren a estudios de GHRH concluidos o a la tesamorelina.</w:t>
      </w:r>
      <w:r>
        <w:t xml:space="preserve"> </w:t>
      </w:r>
      <w:r>
        <w:rPr>
          <w:iCs/>
          <w:i/>
        </w:rPr>
        <w:t xml:space="preserve">Valoración del autor:</w:t>
      </w:r>
      <w:r>
        <w:t xml:space="preserve"> </w:t>
      </w:r>
      <w:r>
        <w:t xml:space="preserve">no se vislumbra un regreso como medicamento autorizado. La demanda seguirá impulsada por clínicas y proveedores en línea, no por nuevos datos de estudios.</w:t>
      </w:r>
    </w:p>
    <w:bookmarkEnd w:id="477"/>
    <w:bookmarkStart w:id="478" w:name="conclusión-23"/>
    <w:p>
      <w:pPr>
        <w:pStyle w:val="Heading3"/>
      </w:pPr>
      <w:r>
        <w:t xml:space="preserve">Conclusión</w:t>
      </w:r>
    </w:p>
    <w:p>
      <w:pPr>
        <w:pStyle w:val="FirstParagraph"/>
      </w:pPr>
      <w:r>
        <w:t xml:space="preserve">La sermorelina estimula de forma fiable la liberación propia de hormona del crecimiento y estuvo autorizada en EE. UU. para niños con déficit de hormona del crecimiento, aunque allí actuó de forma más débil que la propia hormona del crecimiento. Los estudios en adultos mayores incluyen cada uno solo entre diez y veinte personas y muestran, a lo sumo, efectos pequeños e inconsistentes. Faltan pruebas de un beneficio como producto «antienvejecimiento» o para mejorar el rendimiento, así como datos de seguridad a largo plazo.</w:t>
      </w:r>
    </w:p>
    <w:bookmarkEnd w:id="478"/>
    <w:bookmarkEnd w:id="479"/>
    <w:bookmarkStart w:id="492" w:name="tesamorelina"/>
    <w:p>
      <w:pPr>
        <w:pStyle w:val="Heading2"/>
      </w:pPr>
      <w:r>
        <w:t xml:space="preserve">Tesamorelina</w:t>
      </w:r>
    </w:p>
    <w:p>
      <w:pPr>
        <w:pStyle w:val="FirstParagraph"/>
      </w:pPr>
      <w:r>
        <w:t xml:space="preserve">La tesamorelina es el único péptido de este grupo que hoy está autorizado en EE. UU. como medicamento para tratamiento continuado, aunque para una situación muy concreta: el exceso de grasa abdominal en personas con VIH. Precisamente por eso resulta instructiva. Con la tesamorelina puede mostrarse qué consigue realmente, en estudios rigurosos y controlados con placebo, un aumento de la secreción propia de hormona del crecimiento, y qué no. En internet, en cambio, se promociona a menudo como «péptido contra la grasa abdominal» para todo el mundo. Este capítulo separa el uso demostrado de las esperanzas.</w:t>
      </w:r>
    </w:p>
    <w:bookmarkStart w:id="480" w:name="ficha-24"/>
    <w:p>
      <w:pPr>
        <w:pStyle w:val="Heading3"/>
      </w:pPr>
      <w:r>
        <w:t xml:space="preserve">Ficha</w:t>
      </w:r>
    </w:p>
    <w:p>
      <w:pPr>
        <w:numPr>
          <w:ilvl w:val="0"/>
          <w:numId w:val="1150"/>
        </w:numPr>
        <w:pStyle w:val="Compact"/>
      </w:pPr>
      <w:r>
        <w:rPr>
          <w:bCs/>
          <w:b/>
        </w:rPr>
        <w:t xml:space="preserve">Tipo y estructura:</w:t>
      </w:r>
      <w:r>
        <w:t xml:space="preserve"> </w:t>
      </w:r>
      <w:r>
        <w:t xml:space="preserve">péptido sintético de 44 aminoácidos; corresponde a la hormona liberadora de la hormona del crecimiento humana completa, GHRH(1-44) (Falutz 2010, PMID 20101189), a cuyo extremo inicial se ha acoplado un grupo químico adicional que retrasa su rápida degradación en la sangre.</w:t>
      </w:r>
    </w:p>
    <w:p>
      <w:pPr>
        <w:numPr>
          <w:ilvl w:val="0"/>
          <w:numId w:val="1150"/>
        </w:numPr>
        <w:pStyle w:val="Compact"/>
      </w:pPr>
      <w:r>
        <w:rPr>
          <w:bCs/>
          <w:b/>
        </w:rPr>
        <w:t xml:space="preserve">Origen:</w:t>
      </w:r>
      <w:r>
        <w:t xml:space="preserve"> </w:t>
      </w:r>
      <w:r>
        <w:t xml:space="preserve">desarrollada por la empresa canadiense Theratechnologies (nombre de desarrollo TH9507).</w:t>
      </w:r>
    </w:p>
    <w:p>
      <w:pPr>
        <w:numPr>
          <w:ilvl w:val="0"/>
          <w:numId w:val="1150"/>
        </w:numPr>
        <w:pStyle w:val="Compact"/>
      </w:pPr>
      <w:r>
        <w:rPr>
          <w:bCs/>
          <w:b/>
        </w:rPr>
        <w:t xml:space="preserve">Mecanismo de acción:</w:t>
      </w:r>
      <w:r>
        <w:t xml:space="preserve"> </w:t>
      </w:r>
      <w:r>
        <w:t xml:space="preserve">se une, como la GHRH propia del organismo, a su receptor en la hipófisis y aumenta así la secreción propia de hormona del crecimiento (GH), que sigue siendo pulsátil; como consecuencia aumenta el mensajero IGF-1.</w:t>
      </w:r>
    </w:p>
    <w:p>
      <w:pPr>
        <w:numPr>
          <w:ilvl w:val="0"/>
          <w:numId w:val="1150"/>
        </w:numPr>
        <w:pStyle w:val="Compact"/>
      </w:pPr>
      <w:r>
        <w:rPr>
          <w:bCs/>
          <w:b/>
        </w:rPr>
        <w:t xml:space="preserve">Autorización UE:</w:t>
      </w:r>
      <w:r>
        <w:t xml:space="preserve"> </w:t>
      </w:r>
      <w:r>
        <w:t xml:space="preserve">no.</w:t>
      </w:r>
      <w:r>
        <w:t xml:space="preserve"> </w:t>
      </w:r>
      <w:r>
        <w:rPr>
          <w:bCs/>
          <w:b/>
        </w:rPr>
        <w:t xml:space="preserve">Autorización EE. UU.:</w:t>
      </w:r>
      <w:r>
        <w:t xml:space="preserve"> </w:t>
      </w:r>
      <w:r>
        <w:t xml:space="preserve">sí (Egrifta, desde 2010) para reducir el exceso de grasa abdominal en adultos con VIH y lipodistrofia (autorización de la FDA descrita en Traynor 2010, PMID 21115997).</w:t>
      </w:r>
    </w:p>
    <w:p>
      <w:pPr>
        <w:numPr>
          <w:ilvl w:val="0"/>
          <w:numId w:val="1150"/>
        </w:numPr>
        <w:pStyle w:val="Compact"/>
      </w:pPr>
      <w:r>
        <w:rPr>
          <w:bCs/>
          <w:b/>
        </w:rPr>
        <w:t xml:space="preserve">WADA:</w:t>
      </w:r>
      <w:r>
        <w:t xml:space="preserve"> </w:t>
      </w:r>
      <w:r>
        <w:t xml:space="preserve">prohibida, grupo S2 (hormonas peptídicas, factores de crecimiento, sustancias relacionadas), incluida expresamente como análogo de la GHRH.</w:t>
      </w:r>
    </w:p>
    <w:p>
      <w:pPr>
        <w:numPr>
          <w:ilvl w:val="0"/>
          <w:numId w:val="1150"/>
        </w:numPr>
        <w:pStyle w:val="Compact"/>
      </w:pPr>
      <w:r>
        <w:rPr>
          <w:bCs/>
          <w:b/>
        </w:rPr>
        <w:t xml:space="preserve">Nivel de evidencia: A</w:t>
      </w:r>
      <w:r>
        <w:t xml:space="preserve"> </w:t>
      </w:r>
      <w:r>
        <w:t xml:space="preserve">– dos grandes estudios de fase 3 con 806 participantes en total, varios estudios aleatorizados más, autorización en EE. UU.</w:t>
      </w:r>
    </w:p>
    <w:bookmarkEnd w:id="480"/>
    <w:bookmarkStart w:id="481" w:name="cómo-se-supone-que-actúa-24"/>
    <w:p>
      <w:pPr>
        <w:pStyle w:val="Heading3"/>
      </w:pPr>
      <w:r>
        <w:t xml:space="preserve">Cómo se supone que actúa</w:t>
      </w:r>
    </w:p>
    <w:p>
      <w:pPr>
        <w:pStyle w:val="FirstParagraph"/>
      </w:pPr>
      <w:r>
        <w:t xml:space="preserve">La hipófisis no libera la hormona del crecimiento de manera uniforme, sino en pulsos, sobre todo por la noche. Esto lo regulan dos antagonistas del diencéfalo: la GHRH acelera y la somatostatina frena. La propia hormona del crecimiento degrada grasa –en especial la grasa situada entre los órganos de la cavidad abdominal (grasa visceral)– y estimula al hígado a producir IGF-1, que media muchos de los efectos anabólicos.</w:t>
      </w:r>
    </w:p>
    <w:p>
      <w:pPr>
        <w:pStyle w:val="BodyText"/>
      </w:pPr>
      <w:r>
        <w:t xml:space="preserve">Con determinados tratamientos contra el VIH, sobre todo los más antiguos, algunas personas acumulan una cantidad llamativa de grasa abdominal, mientras que brazos y piernas tienden a adelgazar. Esta redistribución de la grasa se denomina lipodistrofia. En las personas afectadas, la secreción de hormona del crecimiento suele estar reducida. La idea de la tesamorelina: en lugar de inyectar hormona del crecimiento desde fuera, se estimula la propia hipófisis. Como se conservan los circuitos de retroalimentación del organismo, los niveles excesivos y sus efectos adversos deberían ser menos frecuentes que con la administración directa de GH, una suposición que los estudios respaldan en parte, pero no por completo.</w:t>
      </w:r>
    </w:p>
    <w:bookmarkEnd w:id="481"/>
    <w:bookmarkStart w:id="486" w:name="estudios-en-humanos-24"/>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 encontró</w:t>
      </w:r>
      <w:r>
        <w:t xml:space="preserve"> </w:t>
      </w:r>
      <w:r>
        <w:rPr>
          <w:bCs/>
          <w:b/>
        </w:rPr>
        <w:t xml:space="preserve">23</w:t>
      </w:r>
      <w:r>
        <w:t xml:space="preserve"> </w:t>
      </w:r>
      <w:r>
        <w:t xml:space="preserve">estudios en humanos en PubMed (</w:t>
      </w:r>
      <w:r>
        <w:rPr>
          <w:rStyle w:val="VerbatimChar"/>
        </w:rPr>
        <w:t xml:space="preserve">humanstudien_alle</w:t>
      </w:r>
      <w:r>
        <w:t xml:space="preserve">) y</w:t>
      </w:r>
      <w:r>
        <w:t xml:space="preserve"> </w:t>
      </w:r>
      <w:r>
        <w:rPr>
          <w:bCs/>
          <w:b/>
        </w:rPr>
        <w:t xml:space="preserve">24</w:t>
      </w:r>
      <w:r>
        <w:t xml:space="preserve"> </w:t>
      </w:r>
      <w:r>
        <w:t xml:space="preserve">entradas en ClinicalTrials.gov; una de ellas (promotor «Hudson Biotech», con el añadido «Mock Study» en el título) es al parecer un registro ficticio de ejemplo y no se cuenta aquí, de modo que quedan</w:t>
      </w:r>
      <w:r>
        <w:t xml:space="preserve"> </w:t>
      </w:r>
      <w:r>
        <w:rPr>
          <w:bCs/>
          <w:b/>
        </w:rPr>
        <w:t xml:space="preserve">23</w:t>
      </w:r>
      <w:r>
        <w:t xml:space="preserve"> </w:t>
      </w:r>
      <w:r>
        <w:t xml:space="preserve">estudios registrados reales. A ello se suman tres revisiones sistemáticas con metaanálisis.</w:t>
      </w:r>
    </w:p>
    <w:bookmarkStart w:id="482" w:name="los-estudios-de-autorización"/>
    <w:p>
      <w:pPr>
        <w:pStyle w:val="Heading4"/>
      </w:pPr>
      <w:r>
        <w:t xml:space="preserve">Los estudios de autorización</w:t>
      </w:r>
    </w:p>
    <w:p>
      <w:pPr>
        <w:pStyle w:val="FirstParagraph"/>
      </w:pPr>
      <w:r>
        <w:t xml:space="preserve">La autorización se basa en dos estudios de fase 3 de diseño casi idéntico en personas con VIH y exceso de grasa abdominal. En ambos, los participantes recibieron en proporción 2:1 tesamorelina o un medicamento simulado (placebo) inyectado diariamente bajo la piel; tras 26 semanas siguió una fase de extensión en la que una parte del grupo de tesamorelina continuó el tratamiento y otra pasó a placebo.</w:t>
      </w:r>
    </w:p>
    <w:p>
      <w:pPr>
        <w:pStyle w:val="BodyText"/>
      </w:pPr>
      <w:r>
        <w:t xml:space="preserve">En el primer estudio, con 412 participantes (86 % hombres), la grasa visceral, medida por tomografía computarizada, disminuyó un 15,2 % con tesamorelina y aumentó un 5,0 % con placebo. Los triglicéridos (grasas en sangre) bajaron 50 mg/dl frente a un aumento de 9 mg/dl. El IGF-1 aumentó un 81,0 %. Los valores de glucosa no difirieron de forma significativa; sin embargo, en el grupo de tesamorelina abandonaron más participantes por efectos adversos (Falutz 2007, PMID 18057338). A lo largo de 52 semanas, con tratamiento continuado, la reducción de grasa abdominal se mantuvo en torno a −18 %; tras la suspensión, la grasa volvió (Falutz 2008, PMID 18690162).</w:t>
      </w:r>
    </w:p>
    <w:p>
      <w:pPr>
        <w:pStyle w:val="BodyText"/>
      </w:pPr>
      <w:r>
        <w:t xml:space="preserve">El segundo estudio, con 404 participantes, lo confirmó: −10,9 % de grasa visceral con tesamorelina frente a −0,6 % con placebo a los seis meses, sin cambios en la grasa subcutánea de brazos, piernas y abdomen, y una rápida pérdida del efecto tras el cambio a placebo (Falutz 2010, PMID 20101189).</w:t>
      </w:r>
    </w:p>
    <w:p>
      <w:pPr>
        <w:pStyle w:val="BodyText"/>
      </w:pPr>
      <w:r>
        <w:t xml:space="preserve">El análisis conjunto de ambos estudios con 806 personas mostró a las 26 semanas un efecto del tratamiento de −15,4 % en la grasa visceral, mejoras en los triglicéridos y en el cociente entre colesterol total y colesterol HDL, así como en la satisfacción con el aspecto del abdomen. Los autores no encontraron diferencias clínicamente relevantes en los valores de glucosa (Falutz 2010, PMID 20554713). No todas las personas se benefician por igual: un análisis posterior definió de antemano como «respuesta» una reducción de la grasa abdominal de al menos un 8 %. En estos respondedores, los triglicéridos bajaron de forma claramente más marcada y la glucosa y la HbA1c se mantuvieron en gran medida estables; en los no respondedores, la glucosa en ayunas y la HbA1c aumentaron ligeramente (análisis a posteriori) (Stanley 2012, PMID 22495074).</w:t>
      </w:r>
    </w:p>
    <w:bookmarkEnd w:id="482"/>
    <w:bookmarkStart w:id="483" w:name="grasa-hepática"/>
    <w:p>
      <w:pPr>
        <w:pStyle w:val="Heading4"/>
      </w:pPr>
      <w:r>
        <w:t xml:space="preserve">Grasa hepática</w:t>
      </w:r>
    </w:p>
    <w:p>
      <w:pPr>
        <w:pStyle w:val="FirstParagraph"/>
      </w:pPr>
      <w:r>
        <w:t xml:space="preserve">Especialmente interesante es el efecto sobre el hígado graso. En un estudio más pequeño con 50 personas con VIH disminuyó, además de la grasa abdominal, la grasa hepática; la glucosa en ayunas aumentó transitoriamente a las dos semanas, y a los seis meses ya no había diferencia significativa (Stanley 2014, PMID 25038357). Un estudio aleatorizado y doble ciego posterior examinó específicamente a 61 personas con VIH y enfermedad del hígado graso no alcohólico durante doce meses con biopsias hepáticas. La fracción de grasa hepática bajó en términos absolutos 4,1 puntos porcentuales más que con placebo, y en términos relativos un 37 %; al final, el 35 % del grupo de tesamorelina, pero solo el 4 % del grupo placebo, quedaba por debajo del umbral de hígado graso del 5 % (Stanley 2019, PMID 31611038). No se ha estudiado si esto previene a largo plazo la cirrosis o el cáncer de hígado.</w:t>
      </w:r>
    </w:p>
    <w:bookmarkEnd w:id="483"/>
    <w:bookmarkStart w:id="484" w:name="otras-aplicaciones"/>
    <w:p>
      <w:pPr>
        <w:pStyle w:val="Heading4"/>
      </w:pPr>
      <w:r>
        <w:t xml:space="preserve">Otras aplicaciones</w:t>
      </w:r>
    </w:p>
    <w:p>
      <w:pPr>
        <w:pStyle w:val="FirstParagraph"/>
      </w:pPr>
      <w:r>
        <w:t xml:space="preserve">Fuera del VIH solo hay estudios más pequeños:</w:t>
      </w:r>
    </w:p>
    <w:p>
      <w:pPr>
        <w:numPr>
          <w:ilvl w:val="0"/>
          <w:numId w:val="1151"/>
        </w:numPr>
        <w:pStyle w:val="Compact"/>
      </w:pPr>
      <w:r>
        <w:t xml:space="preserve">En 60 personas con obesidad abdominal y secreción reducida de GH (sin VIH), la tesamorelina redujo durante doce meses la grasa visceral, los triglicéridos, la proteína C reactiva y el grosor de la pared de la arteria carótida, sin empeorar los valores de glucosa (Makimura 2012, PMID 23015655).</w:t>
      </w:r>
    </w:p>
    <w:p>
      <w:pPr>
        <w:numPr>
          <w:ilvl w:val="0"/>
          <w:numId w:val="1151"/>
        </w:numPr>
        <w:pStyle w:val="Compact"/>
      </w:pPr>
      <w:r>
        <w:t xml:space="preserve">En 53 personas con diabetes de tipo 2, ni la respuesta insulínica ni la HbA1c cambiaron frente a placebo a lo largo de doce semanas (Clemmons 2017, PMID 28617838).</w:t>
      </w:r>
    </w:p>
    <w:p>
      <w:pPr>
        <w:numPr>
          <w:ilvl w:val="0"/>
          <w:numId w:val="1151"/>
        </w:numPr>
        <w:pStyle w:val="Compact"/>
      </w:pPr>
      <w:r>
        <w:t xml:space="preserve">En un estudio con 152 adultos mayores (de 55 a 87 años), 66 de ellos con deterioro cognitivo leve, se observó a las 20 semanas un efecto favorable en la valoración global del rendimiento cognitivo, sobre todo en las funciones ejecutivas. Refirieron efectos adversos –en su mayoría leves– el 68 % con tesamorelina frente al 36 % con placebo (Baker 2012, PMID 22869065). Falta un estudio de confirmación.</w:t>
      </w:r>
    </w:p>
    <w:p>
      <w:pPr>
        <w:numPr>
          <w:ilvl w:val="0"/>
          <w:numId w:val="1151"/>
        </w:numPr>
        <w:pStyle w:val="Compact"/>
      </w:pPr>
      <w:r>
        <w:t xml:space="preserve">En 73 personas con VIH, obesidad abdominal y limitaciones cognitivas, un estudio abierto de fase 2 no mostró diferencias significativas en el rendimiento cognitivo frente al tratamiento estándar (Ellis 2025, PMID 39813152).</w:t>
      </w:r>
    </w:p>
    <w:bookmarkEnd w:id="484"/>
    <w:bookmarkStart w:id="485" w:name="metaanálisis"/>
    <w:p>
      <w:pPr>
        <w:pStyle w:val="Heading4"/>
      </w:pPr>
      <w:r>
        <w:t xml:space="preserve">Metaanálisis</w:t>
      </w:r>
    </w:p>
    <w:p>
      <w:pPr>
        <w:pStyle w:val="FirstParagraph"/>
      </w:pPr>
      <w:r>
        <w:t xml:space="preserve">Dos metaanálisis del año 2026 resumen los estudios aleatorizados en la lipodistrofia asociada al VIH. Uno de ellos (cuatro estudios, 909 personas) encontró una reducción de la grasa visceral, del perímetro de cintura en 1,61 cm y de la grasa del tronco, así como un aumento de la masa libre de grasa de 1,42 kg; la tasa de abandono por efectos adversos tendía a ser mayor (razón de riesgos 2,25, por poco no significativa estadísticamente) (Ditta 2026, PMID 42538058). El otro (cinco estudios) confirmó la disminución de la grasa hepática en 4,28 puntos porcentuales y citó como efectos adversos típicos los dolores articulares y musculares, las parestesias y las reacciones cutáneas en el lugar de inyección (Badran 2026, PMID 41545261).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Fase 3, estudio 1 (Falutz 2007), PMID 18057338</w:t>
            </w:r>
          </w:p>
        </w:tc>
        <w:tc>
          <w:tcPr/>
          <w:p>
            <w:pPr>
              <w:pStyle w:val="Compact"/>
              <w:jc w:val="left"/>
            </w:pPr>
            <w:r>
              <w:t xml:space="preserve">412 personas con VIH y grasa abdominal, ECA frente a placebo</w:t>
            </w:r>
          </w:p>
        </w:tc>
        <w:tc>
          <w:tcPr/>
          <w:p>
            <w:pPr>
              <w:pStyle w:val="Compact"/>
              <w:jc w:val="left"/>
            </w:pPr>
            <w:r>
              <w:t xml:space="preserve">26 semanas</w:t>
            </w:r>
          </w:p>
        </w:tc>
        <w:tc>
          <w:tcPr/>
          <w:p>
            <w:pPr>
              <w:pStyle w:val="Compact"/>
              <w:jc w:val="left"/>
            </w:pPr>
            <w:r>
              <w:t xml:space="preserve">grasa visceral −15,2 % frente a +5,0 %</w:t>
            </w:r>
          </w:p>
        </w:tc>
      </w:tr>
      <w:tr>
        <w:tc>
          <w:tcPr/>
          <w:p>
            <w:pPr>
              <w:pStyle w:val="Compact"/>
              <w:jc w:val="left"/>
            </w:pPr>
            <w:r>
              <w:t xml:space="preserve">Fase 3, estudio 2 (Falutz 2010), PMID 20101189</w:t>
            </w:r>
          </w:p>
        </w:tc>
        <w:tc>
          <w:tcPr/>
          <w:p>
            <w:pPr>
              <w:pStyle w:val="Compact"/>
              <w:jc w:val="left"/>
            </w:pPr>
            <w:r>
              <w:t xml:space="preserve">404 personas con VIH, ECA con fase de extensión</w:t>
            </w:r>
          </w:p>
        </w:tc>
        <w:tc>
          <w:tcPr/>
          <w:p>
            <w:pPr>
              <w:pStyle w:val="Compact"/>
              <w:jc w:val="left"/>
            </w:pPr>
            <w:r>
              <w:t xml:space="preserve">12 meses</w:t>
            </w:r>
          </w:p>
        </w:tc>
        <w:tc>
          <w:tcPr/>
          <w:p>
            <w:pPr>
              <w:pStyle w:val="Compact"/>
              <w:jc w:val="left"/>
            </w:pPr>
            <w:r>
              <w:t xml:space="preserve">−10,9 % frente a −0,6 % a los 6 meses; el efecto se pierde al suspender</w:t>
            </w:r>
          </w:p>
        </w:tc>
      </w:tr>
      <w:tr>
        <w:tc>
          <w:tcPr/>
          <w:p>
            <w:pPr>
              <w:pStyle w:val="Compact"/>
              <w:jc w:val="left"/>
            </w:pPr>
            <w:r>
              <w:t xml:space="preserve">Análisis agrupado (Falutz 2010), PMID 20554713</w:t>
            </w:r>
          </w:p>
        </w:tc>
        <w:tc>
          <w:tcPr/>
          <w:p>
            <w:pPr>
              <w:pStyle w:val="Compact"/>
              <w:jc w:val="left"/>
            </w:pPr>
            <w:r>
              <w:t xml:space="preserve">806 personas de ambos estudios de fase 3</w:t>
            </w:r>
          </w:p>
        </w:tc>
        <w:tc>
          <w:tcPr/>
          <w:p>
            <w:pPr>
              <w:pStyle w:val="Compact"/>
              <w:jc w:val="left"/>
            </w:pPr>
            <w:r>
              <w:t xml:space="preserve">26–52 semanas</w:t>
            </w:r>
          </w:p>
        </w:tc>
        <w:tc>
          <w:tcPr/>
          <w:p>
            <w:pPr>
              <w:pStyle w:val="Compact"/>
              <w:jc w:val="left"/>
            </w:pPr>
            <w:r>
              <w:t xml:space="preserve">efecto del tratamiento −15,4 %; glucosa sin cambios clínicamente relevantes</w:t>
            </w:r>
          </w:p>
        </w:tc>
      </w:tr>
      <w:tr>
        <w:tc>
          <w:tcPr/>
          <w:p>
            <w:pPr>
              <w:pStyle w:val="Compact"/>
              <w:jc w:val="left"/>
            </w:pPr>
            <w:r>
              <w:t xml:space="preserve">Hígado graso en el VIH (Stanley 2019), PMID 31611038</w:t>
            </w:r>
          </w:p>
        </w:tc>
        <w:tc>
          <w:tcPr/>
          <w:p>
            <w:pPr>
              <w:pStyle w:val="Compact"/>
              <w:jc w:val="left"/>
            </w:pPr>
            <w:r>
              <w:t xml:space="preserve">61 personas con VIH e hígado graso, ECA</w:t>
            </w:r>
          </w:p>
        </w:tc>
        <w:tc>
          <w:tcPr/>
          <w:p>
            <w:pPr>
              <w:pStyle w:val="Compact"/>
              <w:jc w:val="left"/>
            </w:pPr>
            <w:r>
              <w:t xml:space="preserve">12 meses</w:t>
            </w:r>
          </w:p>
        </w:tc>
        <w:tc>
          <w:tcPr/>
          <w:p>
            <w:pPr>
              <w:pStyle w:val="Compact"/>
              <w:jc w:val="left"/>
            </w:pPr>
            <w:r>
              <w:t xml:space="preserve">fracción de grasa hepática −4,1 puntos porcentuales frente a placebo</w:t>
            </w:r>
          </w:p>
        </w:tc>
      </w:tr>
      <w:tr>
        <w:tc>
          <w:tcPr/>
          <w:p>
            <w:pPr>
              <w:pStyle w:val="Compact"/>
              <w:jc w:val="left"/>
            </w:pPr>
            <w:r>
              <w:t xml:space="preserve">Sin VIH (Makimura 2012), PMID 23015655</w:t>
            </w:r>
          </w:p>
        </w:tc>
        <w:tc>
          <w:tcPr/>
          <w:p>
            <w:pPr>
              <w:pStyle w:val="Compact"/>
              <w:jc w:val="left"/>
            </w:pPr>
            <w:r>
              <w:t xml:space="preserve">60 adultos con obesidad abdominal, ECA</w:t>
            </w:r>
          </w:p>
        </w:tc>
        <w:tc>
          <w:tcPr/>
          <w:p>
            <w:pPr>
              <w:pStyle w:val="Compact"/>
              <w:jc w:val="left"/>
            </w:pPr>
            <w:r>
              <w:t xml:space="preserve">12 meses</w:t>
            </w:r>
          </w:p>
        </w:tc>
        <w:tc>
          <w:tcPr/>
          <w:p>
            <w:pPr>
              <w:pStyle w:val="Compact"/>
              <w:jc w:val="left"/>
            </w:pPr>
            <w:r>
              <w:t xml:space="preserve">grasa visceral −35 cm² frente a placebo</w:t>
            </w:r>
          </w:p>
        </w:tc>
      </w:tr>
      <w:tr>
        <w:tc>
          <w:tcPr/>
          <w:p>
            <w:pPr>
              <w:pStyle w:val="Compact"/>
              <w:jc w:val="left"/>
            </w:pPr>
            <w:r>
              <w:t xml:space="preserve">Cognición en la vejez (Baker 2012), PMID 22869065</w:t>
            </w:r>
          </w:p>
        </w:tc>
        <w:tc>
          <w:tcPr/>
          <w:p>
            <w:pPr>
              <w:pStyle w:val="Compact"/>
              <w:jc w:val="left"/>
            </w:pPr>
            <w:r>
              <w:t xml:space="preserve">152 personas mayores, 66 de ellas con deterioro cognitivo leve, ECA</w:t>
            </w:r>
          </w:p>
        </w:tc>
        <w:tc>
          <w:tcPr/>
          <w:p>
            <w:pPr>
              <w:pStyle w:val="Compact"/>
              <w:jc w:val="left"/>
            </w:pPr>
            <w:r>
              <w:t xml:space="preserve">20 semanas</w:t>
            </w:r>
          </w:p>
        </w:tc>
        <w:tc>
          <w:tcPr/>
          <w:p>
            <w:pPr>
              <w:pStyle w:val="Compact"/>
              <w:jc w:val="left"/>
            </w:pPr>
            <w:r>
              <w:t xml:space="preserve">efecto favorable en el rendimiento cognitivo; más efectos adversos</w:t>
            </w:r>
          </w:p>
        </w:tc>
      </w:tr>
      <w:tr>
        <w:tc>
          <w:tcPr/>
          <w:p>
            <w:pPr>
              <w:pStyle w:val="Compact"/>
              <w:jc w:val="left"/>
            </w:pPr>
            <w:r>
              <w:t xml:space="preserve">Metaanálisis (Ditta 2026), PMID 42538058</w:t>
            </w:r>
          </w:p>
        </w:tc>
        <w:tc>
          <w:tcPr/>
          <w:p>
            <w:pPr>
              <w:pStyle w:val="Compact"/>
              <w:jc w:val="left"/>
            </w:pPr>
            <w:r>
              <w:t xml:space="preserve">4 ECA, 909 personas con VIH</w:t>
            </w:r>
          </w:p>
        </w:tc>
        <w:tc>
          <w:tcPr/>
          <w:p>
            <w:pPr>
              <w:pStyle w:val="Compact"/>
              <w:jc w:val="left"/>
            </w:pPr>
            <w:r>
              <w:t xml:space="preserve">–</w:t>
            </w:r>
          </w:p>
        </w:tc>
        <w:tc>
          <w:tcPr/>
          <w:p>
            <w:pPr>
              <w:pStyle w:val="Compact"/>
              <w:jc w:val="left"/>
            </w:pPr>
            <w:r>
              <w:t xml:space="preserve">menos grasa visceral, +1,42 kg de masa libre de grasa</w:t>
            </w:r>
          </w:p>
        </w:tc>
      </w:tr>
    </w:tbl>
    <w:bookmarkEnd w:id="485"/>
    <w:bookmarkEnd w:id="486"/>
    <w:bookmarkStart w:id="487" w:name="estudios-en-animales-y-de-laboratorio-24"/>
    <w:p>
      <w:pPr>
        <w:pStyle w:val="Heading3"/>
      </w:pPr>
      <w:r>
        <w:t xml:space="preserve">Estudios en animales y de laboratorio</w:t>
      </w:r>
    </w:p>
    <w:p>
      <w:pPr>
        <w:pStyle w:val="FirstParagraph"/>
      </w:pPr>
      <w:r>
        <w:t xml:space="preserve">Para la tesamorelina en sí existe comparativamente poca investigación propia en animales; su desarrollo se basó en la GHRH endógena, bien estudiada. Una revisión analiza si la estimulación del eje de la hormona del crecimiento podría favorecer la regeneración de nervios lesionados y se apoya para ello sobre todo en estudios en animales y de mecanismo (Tuffaha 2016, PMID 27192539). Hay registrado un pequeño estudio de fase 2 al respecto en humanos (NCT03150511).</w:t>
      </w:r>
    </w:p>
    <w:p>
      <w:pPr>
        <w:pStyle w:val="BodyText"/>
      </w:pPr>
      <w:r>
        <w:t xml:space="preserve">Un análisis tisular de las biopsias hepáticas del estudio sobre hígado graso mostró que, con tesamorelina, los grupos de genes de la obtención de energía en las mitocondrias estaban más activos y los grupos de genes de la inflamación, la remodelación tisular y la división celular menos activos que con placebo (Fourman 2020, PMID 32701508). Son hallazgos en muestras de tejido humano, pero no criterios de valoración clínicos.</w:t>
      </w:r>
    </w:p>
    <w:bookmarkEnd w:id="487"/>
    <w:bookmarkStart w:id="488" w:name="riesgos-y-efectos-adversos-24"/>
    <w:p>
      <w:pPr>
        <w:pStyle w:val="Heading3"/>
      </w:pPr>
      <w:r>
        <w:t xml:space="preserve">Riesgos y efectos adversos</w:t>
      </w:r>
    </w:p>
    <w:p>
      <w:pPr>
        <w:pStyle w:val="FirstParagraph"/>
      </w:pPr>
      <w:r>
        <w:rPr>
          <w:bCs/>
          <w:b/>
        </w:rPr>
        <w:t xml:space="preserve">Demostrado en los estudios:</w:t>
      </w:r>
    </w:p>
    <w:p>
      <w:pPr>
        <w:numPr>
          <w:ilvl w:val="0"/>
          <w:numId w:val="1152"/>
        </w:numPr>
        <w:pStyle w:val="Compact"/>
      </w:pPr>
      <w:r>
        <w:t xml:space="preserve">Reacciones en el lugar de inyección (enrojecimiento, picor): en el estudio sobre hígado graso, más frecuentes que con placebo, pero no graves (Stanley 2019, PMID 31611038).</w:t>
      </w:r>
    </w:p>
    <w:p>
      <w:pPr>
        <w:numPr>
          <w:ilvl w:val="0"/>
          <w:numId w:val="1152"/>
        </w:numPr>
        <w:pStyle w:val="Compact"/>
      </w:pPr>
      <w:r>
        <w:t xml:space="preserve">Efectos típicos de la hormona del crecimiento, como dolores articulares y musculares y parestesias (Badran 2026, PMID 41545261).</w:t>
      </w:r>
    </w:p>
    <w:p>
      <w:pPr>
        <w:numPr>
          <w:ilvl w:val="0"/>
          <w:numId w:val="1152"/>
        </w:numPr>
        <w:pStyle w:val="Compact"/>
      </w:pPr>
      <w:r>
        <w:t xml:space="preserve">Glucosa: en los grandes estudios, sin empeoramiento clínicamente relevante en promedio, pero con un aumento transitorio de la glucosa en ayunas en las primeras semanas (Stanley 2014, PMID 25038357) y un ligero aumento en las personas cuya grasa abdominal no respondió (Stanley 2012, PMID 22495074). Las personas con diabetes deben estar bajo supervisión médica.</w:t>
      </w:r>
    </w:p>
    <w:p>
      <w:pPr>
        <w:numPr>
          <w:ilvl w:val="0"/>
          <w:numId w:val="1152"/>
        </w:numPr>
        <w:pStyle w:val="Compact"/>
      </w:pPr>
      <w:r>
        <w:t xml:space="preserve">Más abandonos del tratamiento por efectos adversos que con placebo (Falutz 2007, PMID 18057338).</w:t>
      </w:r>
    </w:p>
    <w:p>
      <w:pPr>
        <w:numPr>
          <w:ilvl w:val="0"/>
          <w:numId w:val="1152"/>
        </w:numPr>
        <w:pStyle w:val="Compact"/>
      </w:pPr>
      <w:r>
        <w:t xml:space="preserve">El efecto no es duradero: tras la suspensión, la grasa abdominal vuelve (Falutz 2008, PMID 18690162).</w:t>
      </w:r>
    </w:p>
    <w:p>
      <w:pPr>
        <w:pStyle w:val="FirstParagraph"/>
      </w:pPr>
      <w:r>
        <w:rPr>
          <w:bCs/>
          <w:b/>
        </w:rPr>
        <w:t xml:space="preserve">Abierto o teórico:</w:t>
      </w:r>
      <w:r>
        <w:t xml:space="preserve"> </w:t>
      </w:r>
      <w:r>
        <w:t xml:space="preserve">La tesamorelina eleva claramente el IGF-1, en el primer estudio de fase 3 un 81 %. En estudios observacionales, los niveles altos de IGF-1 se asocian a un riesgo algo mayor de algunos tipos de cáncer (detalles en la introducción a este grupo y en la Parte IV). De los propios estudios con tesamorelina no se deduce un mayor riesgo de cáncer, pero eran demasiado cortos para ello. Un estudio observacional a largo plazo del fabricante con 391 participantes (NCT01579695) y un estudio sobre la retinopatía diabética (NCT01591902) se interrumpieron antes de tiempo; no he encontrado en PubMed resultados publicados al respecto. Según la ficha técnica, la tesamorelina no debe utilizarse en caso de cáncer activo; los detalles los regula la ficha técnica, y su uso debe estar en manos médicas.</w:t>
      </w:r>
    </w:p>
    <w:bookmarkEnd w:id="488"/>
    <w:bookmarkStart w:id="489" w:name="situación-legal-24"/>
    <w:p>
      <w:pPr>
        <w:pStyle w:val="Heading3"/>
      </w:pPr>
      <w:r>
        <w:t xml:space="preserve">Situación legal</w:t>
      </w:r>
    </w:p>
    <w:p>
      <w:pPr>
        <w:pStyle w:val="FirstParagraph"/>
      </w:pPr>
      <w:r>
        <w:rPr>
          <w:iCs/>
          <w:i/>
        </w:rPr>
        <w:t xml:space="preserve">Situación en 2026; compruebe la información actualizada.</w:t>
      </w:r>
    </w:p>
    <w:p>
      <w:pPr>
        <w:numPr>
          <w:ilvl w:val="0"/>
          <w:numId w:val="1153"/>
        </w:numPr>
        <w:pStyle w:val="Compact"/>
      </w:pPr>
      <w:r>
        <w:rPr>
          <w:bCs/>
          <w:b/>
        </w:rPr>
        <w:t xml:space="preserve">UE:</w:t>
      </w:r>
      <w:r>
        <w:t xml:space="preserve"> </w:t>
      </w:r>
      <w:r>
        <w:t xml:space="preserve">no autorizada. La tesamorelina no se comercializa como medicamento en ningún Estado de la UE.</w:t>
      </w:r>
    </w:p>
    <w:p>
      <w:pPr>
        <w:numPr>
          <w:ilvl w:val="0"/>
          <w:numId w:val="1153"/>
        </w:numPr>
        <w:pStyle w:val="Compact"/>
      </w:pPr>
      <w:r>
        <w:rPr>
          <w:bCs/>
          <w:b/>
        </w:rPr>
        <w:t xml:space="preserve">Alemania y Austria:</w:t>
      </w:r>
      <w:r>
        <w:t xml:space="preserve"> </w:t>
      </w:r>
      <w:r>
        <w:t xml:space="preserve">sin autorización. Su obtención solo sería concebible, en su caso, mediante la importación individual, bajo responsabilidad médica, de un medicamento autorizado en el extranjero; la dispensación de productos del mercado gris para uso en humanos no está permitida.</w:t>
      </w:r>
    </w:p>
    <w:p>
      <w:pPr>
        <w:numPr>
          <w:ilvl w:val="0"/>
          <w:numId w:val="1153"/>
        </w:numPr>
        <w:pStyle w:val="Compact"/>
      </w:pPr>
      <w:r>
        <w:rPr>
          <w:bCs/>
          <w:b/>
        </w:rPr>
        <w:t xml:space="preserve">EE. UU.:</w:t>
      </w:r>
      <w:r>
        <w:t xml:space="preserve"> </w:t>
      </w:r>
      <w:r>
        <w:t xml:space="preserve">autorizada como Egrifta (con receta) exclusivamente para reducir el exceso de grasa abdominal en la lipodistrofia asociada al VIH. Cualquier otro uso –por ejemplo «para adelgazar» o «contra el envejecimiento»– es fuera de indicación (off-label).</w:t>
      </w:r>
    </w:p>
    <w:p>
      <w:pPr>
        <w:numPr>
          <w:ilvl w:val="0"/>
          <w:numId w:val="1153"/>
        </w:numPr>
        <w:pStyle w:val="Compact"/>
      </w:pPr>
      <w:r>
        <w:rPr>
          <w:bCs/>
          <w:b/>
        </w:rPr>
        <w:t xml:space="preserve">WADA:</w:t>
      </w:r>
      <w:r>
        <w:t xml:space="preserve"> </w:t>
      </w:r>
      <w:r>
        <w:t xml:space="preserve">prohibida (S2), en competición y fuera de ella. Los laboratorios antidopaje han desarrollado métodos de detección en orina para la tesamorelina y otros análogos de la GHRH (Memdouh 2021, PMID 34665524).</w:t>
      </w:r>
    </w:p>
    <w:bookmarkEnd w:id="489"/>
    <w:bookmarkStart w:id="490" w:name="estudios-en-curso-y-perspectivas-24"/>
    <w:p>
      <w:pPr>
        <w:pStyle w:val="Heading3"/>
      </w:pPr>
      <w:r>
        <w:t xml:space="preserve">Estudios en curso y perspectivas</w:t>
      </w:r>
    </w:p>
    <w:p>
      <w:pPr>
        <w:pStyle w:val="FirstParagraph"/>
      </w:pPr>
      <w:r>
        <w:t xml:space="preserve">En octubre de 2026 figuran en ClinicalTrials.gov, entre otros, los siguientes estudios abiertos: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Diseño</w:t>
            </w:r>
          </w:p>
        </w:tc>
        <w:tc>
          <w:tcPr/>
          <w:p>
            <w:pPr>
              <w:pStyle w:val="Compact"/>
              <w:jc w:val="left"/>
            </w:pPr>
            <w:r>
              <w:t xml:space="preserve">Estado</w:t>
            </w:r>
          </w:p>
        </w:tc>
        <w:tc>
          <w:tcPr/>
          <w:p>
            <w:pPr>
              <w:pStyle w:val="Compact"/>
              <w:jc w:val="left"/>
            </w:pPr>
            <w:r>
              <w:t xml:space="preserve">Tema</w:t>
            </w:r>
          </w:p>
        </w:tc>
      </w:tr>
      <w:tr>
        <w:tc>
          <w:tcPr/>
          <w:p>
            <w:pPr>
              <w:pStyle w:val="Compact"/>
              <w:jc w:val="left"/>
            </w:pPr>
            <w:r>
              <w:t xml:space="preserve">NCT06554717</w:t>
            </w:r>
          </w:p>
        </w:tc>
        <w:tc>
          <w:tcPr/>
          <w:p>
            <w:pPr>
              <w:pStyle w:val="Compact"/>
              <w:jc w:val="left"/>
            </w:pPr>
            <w:r>
              <w:t xml:space="preserve">Fase 2, 100 personas</w:t>
            </w:r>
          </w:p>
        </w:tc>
        <w:tc>
          <w:tcPr/>
          <w:p>
            <w:pPr>
              <w:pStyle w:val="Compact"/>
              <w:jc w:val="left"/>
            </w:pPr>
            <w:r>
              <w:t xml:space="preserve">en reclutamiento (inicio 2025)</w:t>
            </w:r>
          </w:p>
        </w:tc>
        <w:tc>
          <w:tcPr/>
          <w:p>
            <w:pPr>
              <w:pStyle w:val="Compact"/>
              <w:jc w:val="left"/>
            </w:pPr>
            <w:r>
              <w:t xml:space="preserve">tesamorelina junto con entrenamiento en el VIH: capacidad física</w:t>
            </w:r>
          </w:p>
        </w:tc>
      </w:tr>
      <w:tr>
        <w:tc>
          <w:tcPr/>
          <w:p>
            <w:pPr>
              <w:pStyle w:val="Compact"/>
              <w:jc w:val="left"/>
            </w:pPr>
            <w:r>
              <w:t xml:space="preserve">NCT03150511</w:t>
            </w:r>
          </w:p>
        </w:tc>
        <w:tc>
          <w:tcPr/>
          <w:p>
            <w:pPr>
              <w:pStyle w:val="Compact"/>
              <w:jc w:val="left"/>
            </w:pPr>
            <w:r>
              <w:t xml:space="preserve">Fase 2, 36 personas</w:t>
            </w:r>
          </w:p>
        </w:tc>
        <w:tc>
          <w:tcPr/>
          <w:p>
            <w:pPr>
              <w:pStyle w:val="Compact"/>
              <w:jc w:val="left"/>
            </w:pPr>
            <w:r>
              <w:t xml:space="preserve">en reclutamiento (desde 2018)</w:t>
            </w:r>
          </w:p>
        </w:tc>
        <w:tc>
          <w:tcPr/>
          <w:p>
            <w:pPr>
              <w:pStyle w:val="Compact"/>
              <w:jc w:val="left"/>
            </w:pPr>
            <w:r>
              <w:t xml:space="preserve">recuperación tras lesión de nervios periféricos</w:t>
            </w:r>
          </w:p>
        </w:tc>
      </w:tr>
    </w:tbl>
    <w:p>
      <w:pPr>
        <w:pStyle w:val="BodyText"/>
      </w:pPr>
      <w:r>
        <w:rPr>
          <w:iCs/>
          <w:i/>
        </w:rPr>
        <w:t xml:space="preserve">Confirmado</w:t>
      </w:r>
      <w:r>
        <w:t xml:space="preserve"> </w:t>
      </w:r>
      <w:r>
        <w:t xml:space="preserve">está, por tanto, solo que se sigue investigando en pequeños estudios de fase 2.</w:t>
      </w:r>
      <w:r>
        <w:t xml:space="preserve"> </w:t>
      </w:r>
      <w:r>
        <w:rPr>
          <w:iCs/>
          <w:i/>
        </w:rPr>
        <w:t xml:space="preserve">Valoración del autor:</w:t>
      </w:r>
      <w:r>
        <w:t xml:space="preserve"> </w:t>
      </w:r>
      <w:r>
        <w:t xml:space="preserve">El hígado graso fuera del VIH sería el nuevo campo de aplicación más evidente, pero allí compiten ya otros principios activos con programas de estudio mucho más amplios. No se vislumbra una autorización en la UE en un futuro previsible.</w:t>
      </w:r>
    </w:p>
    <w:bookmarkEnd w:id="490"/>
    <w:bookmarkStart w:id="491" w:name="conclusión-24"/>
    <w:p>
      <w:pPr>
        <w:pStyle w:val="Heading3"/>
      </w:pPr>
      <w:r>
        <w:t xml:space="preserve">Conclusión</w:t>
      </w:r>
    </w:p>
    <w:p>
      <w:pPr>
        <w:pStyle w:val="FirstParagraph"/>
      </w:pPr>
      <w:r>
        <w:t xml:space="preserve">La tesamorelina es el péptido mejor estudiado del eje de la hormona del crecimiento: dos grandes estudios de fase 3 muestran que, en personas con VIH, reduce la grasa abdominal visceral en torno a un 15 a 18 % y disminuye también la grasa hepática. El efecto solo dura mientras dura el tratamiento, y no todas las personas responden. Para personas sanas, deportistas o como remedio «antienvejecimiento» no hay datos sólidos. La seguridad a largo plazo, en particular en relación con el IGF-1 elevado, no está definitivamente aclarada.</w:t>
      </w:r>
    </w:p>
    <w:bookmarkEnd w:id="491"/>
    <w:bookmarkEnd w:id="492"/>
    <w:bookmarkStart w:id="502" w:name="cjc-1295"/>
    <w:p>
      <w:pPr>
        <w:pStyle w:val="Heading2"/>
      </w:pPr>
      <w:r>
        <w:t xml:space="preserve">CJC-1295</w:t>
      </w:r>
    </w:p>
    <w:p>
      <w:pPr>
        <w:pStyle w:val="FirstParagraph"/>
      </w:pPr>
      <w:r>
        <w:t xml:space="preserve">Con el nombre CJC-1295 se venden en internet dos sustancias distintas, y ese es el punto más importante de este capítulo. El CJC-1295 original de la empresa ConjuChem es una hormona liberadora de la hormona del crecimiento con un «ancla» química que, en la sangre, se fija a la proteína albúmina y prolonga el efecto hasta aproximadamente una semana. Además, los comerciantes del mercado gris ofrecen «CJC-1295 sin DAC», que en la literatura especializada suele denominarse «GRF (1-29) modificado». Para el primero existen dos pequeños estudios en personas sanas; para el segundo, ninguno.</w:t>
      </w:r>
    </w:p>
    <w:bookmarkStart w:id="493" w:name="ficha-25"/>
    <w:p>
      <w:pPr>
        <w:pStyle w:val="Heading3"/>
      </w:pPr>
      <w:r>
        <w:t xml:space="preserve">Ficha</w:t>
      </w:r>
    </w:p>
    <w:p>
      <w:pPr>
        <w:numPr>
          <w:ilvl w:val="0"/>
          <w:numId w:val="1154"/>
        </w:numPr>
        <w:pStyle w:val="Compact"/>
      </w:pPr>
      <w:r>
        <w:rPr>
          <w:bCs/>
          <w:b/>
        </w:rPr>
        <w:t xml:space="preserve">Tipo y estructura:</w:t>
      </w:r>
      <w:r>
        <w:t xml:space="preserve"> </w:t>
      </w:r>
      <w:r>
        <w:t xml:space="preserve">análogo sintético de la hormona liberadora de la hormona del crecimiento, construido sobre sus primeros 29 aminoácidos con cuatro componentes sustituidos que dificultan su degradación.</w:t>
      </w:r>
    </w:p>
    <w:p>
      <w:pPr>
        <w:numPr>
          <w:ilvl w:val="1"/>
          <w:numId w:val="1155"/>
        </w:numPr>
        <w:pStyle w:val="Compact"/>
      </w:pPr>
      <w:r>
        <w:rPr>
          <w:iCs/>
          <w:i/>
        </w:rPr>
        <w:t xml:space="preserve">CJC-1295 con DAC</w:t>
      </w:r>
      <w:r>
        <w:t xml:space="preserve"> </w:t>
      </w:r>
      <w:r>
        <w:t xml:space="preserve">(Drug Affinity Complex): además, un ancla reactiva al final de la cadena que, tras la inyección, se une firmemente a la albúmina (Jetté 2005, PMID 15817669).</w:t>
      </w:r>
    </w:p>
    <w:p>
      <w:pPr>
        <w:numPr>
          <w:ilvl w:val="1"/>
          <w:numId w:val="1155"/>
        </w:numPr>
        <w:pStyle w:val="Compact"/>
      </w:pPr>
      <w:r>
        <w:rPr>
          <w:iCs/>
          <w:i/>
        </w:rPr>
        <w:t xml:space="preserve">CJC-1295 sin DAC</w:t>
      </w:r>
      <w:r>
        <w:t xml:space="preserve"> </w:t>
      </w:r>
      <w:r>
        <w:t xml:space="preserve">(«Mod GRF 1-29»): la misma cadena sin ancla; duración de acción corta.</w:t>
      </w:r>
    </w:p>
    <w:p>
      <w:pPr>
        <w:numPr>
          <w:ilvl w:val="0"/>
          <w:numId w:val="1154"/>
        </w:numPr>
        <w:pStyle w:val="Compact"/>
      </w:pPr>
      <w:r>
        <w:rPr>
          <w:bCs/>
          <w:b/>
        </w:rPr>
        <w:t xml:space="preserve">Origen:</w:t>
      </w:r>
      <w:r>
        <w:t xml:space="preserve"> </w:t>
      </w:r>
      <w:r>
        <w:t xml:space="preserve">desarrollado por ConjuChem (Canadá) en la década de 2000; el desarrollo clínico no se continuó.</w:t>
      </w:r>
    </w:p>
    <w:p>
      <w:pPr>
        <w:numPr>
          <w:ilvl w:val="0"/>
          <w:numId w:val="1154"/>
        </w:numPr>
        <w:pStyle w:val="Compact"/>
      </w:pPr>
      <w:r>
        <w:rPr>
          <w:bCs/>
          <w:b/>
        </w:rPr>
        <w:t xml:space="preserve">Mecanismo de acción:</w:t>
      </w:r>
      <w:r>
        <w:t xml:space="preserve"> </w:t>
      </w:r>
      <w:r>
        <w:t xml:space="preserve">unión al receptor de GHRH de la hipófisis; aumento de la hormona del crecimiento y del IGF-1.</w:t>
      </w:r>
    </w:p>
    <w:p>
      <w:pPr>
        <w:numPr>
          <w:ilvl w:val="0"/>
          <w:numId w:val="1154"/>
        </w:numPr>
        <w:pStyle w:val="Compact"/>
      </w:pPr>
      <w:r>
        <w:rPr>
          <w:bCs/>
          <w:b/>
        </w:rPr>
        <w:t xml:space="preserve">Autorización UE:</w:t>
      </w:r>
      <w:r>
        <w:t xml:space="preserve"> </w:t>
      </w:r>
      <w:r>
        <w:t xml:space="preserve">no.</w:t>
      </w:r>
      <w:r>
        <w:t xml:space="preserve"> </w:t>
      </w:r>
      <w:r>
        <w:rPr>
          <w:bCs/>
          <w:b/>
        </w:rPr>
        <w:t xml:space="preserve">Autorización EE. UU.:</w:t>
      </w:r>
      <w:r>
        <w:t xml:space="preserve"> </w:t>
      </w:r>
      <w:r>
        <w:t xml:space="preserve">no.</w:t>
      </w:r>
    </w:p>
    <w:p>
      <w:pPr>
        <w:numPr>
          <w:ilvl w:val="0"/>
          <w:numId w:val="1154"/>
        </w:numPr>
        <w:pStyle w:val="Compact"/>
      </w:pPr>
      <w:r>
        <w:rPr>
          <w:bCs/>
          <w:b/>
        </w:rPr>
        <w:t xml:space="preserve">WADA:</w:t>
      </w:r>
      <w:r>
        <w:t xml:space="preserve"> </w:t>
      </w:r>
      <w:r>
        <w:t xml:space="preserve">prohibido, grupo S2; el CJC-1295 se menciona expresamente como análogo de la GHRH.</w:t>
      </w:r>
    </w:p>
    <w:p>
      <w:pPr>
        <w:numPr>
          <w:ilvl w:val="0"/>
          <w:numId w:val="1154"/>
        </w:numPr>
        <w:pStyle w:val="Compact"/>
      </w:pPr>
      <w:r>
        <w:rPr>
          <w:bCs/>
          <w:b/>
        </w:rPr>
        <w:t xml:space="preserve">Nivel de evidencia: C</w:t>
      </w:r>
      <w:r>
        <w:t xml:space="preserve"> </w:t>
      </w:r>
      <w:r>
        <w:t xml:space="preserve">– dos pequeños estudios de fase 1 en personas sanas (con DAC); ningún estudio sobre un beneficio clínico; para la variante sin DAC, ningún estudio en humanos.</w:t>
      </w:r>
    </w:p>
    <w:bookmarkEnd w:id="493"/>
    <w:bookmarkStart w:id="494" w:name="cómo-se-supone-que-actúa-25"/>
    <w:p>
      <w:pPr>
        <w:pStyle w:val="Heading3"/>
      </w:pPr>
      <w:r>
        <w:t xml:space="preserve">Cómo se supone que actúa</w:t>
      </w:r>
    </w:p>
    <w:p>
      <w:pPr>
        <w:pStyle w:val="FirstParagraph"/>
      </w:pPr>
      <w:r>
        <w:t xml:space="preserve">La GHRH natural se elimina de la sangre en cuestión de minutos por la enzima dipeptidil peptidasa-4 y a través de los riñones. El ancla DAC debía resolver este problema: tras la inyección reacciona con un grupo de azufre libre de la albúmina. El péptido «viaja» entonces sobre la albúmina, que tiene una vida de semanas, y se libera lentamente. En ratas, el CJC-1295 siguió siendo detectable en la sangre durante más de 72 horas (Jetté 2005, PMID 15817669).</w:t>
      </w:r>
    </w:p>
    <w:p>
      <w:pPr>
        <w:pStyle w:val="BodyText"/>
      </w:pPr>
      <w:r>
        <w:t xml:space="preserve">Con ello, el CJC-1295 con DAC se diferencia radicalmente de todos los demás liberadores de GH: en lugar de impulsos breves, produce una estimulación continua de la hipófisis. Si esto es fisiológicamente favorable era una de las preguntas abiertas del desarrollo. La variante sin DAC, en cambio, actúa durante un tiempo tan breve como la sermorelina y en el mercado gris se ofrece a menudo combinada con liberadores de GH del grupo de la grelina (por ejemplo, la ipamorelina), una práctica para la que no existen estudios.</w:t>
      </w:r>
    </w:p>
    <w:bookmarkEnd w:id="494"/>
    <w:bookmarkStart w:id="496" w:name="estudios-en-humanos-25"/>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 encontró</w:t>
      </w:r>
      <w:r>
        <w:t xml:space="preserve"> </w:t>
      </w:r>
      <w:r>
        <w:rPr>
          <w:bCs/>
          <w:b/>
        </w:rPr>
        <w:t xml:space="preserve">2</w:t>
      </w:r>
      <w:r>
        <w:t xml:space="preserve"> </w:t>
      </w:r>
      <w:r>
        <w:t xml:space="preserve">estudios en humanos en PubMed (</w:t>
      </w:r>
      <w:r>
        <w:rPr>
          <w:rStyle w:val="VerbatimChar"/>
        </w:rPr>
        <w:t xml:space="preserve">humanstudien_alle</w:t>
      </w:r>
      <w:r>
        <w:t xml:space="preserve">) y</w:t>
      </w:r>
      <w:r>
        <w:t xml:space="preserve"> </w:t>
      </w:r>
      <w:r>
        <w:rPr>
          <w:bCs/>
          <w:b/>
        </w:rPr>
        <w:t xml:space="preserve">1</w:t>
      </w:r>
      <w:r>
        <w:t xml:space="preserve"> </w:t>
      </w:r>
      <w:r>
        <w:t xml:space="preserve">entrada en ClinicalTrials.gov. Una búsqueda específica adicional encontró además un análisis posterior de muestras de sangre de uno de los dos estudios. Todos los trabajos se refieren al CJC-1295</w:t>
      </w:r>
      <w:r>
        <w:t xml:space="preserve"> </w:t>
      </w:r>
      <w:r>
        <w:rPr>
          <w:iCs/>
          <w:i/>
        </w:rPr>
        <w:t xml:space="preserve">con</w:t>
      </w:r>
      <w:r>
        <w:t xml:space="preserve"> </w:t>
      </w:r>
      <w:r>
        <w:t xml:space="preserve">DAC.</w:t>
      </w:r>
    </w:p>
    <w:p>
      <w:pPr>
        <w:pStyle w:val="BodyText"/>
      </w:pPr>
      <w:r>
        <w:rPr>
          <w:bCs/>
          <w:b/>
        </w:rPr>
        <w:t xml:space="preserve">Búsqueda de dosis en personas sanas:</w:t>
      </w:r>
      <w:r>
        <w:t xml:space="preserve"> </w:t>
      </w:r>
      <w:r>
        <w:t xml:space="preserve">En dos estudios aleatorizados, controlados con placebo y doble ciego con dosis crecientes, adultos sanos de entre 21 y 61 años recibieron una sola inyección o bien dos o tres inyecciones semanales o quincenales. Tras una única inyección, la hormona del crecimiento aumentó en promedio entre 2 y 10 veces durante seis días o más, y el IGF-1 entre 1,5 y 3 veces durante 9 a 11 días. La semivida fue de 5,8 a 8,1 días. Tras varias dosis, el IGF-1 se mantuvo por encima del valor inicial hasta 28 días. No se comunicaron efectos adversos graves (Teichman 2006, PMID 16352683).</w:t>
      </w:r>
    </w:p>
    <w:p>
      <w:pPr>
        <w:pStyle w:val="BodyText"/>
      </w:pPr>
      <w:r>
        <w:rPr>
          <w:bCs/>
          <w:b/>
        </w:rPr>
        <w:t xml:space="preserve">Pulsatilidad:</w:t>
      </w:r>
      <w:r>
        <w:t xml:space="preserve"> </w:t>
      </w:r>
      <w:r>
        <w:t xml:space="preserve">Un segundo estudio examinó en hombres sanos de entre 20 y 40 años si se conserva el patrón pulsátil natural de la secreción de GH. Una semana después de la inyección, la frecuencia y la altura de los pulsos de GH no habían cambiado, pero el nivel basal entre pulsos era 7,5 veces mayor; la GH media aumentó un 46 % y el IGF-1 un 45 % (Ionescu 2006, PMID 17018654).</w:t>
      </w:r>
    </w:p>
    <w:p>
      <w:pPr>
        <w:pStyle w:val="BodyText"/>
      </w:pPr>
      <w:r>
        <w:rPr>
          <w:bCs/>
          <w:b/>
        </w:rPr>
        <w:t xml:space="preserve">Proteínas sanguíneas:</w:t>
      </w:r>
      <w:r>
        <w:t xml:space="preserve"> </w:t>
      </w:r>
      <w:r>
        <w:t xml:space="preserve">Un análisis de muestras de suero de 11 hombres jóvenes antes y una semana después de la inyección buscó nuevos marcadores del efecto de la hormona del crecimiento y encontró cambios en algunas proteínas sanguíneas (Sackmann-Sala 2009, PMID 19386527). Se trata de investigación básica sin conclusiones clínicas.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Búsqueda de dosis (Teichman 2006), PMID 16352683</w:t>
            </w:r>
          </w:p>
        </w:tc>
        <w:tc>
          <w:tcPr/>
          <w:p>
            <w:pPr>
              <w:pStyle w:val="Compact"/>
              <w:jc w:val="left"/>
            </w:pPr>
            <w:r>
              <w:t xml:space="preserve">adultos sanos de 21–61 años, dos ECA frente a placebo, dosis crecientes</w:t>
            </w:r>
          </w:p>
        </w:tc>
        <w:tc>
          <w:tcPr/>
          <w:p>
            <w:pPr>
              <w:pStyle w:val="Compact"/>
              <w:jc w:val="left"/>
            </w:pPr>
            <w:r>
              <w:t xml:space="preserve">28 o 49 días</w:t>
            </w:r>
          </w:p>
        </w:tc>
        <w:tc>
          <w:tcPr/>
          <w:p>
            <w:pPr>
              <w:pStyle w:val="Compact"/>
              <w:jc w:val="left"/>
            </w:pPr>
            <w:r>
              <w:t xml:space="preserve">GH aumentada 2–10 veces, IGF-1 1,5–3 veces; semivida 5,8–8,1 días</w:t>
            </w:r>
          </w:p>
        </w:tc>
      </w:tr>
      <w:tr>
        <w:tc>
          <w:tcPr/>
          <w:p>
            <w:pPr>
              <w:pStyle w:val="Compact"/>
              <w:jc w:val="left"/>
            </w:pPr>
            <w:r>
              <w:t xml:space="preserve">Pulsatilidad de la GH (Ionescu 2006), PMID 17018654</w:t>
            </w:r>
          </w:p>
        </w:tc>
        <w:tc>
          <w:tcPr/>
          <w:p>
            <w:pPr>
              <w:pStyle w:val="Compact"/>
              <w:jc w:val="left"/>
            </w:pPr>
            <w:r>
              <w:t xml:space="preserve">hombres sanos de 20–40 años, comparación antes-después</w:t>
            </w:r>
          </w:p>
        </w:tc>
        <w:tc>
          <w:tcPr/>
          <w:p>
            <w:pPr>
              <w:pStyle w:val="Compact"/>
              <w:jc w:val="left"/>
            </w:pPr>
            <w:r>
              <w:t xml:space="preserve">1 semana tras dosis única</w:t>
            </w:r>
          </w:p>
        </w:tc>
        <w:tc>
          <w:tcPr/>
          <w:p>
            <w:pPr>
              <w:pStyle w:val="Compact"/>
              <w:jc w:val="left"/>
            </w:pPr>
            <w:r>
              <w:t xml:space="preserve">pulsos conservados, GH basal ×7,5, IGF-1 +45 %</w:t>
            </w:r>
          </w:p>
        </w:tc>
      </w:tr>
      <w:tr>
        <w:tc>
          <w:tcPr/>
          <w:p>
            <w:pPr>
              <w:pStyle w:val="Compact"/>
              <w:jc w:val="left"/>
            </w:pPr>
            <w:r>
              <w:t xml:space="preserve">Grasa abdominal en el VIH, NCT00267527</w:t>
            </w:r>
          </w:p>
        </w:tc>
        <w:tc>
          <w:tcPr/>
          <w:p>
            <w:pPr>
              <w:pStyle w:val="Compact"/>
              <w:jc w:val="left"/>
            </w:pPr>
            <w:r>
              <w:t xml:space="preserve">120 personas previstas, fase 2, ECA</w:t>
            </w:r>
          </w:p>
        </w:tc>
        <w:tc>
          <w:tcPr/>
          <w:p>
            <w:pPr>
              <w:pStyle w:val="Compact"/>
              <w:jc w:val="left"/>
            </w:pPr>
            <w:r>
              <w:t xml:space="preserve">12 semanas previstas</w:t>
            </w:r>
          </w:p>
        </w:tc>
        <w:tc>
          <w:tcPr/>
          <w:p>
            <w:pPr>
              <w:pStyle w:val="Compact"/>
              <w:jc w:val="left"/>
            </w:pPr>
            <w:r>
              <w:t xml:space="preserve">interrumpido en 2006; sin resultados publicados</w:t>
            </w:r>
          </w:p>
        </w:tc>
      </w:tr>
    </w:tbl>
    <w:bookmarkStart w:id="495" w:name="X6b06fcbe37593390d6049e1c9fb64ee00868fc3"/>
    <w:p>
      <w:pPr>
        <w:pStyle w:val="Heading4"/>
      </w:pPr>
      <w:r>
        <w:t xml:space="preserve">El estudio de fase 2 interrumpido y la muerte comunicada</w:t>
      </w:r>
    </w:p>
    <w:p>
      <w:pPr>
        <w:pStyle w:val="FirstParagraph"/>
      </w:pPr>
      <w:r>
        <w:t xml:space="preserve">A finales de 2005, ConjuChem inició un estudio de fase 2 aleatorizado y controlado con placebo con dos dosis de CJC-1295 en personas con VIH y exceso de grasa abdominal, es decir, en el mismo campo de aplicación en el que más tarde se autorizó la tesamorelina (NCT00267527). La entrada del registro indica el estado «interrumpido» (última actualización en octubre de 2006), pero ningún motivo de la interrupción y ningún resultado.</w:t>
      </w:r>
    </w:p>
    <w:p>
      <w:pPr>
        <w:pStyle w:val="BodyText"/>
      </w:pPr>
      <w:r>
        <w:t xml:space="preserve">En foros de internet y en algunas revisiones se afirma que el estudio se detuvo tras la muerte de un participante.</w:t>
      </w:r>
      <w:r>
        <w:t xml:space="preserve"> </w:t>
      </w:r>
      <w:r>
        <w:rPr>
          <w:bCs/>
          <w:b/>
        </w:rPr>
        <w:t xml:space="preserve">Esta muerte no está documentada en las fuentes revisadas para este libro:</w:t>
      </w:r>
      <w:r>
        <w:t xml:space="preserve"> </w:t>
      </w:r>
      <w:r>
        <w:t xml:space="preserve">ni la entrada del registro ni ninguna publicación en PubMed la recogen. Por tanto, no se puede confirmar que ocurriera ni valorar si guardaba relación con el principio activo. Solo está documentado que el estudio terminó antes de tiempo y que el CJC-1295 no se siguió desarrollando después.</w:t>
      </w:r>
    </w:p>
    <w:bookmarkEnd w:id="495"/>
    <w:bookmarkEnd w:id="496"/>
    <w:bookmarkStart w:id="497" w:name="estudios-en-animales-y-de-laboratorio-25"/>
    <w:p>
      <w:pPr>
        <w:pStyle w:val="Heading3"/>
      </w:pPr>
      <w:r>
        <w:t xml:space="preserve">Estudios en animales y de laboratorio</w:t>
      </w:r>
    </w:p>
    <w:p>
      <w:pPr>
        <w:numPr>
          <w:ilvl w:val="0"/>
          <w:numId w:val="1156"/>
        </w:numPr>
        <w:pStyle w:val="Compact"/>
      </w:pPr>
      <w:r>
        <w:rPr>
          <w:bCs/>
          <w:b/>
        </w:rPr>
        <w:t xml:space="preserve">Ratas:</w:t>
      </w:r>
      <w:r>
        <w:t xml:space="preserve"> </w:t>
      </w:r>
      <w:r>
        <w:t xml:space="preserve">De tres variantes de ancla de albúmina probadas, el CJC-1295 fue el que más hormona del crecimiento liberó –en dos horas, aproximadamente cuatro veces más que el GRF(1-29) sin modificar– y permaneció más de 72 horas en la sangre (Jetté 2005, PMID 15817669).</w:t>
      </w:r>
    </w:p>
    <w:p>
      <w:pPr>
        <w:numPr>
          <w:ilvl w:val="0"/>
          <w:numId w:val="1156"/>
        </w:numPr>
        <w:pStyle w:val="Compact"/>
      </w:pPr>
      <w:r>
        <w:rPr>
          <w:bCs/>
          <w:b/>
        </w:rPr>
        <w:t xml:space="preserve">Ratones:</w:t>
      </w:r>
      <w:r>
        <w:t xml:space="preserve"> </w:t>
      </w:r>
      <w:r>
        <w:t xml:space="preserve">En ratones sin GHRH propia, la administración diaria normalizó el peso y la longitud; la administración cada 48 o 72 horas no bastó para ello por completo. En la hipófisis aumentó el número de células productoras de GH (Alba 2006, PMID 16822960). Un aumento de las células hipofisarias es deseable cuando se quiere compensar una carencia; en personas sanas, su importancia a largo plazo es desconocida.</w:t>
      </w:r>
    </w:p>
    <w:bookmarkEnd w:id="497"/>
    <w:bookmarkStart w:id="498" w:name="riesgos-y-efectos-adversos-25"/>
    <w:p>
      <w:pPr>
        <w:pStyle w:val="Heading3"/>
      </w:pPr>
      <w:r>
        <w:t xml:space="preserve">Riesgos y efectos adversos</w:t>
      </w:r>
    </w:p>
    <w:p>
      <w:pPr>
        <w:pStyle w:val="FirstParagraph"/>
      </w:pPr>
      <w:r>
        <w:rPr>
          <w:bCs/>
          <w:b/>
        </w:rPr>
        <w:t xml:space="preserve">Demostrado en los estudios de fase 1:</w:t>
      </w:r>
      <w:r>
        <w:t xml:space="preserve"> </w:t>
      </w:r>
      <w:r>
        <w:t xml:space="preserve">ningún efecto adverso grave en pocas personas sanas tratadas durante poco tiempo; la tolerabilidad se describió como relativamente buena, sobre todo con las dosis más bajas (Teichman 2006, PMID 16352683). Esta base de datos es demasiado pequeña para detectar riesgos raros o a largo plazo.</w:t>
      </w:r>
    </w:p>
    <w:p>
      <w:pPr>
        <w:pStyle w:val="BodyText"/>
      </w:pPr>
      <w:r>
        <w:rPr>
          <w:bCs/>
          <w:b/>
        </w:rPr>
        <w:t xml:space="preserve">Plausible, pero no estudiado:</w:t>
      </w:r>
      <w:r>
        <w:t xml:space="preserve"> </w:t>
      </w:r>
      <w:r>
        <w:t xml:space="preserve">La variante con DAC mantiene la hormona del crecimiento y el IGF-1 elevados de forma continuada durante días. Consecuencias típicas de unos niveles elevados de GH son la retención de líquidos, los dolores articulares, las molestias del túnel carpiano y el empeoramiento de la sensibilidad a la insulina. No se ha estudiado para el CJC-1295 si un IGF-1 elevado de forma continuada aumenta a largo plazo el riesgo de cáncer; sobre los datos generales, véanse la introducción de este grupo y la Parte IV.</w:t>
      </w:r>
    </w:p>
    <w:p>
      <w:pPr>
        <w:pStyle w:val="BodyText"/>
      </w:pPr>
      <w:r>
        <w:rPr>
          <w:bCs/>
          <w:b/>
        </w:rPr>
        <w:t xml:space="preserve">Mercado gris:</w:t>
      </w:r>
      <w:r>
        <w:t xml:space="preserve"> </w:t>
      </w:r>
      <w:r>
        <w:t xml:space="preserve">Ya en 2009, un laboratorio noruego analizó por encargo de la policía y las aduanas un preparado desconocido y encontró un péptido de 29 aminoácidos que correspondía a la secuencia vendida como CJC-1295 (Henninge 2010, PMID 21204297). Muestras de las aduanas danesas contenían «GRF 1-29 modificado» y miméticos de la grelina con un aminoácido glicina adicional no declarado (Gajda 2019, PMID 30136411). Por tanto, quienes compran no pueden saber si reciben la variante con o sin DAC, una molécula modificada o algo completamente distinto. Un análisis de foros de culturismo muestra que también mujeres usan CJC-1295 para perder peso, para la piel o para el sueño, y que se basan para ello en relatos de experiencias en lugar de en estudios (Van Hout 2016, PMID 26771670).</w:t>
      </w:r>
    </w:p>
    <w:bookmarkEnd w:id="498"/>
    <w:bookmarkStart w:id="499" w:name="situación-legal-25"/>
    <w:p>
      <w:pPr>
        <w:pStyle w:val="Heading3"/>
      </w:pPr>
      <w:r>
        <w:t xml:space="preserve">Situación legal</w:t>
      </w:r>
    </w:p>
    <w:p>
      <w:pPr>
        <w:pStyle w:val="FirstParagraph"/>
      </w:pPr>
      <w:r>
        <w:rPr>
          <w:iCs/>
          <w:i/>
        </w:rPr>
        <w:t xml:space="preserve">Situación en 2026; compruebe la información actualizada.</w:t>
      </w:r>
    </w:p>
    <w:p>
      <w:pPr>
        <w:numPr>
          <w:ilvl w:val="0"/>
          <w:numId w:val="1157"/>
        </w:numPr>
        <w:pStyle w:val="Compact"/>
      </w:pPr>
      <w:r>
        <w:rPr>
          <w:bCs/>
          <w:b/>
        </w:rPr>
        <w:t xml:space="preserve">UE, Alemania, Austria:</w:t>
      </w:r>
      <w:r>
        <w:t xml:space="preserve"> </w:t>
      </w:r>
      <w:r>
        <w:t xml:space="preserve">sin autorización. El CJC-1295 es un principio activo no autorizado; su dispensación y comercio para uso en humanos no están permitidos según las leyes del medicamento, aunque los productos se declaren como «research peptide».</w:t>
      </w:r>
    </w:p>
    <w:p>
      <w:pPr>
        <w:numPr>
          <w:ilvl w:val="0"/>
          <w:numId w:val="1157"/>
        </w:numPr>
        <w:pStyle w:val="Compact"/>
      </w:pPr>
      <w:r>
        <w:rPr>
          <w:bCs/>
          <w:b/>
        </w:rPr>
        <w:t xml:space="preserve">EE. UU.:</w:t>
      </w:r>
      <w:r>
        <w:t xml:space="preserve"> </w:t>
      </w:r>
      <w:r>
        <w:t xml:space="preserve">sin autorización. La FDA ha clasificado el CJC-1295 –como varios otros péptidos de este libro– entre las sustancias de partida para farmacias de formulación magistral como sustancia con problemas de seguridad (categoría 2). Desde entonces, estas clasificaciones se han debatido de forma controvertida en el comité asesor competente y en círculos especializados (Willis 2026, PMID 42752426); son posibles cambios.</w:t>
      </w:r>
    </w:p>
    <w:p>
      <w:pPr>
        <w:numPr>
          <w:ilvl w:val="0"/>
          <w:numId w:val="1157"/>
        </w:numPr>
        <w:pStyle w:val="Compact"/>
      </w:pPr>
      <w:r>
        <w:rPr>
          <w:bCs/>
          <w:b/>
        </w:rPr>
        <w:t xml:space="preserve">WADA:</w:t>
      </w:r>
      <w:r>
        <w:t xml:space="preserve"> </w:t>
      </w:r>
      <w:r>
        <w:t xml:space="preserve">prohibido (S2). Se han descrito métodos de detección en orina para el CJC-1295 con y sin DAC (Memdouh 2021, PMID 34665524); también se busca en la hípica (Timms 2019, PMID 30938069).</w:t>
      </w:r>
    </w:p>
    <w:bookmarkEnd w:id="499"/>
    <w:bookmarkStart w:id="500" w:name="estudios-en-curso-y-perspectivas-25"/>
    <w:p>
      <w:pPr>
        <w:pStyle w:val="Heading3"/>
      </w:pPr>
      <w:r>
        <w:t xml:space="preserve">Estudios en curso y perspectivas</w:t>
      </w:r>
    </w:p>
    <w:p>
      <w:pPr>
        <w:pStyle w:val="FirstParagraph"/>
      </w:pPr>
      <w:r>
        <w:t xml:space="preserve">En octubre de 2026, aparte del estudio de fase 2 interrumpido en 2006, no figura ninguna entrada sobre el CJC-1295 en ClinicalTrials.gov.</w:t>
      </w:r>
      <w:r>
        <w:t xml:space="preserve"> </w:t>
      </w:r>
      <w:r>
        <w:rPr>
          <w:iCs/>
          <w:i/>
        </w:rPr>
        <w:t xml:space="preserve">Valoración del autor:</w:t>
      </w:r>
      <w:r>
        <w:t xml:space="preserve"> </w:t>
      </w:r>
      <w:r>
        <w:t xml:space="preserve">No se aprecia ningún desarrollo clínico posterior. El principio de «péptido con ancla de albúmina para un efecto más prolongado», en cambio, pervive en otros principios activos, por ejemplo en preparados de hormona del crecimiento de acción prolongada y en medicamentos GLP-1.</w:t>
      </w:r>
    </w:p>
    <w:bookmarkEnd w:id="500"/>
    <w:bookmarkStart w:id="501" w:name="conclusión-25"/>
    <w:p>
      <w:pPr>
        <w:pStyle w:val="Heading3"/>
      </w:pPr>
      <w:r>
        <w:t xml:space="preserve">Conclusión</w:t>
      </w:r>
    </w:p>
    <w:p>
      <w:pPr>
        <w:pStyle w:val="FirstParagraph"/>
      </w:pPr>
      <w:r>
        <w:t xml:space="preserve">El CJC-1295 con DAC eleva en personas sanas la hormona del crecimiento y el IGF-1 durante una a dos semanas tras una sola inyección; no se ha estudiado nada más en humanos. El único estudio en pacientes se interrumpió en 2006 sin un motivo publicado; una muerte que se afirma con frecuencia no está documentada en el registro ni en la literatura especializada. Para la variante sin DAC, la más vendida en internet, no existe ni un solo estudio en humanos, y los análisis de laboratorio muestran que el contenido de los productos del mercado gris es incierto.</w:t>
      </w:r>
    </w:p>
    <w:bookmarkEnd w:id="501"/>
    <w:bookmarkEnd w:id="502"/>
    <w:bookmarkStart w:id="511" w:name="ipamorelina"/>
    <w:p>
      <w:pPr>
        <w:pStyle w:val="Heading2"/>
      </w:pPr>
      <w:r>
        <w:t xml:space="preserve">Ipamorelina</w:t>
      </w:r>
    </w:p>
    <w:p>
      <w:pPr>
        <w:pStyle w:val="FirstParagraph"/>
      </w:pPr>
      <w:r>
        <w:t xml:space="preserve">En los círculos del fitness y del antienvejecimiento, la ipamorelina se considera el liberador de hormona del crecimiento «limpio»: debería liberar hormona del crecimiento de forma selectiva, sin estimular las hormonas del estrés ni el apetito. Esta propiedad procede de experimentos con animales de la década de 1990. En humanos, la ipamorelina sí se evaluó clínicamente, pero no para el desarrollo muscular ni para el rejuvenecimiento, sino para algo completamente distinto: la parálisis intestinal tras operaciones abdominales. Allí no aportó ningún beneficio demostrable.</w:t>
      </w:r>
    </w:p>
    <w:bookmarkStart w:id="503" w:name="ficha-26"/>
    <w:p>
      <w:pPr>
        <w:pStyle w:val="Heading3"/>
      </w:pPr>
      <w:r>
        <w:t xml:space="preserve">Ficha</w:t>
      </w:r>
    </w:p>
    <w:p>
      <w:pPr>
        <w:numPr>
          <w:ilvl w:val="0"/>
          <w:numId w:val="1158"/>
        </w:numPr>
        <w:pStyle w:val="Compact"/>
      </w:pPr>
      <w:r>
        <w:rPr>
          <w:bCs/>
          <w:b/>
        </w:rPr>
        <w:t xml:space="preserve">Tipo y estructura:</w:t>
      </w:r>
      <w:r>
        <w:t xml:space="preserve"> </w:t>
      </w:r>
      <w:r>
        <w:t xml:space="preserve">pentapéptido sintético (5 aminoácidos, en parte no naturales: Aib-His-D-2-Nal-D-Phe-Lys-NH2) (Raun 1998, PMID 9849822).</w:t>
      </w:r>
    </w:p>
    <w:p>
      <w:pPr>
        <w:numPr>
          <w:ilvl w:val="0"/>
          <w:numId w:val="1158"/>
        </w:numPr>
        <w:pStyle w:val="Compact"/>
      </w:pPr>
      <w:r>
        <w:rPr>
          <w:bCs/>
          <w:b/>
        </w:rPr>
        <w:t xml:space="preserve">Origen:</w:t>
      </w:r>
      <w:r>
        <w:t xml:space="preserve"> </w:t>
      </w:r>
      <w:r>
        <w:t xml:space="preserve">desarrollada por Novo Nordisk (Dinamarca) a partir de la familia de los péptidos liberadores de hormona del crecimiento (GHRP); posteriormente desarrollada por Helsinn para el ámbito gastrointestinal.</w:t>
      </w:r>
    </w:p>
    <w:p>
      <w:pPr>
        <w:numPr>
          <w:ilvl w:val="0"/>
          <w:numId w:val="1158"/>
        </w:numPr>
        <w:pStyle w:val="Compact"/>
      </w:pPr>
      <w:r>
        <w:rPr>
          <w:bCs/>
          <w:b/>
        </w:rPr>
        <w:t xml:space="preserve">Mecanismo de acción:</w:t>
      </w:r>
      <w:r>
        <w:t xml:space="preserve"> </w:t>
      </w:r>
      <w:r>
        <w:t xml:space="preserve">se une al receptor de la grelina (GHS-R1a) en la hipófisis y el diencéfalo, así como en el tracto gastrointestinal; provoca un breve pulso de hormona del crecimiento y debería estimular el movimiento intestinal.</w:t>
      </w:r>
    </w:p>
    <w:p>
      <w:pPr>
        <w:numPr>
          <w:ilvl w:val="0"/>
          <w:numId w:val="1158"/>
        </w:numPr>
        <w:pStyle w:val="Compact"/>
      </w:pPr>
      <w:r>
        <w:rPr>
          <w:bCs/>
          <w:b/>
        </w:rPr>
        <w:t xml:space="preserve">Autorización UE:</w:t>
      </w:r>
      <w:r>
        <w:t xml:space="preserve"> </w:t>
      </w:r>
      <w:r>
        <w:t xml:space="preserve">no.</w:t>
      </w:r>
      <w:r>
        <w:t xml:space="preserve"> </w:t>
      </w:r>
      <w:r>
        <w:rPr>
          <w:bCs/>
          <w:b/>
        </w:rPr>
        <w:t xml:space="preserve">Autorización EE. UU.:</w:t>
      </w:r>
      <w:r>
        <w:t xml:space="preserve"> </w:t>
      </w:r>
      <w:r>
        <w:t xml:space="preserve">no.</w:t>
      </w:r>
    </w:p>
    <w:p>
      <w:pPr>
        <w:numPr>
          <w:ilvl w:val="0"/>
          <w:numId w:val="1158"/>
        </w:numPr>
        <w:pStyle w:val="Compact"/>
      </w:pPr>
      <w:r>
        <w:rPr>
          <w:bCs/>
          <w:b/>
        </w:rPr>
        <w:t xml:space="preserve">WADA:</w:t>
      </w:r>
      <w:r>
        <w:t xml:space="preserve"> </w:t>
      </w:r>
      <w:r>
        <w:t xml:space="preserve">prohibida, grupo S2 (secretagogos de la hormona del crecimiento; la ipamorelina se menciona expresamente).</w:t>
      </w:r>
    </w:p>
    <w:p>
      <w:pPr>
        <w:numPr>
          <w:ilvl w:val="0"/>
          <w:numId w:val="1158"/>
        </w:numPr>
        <w:pStyle w:val="Compact"/>
      </w:pPr>
      <w:r>
        <w:rPr>
          <w:bCs/>
          <w:b/>
        </w:rPr>
        <w:t xml:space="preserve">Nivel de evidencia: B</w:t>
      </w:r>
      <w:r>
        <w:t xml:space="preserve"> </w:t>
      </w:r>
      <w:r>
        <w:t xml:space="preserve">– un estudio aleatorizado de fase 2 con 117 personas (sin demostración de eficacia) y un pequeño estudio farmacológico en personas sanas; un segundo estudio de fase 2 está concluido, pero no publicado.</w:t>
      </w:r>
    </w:p>
    <w:bookmarkEnd w:id="503"/>
    <w:bookmarkStart w:id="504" w:name="cómo-se-supone-que-actúa-26"/>
    <w:p>
      <w:pPr>
        <w:pStyle w:val="Heading3"/>
      </w:pPr>
      <w:r>
        <w:t xml:space="preserve">Cómo se supone que actúa</w:t>
      </w:r>
    </w:p>
    <w:p>
      <w:pPr>
        <w:pStyle w:val="FirstParagraph"/>
      </w:pPr>
      <w:r>
        <w:t xml:space="preserve">El receptor de la grelina es, junto al receptor de GHRH, el segundo gran regulador de la secreción de hormona del crecimiento. Su llave natural es la grelina, una hormona del estómago descubierta en 1999 (Kojima 1999, PMID 10604470). La grelina no solo aumenta la hormona del crecimiento, sino también el hambre, y estimula los movimientos del estómago y del intestino.</w:t>
      </w:r>
    </w:p>
    <w:p>
      <w:pPr>
        <w:pStyle w:val="BodyText"/>
      </w:pPr>
      <w:r>
        <w:t xml:space="preserve">Los liberadores sintéticos más antiguos, como el GHRP-6 o el GHRP-2, liberan, además de hormona del crecimiento, también el sistema de las hormonas del estrés (ACTH y cortisol) y la prolactina. La ipamorelina se desarrolló de forma deliberada para que faltara este efecto secundario: en cerdos liberó hormona del crecimiento con una intensidad similar a la del GHRP-6, mientras que la ACTH y el cortisol, incluso con dosis más de 200 veces mayores, no aumentaron más que con la GHRH (Raun 1998, PMID 9849822). No se ha estudiado sistemáticamente si esta selectividad se da en la misma medida en el ser humano.</w:t>
      </w:r>
    </w:p>
    <w:p>
      <w:pPr>
        <w:pStyle w:val="BodyText"/>
      </w:pPr>
      <w:r>
        <w:t xml:space="preserve">En la clínica interesaba sobre todo el efecto intestinal: tras las operaciones abdominales, la actividad intestinal suele detenerse durante días (íleo postoperatorio), lo que prolonga la estancia hospitalaria. Un mimético de la grelina que pudiera administrarse por vía intravenosa parecía una solución elegante.</w:t>
      </w:r>
    </w:p>
    <w:bookmarkEnd w:id="504"/>
    <w:bookmarkStart w:id="505" w:name="estudios-en-humanos-26"/>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 encontró</w:t>
      </w:r>
      <w:r>
        <w:t xml:space="preserve"> </w:t>
      </w:r>
      <w:r>
        <w:rPr>
          <w:bCs/>
          <w:b/>
        </w:rPr>
        <w:t xml:space="preserve">2</w:t>
      </w:r>
      <w:r>
        <w:t xml:space="preserve"> </w:t>
      </w:r>
      <w:r>
        <w:t xml:space="preserve">estudios en humanos en PubMed (</w:t>
      </w:r>
      <w:r>
        <w:rPr>
          <w:rStyle w:val="VerbatimChar"/>
        </w:rPr>
        <w:t xml:space="preserve">humanstudien_alle</w:t>
      </w:r>
      <w:r>
        <w:t xml:space="preserve">) y</w:t>
      </w:r>
      <w:r>
        <w:t xml:space="preserve"> </w:t>
      </w:r>
      <w:r>
        <w:rPr>
          <w:bCs/>
          <w:b/>
        </w:rPr>
        <w:t xml:space="preserve">3</w:t>
      </w:r>
      <w:r>
        <w:t xml:space="preserve"> </w:t>
      </w:r>
      <w:r>
        <w:t xml:space="preserve">entradas en ClinicalTrials.gov. Una de estas entradas del registro (NCT07717866) se refiere a un estudio observacional sobre psicodélicos en veteranos y no examina la ipamorelina como medicamento en investigación; allí solo se enumera como uno de varios componentes de una «suplementación fisiológica» (junto con testosterona, aceite de pescado y vitaminas). Clínicamente relevantes son, por tanto, dos estudios sobre el íleo postoperatorio.</w:t>
      </w:r>
    </w:p>
    <w:p>
      <w:pPr>
        <w:pStyle w:val="BodyText"/>
      </w:pPr>
      <w:r>
        <w:rPr>
          <w:bCs/>
          <w:b/>
        </w:rPr>
        <w:t xml:space="preserve">Farmacología en personas sanas:</w:t>
      </w:r>
      <w:r>
        <w:t xml:space="preserve"> </w:t>
      </w:r>
      <w:r>
        <w:t xml:space="preserve">En un estudio con dosis crecientes, ocho hombres sanos por nivel de dosis recibieron una infusión de 15 minutos. La ipamorelina tuvo una semivida corta de unas 2 horas y provocó con todas las dosis un único pulso de GH, que alcanzó su máximo a los 40 minutos aproximadamente y después descendió con rapidez (Gobburu 1999, PMID 10496658).</w:t>
      </w:r>
    </w:p>
    <w:p>
      <w:pPr>
        <w:pStyle w:val="BodyText"/>
      </w:pPr>
      <w:r>
        <w:rPr>
          <w:bCs/>
          <w:b/>
        </w:rPr>
        <w:t xml:space="preserve">Íleo postoperatorio, primer estudio de fase 2:</w:t>
      </w:r>
      <w:r>
        <w:t xml:space="preserve"> </w:t>
      </w:r>
      <w:r>
        <w:t xml:space="preserve">En un estudio multicéntrico, doble ciego y controlado con placebo, 117 adultos recibieron tras una resección de intestino delgado o grueso, durante un máximo de siete días, ipamorelina o placebo en infusión dos veces al día. El tiempo medio hasta la primera comida sólida tolerada fue de 25,3 horas con ipamorelina y de 32,6 horas con placebo, una diferencia que no fue estadísticamente significativa (p = 0,15). Los demás objetivos de eficacia tampoco difirieron. Se produjeron efectos adversos en el 87,5 % con ipamorelina y en el 94,8 % con placebo, algo que no es inusual tras grandes operaciones abdominales (Beck 2014, PMID 25331030).</w:t>
      </w:r>
    </w:p>
    <w:p>
      <w:pPr>
        <w:pStyle w:val="BodyText"/>
      </w:pPr>
      <w:r>
        <w:rPr>
          <w:bCs/>
          <w:b/>
        </w:rPr>
        <w:t xml:space="preserve">Segundo estudio de fase 2:</w:t>
      </w:r>
      <w:r>
        <w:t xml:space="preserve"> </w:t>
      </w:r>
      <w:r>
        <w:t xml:space="preserve">Un estudio de seguimiento más grande, con 320 participantes, sobre la recuperación de la función gastrointestinal concluyó en 2014 (NCT01280344). No he encontrado en PubMed ninguna publicación de los resultados, y la entrada del registro no contiene resultados. Después, el desarrollo no continuó.</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Farmacología (Gobburu 1999), PMID 10496658</w:t>
            </w:r>
          </w:p>
        </w:tc>
        <w:tc>
          <w:tcPr/>
          <w:p>
            <w:pPr>
              <w:pStyle w:val="Compact"/>
              <w:jc w:val="left"/>
            </w:pPr>
            <w:r>
              <w:t xml:space="preserve">hombres sanos, 5 niveles de dosis de 8 personas cada uno</w:t>
            </w:r>
          </w:p>
        </w:tc>
        <w:tc>
          <w:tcPr/>
          <w:p>
            <w:pPr>
              <w:pStyle w:val="Compact"/>
              <w:jc w:val="left"/>
            </w:pPr>
            <w:r>
              <w:t xml:space="preserve">infusión única</w:t>
            </w:r>
          </w:p>
        </w:tc>
        <w:tc>
          <w:tcPr/>
          <w:p>
            <w:pPr>
              <w:pStyle w:val="Compact"/>
              <w:jc w:val="left"/>
            </w:pPr>
            <w:r>
              <w:t xml:space="preserve">semivida aprox. 2 h; un pulso de GH por administración</w:t>
            </w:r>
          </w:p>
        </w:tc>
      </w:tr>
      <w:tr>
        <w:tc>
          <w:tcPr/>
          <w:p>
            <w:pPr>
              <w:pStyle w:val="Compact"/>
              <w:jc w:val="left"/>
            </w:pPr>
            <w:r>
              <w:t xml:space="preserve">Estudio de íleo 1 (Beck 2014), PMID 25331030</w:t>
            </w:r>
          </w:p>
        </w:tc>
        <w:tc>
          <w:tcPr/>
          <w:p>
            <w:pPr>
              <w:pStyle w:val="Compact"/>
              <w:jc w:val="left"/>
            </w:pPr>
            <w:r>
              <w:t xml:space="preserve">117 adultos tras resección intestinal, ECA frente a placebo</w:t>
            </w:r>
          </w:p>
        </w:tc>
        <w:tc>
          <w:tcPr/>
          <w:p>
            <w:pPr>
              <w:pStyle w:val="Compact"/>
              <w:jc w:val="left"/>
            </w:pPr>
            <w:r>
              <w:t xml:space="preserve">hasta 7 días</w:t>
            </w:r>
          </w:p>
        </w:tc>
        <w:tc>
          <w:tcPr/>
          <w:p>
            <w:pPr>
              <w:pStyle w:val="Compact"/>
              <w:jc w:val="left"/>
            </w:pPr>
            <w:r>
              <w:t xml:space="preserve">25,3 frente a 32,6 h hasta la primera comida, no significativo</w:t>
            </w:r>
          </w:p>
        </w:tc>
      </w:tr>
      <w:tr>
        <w:tc>
          <w:tcPr/>
          <w:p>
            <w:pPr>
              <w:pStyle w:val="Compact"/>
              <w:jc w:val="left"/>
            </w:pPr>
            <w:r>
              <w:t xml:space="preserve">Estudio de íleo 2, NCT01280344</w:t>
            </w:r>
          </w:p>
        </w:tc>
        <w:tc>
          <w:tcPr/>
          <w:p>
            <w:pPr>
              <w:pStyle w:val="Compact"/>
              <w:jc w:val="left"/>
            </w:pPr>
            <w:r>
              <w:t xml:space="preserve">320 adultos, fase 2 frente a placebo</w:t>
            </w:r>
          </w:p>
        </w:tc>
        <w:tc>
          <w:tcPr/>
          <w:p>
            <w:pPr>
              <w:pStyle w:val="Compact"/>
              <w:jc w:val="left"/>
            </w:pPr>
            <w:r>
              <w:t xml:space="preserve">–</w:t>
            </w:r>
          </w:p>
        </w:tc>
        <w:tc>
          <w:tcPr/>
          <w:p>
            <w:pPr>
              <w:pStyle w:val="Compact"/>
              <w:jc w:val="left"/>
            </w:pPr>
            <w:r>
              <w:t xml:space="preserve">concluido en 2014, resultados no publicados</w:t>
            </w:r>
          </w:p>
        </w:tc>
      </w:tr>
    </w:tbl>
    <w:p>
      <w:pPr>
        <w:pStyle w:val="BodyText"/>
      </w:pPr>
      <w:r>
        <w:rPr>
          <w:bCs/>
          <w:b/>
        </w:rPr>
        <w:t xml:space="preserve">No</w:t>
      </w:r>
      <w:r>
        <w:t xml:space="preserve"> </w:t>
      </w:r>
      <w:r>
        <w:t xml:space="preserve">existe ningún estudio publicado que haya examinado la ipamorelina en adultos sanos, deportistas o personas mayores en relación con la masa muscular, la pérdida de grasa, el sueño, la piel o el rendimiento.</w:t>
      </w:r>
    </w:p>
    <w:bookmarkEnd w:id="505"/>
    <w:bookmarkStart w:id="506" w:name="estudios-en-animales-y-de-laboratorio-26"/>
    <w:p>
      <w:pPr>
        <w:pStyle w:val="Heading3"/>
      </w:pPr>
      <w:r>
        <w:t xml:space="preserve">Estudios en animales y de laboratorio</w:t>
      </w:r>
    </w:p>
    <w:p>
      <w:pPr>
        <w:numPr>
          <w:ilvl w:val="0"/>
          <w:numId w:val="1159"/>
        </w:numPr>
        <w:pStyle w:val="Compact"/>
      </w:pPr>
      <w:r>
        <w:rPr>
          <w:bCs/>
          <w:b/>
        </w:rPr>
        <w:t xml:space="preserve">Intestino (ratas):</w:t>
      </w:r>
      <w:r>
        <w:t xml:space="preserve"> </w:t>
      </w:r>
      <w:r>
        <w:t xml:space="preserve">En ratas con parálisis intestinal provocada quirúrgicamente, una dosis única de ipamorelina acortó el tiempo hasta la primera deposición; las administraciones repetidas aumentaron la cantidad de heces, la ingesta de alimento y el aumento de peso (Venkova 2009, PMID 19289567). Estos resultados fueron la base de los estudios de íleo en humanos, que no confirmaron el efecto.</w:t>
      </w:r>
    </w:p>
    <w:p>
      <w:pPr>
        <w:numPr>
          <w:ilvl w:val="0"/>
          <w:numId w:val="1159"/>
        </w:numPr>
        <w:pStyle w:val="Compact"/>
      </w:pPr>
      <w:r>
        <w:rPr>
          <w:bCs/>
          <w:b/>
        </w:rPr>
        <w:t xml:space="preserve">Hueso (ratas):</w:t>
      </w:r>
      <w:r>
        <w:t xml:space="preserve"> </w:t>
      </w:r>
      <w:r>
        <w:t xml:space="preserve">En ratas hembra adultas, la ipamorelina aumentó durante 15 días, de forma dependiente de la dosis, el crecimiento longitudinal de los huesos y el aumento de peso, sin elevar de forma medible el IGF-1 (Johansen 1999, PMID 10373343).</w:t>
      </w:r>
    </w:p>
    <w:p>
      <w:pPr>
        <w:numPr>
          <w:ilvl w:val="0"/>
          <w:numId w:val="1159"/>
        </w:numPr>
        <w:pStyle w:val="Compact"/>
      </w:pPr>
      <w:r>
        <w:rPr>
          <w:bCs/>
          <w:b/>
        </w:rPr>
        <w:t xml:space="preserve">Selectividad (cerdos, células de rata):</w:t>
      </w:r>
      <w:r>
        <w:t xml:space="preserve"> </w:t>
      </w:r>
      <w:r>
        <w:t xml:space="preserve">véase más arriba (Raun 1998, PMID 9849822).</w:t>
      </w:r>
    </w:p>
    <w:bookmarkEnd w:id="506"/>
    <w:bookmarkStart w:id="507" w:name="riesgos-y-efectos-adversos-26"/>
    <w:p>
      <w:pPr>
        <w:pStyle w:val="Heading3"/>
      </w:pPr>
      <w:r>
        <w:t xml:space="preserve">Riesgos y efectos adversos</w:t>
      </w:r>
    </w:p>
    <w:p>
      <w:pPr>
        <w:pStyle w:val="FirstParagraph"/>
      </w:pPr>
      <w:r>
        <w:rPr>
          <w:bCs/>
          <w:b/>
        </w:rPr>
        <w:t xml:space="preserve">Demostrado:</w:t>
      </w:r>
      <w:r>
        <w:t xml:space="preserve"> </w:t>
      </w:r>
      <w:r>
        <w:t xml:space="preserve">En el estudio de íleo, la ipamorelina se describió como bien tolerada durante un máximo de siete días, sin acumulación de efectos adversos frente a placebo (Beck 2014, PMID 25331030). Se trata de un uso breve en el hospital con administración intravenosa.</w:t>
      </w:r>
    </w:p>
    <w:p>
      <w:pPr>
        <w:pStyle w:val="BodyText"/>
      </w:pPr>
      <w:r>
        <w:rPr>
          <w:bCs/>
          <w:b/>
        </w:rPr>
        <w:t xml:space="preserve">Desconocido:</w:t>
      </w:r>
      <w:r>
        <w:t xml:space="preserve"> </w:t>
      </w:r>
      <w:r>
        <w:t xml:space="preserve">No hay datos sobre el uso repetido durante semanas o meses, como se describe en internet. En teoría cabe esperar los efectos de unos niveles elevados de GH (retención de líquidos, molestias articulares, menor sensibilidad a la insulina) y, a través del receptor de la grelina, un aumento del apetito. Sobre la cuestión de un riesgo de cáncer por un IGF-1 elevado de forma continuada, véanse la introducción de este grupo y la Parte IV.</w:t>
      </w:r>
    </w:p>
    <w:p>
      <w:pPr>
        <w:pStyle w:val="BodyText"/>
      </w:pPr>
      <w:r>
        <w:rPr>
          <w:bCs/>
          <w:b/>
        </w:rPr>
        <w:t xml:space="preserve">Mercado gris:</w:t>
      </w:r>
      <w:r>
        <w:t xml:space="preserve"> </w:t>
      </w:r>
      <w:r>
        <w:t xml:space="preserve">Los análisis de laboratorio de productos incautados encontraron «Gly-ipamorelina», es decir, ipamorelina con un aminoácido adicional no declarado al principio, probablemente para eludir los controles antidopaje (Krug 2018, PMID 29864719; Gajda 2019, PMID 30136411). Se desconoce cómo se comportan estas modificaciones en el organismo.</w:t>
      </w:r>
    </w:p>
    <w:bookmarkEnd w:id="507"/>
    <w:bookmarkStart w:id="508" w:name="situación-legal-26"/>
    <w:p>
      <w:pPr>
        <w:pStyle w:val="Heading3"/>
      </w:pPr>
      <w:r>
        <w:t xml:space="preserve">Situación legal</w:t>
      </w:r>
    </w:p>
    <w:p>
      <w:pPr>
        <w:pStyle w:val="FirstParagraph"/>
      </w:pPr>
      <w:r>
        <w:rPr>
          <w:iCs/>
          <w:i/>
        </w:rPr>
        <w:t xml:space="preserve">Situación en 2026; compruebe la información actualizada.</w:t>
      </w:r>
    </w:p>
    <w:p>
      <w:pPr>
        <w:numPr>
          <w:ilvl w:val="0"/>
          <w:numId w:val="1160"/>
        </w:numPr>
        <w:pStyle w:val="Compact"/>
      </w:pPr>
      <w:r>
        <w:rPr>
          <w:bCs/>
          <w:b/>
        </w:rPr>
        <w:t xml:space="preserve">UE, Alemania, Austria:</w:t>
      </w:r>
      <w:r>
        <w:t xml:space="preserve"> </w:t>
      </w:r>
      <w:r>
        <w:t xml:space="preserve">sin autorización; su dispensación para uso en humanos no está permitida.</w:t>
      </w:r>
    </w:p>
    <w:p>
      <w:pPr>
        <w:numPr>
          <w:ilvl w:val="0"/>
          <w:numId w:val="1160"/>
        </w:numPr>
        <w:pStyle w:val="Compact"/>
      </w:pPr>
      <w:r>
        <w:rPr>
          <w:bCs/>
          <w:b/>
        </w:rPr>
        <w:t xml:space="preserve">EE. UU.:</w:t>
      </w:r>
      <w:r>
        <w:t xml:space="preserve"> </w:t>
      </w:r>
      <w:r>
        <w:t xml:space="preserve">sin autorización. La FDA ha clasificado la ipamorelina entre las sustancias de partida para farmacias de formulación magistral como sustancia con problemas de seguridad (categoría 2); la clasificación de los péptidos se debate desde entonces de forma controvertida (Willis 2026, PMID 42752426).</w:t>
      </w:r>
    </w:p>
    <w:p>
      <w:pPr>
        <w:numPr>
          <w:ilvl w:val="0"/>
          <w:numId w:val="1160"/>
        </w:numPr>
        <w:pStyle w:val="Compact"/>
      </w:pPr>
      <w:r>
        <w:rPr>
          <w:bCs/>
          <w:b/>
        </w:rPr>
        <w:t xml:space="preserve">WADA:</w:t>
      </w:r>
      <w:r>
        <w:t xml:space="preserve"> </w:t>
      </w:r>
      <w:r>
        <w:t xml:space="preserve">prohibida (S2), en competición y fuera de ella. La ipamorelina y sus productos de degradación pueden detectarse en orina, también tras su uso como aerosol nasal (Semenistaya 2015, PMID 25869809).</w:t>
      </w:r>
    </w:p>
    <w:bookmarkEnd w:id="508"/>
    <w:bookmarkStart w:id="509" w:name="estudios-en-curso-y-perspectivas-26"/>
    <w:p>
      <w:pPr>
        <w:pStyle w:val="Heading3"/>
      </w:pPr>
      <w:r>
        <w:t xml:space="preserve">Estudios en curso y perspectivas</w:t>
      </w:r>
    </w:p>
    <w:p>
      <w:pPr>
        <w:pStyle w:val="FirstParagraph"/>
      </w:pPr>
      <w:r>
        <w:t xml:space="preserve">En octubre de 2026 no figura en ClinicalTrials.gov ningún estudio en curso que examine la ipamorelina como medicamento en investigación.</w:t>
      </w:r>
      <w:r>
        <w:t xml:space="preserve"> </w:t>
      </w:r>
      <w:r>
        <w:rPr>
          <w:iCs/>
          <w:i/>
        </w:rPr>
        <w:t xml:space="preserve">Valoración del autor:</w:t>
      </w:r>
      <w:r>
        <w:t xml:space="preserve"> </w:t>
      </w:r>
      <w:r>
        <w:t xml:space="preserve">Tras el resultado negativo en el íleo postoperatorio, falta una empresa que siga desarrollando la sustancia. Lo más probable es que los nuevos datos procedan de informes de casos sobre usos del mercado gris.</w:t>
      </w:r>
    </w:p>
    <w:bookmarkEnd w:id="509"/>
    <w:bookmarkStart w:id="510" w:name="conclusión-26"/>
    <w:p>
      <w:pPr>
        <w:pStyle w:val="Heading3"/>
      </w:pPr>
      <w:r>
        <w:t xml:space="preserve">Conclusión</w:t>
      </w:r>
    </w:p>
    <w:p>
      <w:pPr>
        <w:pStyle w:val="FirstParagraph"/>
      </w:pPr>
      <w:r>
        <w:t xml:space="preserve">La ipamorelina es un agonista del receptor de la grelina desarrollado de forma específica que, en animales, libera hormona del crecimiento sin una secreción apreciable de hormonas del estrés. El único estudio de eficacia publicado en humanos –117 pacientes tras operaciones intestinales– no encontró ningún beneficio significativo; un estudio de seguimiento más grande quedó sin publicar. Para los usos promocionados en internet (desarrollo muscular, pérdida de grasa, sueño, antienvejecimiento) no hay estudios en humanos, y está demostrado que los productos del mercado gris contienen también moléculas modificadas.</w:t>
      </w:r>
    </w:p>
    <w:bookmarkEnd w:id="510"/>
    <w:bookmarkEnd w:id="511"/>
    <w:bookmarkStart w:id="523" w:name="ghrp-2-pralmorelina"/>
    <w:p>
      <w:pPr>
        <w:pStyle w:val="Heading2"/>
      </w:pPr>
      <w:r>
        <w:t xml:space="preserve">GHRP-2 (pralmorelina)</w:t>
      </w:r>
    </w:p>
    <w:p>
      <w:pPr>
        <w:pStyle w:val="FirstParagraph"/>
      </w:pPr>
      <w:r>
        <w:t xml:space="preserve">El GHRP-2 es un pequeño péptido artificial de seis aminoácidos que estimula a la hipófisis a liberar hormona del crecimiento con más fuerza que casi cualquier otro estímulo conocido. Esta potencia lo ha convertido en Japón en un medicamento autorizado, no como tratamiento, sino como sustancia de prueba: con una sola inyección puede comprobarse si un adulto tiene un déficit de hormona del crecimiento. En el mercado gris, el mismo péptido se vende como «péptido para el músculo y antienvejecimiento». Para ello no hay pruebas.</w:t>
      </w:r>
    </w:p>
    <w:bookmarkStart w:id="512" w:name="ficha-27"/>
    <w:p>
      <w:pPr>
        <w:pStyle w:val="Heading3"/>
      </w:pPr>
      <w:r>
        <w:t xml:space="preserve">Ficha</w:t>
      </w:r>
    </w:p>
    <w:p>
      <w:pPr>
        <w:numPr>
          <w:ilvl w:val="0"/>
          <w:numId w:val="1161"/>
        </w:numPr>
        <w:pStyle w:val="Compact"/>
      </w:pPr>
      <w:r>
        <w:rPr>
          <w:bCs/>
          <w:b/>
        </w:rPr>
        <w:t xml:space="preserve">Tipo y estructura:</w:t>
      </w:r>
      <w:r>
        <w:t xml:space="preserve"> </w:t>
      </w:r>
      <w:r>
        <w:t xml:space="preserve">hexapéptido sintético (D-Ala-D-2-Nal-Ala-Trp-D-Phe-Lys-NH2) con varios aminoácidos no naturales; nombres de desarrollo KP-102 y GPA-748, denominación común internacional pralmorelina (Doi 2004, PMID 15646370).</w:t>
      </w:r>
    </w:p>
    <w:p>
      <w:pPr>
        <w:numPr>
          <w:ilvl w:val="0"/>
          <w:numId w:val="1161"/>
        </w:numPr>
        <w:pStyle w:val="Compact"/>
      </w:pPr>
      <w:r>
        <w:rPr>
          <w:bCs/>
          <w:b/>
        </w:rPr>
        <w:t xml:space="preserve">Origen:</w:t>
      </w:r>
      <w:r>
        <w:t xml:space="preserve"> </w:t>
      </w:r>
      <w:r>
        <w:t xml:space="preserve">desarrollado en la década de 1990 a partir de la serie de péptidos liberadores de GH iniciada por Cyril Bowers (Universidad de Tulane, EE. UU.); derechos en manos de Kaken (Japón) (perfil anónimo del principio activo en Drugs R D 2004, PMID 15230633).</w:t>
      </w:r>
    </w:p>
    <w:p>
      <w:pPr>
        <w:numPr>
          <w:ilvl w:val="0"/>
          <w:numId w:val="1161"/>
        </w:numPr>
        <w:pStyle w:val="Compact"/>
      </w:pPr>
      <w:r>
        <w:rPr>
          <w:bCs/>
          <w:b/>
        </w:rPr>
        <w:t xml:space="preserve">Mecanismo de acción:</w:t>
      </w:r>
      <w:r>
        <w:t xml:space="preserve"> </w:t>
      </w:r>
      <w:r>
        <w:t xml:space="preserve">agonista del receptor de la grelina (GHS-R1a) en la hipófisis y el diencéfalo; libera hormona del crecimiento y, en menor medida, también ACTH, cortisol y prolactina; aumenta el apetito.</w:t>
      </w:r>
    </w:p>
    <w:p>
      <w:pPr>
        <w:numPr>
          <w:ilvl w:val="0"/>
          <w:numId w:val="1161"/>
        </w:numPr>
        <w:pStyle w:val="Compact"/>
      </w:pPr>
      <w:r>
        <w:rPr>
          <w:bCs/>
          <w:b/>
        </w:rPr>
        <w:t xml:space="preserve">Autorización UE:</w:t>
      </w:r>
      <w:r>
        <w:t xml:space="preserve"> </w:t>
      </w:r>
      <w:r>
        <w:t xml:space="preserve">no.</w:t>
      </w:r>
      <w:r>
        <w:t xml:space="preserve"> </w:t>
      </w:r>
      <w:r>
        <w:rPr>
          <w:bCs/>
          <w:b/>
        </w:rPr>
        <w:t xml:space="preserve">Autorización EE. UU.:</w:t>
      </w:r>
      <w:r>
        <w:t xml:space="preserve"> </w:t>
      </w:r>
      <w:r>
        <w:t xml:space="preserve">no.</w:t>
      </w:r>
      <w:r>
        <w:t xml:space="preserve"> </w:t>
      </w:r>
      <w:r>
        <w:rPr>
          <w:bCs/>
          <w:b/>
        </w:rPr>
        <w:t xml:space="preserve">Japón:</w:t>
      </w:r>
      <w:r>
        <w:t xml:space="preserve"> </w:t>
      </w:r>
      <w:r>
        <w:t xml:space="preserve">autorizado como agente diagnóstico de la función hipofisaria (situación en 2026, compruébese).</w:t>
      </w:r>
    </w:p>
    <w:p>
      <w:pPr>
        <w:numPr>
          <w:ilvl w:val="0"/>
          <w:numId w:val="1161"/>
        </w:numPr>
        <w:pStyle w:val="Compact"/>
      </w:pPr>
      <w:r>
        <w:rPr>
          <w:bCs/>
          <w:b/>
        </w:rPr>
        <w:t xml:space="preserve">WADA:</w:t>
      </w:r>
      <w:r>
        <w:t xml:space="preserve"> </w:t>
      </w:r>
      <w:r>
        <w:t xml:space="preserve">prohibido, grupo S2; el GHRP-2 (pralmorelina) se menciona expresamente como péptido liberador de hormona del crecimiento.</w:t>
      </w:r>
    </w:p>
    <w:p>
      <w:pPr>
        <w:numPr>
          <w:ilvl w:val="0"/>
          <w:numId w:val="1161"/>
        </w:numPr>
        <w:pStyle w:val="Compact"/>
      </w:pPr>
      <w:r>
        <w:rPr>
          <w:bCs/>
          <w:b/>
        </w:rPr>
        <w:t xml:space="preserve">Nivel de evidencia: B</w:t>
      </w:r>
      <w:r>
        <w:t xml:space="preserve"> </w:t>
      </w:r>
      <w:r>
        <w:t xml:space="preserve">– numerosos pequeños estudios aleatorizados sobre fisiología hormonal y un estudio de validación como agente diagnóstico; ningún estudio aleatorizado sobre un beneficio terapéutico.</w:t>
      </w:r>
    </w:p>
    <w:bookmarkEnd w:id="512"/>
    <w:bookmarkStart w:id="513" w:name="cómo-se-supone-que-actúa-27"/>
    <w:p>
      <w:pPr>
        <w:pStyle w:val="Heading3"/>
      </w:pPr>
      <w:r>
        <w:t xml:space="preserve">Cómo se supone que actúa</w:t>
      </w:r>
    </w:p>
    <w:p>
      <w:pPr>
        <w:pStyle w:val="FirstParagraph"/>
      </w:pPr>
      <w:r>
        <w:t xml:space="preserve">El GHRP-2 imita a la grelina, la hormona del hambre del estómago, que al mismo tiempo regula la secreción de hormona del crecimiento (Kojima 1999, PMID 10604470). Históricamente fue al revés: primero existieron los GHRP sintéticos, se encontró su receptor y solo después se descubrió la grelina como su llave natural.</w:t>
      </w:r>
    </w:p>
    <w:p>
      <w:pPr>
        <w:pStyle w:val="BodyText"/>
      </w:pPr>
      <w:r>
        <w:t xml:space="preserve">El GHRP-2 actúa en dos niveles: directamente en la hipófisis e indirectamente a través del diencéfalo, donde atenúa el freno de la somatostatina y apoya la GHRH propia del organismo. Por eso, para su efecto completo necesita un diencéfalo intacto: en ratas sin hipófisis no tuvo ningún efecto, y en ratas con la conexión entre diencéfalo e hipófisis destruida, solo un efecto atenuado (Doi 2004, PMID 15646370). Si se administran juntos GHRP-2 y GHRH, la secreción es claramente mayor que la suma de los efectos individuales.</w:t>
      </w:r>
    </w:p>
    <w:bookmarkEnd w:id="513"/>
    <w:bookmarkStart w:id="517" w:name="estudios-en-humanos-27"/>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 encontró</w:t>
      </w:r>
      <w:r>
        <w:t xml:space="preserve"> </w:t>
      </w:r>
      <w:r>
        <w:rPr>
          <w:bCs/>
          <w:b/>
        </w:rPr>
        <w:t xml:space="preserve">55</w:t>
      </w:r>
      <w:r>
        <w:t xml:space="preserve"> </w:t>
      </w:r>
      <w:r>
        <w:t xml:space="preserve">estudios en humanos en PubMed (</w:t>
      </w:r>
      <w:r>
        <w:rPr>
          <w:rStyle w:val="VerbatimChar"/>
        </w:rPr>
        <w:t xml:space="preserve">humanstudien_alle</w:t>
      </w:r>
      <w:r>
        <w:t xml:space="preserve">) y</w:t>
      </w:r>
      <w:r>
        <w:t xml:space="preserve"> </w:t>
      </w:r>
      <w:r>
        <w:rPr>
          <w:bCs/>
          <w:b/>
        </w:rPr>
        <w:t xml:space="preserve">ninguna</w:t>
      </w:r>
      <w:r>
        <w:t xml:space="preserve"> </w:t>
      </w:r>
      <w:r>
        <w:t xml:space="preserve">entrada en ClinicalTrials.gov. La cifra elevada engaña: la mayoría de los trabajos (sobre todo de un grupo de investigación de la Clínica Mayo) utilizan el GHRP-2 como herramienta para estudiar la regulación de la secreción de hormona del crecimiento en mujeres y hombres, bajo hormonas sexuales o en la vejez. No dicen nada sobre un beneficio para la salud.</w:t>
      </w:r>
    </w:p>
    <w:bookmarkStart w:id="514" w:name="X66f2f04f0cbd577614d7cc631358cf7da38ae41"/>
    <w:p>
      <w:pPr>
        <w:pStyle w:val="Heading4"/>
      </w:pPr>
      <w:r>
        <w:t xml:space="preserve">Diagnóstico del déficit de hormona del crecimiento</w:t>
      </w:r>
    </w:p>
    <w:p>
      <w:pPr>
        <w:pStyle w:val="FirstParagraph"/>
      </w:pPr>
      <w:r>
        <w:t xml:space="preserve">La aplicación más importante es la prueba de GHRP-2. En un estudio de validación, 77 personas sanas y 58 pacientes con déficit grave confirmado de hormona del crecimiento recibieron una dosis única intravenosa. El pico de GH fue en promedio de 84,6 µg/l en las personas sanas y de 1,36 µg/l en las afectadas. La prueba fue bien reproducible y apenas se vio influida por la edad y el sobrepeso; un valor de corte de 15 µg/l correspondió al valor de corte habitual de la prueba de hipoglucemia insulínica (Chihara 2007, PMID 17609397). En una comparación en 71 personas con tumores hipofisarios, la prueba de GHRP-2 alcanzó, frente a la prueba de insulina, una sensibilidad del 81,3 % y una especificidad del 94,5 % (Kinoshita 2013, PMID 23079545).</w:t>
      </w:r>
    </w:p>
    <w:p>
      <w:pPr>
        <w:pStyle w:val="BodyText"/>
      </w:pPr>
      <w:r>
        <w:t xml:space="preserve">Como el GHRP-2 también libera ACTH, se examinó si la prueba detecta además una hipofunción del eje suprarrenal. Los resultados son dispares: en un estudio con 47 personas alcanzó una sensibilidad del 89,7 % (Arimura 2016, PMID 27020037); en un análisis más amplio de 254 personas no resultó suficientemente fiable en conjunto (sensibilidad del 64 %, especificidad del 79 %); solo en hombres sin tumor hormonalmente activo obtuvo buenos resultados (Hayakawa 2018, PMID 30324179).</w:t>
      </w:r>
    </w:p>
    <w:bookmarkEnd w:id="514"/>
    <w:bookmarkStart w:id="515" w:name="intentos-de-tratamiento-en-niños"/>
    <w:p>
      <w:pPr>
        <w:pStyle w:val="Heading4"/>
      </w:pPr>
      <w:r>
        <w:t xml:space="preserve">Intentos de tratamiento en niños</w:t>
      </w:r>
    </w:p>
    <w:p>
      <w:pPr>
        <w:pStyle w:val="FirstParagraph"/>
      </w:pPr>
      <w:r>
        <w:t xml:space="preserve">En la década de 1990 se probó el GHRP-2 como tratamiento para niños de talla baja. En seis niños con déficit de hormona del crecimiento, la secreción nocturna de GH aumentó de forma dependiente de la dosis, pero el IGF-1 no; la velocidad de crecimiento fue mayor durante el tratamiento (Mericq 1998, PMID 9661608). Como aerosol nasal, el GHRP-2 aumentó en 15 niños la velocidad de crecimiento de 3,7 a 6,1 cm al año, de nuevo sin aumento del IGF-1 (Pihoker 1997, PMID 9390009). De diez niños que recibieron GHRP-2 en comprimidos durante doce meses, siete refirieron un apetito claramente mayor en los primeros meses (Mericq 2003, PMID 14513874). Su desarrollo posterior como tratamiento se abandonó en EE. UU. (perfil anónimo del principio activo en Drugs R D 2004, PMID 15230633).</w:t>
      </w:r>
    </w:p>
    <w:bookmarkEnd w:id="515"/>
    <w:bookmarkStart w:id="516" w:name="apetito-y-medicina-intensiva"/>
    <w:p>
      <w:pPr>
        <w:pStyle w:val="Heading4"/>
      </w:pPr>
      <w:r>
        <w:t xml:space="preserve">Apetito y medicina intensiva</w:t>
      </w:r>
    </w:p>
    <w:p>
      <w:pPr>
        <w:pStyle w:val="FirstParagraph"/>
      </w:pPr>
      <w:r>
        <w:t xml:space="preserve">En 19 adultos delgados y con sobrepeso, una infusión de GHRP-2 aumentó la cantidad de comida elegida libremente, de forma dependiente de la dosis, en un 10,2 % y un 33,5 % frente a placebo (Laferrère 2006, PMID 16861611). En 14 pacientes de cuidados intensivos de larga duración, una infusión de cinco días de GHRP-2 junto con la hormona liberadora de tirotropina TRH reactivó los ejes suprimidos de la GH y de la tiroides y desplazó los marcadores metabólicos hacia el anabolismo (Van den Berghe 1999, PMID 10199772). Nunca se comprobó en un estudio con criterios de valoración clínicos si esto modifica las posibilidades de supervivencia.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Diagnóstico (Chihara 2007), PMID 17609397</w:t>
            </w:r>
          </w:p>
        </w:tc>
        <w:tc>
          <w:tcPr/>
          <w:p>
            <w:pPr>
              <w:pStyle w:val="Compact"/>
              <w:jc w:val="left"/>
            </w:pPr>
            <w:r>
              <w:t xml:space="preserve">77 personas sanas, 58 afectadas con déficit de GH, validación controlada</w:t>
            </w:r>
          </w:p>
        </w:tc>
        <w:tc>
          <w:tcPr/>
          <w:p>
            <w:pPr>
              <w:pStyle w:val="Compact"/>
              <w:jc w:val="left"/>
            </w:pPr>
            <w:r>
              <w:t xml:space="preserve">prueba única</w:t>
            </w:r>
          </w:p>
        </w:tc>
        <w:tc>
          <w:tcPr/>
          <w:p>
            <w:pPr>
              <w:pStyle w:val="Compact"/>
              <w:jc w:val="left"/>
            </w:pPr>
            <w:r>
              <w:t xml:space="preserve">pico de GH 84,6 frente a 1,36 µg/l; valor de corte 15 µg/l</w:t>
            </w:r>
          </w:p>
        </w:tc>
      </w:tr>
      <w:tr>
        <w:tc>
          <w:tcPr/>
          <w:p>
            <w:pPr>
              <w:pStyle w:val="Compact"/>
              <w:jc w:val="left"/>
            </w:pPr>
            <w:r>
              <w:t xml:space="preserve">Diagnóstico (Kinoshita 2013), PMID 23079545</w:t>
            </w:r>
          </w:p>
        </w:tc>
        <w:tc>
          <w:tcPr/>
          <w:p>
            <w:pPr>
              <w:pStyle w:val="Compact"/>
              <w:jc w:val="left"/>
            </w:pPr>
            <w:r>
              <w:t xml:space="preserve">71 personas con tumores hipofisarios, comparación con la prueba de insulina</w:t>
            </w:r>
          </w:p>
        </w:tc>
        <w:tc>
          <w:tcPr/>
          <w:p>
            <w:pPr>
              <w:pStyle w:val="Compact"/>
              <w:jc w:val="left"/>
            </w:pPr>
            <w:r>
              <w:t xml:space="preserve">prueba única</w:t>
            </w:r>
          </w:p>
        </w:tc>
        <w:tc>
          <w:tcPr/>
          <w:p>
            <w:pPr>
              <w:pStyle w:val="Compact"/>
              <w:jc w:val="left"/>
            </w:pPr>
            <w:r>
              <w:t xml:space="preserve">sensibilidad 81,3 %, especificidad 94,5 %</w:t>
            </w:r>
          </w:p>
        </w:tc>
      </w:tr>
      <w:tr>
        <w:tc>
          <w:tcPr/>
          <w:p>
            <w:pPr>
              <w:pStyle w:val="Compact"/>
              <w:jc w:val="left"/>
            </w:pPr>
            <w:r>
              <w:t xml:space="preserve">Niños, aerosol nasal (Pihoker 1997), PMID 9390009</w:t>
            </w:r>
          </w:p>
        </w:tc>
        <w:tc>
          <w:tcPr/>
          <w:p>
            <w:pPr>
              <w:pStyle w:val="Compact"/>
              <w:jc w:val="left"/>
            </w:pPr>
            <w:r>
              <w:t xml:space="preserve">15 niños de talla baja, sin grupo control</w:t>
            </w:r>
          </w:p>
        </w:tc>
        <w:tc>
          <w:tcPr/>
          <w:p>
            <w:pPr>
              <w:pStyle w:val="Compact"/>
              <w:jc w:val="left"/>
            </w:pPr>
            <w:r>
              <w:t xml:space="preserve">6–24 meses</w:t>
            </w:r>
          </w:p>
        </w:tc>
        <w:tc>
          <w:tcPr/>
          <w:p>
            <w:pPr>
              <w:pStyle w:val="Compact"/>
              <w:jc w:val="left"/>
            </w:pPr>
            <w:r>
              <w:t xml:space="preserve">crecimiento 3,7 → 6,1 cm/año</w:t>
            </w:r>
          </w:p>
        </w:tc>
      </w:tr>
      <w:tr>
        <w:tc>
          <w:tcPr/>
          <w:p>
            <w:pPr>
              <w:pStyle w:val="Compact"/>
              <w:jc w:val="left"/>
            </w:pPr>
            <w:r>
              <w:t xml:space="preserve">Apetito (Laferrère 2006), PMID 16861611</w:t>
            </w:r>
          </w:p>
        </w:tc>
        <w:tc>
          <w:tcPr/>
          <w:p>
            <w:pPr>
              <w:pStyle w:val="Compact"/>
              <w:jc w:val="left"/>
            </w:pPr>
            <w:r>
              <w:t xml:space="preserve">19 adultos, ECA cruzado frente a placebo</w:t>
            </w:r>
          </w:p>
        </w:tc>
        <w:tc>
          <w:tcPr/>
          <w:p>
            <w:pPr>
              <w:pStyle w:val="Compact"/>
              <w:jc w:val="left"/>
            </w:pPr>
            <w:r>
              <w:t xml:space="preserve">3 infusiones únicas</w:t>
            </w:r>
          </w:p>
        </w:tc>
        <w:tc>
          <w:tcPr/>
          <w:p>
            <w:pPr>
              <w:pStyle w:val="Compact"/>
              <w:jc w:val="left"/>
            </w:pPr>
            <w:r>
              <w:t xml:space="preserve">cantidad de comida +10,2 % y +33,5 %</w:t>
            </w:r>
          </w:p>
        </w:tc>
      </w:tr>
      <w:tr>
        <w:tc>
          <w:tcPr/>
          <w:p>
            <w:pPr>
              <w:pStyle w:val="Compact"/>
              <w:jc w:val="left"/>
            </w:pPr>
            <w:r>
              <w:t xml:space="preserve">Medicina intensiva (Van den Berghe 1999), PMID 10199772</w:t>
            </w:r>
          </w:p>
        </w:tc>
        <w:tc>
          <w:tcPr/>
          <w:p>
            <w:pPr>
              <w:pStyle w:val="Compact"/>
              <w:jc w:val="left"/>
            </w:pPr>
            <w:r>
              <w:t xml:space="preserve">14 pacientes de cuidados intensivos de larga duración, diseño cruzado aleatorizado</w:t>
            </w:r>
          </w:p>
        </w:tc>
        <w:tc>
          <w:tcPr/>
          <w:p>
            <w:pPr>
              <w:pStyle w:val="Compact"/>
              <w:jc w:val="left"/>
            </w:pPr>
            <w:r>
              <w:t xml:space="preserve">5 días</w:t>
            </w:r>
          </w:p>
        </w:tc>
        <w:tc>
          <w:tcPr/>
          <w:p>
            <w:pPr>
              <w:pStyle w:val="Compact"/>
              <w:jc w:val="left"/>
            </w:pPr>
            <w:r>
              <w:t xml:space="preserve">ejes de la GH y de la tiroides reactivados</w:t>
            </w:r>
          </w:p>
        </w:tc>
      </w:tr>
    </w:tbl>
    <w:bookmarkEnd w:id="516"/>
    <w:bookmarkEnd w:id="517"/>
    <w:bookmarkStart w:id="518" w:name="estudios-en-animales-y-de-laboratorio-27"/>
    <w:p>
      <w:pPr>
        <w:pStyle w:val="Heading3"/>
      </w:pPr>
      <w:r>
        <w:t xml:space="preserve">Estudios en animales y de laboratorio</w:t>
      </w:r>
    </w:p>
    <w:p>
      <w:pPr>
        <w:pStyle w:val="FirstParagraph"/>
      </w:pPr>
      <w:r>
        <w:t xml:space="preserve">En ratas despiertas, el GHRP-2 liberó más hormona del crecimiento que la GHRH y actuó también en perros, en los que la GHRH fracasó; en ratas aumentó la ACTH y la corticosterona, pero no la prolactina, y aceleró el crecimiento a lo largo de tres semanas (Doi 2004, PMID 15646370). En cerdos, el GHRP-2 fue especialmente potente en un estudio comparativo, pero, a diferencia de la ipamorelina, liberó también ACTH y cortisol (Raun 1998, PMID 9849822).</w:t>
      </w:r>
    </w:p>
    <w:bookmarkEnd w:id="518"/>
    <w:bookmarkStart w:id="519" w:name="riesgos-y-efectos-adversos-27"/>
    <w:p>
      <w:pPr>
        <w:pStyle w:val="Heading3"/>
      </w:pPr>
      <w:r>
        <w:t xml:space="preserve">Riesgos y efectos adversos</w:t>
      </w:r>
    </w:p>
    <w:p>
      <w:pPr>
        <w:pStyle w:val="FirstParagraph"/>
      </w:pPr>
      <w:r>
        <w:rPr>
          <w:bCs/>
          <w:b/>
        </w:rPr>
        <w:t xml:space="preserve">Demostrado:</w:t>
      </w:r>
      <w:r>
        <w:t xml:space="preserve"> </w:t>
      </w:r>
      <w:r>
        <w:t xml:space="preserve">En los estudios, el GHRP-2 se toleró bien a corto plazo. Se han descrito repetidamente un aumento del apetito (Mericq 2003, PMID 14513874; Laferrère 2006, PMID 16861611) y la liberación de ACTH y cortisol (Arimura 2016, PMID 27020037). Una revisión sobre los liberadores de GH menciona además un posible aumento de la glucosa por una menor sensibilidad a la insulina y reclama datos a largo plazo sobre cáncer y mortalidad (Sigalos 2018, PMID 28400207).</w:t>
      </w:r>
    </w:p>
    <w:p>
      <w:pPr>
        <w:pStyle w:val="BodyText"/>
      </w:pPr>
      <w:r>
        <w:rPr>
          <w:bCs/>
          <w:b/>
        </w:rPr>
        <w:t xml:space="preserve">Desconocido:</w:t>
      </w:r>
      <w:r>
        <w:t xml:space="preserve"> </w:t>
      </w:r>
      <w:r>
        <w:t xml:space="preserve">No hay datos sobre el uso durante meses o años en adultos. Sobre la cuestión de si una hormona del crecimiento/IGF-1 elevada de forma continuada aumenta el riesgo de cáncer, véanse la introducción de este grupo y la Parte IV.</w:t>
      </w:r>
    </w:p>
    <w:p>
      <w:pPr>
        <w:pStyle w:val="BodyText"/>
      </w:pPr>
      <w:r>
        <w:rPr>
          <w:bCs/>
          <w:b/>
        </w:rPr>
        <w:t xml:space="preserve">Mercado gris:</w:t>
      </w:r>
      <w:r>
        <w:t xml:space="preserve"> </w:t>
      </w:r>
      <w:r>
        <w:t xml:space="preserve">En productos incautados se encontró «Gly-GHRP-2», es decir, GHRP-2 con un aminoácido adicional no declarado (Krug 2018, PMID 29864719; Gajda 2019, PMID 30136411).</w:t>
      </w:r>
    </w:p>
    <w:bookmarkEnd w:id="519"/>
    <w:bookmarkStart w:id="520" w:name="situación-legal-27"/>
    <w:p>
      <w:pPr>
        <w:pStyle w:val="Heading3"/>
      </w:pPr>
      <w:r>
        <w:t xml:space="preserve">Situación legal</w:t>
      </w:r>
    </w:p>
    <w:p>
      <w:pPr>
        <w:pStyle w:val="FirstParagraph"/>
      </w:pPr>
      <w:r>
        <w:rPr>
          <w:iCs/>
          <w:i/>
        </w:rPr>
        <w:t xml:space="preserve">Situación en 2026; compruebe la información actualizada.</w:t>
      </w:r>
    </w:p>
    <w:p>
      <w:pPr>
        <w:numPr>
          <w:ilvl w:val="0"/>
          <w:numId w:val="1162"/>
        </w:numPr>
        <w:pStyle w:val="Compact"/>
      </w:pPr>
      <w:r>
        <w:rPr>
          <w:bCs/>
          <w:b/>
        </w:rPr>
        <w:t xml:space="preserve">Japón:</w:t>
      </w:r>
      <w:r>
        <w:t xml:space="preserve"> </w:t>
      </w:r>
      <w:r>
        <w:t xml:space="preserve">autorizado como agente diagnóstico; uso exclusivamente en el marco de pruebas funcionales médicas.</w:t>
      </w:r>
    </w:p>
    <w:p>
      <w:pPr>
        <w:numPr>
          <w:ilvl w:val="0"/>
          <w:numId w:val="1162"/>
        </w:numPr>
        <w:pStyle w:val="Compact"/>
      </w:pPr>
      <w:r>
        <w:rPr>
          <w:bCs/>
          <w:b/>
        </w:rPr>
        <w:t xml:space="preserve">UE, Alemania, Austria:</w:t>
      </w:r>
      <w:r>
        <w:t xml:space="preserve"> </w:t>
      </w:r>
      <w:r>
        <w:t xml:space="preserve">sin autorización; su dispensación para uso en humanos no está permitida.</w:t>
      </w:r>
    </w:p>
    <w:p>
      <w:pPr>
        <w:numPr>
          <w:ilvl w:val="0"/>
          <w:numId w:val="1162"/>
        </w:numPr>
        <w:pStyle w:val="Compact"/>
      </w:pPr>
      <w:r>
        <w:rPr>
          <w:bCs/>
          <w:b/>
        </w:rPr>
        <w:t xml:space="preserve">EE. UU.:</w:t>
      </w:r>
      <w:r>
        <w:t xml:space="preserve"> </w:t>
      </w:r>
      <w:r>
        <w:t xml:space="preserve">sin autorización.</w:t>
      </w:r>
    </w:p>
    <w:p>
      <w:pPr>
        <w:numPr>
          <w:ilvl w:val="0"/>
          <w:numId w:val="1162"/>
        </w:numPr>
        <w:pStyle w:val="Compact"/>
      </w:pPr>
      <w:r>
        <w:rPr>
          <w:bCs/>
          <w:b/>
        </w:rPr>
        <w:t xml:space="preserve">WADA:</w:t>
      </w:r>
      <w:r>
        <w:t xml:space="preserve"> </w:t>
      </w:r>
      <w:r>
        <w:t xml:space="preserve">prohibido (S2). El GHRP-2 y sus productos de degradación son detectables en orina hasta 47 horas después de su administración como aerosol nasal en un voluntario (Semenistaya 2015, PMID 25869809).</w:t>
      </w:r>
    </w:p>
    <w:bookmarkEnd w:id="520"/>
    <w:bookmarkStart w:id="521" w:name="estudios-en-curso-y-perspectivas-27"/>
    <w:p>
      <w:pPr>
        <w:pStyle w:val="Heading3"/>
      </w:pPr>
      <w:r>
        <w:t xml:space="preserve">Estudios en curso y perspectivas</w:t>
      </w:r>
    </w:p>
    <w:p>
      <w:pPr>
        <w:pStyle w:val="FirstParagraph"/>
      </w:pPr>
      <w:r>
        <w:t xml:space="preserve">En octubre de 2026 no figura en ClinicalTrials.gov ningún estudio con GHRP-2 o pralmorelina.</w:t>
      </w:r>
      <w:r>
        <w:t xml:space="preserve"> </w:t>
      </w:r>
      <w:r>
        <w:rPr>
          <w:iCs/>
          <w:i/>
        </w:rPr>
        <w:t xml:space="preserve">Valoración del autor:</w:t>
      </w:r>
      <w:r>
        <w:t xml:space="preserve"> </w:t>
      </w:r>
      <w:r>
        <w:t xml:space="preserve">El GHRP-2 seguirá siendo una herramienta del diagnóstico en Japón y de la investigación hormonal. En otros países compite como sustancia de prueba con la macimorelina, disponible en forma oral.</w:t>
      </w:r>
    </w:p>
    <w:bookmarkEnd w:id="521"/>
    <w:bookmarkStart w:id="522" w:name="conclusión-27"/>
    <w:p>
      <w:pPr>
        <w:pStyle w:val="Heading3"/>
      </w:pPr>
      <w:r>
        <w:t xml:space="preserve">Conclusión</w:t>
      </w:r>
    </w:p>
    <w:p>
      <w:pPr>
        <w:pStyle w:val="FirstParagraph"/>
      </w:pPr>
      <w:r>
        <w:t xml:space="preserve">El GHRP-2 es uno de los desencadenantes más potentes conocidos de la secreción de hormona del crecimiento y está establecido en Japón como agente diagnóstico del déficit de hormona del crecimiento. Los intentos de tratamiento en niños mostraron solo efectos modestos y no se continuaron. Para el desarrollo muscular, la pérdida de grasa o el «antienvejecimiento» en personas sanas no hay estudios; sí están demostrados, en cambio, efectos secundarios como el hambre intensa y la activación de las hormonas del estrés.</w:t>
      </w:r>
    </w:p>
    <w:bookmarkEnd w:id="522"/>
    <w:bookmarkEnd w:id="523"/>
    <w:bookmarkStart w:id="534" w:name="ghrp-6"/>
    <w:p>
      <w:pPr>
        <w:pStyle w:val="Heading2"/>
      </w:pPr>
      <w:r>
        <w:t xml:space="preserve">GHRP-6</w:t>
      </w:r>
    </w:p>
    <w:p>
      <w:pPr>
        <w:pStyle w:val="FirstParagraph"/>
      </w:pPr>
      <w:r>
        <w:t xml:space="preserve">El GHRP-6 es el antepasado de todos los péptidos liberadores de hormona del crecimiento. En 1984, el endocrinólogo estadounidense Cyril Bowers describió un hexapéptido artificial que libera hormona del crecimiento de forma específica, 15 años antes de que se conociera su homólogo natural, la grelina. En la investigación, el GHRP-6 se convirtió en la herramienta estándar para evaluar el eje de la hormona del crecimiento. En los círculos del culturismo, en cambio, se considera un potenciador de GH barato con el efecto secundario del «hambre voraz». Nunca llegó a ser un medicamento.</w:t>
      </w:r>
    </w:p>
    <w:bookmarkStart w:id="524" w:name="ficha-28"/>
    <w:p>
      <w:pPr>
        <w:pStyle w:val="Heading3"/>
      </w:pPr>
      <w:r>
        <w:t xml:space="preserve">Ficha</w:t>
      </w:r>
    </w:p>
    <w:p>
      <w:pPr>
        <w:numPr>
          <w:ilvl w:val="0"/>
          <w:numId w:val="1163"/>
        </w:numPr>
        <w:pStyle w:val="Compact"/>
      </w:pPr>
      <w:r>
        <w:rPr>
          <w:bCs/>
          <w:b/>
        </w:rPr>
        <w:t xml:space="preserve">Tipo y estructura:</w:t>
      </w:r>
      <w:r>
        <w:t xml:space="preserve"> </w:t>
      </w:r>
      <w:r>
        <w:t xml:space="preserve">hexapéptido sintético His-D-Trp-Ala-Trp-D-Phe-Lys-NH2 con dos D-aminoácidos no naturales (Bowers 1984, PMID 6714155).</w:t>
      </w:r>
    </w:p>
    <w:p>
      <w:pPr>
        <w:numPr>
          <w:ilvl w:val="0"/>
          <w:numId w:val="1163"/>
        </w:numPr>
        <w:pStyle w:val="Compact"/>
      </w:pPr>
      <w:r>
        <w:rPr>
          <w:bCs/>
          <w:b/>
        </w:rPr>
        <w:t xml:space="preserve">Origen:</w:t>
      </w:r>
      <w:r>
        <w:t xml:space="preserve"> </w:t>
      </w:r>
      <w:r>
        <w:t xml:space="preserve">Universidad de Tulane (EE. UU.), a principios de la década de 1980.</w:t>
      </w:r>
    </w:p>
    <w:p>
      <w:pPr>
        <w:numPr>
          <w:ilvl w:val="0"/>
          <w:numId w:val="1163"/>
        </w:numPr>
        <w:pStyle w:val="Compact"/>
      </w:pPr>
      <w:r>
        <w:rPr>
          <w:bCs/>
          <w:b/>
        </w:rPr>
        <w:t xml:space="preserve">Mecanismo de acción:</w:t>
      </w:r>
      <w:r>
        <w:t xml:space="preserve"> </w:t>
      </w:r>
      <w:r>
        <w:t xml:space="preserve">agonista del receptor de la grelina (GHS-R1a) en la hipófisis y el diencéfalo; libera hormona del crecimiento y, además, ACTH, cortisol y prolactina; aumenta el apetito.</w:t>
      </w:r>
    </w:p>
    <w:p>
      <w:pPr>
        <w:numPr>
          <w:ilvl w:val="0"/>
          <w:numId w:val="1163"/>
        </w:numPr>
        <w:pStyle w:val="Compact"/>
      </w:pPr>
      <w:r>
        <w:rPr>
          <w:bCs/>
          <w:b/>
        </w:rPr>
        <w:t xml:space="preserve">Autorización UE:</w:t>
      </w:r>
      <w:r>
        <w:t xml:space="preserve"> </w:t>
      </w:r>
      <w:r>
        <w:t xml:space="preserve">no.</w:t>
      </w:r>
      <w:r>
        <w:t xml:space="preserve"> </w:t>
      </w:r>
      <w:r>
        <w:rPr>
          <w:bCs/>
          <w:b/>
        </w:rPr>
        <w:t xml:space="preserve">Autorización EE. UU.:</w:t>
      </w:r>
      <w:r>
        <w:t xml:space="preserve"> </w:t>
      </w:r>
      <w:r>
        <w:t xml:space="preserve">no. Tampoco está autorizado como medicamento en ningún otro lugar (situación en 2026).</w:t>
      </w:r>
    </w:p>
    <w:p>
      <w:pPr>
        <w:numPr>
          <w:ilvl w:val="0"/>
          <w:numId w:val="1163"/>
        </w:numPr>
        <w:pStyle w:val="Compact"/>
      </w:pPr>
      <w:r>
        <w:rPr>
          <w:bCs/>
          <w:b/>
        </w:rPr>
        <w:t xml:space="preserve">WADA:</w:t>
      </w:r>
      <w:r>
        <w:t xml:space="preserve"> </w:t>
      </w:r>
      <w:r>
        <w:t xml:space="preserve">prohibido, grupo S2; el GHRP-6 se menciona expresamente como péptido liberador de hormona del crecimiento.</w:t>
      </w:r>
    </w:p>
    <w:p>
      <w:pPr>
        <w:numPr>
          <w:ilvl w:val="0"/>
          <w:numId w:val="1163"/>
        </w:numPr>
        <w:pStyle w:val="Compact"/>
      </w:pPr>
      <w:r>
        <w:rPr>
          <w:bCs/>
          <w:b/>
        </w:rPr>
        <w:t xml:space="preserve">Nivel de evidencia: C</w:t>
      </w:r>
      <w:r>
        <w:t xml:space="preserve"> </w:t>
      </w:r>
      <w:r>
        <w:t xml:space="preserve">– muchos estudios pequeños sobre fisiología hormonal y diagnóstico, con entre 10 y 250 personas cada uno, pero ni un solo estudio controlado sobre un beneficio terapéutico.</w:t>
      </w:r>
    </w:p>
    <w:bookmarkEnd w:id="524"/>
    <w:bookmarkStart w:id="525" w:name="cómo-se-supone-que-actúa-28"/>
    <w:p>
      <w:pPr>
        <w:pStyle w:val="Heading3"/>
      </w:pPr>
      <w:r>
        <w:t xml:space="preserve">Cómo se supone que actúa</w:t>
      </w:r>
    </w:p>
    <w:p>
      <w:pPr>
        <w:pStyle w:val="FirstParagraph"/>
      </w:pPr>
      <w:r>
        <w:t xml:space="preserve">Bowers y sus colegas mostraron en 1984 que el hexapéptido libera hormona del crecimiento en cuestión de minutos en ratas, monos, corderos y terneros, sin influir en otras hormonas hipofisarias como la LH, la FSH o la TSH; las ratas que lo recibieron de forma repetida ganaron más peso (Bowers 1984, PMID 6714155). Más tarde se descubrió que el GHRP-6 actúa sobre el mismo receptor que la hormona gástrica grelina (Kojima 1999, PMID 10604470).</w:t>
      </w:r>
    </w:p>
    <w:p>
      <w:pPr>
        <w:pStyle w:val="BodyText"/>
      </w:pPr>
      <w:r>
        <w:t xml:space="preserve">Como el GHRP-2, el GHRP-6 actúa con más fuerza cuando interviene la GHRH propia del diencéfalo. Si se combinan ambos, la secreción de hormona del crecimiento es mayor que la suma de los efectos individuales. Precisamente esta propiedad hizo interesante al GHRP-6 como agente diagnóstico. A diferencia de la ipamorelina, el GHRP-6 activa también el eje de las hormonas del estrés (ACTH y cortisol).</w:t>
      </w:r>
    </w:p>
    <w:bookmarkEnd w:id="525"/>
    <w:bookmarkStart w:id="528" w:name="estudios-en-humanos-28"/>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 encontró</w:t>
      </w:r>
      <w:r>
        <w:t xml:space="preserve"> </w:t>
      </w:r>
      <w:r>
        <w:rPr>
          <w:bCs/>
          <w:b/>
        </w:rPr>
        <w:t xml:space="preserve">40</w:t>
      </w:r>
      <w:r>
        <w:t xml:space="preserve"> </w:t>
      </w:r>
      <w:r>
        <w:t xml:space="preserve">estudios en humanos en PubMed (</w:t>
      </w:r>
      <w:r>
        <w:rPr>
          <w:rStyle w:val="VerbatimChar"/>
        </w:rPr>
        <w:t xml:space="preserve">humanstudien_alle</w:t>
      </w:r>
      <w:r>
        <w:t xml:space="preserve">) y</w:t>
      </w:r>
      <w:r>
        <w:t xml:space="preserve"> </w:t>
      </w:r>
      <w:r>
        <w:rPr>
          <w:bCs/>
          <w:b/>
        </w:rPr>
        <w:t xml:space="preserve">ninguna</w:t>
      </w:r>
      <w:r>
        <w:t xml:space="preserve"> </w:t>
      </w:r>
      <w:r>
        <w:t xml:space="preserve">entrada en ClinicalTrials.gov. Casi todos los trabajos utilizan el GHRP-6 como sustancia de prueba administrada una sola vez para estudiar la regulación hormonal en enfermedades como el síndrome de Cushing, el hipertiroidismo, el sobrepeso o en la vejez. Uno de los estudios de esta lista se realizó en perros.</w:t>
      </w:r>
    </w:p>
    <w:bookmarkStart w:id="526" w:name="X5a0b53440420f7045178917f4ac0464fa1821f6"/>
    <w:p>
      <w:pPr>
        <w:pStyle w:val="Heading4"/>
      </w:pPr>
      <w:r>
        <w:t xml:space="preserve">Diagnóstico del déficit de hormona del crecimiento</w:t>
      </w:r>
    </w:p>
    <w:p>
      <w:pPr>
        <w:pStyle w:val="FirstParagraph"/>
      </w:pPr>
      <w:r>
        <w:t xml:space="preserve">El estudio más conocido se publicó en 2000 en la revista Lancet: 125 adultos con enfermedades de la hipófisis y 125 personas sanas recibieron GHRH más GHRP-6 como prueba combinada. El pico medio de GH fue de 59,2 µg/l en las personas sanas y de 4,1 µg/l en las afectadas; un valor de corte de 15 µg/l separó de forma fiable ambos grupos. No se produjeron efectos adversos, y la edad, el sexo y la grasa corporal no influyeron en el resultado (Popovic 2000, PMID 11030292). En un estudio más pequeño con 20 personas, la prueba identificó correctamente todos los casos de déficit de hormona del crecimiento; como único efecto adverso se observó una sensación de calor (rubefacción) (Petersenn 2002, PMID 11980622). En 21 adultos a los que previamente se les había diagnosticado un déficit con pruebas convencionales, alrededor del 40 % respondió a la combinación de forma clara (Leal-Cerro 1995, PMID 7788011), un indicio de que distintas pruebas responden a preguntas diferentes.</w:t>
      </w:r>
    </w:p>
    <w:p>
      <w:pPr>
        <w:pStyle w:val="BodyText"/>
      </w:pPr>
      <w:r>
        <w:t xml:space="preserve">Como prueba de la hipofunción del eje suprarrenal, en cambio, el GHRP-6 solo resultó útil de forma limitada: en 49 pacientes alcanzó, en comparación con la prueba de insulina, una sensibilidad del 71,0 % y una especificidad del 77,8 % (Alaioubi 2010, PMID 19946832).</w:t>
      </w:r>
    </w:p>
    <w:bookmarkEnd w:id="526"/>
    <w:bookmarkStart w:id="527" w:name="farmacología-sueño-vejez"/>
    <w:p>
      <w:pPr>
        <w:pStyle w:val="Heading4"/>
      </w:pPr>
      <w:r>
        <w:t xml:space="preserve">Farmacología, sueño, vejez</w:t>
      </w:r>
    </w:p>
    <w:p>
      <w:pPr>
        <w:numPr>
          <w:ilvl w:val="0"/>
          <w:numId w:val="1164"/>
        </w:numPr>
        <w:pStyle w:val="Compact"/>
      </w:pPr>
      <w:r>
        <w:rPr>
          <w:bCs/>
          <w:b/>
        </w:rPr>
        <w:t xml:space="preserve">Farmacocinética:</w:t>
      </w:r>
      <w:r>
        <w:t xml:space="preserve"> </w:t>
      </w:r>
      <w:r>
        <w:t xml:space="preserve">En nueve hombres sanos, la semivida de eliminación tras la administración intravenosa fue en promedio de 2,5 horas (Cabrales 2013, PMID 23099431).</w:t>
      </w:r>
    </w:p>
    <w:p>
      <w:pPr>
        <w:numPr>
          <w:ilvl w:val="0"/>
          <w:numId w:val="1164"/>
        </w:numPr>
        <w:pStyle w:val="Compact"/>
      </w:pPr>
      <w:r>
        <w:rPr>
          <w:bCs/>
          <w:b/>
        </w:rPr>
        <w:t xml:space="preserve">Sueño:</w:t>
      </w:r>
      <w:r>
        <w:t xml:space="preserve"> </w:t>
      </w:r>
      <w:r>
        <w:t xml:space="preserve">En hombres sanos, el GHRP-6 aumentó por la noche la hormona del crecimiento, la ACTH y el cortisol y prolongó el sueño ligero (fase 2), pero no el sueño profundo (Frieboes 1995, PMID 7617137).</w:t>
      </w:r>
    </w:p>
    <w:p>
      <w:pPr>
        <w:numPr>
          <w:ilvl w:val="0"/>
          <w:numId w:val="1164"/>
        </w:numPr>
        <w:pStyle w:val="Compact"/>
      </w:pPr>
      <w:r>
        <w:rPr>
          <w:bCs/>
          <w:b/>
        </w:rPr>
        <w:t xml:space="preserve">Vejez:</w:t>
      </w:r>
      <w:r>
        <w:t xml:space="preserve"> </w:t>
      </w:r>
      <w:r>
        <w:t xml:space="preserve">En nueve adultos jóvenes y nueve mayores, la hipófisis respondió con menos fuerza a la GHRH en la vejez, pero no al GHRP-6 (Micic 1995, PMID 7734029).</w:t>
      </w:r>
    </w:p>
    <w:p>
      <w:pPr>
        <w:numPr>
          <w:ilvl w:val="0"/>
          <w:numId w:val="1164"/>
        </w:numPr>
        <w:pStyle w:val="Compact"/>
      </w:pPr>
      <w:r>
        <w:rPr>
          <w:bCs/>
          <w:b/>
        </w:rPr>
        <w:t xml:space="preserve">Niños:</w:t>
      </w:r>
      <w:r>
        <w:t xml:space="preserve"> </w:t>
      </w:r>
      <w:r>
        <w:t xml:space="preserve">En comprimidos, el GHRP-6 provocó en niños de talla baja sin déficit hormonal un aumento de la GH similar al obtenido tras la inyección de GHRH (Bellone 1995, PMID 7581965).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Diagnóstico (Popovic 2000), PMID 11030292</w:t>
            </w:r>
          </w:p>
        </w:tc>
        <w:tc>
          <w:tcPr/>
          <w:p>
            <w:pPr>
              <w:pStyle w:val="Compact"/>
              <w:jc w:val="left"/>
            </w:pPr>
            <w:r>
              <w:t xml:space="preserve">125 personas afectadas, 125 sanas; estudio comparativo multicéntrico</w:t>
            </w:r>
          </w:p>
        </w:tc>
        <w:tc>
          <w:tcPr/>
          <w:p>
            <w:pPr>
              <w:pStyle w:val="Compact"/>
              <w:jc w:val="left"/>
            </w:pPr>
            <w:r>
              <w:t xml:space="preserve">prueba única</w:t>
            </w:r>
          </w:p>
        </w:tc>
        <w:tc>
          <w:tcPr/>
          <w:p>
            <w:pPr>
              <w:pStyle w:val="Compact"/>
              <w:jc w:val="left"/>
            </w:pPr>
            <w:r>
              <w:t xml:space="preserve">pico de GH 59,2 frente a 4,1 µg/l; valor de corte 15 µg/l</w:t>
            </w:r>
          </w:p>
        </w:tc>
      </w:tr>
      <w:tr>
        <w:tc>
          <w:tcPr/>
          <w:p>
            <w:pPr>
              <w:pStyle w:val="Compact"/>
              <w:jc w:val="left"/>
            </w:pPr>
            <w:r>
              <w:t xml:space="preserve">Diagnóstico (Petersenn 2002), PMID 11980622</w:t>
            </w:r>
          </w:p>
        </w:tc>
        <w:tc>
          <w:tcPr/>
          <w:p>
            <w:pPr>
              <w:pStyle w:val="Compact"/>
              <w:jc w:val="left"/>
            </w:pPr>
            <w:r>
              <w:t xml:space="preserve">20 personas, comparación con la prueba de insulina</w:t>
            </w:r>
          </w:p>
        </w:tc>
        <w:tc>
          <w:tcPr/>
          <w:p>
            <w:pPr>
              <w:pStyle w:val="Compact"/>
              <w:jc w:val="left"/>
            </w:pPr>
            <w:r>
              <w:t xml:space="preserve">pruebas únicas</w:t>
            </w:r>
          </w:p>
        </w:tc>
        <w:tc>
          <w:tcPr/>
          <w:p>
            <w:pPr>
              <w:pStyle w:val="Compact"/>
              <w:jc w:val="left"/>
            </w:pPr>
            <w:r>
              <w:t xml:space="preserve">todos los casos con déficit de GH identificados</w:t>
            </w:r>
          </w:p>
        </w:tc>
      </w:tr>
      <w:tr>
        <w:tc>
          <w:tcPr/>
          <w:p>
            <w:pPr>
              <w:pStyle w:val="Compact"/>
              <w:jc w:val="left"/>
            </w:pPr>
            <w:r>
              <w:t xml:space="preserve">Prueba suprarrenal (Alaioubi 2010), PMID 19946832</w:t>
            </w:r>
          </w:p>
        </w:tc>
        <w:tc>
          <w:tcPr/>
          <w:p>
            <w:pPr>
              <w:pStyle w:val="Compact"/>
              <w:jc w:val="left"/>
            </w:pPr>
            <w:r>
              <w:t xml:space="preserve">49 personas afectadas, 20 sanas</w:t>
            </w:r>
          </w:p>
        </w:tc>
        <w:tc>
          <w:tcPr/>
          <w:p>
            <w:pPr>
              <w:pStyle w:val="Compact"/>
              <w:jc w:val="left"/>
            </w:pPr>
            <w:r>
              <w:t xml:space="preserve">prueba única</w:t>
            </w:r>
          </w:p>
        </w:tc>
        <w:tc>
          <w:tcPr/>
          <w:p>
            <w:pPr>
              <w:pStyle w:val="Compact"/>
              <w:jc w:val="left"/>
            </w:pPr>
            <w:r>
              <w:t xml:space="preserve">sensibilidad 71,0 %, especificidad 77,8 %</w:t>
            </w:r>
          </w:p>
        </w:tc>
      </w:tr>
      <w:tr>
        <w:tc>
          <w:tcPr/>
          <w:p>
            <w:pPr>
              <w:pStyle w:val="Compact"/>
              <w:jc w:val="left"/>
            </w:pPr>
            <w:r>
              <w:t xml:space="preserve">Farmacocinética (Cabrales 2013), PMID 23099431</w:t>
            </w:r>
          </w:p>
        </w:tc>
        <w:tc>
          <w:tcPr/>
          <w:p>
            <w:pPr>
              <w:pStyle w:val="Compact"/>
              <w:jc w:val="left"/>
            </w:pPr>
            <w:r>
              <w:t xml:space="preserve">9 hombres sanos, fase 1</w:t>
            </w:r>
          </w:p>
        </w:tc>
        <w:tc>
          <w:tcPr/>
          <w:p>
            <w:pPr>
              <w:pStyle w:val="Compact"/>
              <w:jc w:val="left"/>
            </w:pPr>
            <w:r>
              <w:t xml:space="preserve">dosis únicas</w:t>
            </w:r>
          </w:p>
        </w:tc>
        <w:tc>
          <w:tcPr/>
          <w:p>
            <w:pPr>
              <w:pStyle w:val="Compact"/>
              <w:jc w:val="left"/>
            </w:pPr>
            <w:r>
              <w:t xml:space="preserve">semivida 2,5 h</w:t>
            </w:r>
          </w:p>
        </w:tc>
      </w:tr>
      <w:tr>
        <w:tc>
          <w:tcPr/>
          <w:p>
            <w:pPr>
              <w:pStyle w:val="Compact"/>
              <w:jc w:val="left"/>
            </w:pPr>
            <w:r>
              <w:t xml:space="preserve">Sueño (Frieboes 1995), PMID 7617137</w:t>
            </w:r>
          </w:p>
        </w:tc>
        <w:tc>
          <w:tcPr/>
          <w:p>
            <w:pPr>
              <w:pStyle w:val="Compact"/>
              <w:jc w:val="left"/>
            </w:pPr>
            <w:r>
              <w:t xml:space="preserve">hombres sanos, comparación con placebo</w:t>
            </w:r>
          </w:p>
        </w:tc>
        <w:tc>
          <w:tcPr/>
          <w:p>
            <w:pPr>
              <w:pStyle w:val="Compact"/>
              <w:jc w:val="left"/>
            </w:pPr>
            <w:r>
              <w:t xml:space="preserve">1 noche</w:t>
            </w:r>
          </w:p>
        </w:tc>
        <w:tc>
          <w:tcPr/>
          <w:p>
            <w:pPr>
              <w:pStyle w:val="Compact"/>
              <w:jc w:val="left"/>
            </w:pPr>
            <w:r>
              <w:t xml:space="preserve">GH, ACTH, cortisol ↑; sueño profundo sin cambios</w:t>
            </w:r>
          </w:p>
        </w:tc>
      </w:tr>
    </w:tbl>
    <w:bookmarkEnd w:id="527"/>
    <w:bookmarkEnd w:id="528"/>
    <w:bookmarkStart w:id="529" w:name="estudios-en-animales-y-de-laboratorio-28"/>
    <w:p>
      <w:pPr>
        <w:pStyle w:val="Heading3"/>
      </w:pPr>
      <w:r>
        <w:t xml:space="preserve">Estudios en animales y de laboratorio</w:t>
      </w:r>
    </w:p>
    <w:p>
      <w:pPr>
        <w:pStyle w:val="FirstParagraph"/>
      </w:pPr>
      <w:r>
        <w:t xml:space="preserve">Gran parte de la investigación más reciente se refiere a la protección de órganos:</w:t>
      </w:r>
    </w:p>
    <w:p>
      <w:pPr>
        <w:numPr>
          <w:ilvl w:val="0"/>
          <w:numId w:val="1165"/>
        </w:numPr>
        <w:pStyle w:val="Compact"/>
      </w:pPr>
      <w:r>
        <w:rPr>
          <w:bCs/>
          <w:b/>
        </w:rPr>
        <w:t xml:space="preserve">Corazón (ratas):</w:t>
      </w:r>
      <w:r>
        <w:t xml:space="preserve"> </w:t>
      </w:r>
      <w:r>
        <w:t xml:space="preserve">En ratas que recibieron el fármaco antineoplásico cardiotóxico doxorrubicina, la administración simultánea de GHRP-6 impidió la dilatación de los ventrículos y conservó la función de bombeo (Berlanga-Acosta 2024, PMID 38873418).</w:t>
      </w:r>
    </w:p>
    <w:p>
      <w:pPr>
        <w:numPr>
          <w:ilvl w:val="0"/>
          <w:numId w:val="1165"/>
        </w:numPr>
        <w:pStyle w:val="Compact"/>
      </w:pPr>
      <w:r>
        <w:rPr>
          <w:bCs/>
          <w:b/>
        </w:rPr>
        <w:t xml:space="preserve">Fallo multiorgánico (ratas, cultivos celulares):</w:t>
      </w:r>
      <w:r>
        <w:t xml:space="preserve"> </w:t>
      </w:r>
      <w:r>
        <w:t xml:space="preserve">Tras la interrupción transitoria del riego sanguíneo hepático, el GHRP-6 redujo los daños hepáticos e intestinales; en cultivos celulares aceleró la migración de células intestinales (Cibrián 2006, PMID 16417467).</w:t>
      </w:r>
    </w:p>
    <w:p>
      <w:pPr>
        <w:numPr>
          <w:ilvl w:val="0"/>
          <w:numId w:val="1165"/>
        </w:numPr>
        <w:pStyle w:val="Compact"/>
      </w:pPr>
      <w:r>
        <w:rPr>
          <w:bCs/>
          <w:b/>
        </w:rPr>
        <w:t xml:space="preserve">Sistema nervioso (ratas, ratones):</w:t>
      </w:r>
      <w:r>
        <w:t xml:space="preserve"> </w:t>
      </w:r>
      <w:r>
        <w:t xml:space="preserve">En un modelo animal de esclerosis múltiple, solo la combinación de GHRP-6 con el factor de crecimiento EGF mejoró la evolución de la enfermedad, no el GHRP-6 solo (del Barco 2011, PMID 21697595).</w:t>
      </w:r>
    </w:p>
    <w:p>
      <w:pPr>
        <w:pStyle w:val="FirstParagraph"/>
      </w:pPr>
      <w:r>
        <w:t xml:space="preserve">Ninguno de estos enfoques ha dado lugar hasta ahora a un estudio controlado publicado en humanos.</w:t>
      </w:r>
    </w:p>
    <w:bookmarkEnd w:id="529"/>
    <w:bookmarkStart w:id="530" w:name="riesgos-y-efectos-adversos-28"/>
    <w:p>
      <w:pPr>
        <w:pStyle w:val="Heading3"/>
      </w:pPr>
      <w:r>
        <w:t xml:space="preserve">Riesgos y efectos adversos</w:t>
      </w:r>
    </w:p>
    <w:p>
      <w:pPr>
        <w:pStyle w:val="FirstParagraph"/>
      </w:pPr>
      <w:r>
        <w:rPr>
          <w:bCs/>
          <w:b/>
        </w:rPr>
        <w:t xml:space="preserve">Demostrado en los estudios a corto plazo:</w:t>
      </w:r>
      <w:r>
        <w:t xml:space="preserve"> </w:t>
      </w:r>
      <w:r>
        <w:t xml:space="preserve">sensación de calor (rubefacción) (Petersenn 2002, PMID 11980622); aumento de la ACTH, el cortisol y la prolactina (Frieboes 1995, PMID 7617137); hambre como efecto conocido de la grelina. En los estudios diagnósticos con dosis únicas no se produjeron, por lo demás, efectos adversos relevantes.</w:t>
      </w:r>
    </w:p>
    <w:p>
      <w:pPr>
        <w:pStyle w:val="BodyText"/>
      </w:pPr>
      <w:r>
        <w:rPr>
          <w:bCs/>
          <w:b/>
        </w:rPr>
        <w:t xml:space="preserve">Desconocido:</w:t>
      </w:r>
      <w:r>
        <w:t xml:space="preserve"> </w:t>
      </w:r>
      <w:r>
        <w:t xml:space="preserve">No hay estudios en humanos sobre el uso repetido durante semanas o meses. Con un uso continuado son concebibles las consecuencias conocidas de unos niveles elevados de hormona del crecimiento y de una estimulación repetida del cortisol, por ejemplo un empeoramiento de la regulación de la glucosa. Un informe de caso describe a un culturista que durante décadas utilizó hormona del crecimiento y liberadores –entre ellos una combinación de sermorelina y GHRP-6– y desarrolló un gran osteofito en la columna cervical; no está demostrada una relación causal (Perez 2026, PMID 42465868). Sobre la cuestión del cáncer, véanse la introducción de este grupo y la Parte IV.</w:t>
      </w:r>
    </w:p>
    <w:p>
      <w:pPr>
        <w:pStyle w:val="BodyText"/>
      </w:pPr>
      <w:r>
        <w:rPr>
          <w:bCs/>
          <w:b/>
        </w:rPr>
        <w:t xml:space="preserve">Mercado gris:</w:t>
      </w:r>
      <w:r>
        <w:t xml:space="preserve"> </w:t>
      </w:r>
      <w:r>
        <w:t xml:space="preserve">En productos incautados se detectó «Gly-GHRP-6», una modificación no declarada con un aminoácido adicional (Krug 2018, PMID 29864719).</w:t>
      </w:r>
    </w:p>
    <w:bookmarkEnd w:id="530"/>
    <w:bookmarkStart w:id="531" w:name="situación-legal-28"/>
    <w:p>
      <w:pPr>
        <w:pStyle w:val="Heading3"/>
      </w:pPr>
      <w:r>
        <w:t xml:space="preserve">Situación legal</w:t>
      </w:r>
    </w:p>
    <w:p>
      <w:pPr>
        <w:pStyle w:val="FirstParagraph"/>
      </w:pPr>
      <w:r>
        <w:rPr>
          <w:iCs/>
          <w:i/>
        </w:rPr>
        <w:t xml:space="preserve">Situación en 2026; compruebe la información actualizada.</w:t>
      </w:r>
    </w:p>
    <w:p>
      <w:pPr>
        <w:numPr>
          <w:ilvl w:val="0"/>
          <w:numId w:val="1166"/>
        </w:numPr>
        <w:pStyle w:val="Compact"/>
      </w:pPr>
      <w:r>
        <w:rPr>
          <w:bCs/>
          <w:b/>
        </w:rPr>
        <w:t xml:space="preserve">UE, Alemania, Austria, EE. UU.:</w:t>
      </w:r>
      <w:r>
        <w:t xml:space="preserve"> </w:t>
      </w:r>
      <w:r>
        <w:t xml:space="preserve">sin autorización como medicamento; su dispensación para uso en humanos no está permitida. En la investigación, el GHRP-6 se utiliza en el marco de estudios aprobados.</w:t>
      </w:r>
    </w:p>
    <w:p>
      <w:pPr>
        <w:numPr>
          <w:ilvl w:val="0"/>
          <w:numId w:val="1166"/>
        </w:numPr>
        <w:pStyle w:val="Compact"/>
      </w:pPr>
      <w:r>
        <w:rPr>
          <w:bCs/>
          <w:b/>
        </w:rPr>
        <w:t xml:space="preserve">WADA:</w:t>
      </w:r>
      <w:r>
        <w:t xml:space="preserve"> </w:t>
      </w:r>
      <w:r>
        <w:t xml:space="preserve">prohibido (S2). El GHRP-6 se excreta en su mayor parte sin cambios por la orina y, tras su administración como aerosol nasal en un voluntario, fue detectable durante 23 horas (Semenistaya 2015, PMID 25869809).</w:t>
      </w:r>
    </w:p>
    <w:bookmarkEnd w:id="531"/>
    <w:bookmarkStart w:id="532" w:name="estudios-en-curso-y-perspectivas-28"/>
    <w:p>
      <w:pPr>
        <w:pStyle w:val="Heading3"/>
      </w:pPr>
      <w:r>
        <w:t xml:space="preserve">Estudios en curso y perspectivas</w:t>
      </w:r>
    </w:p>
    <w:p>
      <w:pPr>
        <w:pStyle w:val="FirstParagraph"/>
      </w:pPr>
      <w:r>
        <w:t xml:space="preserve">En octubre de 2026 no figura en ClinicalTrials.gov ningún estudio con GHRP-6.</w:t>
      </w:r>
      <w:r>
        <w:t xml:space="preserve"> </w:t>
      </w:r>
      <w:r>
        <w:rPr>
          <w:iCs/>
          <w:i/>
        </w:rPr>
        <w:t xml:space="preserve">Valoración del autor:</w:t>
      </w:r>
      <w:r>
        <w:t xml:space="preserve"> </w:t>
      </w:r>
      <w:r>
        <w:t xml:space="preserve">Los trabajos en animales sobre protección de órganos son la única línea de desarrollo reconocible; si darán lugar a estudios en humanos es una cuestión abierta. Para el diagnóstico, el GHRP-6 ha sido sustituido en gran medida por otras pruebas.</w:t>
      </w:r>
    </w:p>
    <w:bookmarkEnd w:id="532"/>
    <w:bookmarkStart w:id="533" w:name="conclusión-28"/>
    <w:p>
      <w:pPr>
        <w:pStyle w:val="Heading3"/>
      </w:pPr>
      <w:r>
        <w:t xml:space="preserve">Conclusión</w:t>
      </w:r>
    </w:p>
    <w:p>
      <w:pPr>
        <w:pStyle w:val="FirstParagraph"/>
      </w:pPr>
      <w:r>
        <w:t xml:space="preserve">El GHRP-6 fue el primer péptido artificial que libera hormona del crecimiento de forma específica y contribuyó de manera decisiva al descubrimiento del sistema de la grelina. En humanos se ha estudiado casi exclusivamente como sustancia de prueba administrada una sola vez, entre otros en un gran estudio publicado en Lancet sobre el diagnóstico del déficit de hormona del crecimiento. No existe un beneficio terapéutico demostrado, y faltan por completo datos sobre el uso repetido, tal como se promociona en el mercado gris.</w:t>
      </w:r>
    </w:p>
    <w:bookmarkEnd w:id="533"/>
    <w:bookmarkEnd w:id="534"/>
    <w:bookmarkStart w:id="546" w:name="hexarelina"/>
    <w:p>
      <w:pPr>
        <w:pStyle w:val="Heading2"/>
      </w:pPr>
      <w:r>
        <w:t xml:space="preserve">Hexarelina</w:t>
      </w:r>
    </w:p>
    <w:p>
      <w:pPr>
        <w:pStyle w:val="FirstParagraph"/>
      </w:pPr>
      <w:r>
        <w:t xml:space="preserve">La hexarelina es un pariente cercano del GHRP-6 y uno de los liberadores artificiales de hormona del crecimiento más potentes que existen. En la década de 1990 se estudió intensamente en humanos, sobre todo en Italia. En ese contexto se observó algo inesperado: la hexarelina parece actuar directamente sobre el corazón, con independencia de la hormona del crecimiento. Aun así, no llegó a autorizarse. Uno de los motivos fue una debilidad típica de esta clase de sustancias: con el uso continuado, el efecto disminuye.</w:t>
      </w:r>
    </w:p>
    <w:bookmarkStart w:id="535" w:name="ficha-29"/>
    <w:p>
      <w:pPr>
        <w:pStyle w:val="Heading3"/>
      </w:pPr>
      <w:r>
        <w:t xml:space="preserve">Ficha</w:t>
      </w:r>
    </w:p>
    <w:p>
      <w:pPr>
        <w:numPr>
          <w:ilvl w:val="0"/>
          <w:numId w:val="1167"/>
        </w:numPr>
        <w:pStyle w:val="Compact"/>
      </w:pPr>
      <w:r>
        <w:rPr>
          <w:bCs/>
          <w:b/>
        </w:rPr>
        <w:t xml:space="preserve">Tipo y estructura:</w:t>
      </w:r>
      <w:r>
        <w:t xml:space="preserve"> </w:t>
      </w:r>
      <w:r>
        <w:t xml:space="preserve">hexapéptido sintético His-D-2-metil-Trp-Ala-Trp-D-Phe-Lys-NH2; se diferencia del GHRP-6 por un grupo metilo adicional en el segundo componente (Imbimbo 1994, PMID 7957536).</w:t>
      </w:r>
    </w:p>
    <w:p>
      <w:pPr>
        <w:numPr>
          <w:ilvl w:val="0"/>
          <w:numId w:val="1167"/>
        </w:numPr>
        <w:pStyle w:val="Compact"/>
      </w:pPr>
      <w:r>
        <w:rPr>
          <w:bCs/>
          <w:b/>
        </w:rPr>
        <w:t xml:space="preserve">Origen:</w:t>
      </w:r>
      <w:r>
        <w:t xml:space="preserve"> </w:t>
      </w:r>
      <w:r>
        <w:t xml:space="preserve">desarrollada a principios de la década de 1990 como modificación del GHRP-6; gran parte de la investigación clínica procede de centros universitarios italianos.</w:t>
      </w:r>
    </w:p>
    <w:p>
      <w:pPr>
        <w:numPr>
          <w:ilvl w:val="0"/>
          <w:numId w:val="1167"/>
        </w:numPr>
        <w:pStyle w:val="Compact"/>
      </w:pPr>
      <w:r>
        <w:rPr>
          <w:bCs/>
          <w:b/>
        </w:rPr>
        <w:t xml:space="preserve">Mecanismo de acción:</w:t>
      </w:r>
      <w:r>
        <w:t xml:space="preserve"> </w:t>
      </w:r>
      <w:r>
        <w:t xml:space="preserve">agonista del receptor de la grelina (GHS-R1a); libera hormona del crecimiento, ACTH, cortisol y prolactina. Además, la hexarelina se une al receptor CD36 del tejido cardiaco, a través del cual se suponen efectos cardiacos independientes de la GH (Mao 2014, PMID 25278975).</w:t>
      </w:r>
    </w:p>
    <w:p>
      <w:pPr>
        <w:numPr>
          <w:ilvl w:val="0"/>
          <w:numId w:val="1167"/>
        </w:numPr>
        <w:pStyle w:val="Compact"/>
      </w:pPr>
      <w:r>
        <w:rPr>
          <w:bCs/>
          <w:b/>
        </w:rPr>
        <w:t xml:space="preserve">Autorización UE:</w:t>
      </w:r>
      <w:r>
        <w:t xml:space="preserve"> </w:t>
      </w:r>
      <w:r>
        <w:t xml:space="preserve">no.</w:t>
      </w:r>
      <w:r>
        <w:t xml:space="preserve"> </w:t>
      </w:r>
      <w:r>
        <w:rPr>
          <w:bCs/>
          <w:b/>
        </w:rPr>
        <w:t xml:space="preserve">Autorización EE. UU.:</w:t>
      </w:r>
      <w:r>
        <w:t xml:space="preserve"> </w:t>
      </w:r>
      <w:r>
        <w:t xml:space="preserve">no.</w:t>
      </w:r>
    </w:p>
    <w:p>
      <w:pPr>
        <w:numPr>
          <w:ilvl w:val="0"/>
          <w:numId w:val="1167"/>
        </w:numPr>
        <w:pStyle w:val="Compact"/>
      </w:pPr>
      <w:r>
        <w:rPr>
          <w:bCs/>
          <w:b/>
        </w:rPr>
        <w:t xml:space="preserve">WADA:</w:t>
      </w:r>
      <w:r>
        <w:t xml:space="preserve"> </w:t>
      </w:r>
      <w:r>
        <w:t xml:space="preserve">prohibida, grupo S2; la hexarelina se menciona expresamente como péptido liberador de hormona del crecimiento.</w:t>
      </w:r>
    </w:p>
    <w:p>
      <w:pPr>
        <w:numPr>
          <w:ilvl w:val="0"/>
          <w:numId w:val="1167"/>
        </w:numPr>
        <w:pStyle w:val="Compact"/>
      </w:pPr>
      <w:r>
        <w:rPr>
          <w:bCs/>
          <w:b/>
        </w:rPr>
        <w:t xml:space="preserve">Nivel de evidencia: C</w:t>
      </w:r>
      <w:r>
        <w:t xml:space="preserve"> </w:t>
      </w:r>
      <w:r>
        <w:t xml:space="preserve">– numerosos estudios pequeños, muchos de ellos aleatorizados, pero casi exclusivamente con dosis únicas y variables hormonales o de fisiología circulatoria; ningún estudio sobre un criterio de valoración clínico.</w:t>
      </w:r>
    </w:p>
    <w:bookmarkEnd w:id="535"/>
    <w:bookmarkStart w:id="536" w:name="cómo-se-supone-que-actúa-29"/>
    <w:p>
      <w:pPr>
        <w:pStyle w:val="Heading3"/>
      </w:pPr>
      <w:r>
        <w:t xml:space="preserve">Cómo se supone que actúa</w:t>
      </w:r>
    </w:p>
    <w:p>
      <w:pPr>
        <w:pStyle w:val="FirstParagraph"/>
      </w:pPr>
      <w:r>
        <w:t xml:space="preserve">Como el GHRP-6 y el GHRP-2, la hexarelina imita a la hormona gástrica grelina y estimula así la secreción de hormona del crecimiento. Su efecto depende de una conexión intacta entre el diencéfalo y la hipófisis: en niños y adultos en los que esta conexión estaba interrumpida anatómicamente, la respuesta de GH no se produjo o estuvo muy atenuada, mientras que en el déficit idiopático fue intensa (Loche 1995, PMID 7673411).</w:t>
      </w:r>
    </w:p>
    <w:p>
      <w:pPr>
        <w:pStyle w:val="BodyText"/>
      </w:pPr>
      <w:r>
        <w:t xml:space="preserve">La segunda idea, independiente, se refiere al corazón. Los receptores de la grelina y la molécula captadora CD36 también se encuentran en el músculo cardiaco. Por eso, la hexarelina podría aumentar directamente la fuerza de bombeo del corazón, un posible enfoque en la insuficiencia cardiaca, independiente de la hormona del crecimiento.</w:t>
      </w:r>
    </w:p>
    <w:bookmarkEnd w:id="536"/>
    <w:bookmarkStart w:id="540" w:name="estudios-en-humanos-29"/>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 encontró</w:t>
      </w:r>
      <w:r>
        <w:t xml:space="preserve"> </w:t>
      </w:r>
      <w:r>
        <w:rPr>
          <w:bCs/>
          <w:b/>
        </w:rPr>
        <w:t xml:space="preserve">58</w:t>
      </w:r>
      <w:r>
        <w:t xml:space="preserve"> </w:t>
      </w:r>
      <w:r>
        <w:t xml:space="preserve">estudios en humanos en PubMed (</w:t>
      </w:r>
      <w:r>
        <w:rPr>
          <w:rStyle w:val="VerbatimChar"/>
        </w:rPr>
        <w:t xml:space="preserve">humanstudien_alle</w:t>
      </w:r>
      <w:r>
        <w:t xml:space="preserve">) y</w:t>
      </w:r>
      <w:r>
        <w:t xml:space="preserve"> </w:t>
      </w:r>
      <w:r>
        <w:rPr>
          <w:bCs/>
          <w:b/>
        </w:rPr>
        <w:t xml:space="preserve">ninguna</w:t>
      </w:r>
      <w:r>
        <w:t xml:space="preserve"> </w:t>
      </w:r>
      <w:r>
        <w:t xml:space="preserve">entrada en ClinicalTrials.gov. La mayoría de los estudios datan de 1994 a 2004 y examinan con dosis únicas cómo depende la respuesta hormonal de la edad, el sexo, la alimentación, los medicamentos o las enfermedades. Algunas entradas de la lista tratan principalmente de la grelina o del GHRP-6 y utilizan la hexarelina solo como comparación.</w:t>
      </w:r>
    </w:p>
    <w:bookmarkStart w:id="537" w:name="efecto-hormonal-y-dosis"/>
    <w:p>
      <w:pPr>
        <w:pStyle w:val="Heading4"/>
      </w:pPr>
      <w:r>
        <w:t xml:space="preserve">Efecto hormonal y dosis</w:t>
      </w:r>
    </w:p>
    <w:p>
      <w:pPr>
        <w:pStyle w:val="FirstParagraph"/>
      </w:pPr>
      <w:r>
        <w:t xml:space="preserve">En un estudio doble ciego y controlado con placebo con doce hombres sanos, la hormona del crecimiento aumentó tras la administración intravenosa de forma dependiente de la dosis, con un pico a los 30 minutos aproximadamente y retorno al valor inicial en cuatro horas (Imbimbo 1994, PMID 7957536). La hexarelina liberó también prolactina y cortisol de forma dependiente de la dosis; combinada con GHRH, bastó una dosis baja de hexarelina para una secreción masiva de GH sin aumento del cortisol (Massoud 1996, PMID 8954038). La activación del eje de las hormonas del estrés se produce al parecer a través del diencéfalo; en un estudio con 15 hombres jóvenes, la hexarelina aumentó también el apetito a corto plazo (Korbonits 1999, PMID 10404825).</w:t>
      </w:r>
    </w:p>
    <w:bookmarkEnd w:id="537"/>
    <w:bookmarkStart w:id="538" w:name="X6f7e7e1612560f2a857ff146084b75e9edaaf2f"/>
    <w:p>
      <w:pPr>
        <w:pStyle w:val="Heading4"/>
      </w:pPr>
      <w:r>
        <w:t xml:space="preserve">Administración prolongada: el efecto disminuye</w:t>
      </w:r>
    </w:p>
    <w:p>
      <w:pPr>
        <w:pStyle w:val="FirstParagraph"/>
      </w:pPr>
      <w:r>
        <w:t xml:space="preserve">Para un tratamiento es decisivo si el efecto se mantiene con la administración repetida. En adultos que se inyectaron hexarelina bajo la piel dos veces al día durante 16 semanas, la respuesta de GH disminuyó claramente y solo se recuperó cuatro semanas después de la suspensión. El IGF-1, la grasa corporal, la masa muscular y la densidad ósea no cambiaron de forma significativa (Rahim 1998, PMID 9589671). En el mismo estudio, la respuesta del cortisol también se atenuó de forma transitoria (Rahim 1999, PMID 10341859).</w:t>
      </w:r>
    </w:p>
    <w:p>
      <w:pPr>
        <w:pStyle w:val="BodyText"/>
      </w:pPr>
      <w:r>
        <w:t xml:space="preserve">En niños de talla baja, el panorama fue algo más favorable: con aerosol nasal, la velocidad de crecimiento de ocho niños aumentó de 5,3 a 8,3 cm al año y el IGF-1 aumentó (Laron 1995, PMID 8548949). Un estudio de seguimiento con siete niños mostró que la respuesta de GH de la hipófisis se había reducido aproximadamente a la mitad ya a los siete días, pero el crecimiento más rápido se mantuvo de todos modos (Klinger 1996, PMID 8766941).</w:t>
      </w:r>
    </w:p>
    <w:bookmarkEnd w:id="538"/>
    <w:bookmarkStart w:id="539" w:name="efectos-cardiacos"/>
    <w:p>
      <w:pPr>
        <w:pStyle w:val="Heading4"/>
      </w:pPr>
      <w:r>
        <w:t xml:space="preserve">Efectos cardiacos</w:t>
      </w:r>
    </w:p>
    <w:p>
      <w:pPr>
        <w:pStyle w:val="FirstParagraph"/>
      </w:pPr>
      <w:r>
        <w:t xml:space="preserve">Varios estudios pequeños de un grupo de trabajo italiano examinaron el corazón:</w:t>
      </w:r>
    </w:p>
    <w:p>
      <w:pPr>
        <w:numPr>
          <w:ilvl w:val="0"/>
          <w:numId w:val="1168"/>
        </w:numPr>
        <w:pStyle w:val="Compact"/>
      </w:pPr>
      <w:r>
        <w:t xml:space="preserve">En siete hombres con déficit de hormona del crecimiento y nueve personas de control sanas, la fracción de eyección del ventrículo izquierdo (la proporción de sangre que el ventrículo izquierdo expulsa en cada latido) aumentó tras una dosis única de hexarelina en ambos grupos, aunque las personas afectadas apenas liberaron hormona del crecimiento. Los autores deducen un efecto independiente de la GH (Bisi 1999, PMID 10528131).</w:t>
      </w:r>
    </w:p>
    <w:p>
      <w:pPr>
        <w:numPr>
          <w:ilvl w:val="0"/>
          <w:numId w:val="1168"/>
        </w:numPr>
        <w:pStyle w:val="Compact"/>
      </w:pPr>
      <w:r>
        <w:t xml:space="preserve">En pacientes con miocardiopatía dilatada grave, en cambio, este efecto no se produjo (Broglio 2001, PMID 11322491).</w:t>
      </w:r>
    </w:p>
    <w:p>
      <w:pPr>
        <w:numPr>
          <w:ilvl w:val="0"/>
          <w:numId w:val="1168"/>
        </w:numPr>
        <w:pStyle w:val="Compact"/>
      </w:pPr>
      <w:r>
        <w:t xml:space="preserve">En 24 hombres con cardiopatía coronaria durante una operación de bypass, la hexarelina aumentó la fracción de eyección y el gasto cardiaco durante un máximo de 90 minutos, mientras que la GHRH, la hormona del crecimiento y el placebo no tuvieron efecto (Broglio 2002, PMID 12144941).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Búsqueda de dosis (Imbimbo 1994), PMID 7957536</w:t>
            </w:r>
          </w:p>
        </w:tc>
        <w:tc>
          <w:tcPr/>
          <w:p>
            <w:pPr>
              <w:pStyle w:val="Compact"/>
              <w:jc w:val="left"/>
            </w:pPr>
            <w:r>
              <w:t xml:space="preserve">12 hombres sanos, doble ciego, placebo, dosis crecientes</w:t>
            </w:r>
          </w:p>
        </w:tc>
        <w:tc>
          <w:tcPr/>
          <w:p>
            <w:pPr>
              <w:pStyle w:val="Compact"/>
              <w:jc w:val="left"/>
            </w:pPr>
            <w:r>
              <w:t xml:space="preserve">dosis únicas</w:t>
            </w:r>
          </w:p>
        </w:tc>
        <w:tc>
          <w:tcPr/>
          <w:p>
            <w:pPr>
              <w:pStyle w:val="Compact"/>
              <w:jc w:val="left"/>
            </w:pPr>
            <w:r>
              <w:t xml:space="preserve">pico de GH a los 30 min aprox., dependiente de la dosis</w:t>
            </w:r>
          </w:p>
        </w:tc>
      </w:tr>
      <w:tr>
        <w:tc>
          <w:tcPr/>
          <w:p>
            <w:pPr>
              <w:pStyle w:val="Compact"/>
              <w:jc w:val="left"/>
            </w:pPr>
            <w:r>
              <w:t xml:space="preserve">Administración prolongada (Rahim 1998), PMID 9589671</w:t>
            </w:r>
          </w:p>
        </w:tc>
        <w:tc>
          <w:tcPr/>
          <w:p>
            <w:pPr>
              <w:pStyle w:val="Compact"/>
              <w:jc w:val="left"/>
            </w:pPr>
            <w:r>
              <w:t xml:space="preserve">adultos, sin grupo control</w:t>
            </w:r>
          </w:p>
        </w:tc>
        <w:tc>
          <w:tcPr/>
          <w:p>
            <w:pPr>
              <w:pStyle w:val="Compact"/>
              <w:jc w:val="left"/>
            </w:pPr>
            <w:r>
              <w:t xml:space="preserve">16 semanas</w:t>
            </w:r>
          </w:p>
        </w:tc>
        <w:tc>
          <w:tcPr/>
          <w:p>
            <w:pPr>
              <w:pStyle w:val="Compact"/>
              <w:jc w:val="left"/>
            </w:pPr>
            <w:r>
              <w:t xml:space="preserve">respuesta de GH atenuada; IGF-1 y composición corporal sin cambios</w:t>
            </w:r>
          </w:p>
        </w:tc>
      </w:tr>
      <w:tr>
        <w:tc>
          <w:tcPr/>
          <w:p>
            <w:pPr>
              <w:pStyle w:val="Compact"/>
              <w:jc w:val="left"/>
            </w:pPr>
            <w:r>
              <w:t xml:space="preserve">Niños, aerosol nasal (Laron 1995), PMID 8548949</w:t>
            </w:r>
          </w:p>
        </w:tc>
        <w:tc>
          <w:tcPr/>
          <w:p>
            <w:pPr>
              <w:pStyle w:val="Compact"/>
              <w:jc w:val="left"/>
            </w:pPr>
            <w:r>
              <w:t xml:space="preserve">8 niños de talla baja, sin grupo control</w:t>
            </w:r>
          </w:p>
        </w:tc>
        <w:tc>
          <w:tcPr/>
          <w:p>
            <w:pPr>
              <w:pStyle w:val="Compact"/>
              <w:jc w:val="left"/>
            </w:pPr>
            <w:r>
              <w:t xml:space="preserve">hasta 8 meses</w:t>
            </w:r>
          </w:p>
        </w:tc>
        <w:tc>
          <w:tcPr/>
          <w:p>
            <w:pPr>
              <w:pStyle w:val="Compact"/>
              <w:jc w:val="left"/>
            </w:pPr>
            <w:r>
              <w:t xml:space="preserve">crecimiento 5,3 → 8,3 cm/año</w:t>
            </w:r>
          </w:p>
        </w:tc>
      </w:tr>
      <w:tr>
        <w:tc>
          <w:tcPr/>
          <w:p>
            <w:pPr>
              <w:pStyle w:val="Compact"/>
              <w:jc w:val="left"/>
            </w:pPr>
            <w:r>
              <w:t xml:space="preserve">Corazón, déficit de GH (Bisi 1999), PMID 10528131</w:t>
            </w:r>
          </w:p>
        </w:tc>
        <w:tc>
          <w:tcPr/>
          <w:p>
            <w:pPr>
              <w:pStyle w:val="Compact"/>
              <w:jc w:val="left"/>
            </w:pPr>
            <w:r>
              <w:t xml:space="preserve">7 hombres con déficit de GH, 9 personas sanas</w:t>
            </w:r>
          </w:p>
        </w:tc>
        <w:tc>
          <w:tcPr/>
          <w:p>
            <w:pPr>
              <w:pStyle w:val="Compact"/>
              <w:jc w:val="left"/>
            </w:pPr>
            <w:r>
              <w:t xml:space="preserve">dosis única</w:t>
            </w:r>
          </w:p>
        </w:tc>
        <w:tc>
          <w:tcPr/>
          <w:p>
            <w:pPr>
              <w:pStyle w:val="Compact"/>
              <w:jc w:val="left"/>
            </w:pPr>
            <w:r>
              <w:t xml:space="preserve">fracción de eyección 50 → 57 % y 63 → 70 %</w:t>
            </w:r>
          </w:p>
        </w:tc>
      </w:tr>
      <w:tr>
        <w:tc>
          <w:tcPr/>
          <w:p>
            <w:pPr>
              <w:pStyle w:val="Compact"/>
              <w:jc w:val="left"/>
            </w:pPr>
            <w:r>
              <w:t xml:space="preserve">Corazón, cirugía de bypass (Broglio 2002), PMID 12144941</w:t>
            </w:r>
          </w:p>
        </w:tc>
        <w:tc>
          <w:tcPr/>
          <w:p>
            <w:pPr>
              <w:pStyle w:val="Compact"/>
              <w:jc w:val="left"/>
            </w:pPr>
            <w:r>
              <w:t xml:space="preserve">24 hombres con cardiopatía coronaria, comparación con GHRH, GH, placebo</w:t>
            </w:r>
          </w:p>
        </w:tc>
        <w:tc>
          <w:tcPr/>
          <w:p>
            <w:pPr>
              <w:pStyle w:val="Compact"/>
              <w:jc w:val="left"/>
            </w:pPr>
            <w:r>
              <w:t xml:space="preserve">dosis única</w:t>
            </w:r>
          </w:p>
        </w:tc>
        <w:tc>
          <w:tcPr/>
          <w:p>
            <w:pPr>
              <w:pStyle w:val="Compact"/>
              <w:jc w:val="left"/>
            </w:pPr>
            <w:r>
              <w:t xml:space="preserve">fracción de eyección y gasto cardiaco ↑</w:t>
            </w:r>
          </w:p>
        </w:tc>
      </w:tr>
    </w:tbl>
    <w:bookmarkEnd w:id="539"/>
    <w:bookmarkEnd w:id="540"/>
    <w:bookmarkStart w:id="541" w:name="estudios-en-animales-y-de-laboratorio-29"/>
    <w:p>
      <w:pPr>
        <w:pStyle w:val="Heading3"/>
      </w:pPr>
      <w:r>
        <w:t xml:space="preserve">Estudios en animales y de laboratorio</w:t>
      </w:r>
    </w:p>
    <w:p>
      <w:pPr>
        <w:numPr>
          <w:ilvl w:val="0"/>
          <w:numId w:val="1169"/>
        </w:numPr>
        <w:pStyle w:val="Compact"/>
      </w:pPr>
      <w:r>
        <w:rPr>
          <w:bCs/>
          <w:b/>
        </w:rPr>
        <w:t xml:space="preserve">Infarto de miocardio (ratas, ratones):</w:t>
      </w:r>
      <w:r>
        <w:t xml:space="preserve"> </w:t>
      </w:r>
      <w:r>
        <w:t xml:space="preserve">En ratas, cuatro semanas después de un infarto provocado artificialmente, la hexarelina mejoró durante dos semanas el volumen sistólico y redujo la resistencia vascular de forma similar a la hormona del crecimiento (Tivesten 2000, PMID 10614623). En ratones tras un infarto conservó la función de bombeo y redujo la cicatrización del músculo cardiaco (McDonald 2018, PMID 29756411).</w:t>
      </w:r>
    </w:p>
    <w:p>
      <w:pPr>
        <w:numPr>
          <w:ilvl w:val="0"/>
          <w:numId w:val="1169"/>
        </w:numPr>
        <w:pStyle w:val="Compact"/>
      </w:pPr>
      <w:r>
        <w:rPr>
          <w:bCs/>
          <w:b/>
        </w:rPr>
        <w:t xml:space="preserve">Mecanismo:</w:t>
      </w:r>
      <w:r>
        <w:t xml:space="preserve"> </w:t>
      </w:r>
      <w:r>
        <w:t xml:space="preserve">Una revisión describe el CD36 como receptor cardiaco específico de la hexarelina, que mediaría los efectos protectores (Mao 2014, PMID 25278975).</w:t>
      </w:r>
    </w:p>
    <w:bookmarkEnd w:id="541"/>
    <w:bookmarkStart w:id="542" w:name="riesgos-y-efectos-adversos-29"/>
    <w:p>
      <w:pPr>
        <w:pStyle w:val="Heading3"/>
      </w:pPr>
      <w:r>
        <w:t xml:space="preserve">Riesgos y efectos adversos</w:t>
      </w:r>
    </w:p>
    <w:p>
      <w:pPr>
        <w:pStyle w:val="FirstParagraph"/>
      </w:pPr>
      <w:r>
        <w:rPr>
          <w:bCs/>
          <w:b/>
        </w:rPr>
        <w:t xml:space="preserve">Demostrado:</w:t>
      </w:r>
      <w:r>
        <w:t xml:space="preserve"> </w:t>
      </w:r>
      <w:r>
        <w:t xml:space="preserve">aumento del cortisol, la ACTH y la prolactina (Massoud 1996, PMID 8954038; Korbonits 1999, PMID 10404825); aumento del apetito a corto plazo (Korbonits 1999, PMID 10404825); disminución del efecto con la administración continuada (Rahim 1998, PMID 9589671; Klinger 1996, PMID 8766941). En los estudios pequeños no se comunicaron efectos adversos graves; en los niños, los autores no encontraron efectos indeseados (Laron 1995, PMID 8548949).</w:t>
      </w:r>
    </w:p>
    <w:p>
      <w:pPr>
        <w:pStyle w:val="BodyText"/>
      </w:pPr>
      <w:r>
        <w:rPr>
          <w:bCs/>
          <w:b/>
        </w:rPr>
        <w:t xml:space="preserve">Desconocido:</w:t>
      </w:r>
      <w:r>
        <w:t xml:space="preserve"> </w:t>
      </w:r>
      <w:r>
        <w:t xml:space="preserve">Faltan datos de seguridad a largo plazo, en particular sobre el corazón. Que una sustancia aumente de forma aguda la fuerza de bombeo no dice nada sobre si a largo plazo beneficia o perjudica en la insuficiencia cardiaca; eso solo podría aclararse en estudios propios a largo plazo con criterios de valoración clínicos, que no existen. Sobre la cuestión de un riesgo de cáncer con una hormona del crecimiento elevada de forma continuada, véanse la introducción de este grupo y la Parte IV.</w:t>
      </w:r>
    </w:p>
    <w:bookmarkEnd w:id="542"/>
    <w:bookmarkStart w:id="543" w:name="situación-legal-29"/>
    <w:p>
      <w:pPr>
        <w:pStyle w:val="Heading3"/>
      </w:pPr>
      <w:r>
        <w:t xml:space="preserve">Situación legal</w:t>
      </w:r>
    </w:p>
    <w:p>
      <w:pPr>
        <w:pStyle w:val="FirstParagraph"/>
      </w:pPr>
      <w:r>
        <w:rPr>
          <w:iCs/>
          <w:i/>
        </w:rPr>
        <w:t xml:space="preserve">Situación en 2026; compruebe la información actualizada.</w:t>
      </w:r>
    </w:p>
    <w:p>
      <w:pPr>
        <w:numPr>
          <w:ilvl w:val="0"/>
          <w:numId w:val="1170"/>
        </w:numPr>
        <w:pStyle w:val="Compact"/>
      </w:pPr>
      <w:r>
        <w:rPr>
          <w:bCs/>
          <w:b/>
        </w:rPr>
        <w:t xml:space="preserve">UE, Alemania, Austria, EE. UU.:</w:t>
      </w:r>
      <w:r>
        <w:t xml:space="preserve"> </w:t>
      </w:r>
      <w:r>
        <w:t xml:space="preserve">sin autorización como medicamento; su dispensación para uso en humanos no está permitida.</w:t>
      </w:r>
    </w:p>
    <w:p>
      <w:pPr>
        <w:numPr>
          <w:ilvl w:val="0"/>
          <w:numId w:val="1170"/>
        </w:numPr>
        <w:pStyle w:val="Compact"/>
      </w:pPr>
      <w:r>
        <w:rPr>
          <w:bCs/>
          <w:b/>
        </w:rPr>
        <w:t xml:space="preserve">WADA:</w:t>
      </w:r>
      <w:r>
        <w:t xml:space="preserve"> </w:t>
      </w:r>
      <w:r>
        <w:t xml:space="preserve">prohibida (S2). La hexarelina se degrada en gran medida en el organismo; sus productos de degradación siguen siendo detectables en orina después de que desaparezca la sustancia original (Semenistaya 2015, PMID 25869809).</w:t>
      </w:r>
    </w:p>
    <w:bookmarkEnd w:id="543"/>
    <w:bookmarkStart w:id="544" w:name="estudios-en-curso-y-perspectivas-29"/>
    <w:p>
      <w:pPr>
        <w:pStyle w:val="Heading3"/>
      </w:pPr>
      <w:r>
        <w:t xml:space="preserve">Estudios en curso y perspectivas</w:t>
      </w:r>
    </w:p>
    <w:p>
      <w:pPr>
        <w:pStyle w:val="FirstParagraph"/>
      </w:pPr>
      <w:r>
        <w:t xml:space="preserve">En octubre de 2026 no figura en ClinicalTrials.gov ningún estudio con hexarelina.</w:t>
      </w:r>
      <w:r>
        <w:t xml:space="preserve"> </w:t>
      </w:r>
      <w:r>
        <w:rPr>
          <w:iCs/>
          <w:i/>
        </w:rPr>
        <w:t xml:space="preserve">Valoración del autor:</w:t>
      </w:r>
      <w:r>
        <w:t xml:space="preserve"> </w:t>
      </w:r>
      <w:r>
        <w:t xml:space="preserve">La investigación cardiaca continúa, pero solo en modelos animales. Un desarrollo clínico requeriría una empresa que posea los derechos y financie estudios, y actualmente no se aprecia ninguna.</w:t>
      </w:r>
    </w:p>
    <w:bookmarkEnd w:id="544"/>
    <w:bookmarkStart w:id="545" w:name="conclusión-29"/>
    <w:p>
      <w:pPr>
        <w:pStyle w:val="Heading3"/>
      </w:pPr>
      <w:r>
        <w:t xml:space="preserve">Conclusión</w:t>
      </w:r>
    </w:p>
    <w:p>
      <w:pPr>
        <w:pStyle w:val="FirstParagraph"/>
      </w:pPr>
      <w:r>
        <w:t xml:space="preserve">En humanos, la hexarelina libera con fuerza hormona del crecimiento, pero también hormonas del estrés y prolactina, y con la administración continuada el efecto disminuye claramente; el IGF-1 y la composición corporal no cambiaron en un estudio de 16 semanas. Son interesantes algunos estudios pequeños en los que una dosis única aumentó la fuerza de bombeo del corazón, al parecer con independencia de la hormona del crecimiento. Si de ello surgirá algún día un beneficio para las personas con enfermedades cardiacas es una cuestión completamente abierta; para el desarrollo muscular o el rejuvenecimiento no hay pruebas.</w:t>
      </w:r>
    </w:p>
    <w:bookmarkEnd w:id="545"/>
    <w:bookmarkEnd w:id="546"/>
    <w:bookmarkStart w:id="559" w:name="macimorelina"/>
    <w:p>
      <w:pPr>
        <w:pStyle w:val="Heading2"/>
      </w:pPr>
      <w:r>
        <w:t xml:space="preserve">Macimorelina</w:t>
      </w:r>
    </w:p>
    <w:p>
      <w:pPr>
        <w:pStyle w:val="FirstParagraph"/>
      </w:pPr>
      <w:r>
        <w:t xml:space="preserve">La macimorelina es el miembro más sobrio de este grupo y, precisamente por eso, un buen contraejemplo de los péptidos del mercado gris. No se utiliza como tratamiento, sino como prueba: una persona bebe una solución con macimorelina y a continuación se le extrae sangre varias veces. Si la hormona del crecimiento apenas aumenta, eso indica un déficit de hormona del crecimiento. Para ello, la macimorelina está autorizada en EE. UU. y en la UE. Es un ejemplo de cómo un mimético de la grelina puede convertirse en un verdadero medicamento mediante estudios comparativos rigurosos.</w:t>
      </w:r>
    </w:p>
    <w:bookmarkStart w:id="547" w:name="ficha-30"/>
    <w:p>
      <w:pPr>
        <w:pStyle w:val="Heading3"/>
      </w:pPr>
      <w:r>
        <w:t xml:space="preserve">Ficha</w:t>
      </w:r>
    </w:p>
    <w:p>
      <w:pPr>
        <w:numPr>
          <w:ilvl w:val="0"/>
          <w:numId w:val="1171"/>
        </w:numPr>
        <w:pStyle w:val="Compact"/>
      </w:pPr>
      <w:r>
        <w:rPr>
          <w:bCs/>
          <w:b/>
        </w:rPr>
        <w:t xml:space="preserve">Tipo y estructura:</w:t>
      </w:r>
      <w:r>
        <w:t xml:space="preserve"> </w:t>
      </w:r>
      <w:r>
        <w:t xml:space="preserve">pequeña molécula de tipo peptídico (peptidomimético) que es eficaz tras ser tragada (Piccoli 2007, PMID 17284637). Denominaciones anteriores: EP01572, ARD-07, AEZS-130.</w:t>
      </w:r>
    </w:p>
    <w:p>
      <w:pPr>
        <w:numPr>
          <w:ilvl w:val="0"/>
          <w:numId w:val="1171"/>
        </w:numPr>
        <w:pStyle w:val="Compact"/>
      </w:pPr>
      <w:r>
        <w:rPr>
          <w:bCs/>
          <w:b/>
        </w:rPr>
        <w:t xml:space="preserve">Origen:</w:t>
      </w:r>
      <w:r>
        <w:t xml:space="preserve"> </w:t>
      </w:r>
      <w:r>
        <w:t xml:space="preserve">desarrollada a partir de la investigación sobre liberadores de hormona del crecimiento activos por vía oral; autorizada a solicitud de Aeterna Zentaris.</w:t>
      </w:r>
    </w:p>
    <w:p>
      <w:pPr>
        <w:numPr>
          <w:ilvl w:val="0"/>
          <w:numId w:val="1171"/>
        </w:numPr>
        <w:pStyle w:val="Compact"/>
      </w:pPr>
      <w:r>
        <w:rPr>
          <w:bCs/>
          <w:b/>
        </w:rPr>
        <w:t xml:space="preserve">Mecanismo de acción:</w:t>
      </w:r>
      <w:r>
        <w:t xml:space="preserve"> </w:t>
      </w:r>
      <w:r>
        <w:t xml:space="preserve">agonista del receptor de la grelina (GHS-R1a); provoca una única secreción de hormona del crecimiento cuya magnitud refleja la capacidad funcional de la hipófisis.</w:t>
      </w:r>
    </w:p>
    <w:p>
      <w:pPr>
        <w:numPr>
          <w:ilvl w:val="0"/>
          <w:numId w:val="1171"/>
        </w:numPr>
        <w:pStyle w:val="Compact"/>
      </w:pPr>
      <w:r>
        <w:rPr>
          <w:bCs/>
          <w:b/>
        </w:rPr>
        <w:t xml:space="preserve">Autorización EE. UU.:</w:t>
      </w:r>
      <w:r>
        <w:t xml:space="preserve"> </w:t>
      </w:r>
      <w:r>
        <w:t xml:space="preserve">sí (Macrilen, desde 2017) para el diagnóstico del déficit de hormona del crecimiento en adultos.</w:t>
      </w:r>
      <w:r>
        <w:t xml:space="preserve"> </w:t>
      </w:r>
      <w:r>
        <w:rPr>
          <w:bCs/>
          <w:b/>
        </w:rPr>
        <w:t xml:space="preserve">Autorización UE:</w:t>
      </w:r>
      <w:r>
        <w:t xml:space="preserve"> </w:t>
      </w:r>
      <w:r>
        <w:t xml:space="preserve">sí (autorización centralizada en 2019) para la misma indicación. Sobre la disponibilidad actual en los distintos países, véase más abajo.</w:t>
      </w:r>
    </w:p>
    <w:p>
      <w:pPr>
        <w:numPr>
          <w:ilvl w:val="0"/>
          <w:numId w:val="1171"/>
        </w:numPr>
        <w:pStyle w:val="Compact"/>
      </w:pPr>
      <w:r>
        <w:rPr>
          <w:bCs/>
          <w:b/>
        </w:rPr>
        <w:t xml:space="preserve">WADA:</w:t>
      </w:r>
      <w:r>
        <w:t xml:space="preserve"> </w:t>
      </w:r>
      <w:r>
        <w:t xml:space="preserve">prohibida, grupo S2 (secretagogos de la hormona del crecimiento; la macimorelina se menciona expresamente).</w:t>
      </w:r>
    </w:p>
    <w:p>
      <w:pPr>
        <w:numPr>
          <w:ilvl w:val="0"/>
          <w:numId w:val="1171"/>
        </w:numPr>
        <w:pStyle w:val="Compact"/>
      </w:pPr>
      <w:r>
        <w:rPr>
          <w:bCs/>
          <w:b/>
        </w:rPr>
        <w:t xml:space="preserve">Nivel de evidencia: A</w:t>
      </w:r>
      <w:r>
        <w:t xml:space="preserve"> </w:t>
      </w:r>
      <w:r>
        <w:t xml:space="preserve">– dos estudios de fase 3 sobre la exactitud diagnóstica, autorización en EE. UU. y la UE. Limitación: se trata de un agente diagnóstico, no de un tratamiento.</w:t>
      </w:r>
    </w:p>
    <w:bookmarkEnd w:id="547"/>
    <w:bookmarkStart w:id="548" w:name="cómo-se-supone-que-actúa-30"/>
    <w:p>
      <w:pPr>
        <w:pStyle w:val="Heading3"/>
      </w:pPr>
      <w:r>
        <w:t xml:space="preserve">Cómo se supone que actúa</w:t>
      </w:r>
    </w:p>
    <w:p>
      <w:pPr>
        <w:pStyle w:val="FirstParagraph"/>
      </w:pPr>
      <w:r>
        <w:t xml:space="preserve">El diagnóstico de un déficit de hormona del crecimiento en adultos es difícil. Un único valor en sangre no basta, porque la hormona del crecimiento se libera en pulsos. Se necesita una prueba de estimulación: se estimula específicamente la hipófisis y se mide cuánta hormona del crecimiento libera.</w:t>
      </w:r>
    </w:p>
    <w:p>
      <w:pPr>
        <w:pStyle w:val="BodyText"/>
      </w:pPr>
      <w:r>
        <w:t xml:space="preserve">La prueba de referencia es la prueba de hipoglucemia insulínica (prueba de tolerancia a la insulina, PTI). En ella se reduce intencionadamente y de forma marcada la glucosa con insulina; es desagradable, requiere supervisión médica y no está permitida en caso de enfermedades cardiacas o convulsiones. La macimorelina ofrece una alternativa: activa el receptor de la grelina, que desencadena directamente la secreción de hormona del crecimiento, sin bajar la glucosa. Como se toma por vía oral, tampoco es necesaria una infusión.</w:t>
      </w:r>
    </w:p>
    <w:bookmarkEnd w:id="548"/>
    <w:bookmarkStart w:id="553" w:name="estudios-en-humanos-30"/>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 encontró</w:t>
      </w:r>
      <w:r>
        <w:t xml:space="preserve"> </w:t>
      </w:r>
      <w:r>
        <w:rPr>
          <w:bCs/>
          <w:b/>
        </w:rPr>
        <w:t xml:space="preserve">4</w:t>
      </w:r>
      <w:r>
        <w:t xml:space="preserve"> </w:t>
      </w:r>
      <w:r>
        <w:t xml:space="preserve">estudios en humanos en PubMed (</w:t>
      </w:r>
      <w:r>
        <w:rPr>
          <w:rStyle w:val="VerbatimChar"/>
        </w:rPr>
        <w:t xml:space="preserve">humanstudien_alle</w:t>
      </w:r>
      <w:r>
        <w:t xml:space="preserve">) y</w:t>
      </w:r>
      <w:r>
        <w:t xml:space="preserve"> </w:t>
      </w:r>
      <w:r>
        <w:rPr>
          <w:bCs/>
          <w:b/>
        </w:rPr>
        <w:t xml:space="preserve">6</w:t>
      </w:r>
      <w:r>
        <w:t xml:space="preserve"> </w:t>
      </w:r>
      <w:r>
        <w:t xml:space="preserve">entradas en ClinicalTrials.gov. Una búsqueda específica adicional encontró más estudios, entre ellos el primer estudio de fase 3, un estudio en niños, varios trabajos en personas sanas y un análisis de la práctica clínica.</w:t>
      </w:r>
    </w:p>
    <w:bookmarkStart w:id="549" w:name="farmacología-inicial"/>
    <w:p>
      <w:pPr>
        <w:pStyle w:val="Heading4"/>
      </w:pPr>
      <w:r>
        <w:t xml:space="preserve">Farmacología inicial</w:t>
      </w:r>
    </w:p>
    <w:p>
      <w:pPr>
        <w:pStyle w:val="FirstParagraph"/>
      </w:pPr>
      <w:r>
        <w:t xml:space="preserve">Ya en 2007, un estudio con 36 hombres sanos mostró que la sustancia (entonces EP01572) pasa a la sangre rápidamente y de forma dependiente de la dosis tras ser tragada y libera con fuerza hormona del crecimiento (Piccoli 2007, PMID 17284637). En un estudio aleatorizado de fase 1 con 28 personas sanas, la semivida fue de 3,5 horas para las dos dosis más bajas; el pico de GH se produjo a los 45 a 60 minutos. La ACTH, el cortisol y la prolactina aumentaron de forma transitoria (Klaus 2020, PMID 32325373).</w:t>
      </w:r>
    </w:p>
    <w:bookmarkEnd w:id="549"/>
    <w:bookmarkStart w:id="550" w:name="los-estudios-de-autorización-1"/>
    <w:p>
      <w:pPr>
        <w:pStyle w:val="Heading4"/>
      </w:pPr>
      <w:r>
        <w:t xml:space="preserve">Los estudios de autorización</w:t>
      </w:r>
    </w:p>
    <w:p>
      <w:pPr>
        <w:pStyle w:val="FirstParagraph"/>
      </w:pPr>
      <w:r>
        <w:rPr>
          <w:bCs/>
          <w:b/>
        </w:rPr>
        <w:t xml:space="preserve">Primer estudio de fase 3:</w:t>
      </w:r>
      <w:r>
        <w:t xml:space="preserve"> </w:t>
      </w:r>
      <w:r>
        <w:t xml:space="preserve">En un estudio multicéntrico abierto se comparó la macimorelina con la prueba combinada de arginina y GHRH, habitual en aquel momento. Se analizaron 50 adultos con déficit de hormona del crecimiento y 48 personas sanas. El pico de GH fue en promedio de 2,36 ng/ml en las personas afectadas y de 17,71 ng/ml en las sanas. Con un valor de corte de 2,7 ng/ml, la prueba alcanzó una sensibilidad del 82 % y una especificidad del 92 %. Como único efecto adverso grave relacionado con el medicamento se comunicó una prolongación asintomática del intervalo QT en el ECG. Durante el estudio, el preparado de GHRH (sermorelina) se retiró del mercado en EE. UU., por lo que una parte de los participantes solo se sometió a la prueba con macimorelina (Garcia 2013, PMID 23559086).</w:t>
      </w:r>
    </w:p>
    <w:p>
      <w:pPr>
        <w:pStyle w:val="BodyText"/>
      </w:pPr>
      <w:r>
        <w:rPr>
          <w:bCs/>
          <w:b/>
        </w:rPr>
        <w:t xml:space="preserve">Segundo estudio de fase 3 (base de la autorización):</w:t>
      </w:r>
      <w:r>
        <w:t xml:space="preserve"> </w:t>
      </w:r>
      <w:r>
        <w:t xml:space="preserve">En un estudio cruzado aleatorizado, adultos con probabilidad alta, media y baja de déficit de hormona del crecimiento, así como personas sanas de comparación, se sometieron tanto a la prueba de macimorelina como a la prueba de insulina. El 99 % de las pruebas de macimorelina, pero solo el 82 % de las pruebas de insulina, fueron evaluables. Con los valores de corte de 2,8 ng/ml (macimorelina) y 5,1 ng/ml (PTI), la sensibilidad fue del 87 % y la especificidad del 96 %; al repetir la prueba, el resultado coincidió en el 97 %. No se produjeron efectos adversos graves por la macimorelina. Un valor de corte único de 5,1 ng/ml para ambas pruebas dio en un análisis a posteriori una sensibilidad del 92 % con una especificidad del 96 % (Garcia 2018, PMID 29860473; NCT02558829). Otros análisis mostraron que la edad, el peso corporal y el sexo no influían de forma esencial en la exactitud de la prueba (Garcia 2021, PMID 33320108).</w:t>
      </w:r>
    </w:p>
    <w:bookmarkEnd w:id="550"/>
    <w:bookmarkStart w:id="551" w:name="experiencia-en-la-práctica-clínica"/>
    <w:p>
      <w:pPr>
        <w:pStyle w:val="Heading4"/>
      </w:pPr>
      <w:r>
        <w:t xml:space="preserve">Experiencia en la práctica clínica</w:t>
      </w:r>
    </w:p>
    <w:p>
      <w:pPr>
        <w:pStyle w:val="FirstParagraph"/>
      </w:pPr>
      <w:r>
        <w:t xml:space="preserve">Un análisis retrospectivo de 37 pacientes de una clínica encontró que, con el valor de corte de 2,8 ng/ml autorizado en EE. UU., el 40,5 % se clasificaba como déficit de hormona del crecimiento, mientras que con 5,1 ng/ml lo hacía el 54,0 %. Las clasificaciones discrepantes afectaban sobre todo a personas con sobrepeso importante y baja probabilidad pretest (Yadav 2026, PMID 41793495). Esto muestra que el valor de corte no es una cuestión trivial y que, en caso de sobrepeso importante, conviene interpretar el resultado con cautela.</w:t>
      </w:r>
    </w:p>
    <w:bookmarkEnd w:id="551"/>
    <w:bookmarkStart w:id="552" w:name="niños-y-otras-aplicaciones"/>
    <w:p>
      <w:pPr>
        <w:pStyle w:val="Heading4"/>
      </w:pPr>
      <w:r>
        <w:t xml:space="preserve">Niños y otras aplicaciones</w:t>
      </w:r>
    </w:p>
    <w:p>
      <w:pPr>
        <w:numPr>
          <w:ilvl w:val="0"/>
          <w:numId w:val="1172"/>
        </w:numPr>
        <w:pStyle w:val="Compact"/>
      </w:pPr>
      <w:r>
        <w:rPr>
          <w:bCs/>
          <w:b/>
        </w:rPr>
        <w:t xml:space="preserve">Niños:</w:t>
      </w:r>
      <w:r>
        <w:t xml:space="preserve"> </w:t>
      </w:r>
      <w:r>
        <w:t xml:space="preserve">Un estudio abierto de búsqueda de dosis con 24 niños y adolescentes con sospecha de déficit de hormona del crecimiento no encontró efectos adversos atribuibles a la macimorelina (Csákváry 2021, PMID 34438400). El posterior estudio de fase 3 DETECT con 101 niños (NCT04786873) concluyó en junio de 2024; no hay resultados depositados en el registro y no he encontrado ninguna publicación en PubMed.</w:t>
      </w:r>
    </w:p>
    <w:p>
      <w:pPr>
        <w:numPr>
          <w:ilvl w:val="0"/>
          <w:numId w:val="1172"/>
        </w:numPr>
        <w:pStyle w:val="Compact"/>
      </w:pPr>
      <w:r>
        <w:rPr>
          <w:bCs/>
          <w:b/>
        </w:rPr>
        <w:t xml:space="preserve">Caquexia tumoral:</w:t>
      </w:r>
      <w:r>
        <w:t xml:space="preserve"> </w:t>
      </w:r>
      <w:r>
        <w:t xml:space="preserve">En un estudio piloto con 15 pacientes con cáncer y pérdida de peso patológica, la macimorelina se toleró bien durante una semana; el peso y la calidad de vida mejoraron numéricamente, pero sin diferencia significativa frente a placebo (Herodes 2023, PMID 36860137).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Fase 3, estudio 1 (Garcia 2013), PMID 23559086</w:t>
            </w:r>
          </w:p>
        </w:tc>
        <w:tc>
          <w:tcPr/>
          <w:p>
            <w:pPr>
              <w:pStyle w:val="Compact"/>
              <w:jc w:val="left"/>
            </w:pPr>
            <w:r>
              <w:t xml:space="preserve">50 adultos con déficit de GH, 48 personas sanas; comparación con arginina+GHRH</w:t>
            </w:r>
          </w:p>
        </w:tc>
        <w:tc>
          <w:tcPr/>
          <w:p>
            <w:pPr>
              <w:pStyle w:val="Compact"/>
              <w:jc w:val="left"/>
            </w:pPr>
            <w:r>
              <w:t xml:space="preserve">prueba única</w:t>
            </w:r>
          </w:p>
        </w:tc>
        <w:tc>
          <w:tcPr/>
          <w:p>
            <w:pPr>
              <w:pStyle w:val="Compact"/>
              <w:jc w:val="left"/>
            </w:pPr>
            <w:r>
              <w:t xml:space="preserve">sensibilidad 82 %, especificidad 92 %</w:t>
            </w:r>
          </w:p>
        </w:tc>
      </w:tr>
      <w:tr>
        <w:tc>
          <w:tcPr/>
          <w:p>
            <w:pPr>
              <w:pStyle w:val="Compact"/>
              <w:jc w:val="left"/>
            </w:pPr>
            <w:r>
              <w:t xml:space="preserve">Fase 3, estudio 2 (Garcia 2018), PMID 29860473</w:t>
            </w:r>
          </w:p>
        </w:tc>
        <w:tc>
          <w:tcPr/>
          <w:p>
            <w:pPr>
              <w:pStyle w:val="Compact"/>
              <w:jc w:val="left"/>
            </w:pPr>
            <w:r>
              <w:t xml:space="preserve">adultos con distinta probabilidad pretest y personas sanas; estudio cruzado aleatorizado frente a PTI</w:t>
            </w:r>
          </w:p>
        </w:tc>
        <w:tc>
          <w:tcPr/>
          <w:p>
            <w:pPr>
              <w:pStyle w:val="Compact"/>
              <w:jc w:val="left"/>
            </w:pPr>
            <w:r>
              <w:t xml:space="preserve">pruebas únicas</w:t>
            </w:r>
          </w:p>
        </w:tc>
        <w:tc>
          <w:tcPr/>
          <w:p>
            <w:pPr>
              <w:pStyle w:val="Compact"/>
              <w:jc w:val="left"/>
            </w:pPr>
            <w:r>
              <w:t xml:space="preserve">sensibilidad 87 %, especificidad 96 %; reproducibilidad 97 %</w:t>
            </w:r>
          </w:p>
        </w:tc>
      </w:tr>
      <w:tr>
        <w:tc>
          <w:tcPr/>
          <w:p>
            <w:pPr>
              <w:pStyle w:val="Compact"/>
              <w:jc w:val="left"/>
            </w:pPr>
            <w:r>
              <w:t xml:space="preserve">Estudio QT (Lissy 2021), PMID 32961034</w:t>
            </w:r>
          </w:p>
        </w:tc>
        <w:tc>
          <w:tcPr/>
          <w:p>
            <w:pPr>
              <w:pStyle w:val="Compact"/>
              <w:jc w:val="left"/>
            </w:pPr>
            <w:r>
              <w:t xml:space="preserve">60 personas sanas, aleatorizado, placebo y moxifloxacino</w:t>
            </w:r>
          </w:p>
        </w:tc>
        <w:tc>
          <w:tcPr/>
          <w:p>
            <w:pPr>
              <w:pStyle w:val="Compact"/>
              <w:jc w:val="left"/>
            </w:pPr>
            <w:r>
              <w:t xml:space="preserve">dosis únicas</w:t>
            </w:r>
          </w:p>
        </w:tc>
        <w:tc>
          <w:tcPr/>
          <w:p>
            <w:pPr>
              <w:pStyle w:val="Compact"/>
              <w:jc w:val="left"/>
            </w:pPr>
            <w:r>
              <w:t xml:space="preserve">prolongación del QT de hasta 9,61 ms con dosis excesiva</w:t>
            </w:r>
          </w:p>
        </w:tc>
      </w:tr>
      <w:tr>
        <w:tc>
          <w:tcPr/>
          <w:p>
            <w:pPr>
              <w:pStyle w:val="Compact"/>
              <w:jc w:val="left"/>
            </w:pPr>
            <w:r>
              <w:t xml:space="preserve">Datos de práctica clínica (Yadav 2026), PMID 41793495</w:t>
            </w:r>
          </w:p>
        </w:tc>
        <w:tc>
          <w:tcPr/>
          <w:p>
            <w:pPr>
              <w:pStyle w:val="Compact"/>
              <w:jc w:val="left"/>
            </w:pPr>
            <w:r>
              <w:t xml:space="preserve">37 personas, retrospectivo</w:t>
            </w:r>
          </w:p>
        </w:tc>
        <w:tc>
          <w:tcPr/>
          <w:p>
            <w:pPr>
              <w:pStyle w:val="Compact"/>
              <w:jc w:val="left"/>
            </w:pPr>
            <w:r>
              <w:t xml:space="preserve">prueba única</w:t>
            </w:r>
          </w:p>
        </w:tc>
        <w:tc>
          <w:tcPr/>
          <w:p>
            <w:pPr>
              <w:pStyle w:val="Compact"/>
              <w:jc w:val="left"/>
            </w:pPr>
            <w:r>
              <w:t xml:space="preserve">el valor de corte influye en el diagnóstico, sobre todo en la obesidad</w:t>
            </w:r>
          </w:p>
        </w:tc>
      </w:tr>
      <w:tr>
        <w:tc>
          <w:tcPr/>
          <w:p>
            <w:pPr>
              <w:pStyle w:val="Compact"/>
              <w:jc w:val="left"/>
            </w:pPr>
            <w:r>
              <w:t xml:space="preserve">Caquexia (Herodes 2023), PMID 36860137</w:t>
            </w:r>
          </w:p>
        </w:tc>
        <w:tc>
          <w:tcPr/>
          <w:p>
            <w:pPr>
              <w:pStyle w:val="Compact"/>
              <w:jc w:val="left"/>
            </w:pPr>
            <w:r>
              <w:t xml:space="preserve">15 pacientes con cáncer, estudio piloto ECA</w:t>
            </w:r>
          </w:p>
        </w:tc>
        <w:tc>
          <w:tcPr/>
          <w:p>
            <w:pPr>
              <w:pStyle w:val="Compact"/>
              <w:jc w:val="left"/>
            </w:pPr>
            <w:r>
              <w:t xml:space="preserve">1 semana</w:t>
            </w:r>
          </w:p>
        </w:tc>
        <w:tc>
          <w:tcPr/>
          <w:p>
            <w:pPr>
              <w:pStyle w:val="Compact"/>
              <w:jc w:val="left"/>
            </w:pPr>
            <w:r>
              <w:t xml:space="preserve">bien tolerada, sin efecto significativo</w:t>
            </w:r>
          </w:p>
        </w:tc>
      </w:tr>
    </w:tbl>
    <w:bookmarkEnd w:id="552"/>
    <w:bookmarkEnd w:id="553"/>
    <w:bookmarkStart w:id="554" w:name="estudios-en-animales-y-de-laboratorio-30"/>
    <w:p>
      <w:pPr>
        <w:pStyle w:val="Heading3"/>
      </w:pPr>
      <w:r>
        <w:t xml:space="preserve">Estudios en animales y de laboratorio</w:t>
      </w:r>
    </w:p>
    <w:p>
      <w:pPr>
        <w:pStyle w:val="FirstParagraph"/>
      </w:pPr>
      <w:r>
        <w:t xml:space="preserve">En ratones con epilepsia difícil de tratar, la macimorelina redujo durante las dos semanas de tratamiento el número y la duración de las crisis, pero no modificó la evolución de la enfermedad (Buckinx 2021, PMID 34157194). Los estudios estructurales muestran cómo se une la macimorelina en el receptor de la grelina (Wang 2025, PMID 40542284). Para el uso autorizado, estos trabajos no son relevantes.</w:t>
      </w:r>
    </w:p>
    <w:bookmarkEnd w:id="554"/>
    <w:bookmarkStart w:id="555" w:name="riesgos-y-efectos-adversos-30"/>
    <w:p>
      <w:pPr>
        <w:pStyle w:val="Heading3"/>
      </w:pPr>
      <w:r>
        <w:t xml:space="preserve">Riesgos y efectos adversos</w:t>
      </w:r>
    </w:p>
    <w:p>
      <w:pPr>
        <w:pStyle w:val="FirstParagraph"/>
      </w:pPr>
      <w:r>
        <w:rPr>
          <w:bCs/>
          <w:b/>
        </w:rPr>
        <w:t xml:space="preserve">Demostrado:</w:t>
      </w:r>
      <w:r>
        <w:t xml:space="preserve"> </w:t>
      </w:r>
      <w:r>
        <w:t xml:space="preserve">La macimorelina solo se toma una vez por prueba; los efectos adversos son, en consecuencia, limitados. En el estudio de autorización no se produjeron efectos adversos graves por la macimorelina (Garcia 2018, PMID 29860473). La ACTH, el cortisol y la prolactina aumentan de forma transitoria (Klaus 2020, PMID 32325373).</w:t>
      </w:r>
    </w:p>
    <w:p>
      <w:pPr>
        <w:pStyle w:val="BodyText"/>
      </w:pPr>
      <w:r>
        <w:rPr>
          <w:bCs/>
          <w:b/>
        </w:rPr>
        <w:t xml:space="preserve">Prolongación del QT:</w:t>
      </w:r>
      <w:r>
        <w:t xml:space="preserve"> </w:t>
      </w:r>
      <w:r>
        <w:t xml:space="preserve">En un estudio exhaustivo del ECG con 60 personas sanas, una dosis única deliberadamente excesiva (supraterapéutica) prolongó el intervalo QT –una medida de la repolarización del corazón– en promedio hasta 9,61 milisegundos; el límite superior del intervalo de confianza superó el umbral regulatorio de 10 milisegundos (Lissy 2021, PMID 32961034). Por eso se recomienda precaución en personas que toman otros medicamentos que prolongan el QT. Los detalles sobre contraindicaciones e interacciones los regula la ficha técnica; la prueba la realiza personal médico.</w:t>
      </w:r>
    </w:p>
    <w:p>
      <w:pPr>
        <w:pStyle w:val="BodyText"/>
      </w:pPr>
      <w:r>
        <w:rPr>
          <w:bCs/>
          <w:b/>
        </w:rPr>
        <w:t xml:space="preserve">Diagnósticos erróneos:</w:t>
      </w:r>
      <w:r>
        <w:t xml:space="preserve"> </w:t>
      </w:r>
      <w:r>
        <w:t xml:space="preserve">Como cualquier prueba de estimulación, la prueba de macimorelina también puede dar resultados falsos positivos y falsos negativos, sobre todo en caso de sobrepeso importante (Yadav 2026, PMID 41793495).</w:t>
      </w:r>
    </w:p>
    <w:p>
      <w:pPr>
        <w:pStyle w:val="BodyText"/>
      </w:pPr>
      <w:r>
        <w:t xml:space="preserve">Con una administración única no cabe esperar un riesgo de cáncer; el debate sobre un IGF-1 elevado de forma continuada (véase la introducción de este grupo) no afecta, por tanto, a la macimorelina.</w:t>
      </w:r>
    </w:p>
    <w:bookmarkEnd w:id="555"/>
    <w:bookmarkStart w:id="556" w:name="situación-legal-30"/>
    <w:p>
      <w:pPr>
        <w:pStyle w:val="Heading3"/>
      </w:pPr>
      <w:r>
        <w:t xml:space="preserve">Situación legal</w:t>
      </w:r>
    </w:p>
    <w:p>
      <w:pPr>
        <w:pStyle w:val="FirstParagraph"/>
      </w:pPr>
      <w:r>
        <w:rPr>
          <w:iCs/>
          <w:i/>
        </w:rPr>
        <w:t xml:space="preserve">Situación en 2026; compruebe la información actualizada.</w:t>
      </w:r>
    </w:p>
    <w:p>
      <w:pPr>
        <w:numPr>
          <w:ilvl w:val="0"/>
          <w:numId w:val="1173"/>
        </w:numPr>
        <w:pStyle w:val="Compact"/>
      </w:pPr>
      <w:r>
        <w:rPr>
          <w:bCs/>
          <w:b/>
        </w:rPr>
        <w:t xml:space="preserve">UE:</w:t>
      </w:r>
      <w:r>
        <w:t xml:space="preserve"> </w:t>
      </w:r>
      <w:r>
        <w:t xml:space="preserve">autorización centralizada para el diagnóstico del déficit de hormona del crecimiento en adultos. Si el preparado se comercializa realmente en Alemania y Austria depende de las decisiones de distribución del titular de la autorización y debe comprobarse en su versión actual.</w:t>
      </w:r>
    </w:p>
    <w:p>
      <w:pPr>
        <w:numPr>
          <w:ilvl w:val="0"/>
          <w:numId w:val="1173"/>
        </w:numPr>
        <w:pStyle w:val="Compact"/>
      </w:pPr>
      <w:r>
        <w:rPr>
          <w:bCs/>
          <w:b/>
        </w:rPr>
        <w:t xml:space="preserve">EE. UU.:</w:t>
      </w:r>
      <w:r>
        <w:t xml:space="preserve"> </w:t>
      </w:r>
      <w:r>
        <w:t xml:space="preserve">autorizada (Macrilen) para la misma indicación; los derechos de distribución han cambiado de manos en los últimos años.</w:t>
      </w:r>
    </w:p>
    <w:p>
      <w:pPr>
        <w:numPr>
          <w:ilvl w:val="0"/>
          <w:numId w:val="1173"/>
        </w:numPr>
        <w:pStyle w:val="Compact"/>
      </w:pPr>
      <w:r>
        <w:rPr>
          <w:bCs/>
          <w:b/>
        </w:rPr>
        <w:t xml:space="preserve">Uso:</w:t>
      </w:r>
      <w:r>
        <w:t xml:space="preserve"> </w:t>
      </w:r>
      <w:r>
        <w:t xml:space="preserve">exclusivamente como prueba funcional realizada por personal médico según la ficha técnica; sin autorización terapéutica.</w:t>
      </w:r>
    </w:p>
    <w:p>
      <w:pPr>
        <w:numPr>
          <w:ilvl w:val="0"/>
          <w:numId w:val="1173"/>
        </w:numPr>
        <w:pStyle w:val="Compact"/>
      </w:pPr>
      <w:r>
        <w:rPr>
          <w:bCs/>
          <w:b/>
        </w:rPr>
        <w:t xml:space="preserve">WADA:</w:t>
      </w:r>
      <w:r>
        <w:t xml:space="preserve"> </w:t>
      </w:r>
      <w:r>
        <w:t xml:space="preserve">prohibida (S2). Para los controles antidopaje se han caracterizado productos de degradación de la macimorelina y de miméticos de la grelina relacionados (Lange 2021, PMID 33458843).</w:t>
      </w:r>
    </w:p>
    <w:bookmarkEnd w:id="556"/>
    <w:bookmarkStart w:id="557" w:name="estudios-en-curso-y-perspectivas-30"/>
    <w:p>
      <w:pPr>
        <w:pStyle w:val="Heading3"/>
      </w:pPr>
      <w:r>
        <w:t xml:space="preserve">Estudios en curso y perspectivas</w:t>
      </w:r>
    </w:p>
    <w:p>
      <w:pPr>
        <w:pStyle w:val="FirstParagraph"/>
      </w:pPr>
      <w:r>
        <w:rPr>
          <w:iCs/>
          <w:i/>
        </w:rPr>
        <w:t xml:space="preserve">Confirmado:</w:t>
      </w:r>
      <w:r>
        <w:t xml:space="preserve"> </w:t>
      </w:r>
      <w:r>
        <w:t xml:space="preserve">El estudio en niños DETECT (NCT04786873) ha concluido; los resultados están pendientes. Otro estudio examinó cómo influye la macimorelina en la hormona copeptina (NCT03844217).</w:t>
      </w:r>
      <w:r>
        <w:t xml:space="preserve"> </w:t>
      </w:r>
      <w:r>
        <w:rPr>
          <w:iCs/>
          <w:i/>
        </w:rPr>
        <w:t xml:space="preserve">Valoración del autor:</w:t>
      </w:r>
      <w:r>
        <w:t xml:space="preserve"> </w:t>
      </w:r>
      <w:r>
        <w:t xml:space="preserve">Una ampliación de la autorización a niños sería el siguiente paso lógico, pero depende del resultado del estudio DETECT. Un uso terapéutico, por ejemplo en la caquexia, no se vislumbra según los datos disponibles.</w:t>
      </w:r>
    </w:p>
    <w:bookmarkEnd w:id="557"/>
    <w:bookmarkStart w:id="558" w:name="conclusión-30"/>
    <w:p>
      <w:pPr>
        <w:pStyle w:val="Heading3"/>
      </w:pPr>
      <w:r>
        <w:t xml:space="preserve">Conclusión</w:t>
      </w:r>
    </w:p>
    <w:p>
      <w:pPr>
        <w:pStyle w:val="FirstParagraph"/>
      </w:pPr>
      <w:r>
        <w:t xml:space="preserve">La macimorelina es un agente diagnóstico autorizado en EE. UU. y en la UE: una prueba que se bebe una sola vez detecta un déficit de hormona del crecimiento en adultos con una fiabilidad similar a la de la exigente prueba de insulina, con una sensibilidad del 87 % y una especificidad del 96 % en el estudio de autorización. El efecto adverso conocido más importante es una ligera prolongación del intervalo QT con una dosis excesiva. La macimorelina no está pensada ni estudiada para un tratamiento, para el desarrollo muscular ni como remedio «antienvejecimiento».</w:t>
      </w:r>
    </w:p>
    <w:bookmarkEnd w:id="558"/>
    <w:bookmarkEnd w:id="559"/>
    <w:bookmarkStart w:id="570" w:name="mecasermina-igf-1"/>
    <w:p>
      <w:pPr>
        <w:pStyle w:val="Heading2"/>
      </w:pPr>
      <w:r>
        <w:t xml:space="preserve">Mecasermina (IGF-1)</w:t>
      </w:r>
    </w:p>
    <w:p>
      <w:pPr>
        <w:pStyle w:val="FirstParagraph"/>
      </w:pPr>
      <w:r>
        <w:t xml:space="preserve">La mecasermina es IGF-1 humano obtenido mediante ingeniería genética, es decir, el mensajero a través del cual la hormona del crecimiento ejerce gran parte de su efecto. Como medicamento (Increlex) está autorizada para un grupo muy poco frecuente de niños: niños cuyo organismo produce suficiente hormona del crecimiento, pero no responde a ella y, por tanto, apenas fabrica IGF-1. La mecasermina es así un ejemplo poco habitual de péptido autorizado dentro de este grupo y, al mismo tiempo, el principio activo en el que se plantea con mayor claridad la cuestión de la hipoglucemia y del riesgo de cáncer por IGF-1.</w:t>
      </w:r>
    </w:p>
    <w:bookmarkStart w:id="560" w:name="ficha-31"/>
    <w:p>
      <w:pPr>
        <w:pStyle w:val="Heading3"/>
      </w:pPr>
      <w:r>
        <w:t xml:space="preserve">Ficha</w:t>
      </w:r>
    </w:p>
    <w:p>
      <w:pPr>
        <w:numPr>
          <w:ilvl w:val="0"/>
          <w:numId w:val="1174"/>
        </w:numPr>
        <w:pStyle w:val="Compact"/>
      </w:pPr>
      <w:r>
        <w:rPr>
          <w:bCs/>
          <w:b/>
        </w:rPr>
        <w:t xml:space="preserve">Tipo y estructura:</w:t>
      </w:r>
      <w:r>
        <w:t xml:space="preserve"> </w:t>
      </w:r>
      <w:r>
        <w:t xml:space="preserve">IGF-1 humano recombinante (producido mediante ingeniería genética en bacterias) de 70 aminoácidos, idéntico a la hormona propia del organismo.</w:t>
      </w:r>
    </w:p>
    <w:p>
      <w:pPr>
        <w:numPr>
          <w:ilvl w:val="0"/>
          <w:numId w:val="1174"/>
        </w:numPr>
        <w:pStyle w:val="Compact"/>
      </w:pPr>
      <w:r>
        <w:rPr>
          <w:bCs/>
          <w:b/>
        </w:rPr>
        <w:t xml:space="preserve">Origen:</w:t>
      </w:r>
      <w:r>
        <w:t xml:space="preserve"> </w:t>
      </w:r>
      <w:r>
        <w:t xml:space="preserve">el IGF-1 se describió en la década de 1970 como «somatomedina»; la mecasermina fue desarrollada por Tercica y comercializada por Ipsen, actualmente por otro titular de la autorización (situación en 2026, compruébese).</w:t>
      </w:r>
    </w:p>
    <w:p>
      <w:pPr>
        <w:numPr>
          <w:ilvl w:val="0"/>
          <w:numId w:val="1174"/>
        </w:numPr>
        <w:pStyle w:val="Compact"/>
      </w:pPr>
      <w:r>
        <w:rPr>
          <w:bCs/>
          <w:b/>
        </w:rPr>
        <w:t xml:space="preserve">Mecanismo de acción:</w:t>
      </w:r>
      <w:r>
        <w:t xml:space="preserve"> </w:t>
      </w:r>
      <w:r>
        <w:t xml:space="preserve">se une al receptor de IGF-1 y sustituye directamente el IGF-1 que falta; favorece el crecimiento, es anabólica y –a dosis más altas– reduce la glucosa de forma similar a la insulina.</w:t>
      </w:r>
    </w:p>
    <w:p>
      <w:pPr>
        <w:numPr>
          <w:ilvl w:val="0"/>
          <w:numId w:val="1174"/>
        </w:numPr>
        <w:pStyle w:val="Compact"/>
      </w:pPr>
      <w:r>
        <w:rPr>
          <w:bCs/>
          <w:b/>
        </w:rPr>
        <w:t xml:space="preserve">Autorización UE:</w:t>
      </w:r>
      <w:r>
        <w:t xml:space="preserve"> </w:t>
      </w:r>
      <w:r>
        <w:t xml:space="preserve">sí (Increlex) para el tratamiento a largo plazo de los trastornos del crecimiento en niños y adolescentes con déficit primario grave de IGF-1.</w:t>
      </w:r>
      <w:r>
        <w:t xml:space="preserve"> </w:t>
      </w:r>
      <w:r>
        <w:rPr>
          <w:bCs/>
          <w:b/>
        </w:rPr>
        <w:t xml:space="preserve">Autorización EE. UU.:</w:t>
      </w:r>
      <w:r>
        <w:t xml:space="preserve"> </w:t>
      </w:r>
      <w:r>
        <w:t xml:space="preserve">sí (Increlex), misma indicación.</w:t>
      </w:r>
    </w:p>
    <w:p>
      <w:pPr>
        <w:numPr>
          <w:ilvl w:val="0"/>
          <w:numId w:val="1174"/>
        </w:numPr>
        <w:pStyle w:val="Compact"/>
      </w:pPr>
      <w:r>
        <w:rPr>
          <w:bCs/>
          <w:b/>
        </w:rPr>
        <w:t xml:space="preserve">WADA:</w:t>
      </w:r>
      <w:r>
        <w:t xml:space="preserve"> </w:t>
      </w:r>
      <w:r>
        <w:t xml:space="preserve">prohibida, grupo S2 (el IGF-1 y sus análogos como factores de crecimiento).</w:t>
      </w:r>
    </w:p>
    <w:p>
      <w:pPr>
        <w:numPr>
          <w:ilvl w:val="0"/>
          <w:numId w:val="1174"/>
        </w:numPr>
        <w:pStyle w:val="Compact"/>
      </w:pPr>
      <w:r>
        <w:rPr>
          <w:bCs/>
          <w:b/>
        </w:rPr>
        <w:t xml:space="preserve">Nivel de evidencia: A</w:t>
      </w:r>
      <w:r>
        <w:t xml:space="preserve"> </w:t>
      </w:r>
      <w:r>
        <w:t xml:space="preserve">– autorizada en la UE y EE. UU. Limitación: debido a la rareza de la enfermedad, la autorización se basa en estudios abiertos a largo plazo y en registros, no en grandes estudios aleatorizados. Existen estudios aleatorizados sobre otras aplicaciones, por ejemplo la ELA (negativos).</w:t>
      </w:r>
    </w:p>
    <w:bookmarkEnd w:id="560"/>
    <w:bookmarkStart w:id="561" w:name="cómo-se-supone-que-actúa-31"/>
    <w:p>
      <w:pPr>
        <w:pStyle w:val="Heading3"/>
      </w:pPr>
      <w:r>
        <w:t xml:space="preserve">Cómo se supone que actúa</w:t>
      </w:r>
    </w:p>
    <w:p>
      <w:pPr>
        <w:pStyle w:val="FirstParagraph"/>
      </w:pPr>
      <w:r>
        <w:t xml:space="preserve">La hormona del crecimiento de la hipófisis actúa sobre todo sobre el hígado, que a continuación produce IGF-1. El IGF-1 hace entonces que los huesos crezcan en longitud y favorece la formación de músculo y otros tejidos. En algunos niños, esta cadena está interrumpida: su receptor de la hormona del crecimiento no funciona debido a una alteración genética o la transmisión de la señal está alterada. El ejemplo clásico es el síndrome de Laron. Estos niños tienen mucha hormona del crecimiento, pero apenas IGF-1, y las inyecciones de hormona del crecimiento no les ayudan. Sin tratamiento, de adultos a menudo solo alcanzan entre 120 y 130 cm (Saavedra 2026, PMID 42341624).</w:t>
      </w:r>
    </w:p>
    <w:p>
      <w:pPr>
        <w:pStyle w:val="BodyText"/>
      </w:pPr>
      <w:r>
        <w:t xml:space="preserve">La mecasermina se salta el paso defectuoso y aporta IGF-1 directamente. Como el IGF-1 se parece a la insulina, puede reducir la glucosa: es el efecto adverso más importante.</w:t>
      </w:r>
    </w:p>
    <w:bookmarkEnd w:id="561"/>
    <w:bookmarkStart w:id="564" w:name="estudios-en-humanos-31"/>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 encontró</w:t>
      </w:r>
      <w:r>
        <w:t xml:space="preserve"> </w:t>
      </w:r>
      <w:r>
        <w:rPr>
          <w:bCs/>
          <w:b/>
        </w:rPr>
        <w:t xml:space="preserve">21</w:t>
      </w:r>
      <w:r>
        <w:t xml:space="preserve"> </w:t>
      </w:r>
      <w:r>
        <w:t xml:space="preserve">estudios en humanos en PubMed (</w:t>
      </w:r>
      <w:r>
        <w:rPr>
          <w:rStyle w:val="VerbatimChar"/>
        </w:rPr>
        <w:t xml:space="preserve">humanstudien_alle</w:t>
      </w:r>
      <w:r>
        <w:t xml:space="preserve">) y</w:t>
      </w:r>
      <w:r>
        <w:t xml:space="preserve"> </w:t>
      </w:r>
      <w:r>
        <w:rPr>
          <w:bCs/>
          <w:b/>
        </w:rPr>
        <w:t xml:space="preserve">37</w:t>
      </w:r>
      <w:r>
        <w:t xml:space="preserve"> </w:t>
      </w:r>
      <w:r>
        <w:t xml:space="preserve">entradas en ClinicalTrials.gov; algunas de estas entradas del registro tratan otros temas y solo aparecen por el término de búsqueda. A ello se suman tres revisiones sistemáticas. Una búsqueda específica adicional encontró los importantes estudios a largo plazo y análisis de registros sobre la indicación autorizada.</w:t>
      </w:r>
    </w:p>
    <w:bookmarkStart w:id="562" w:name="déficit-primario-grave-de-igf-1-en-niños"/>
    <w:p>
      <w:pPr>
        <w:pStyle w:val="Heading4"/>
      </w:pPr>
      <w:r>
        <w:t xml:space="preserve">Déficit primario grave de IGF-1 en niños</w:t>
      </w:r>
    </w:p>
    <w:p>
      <w:pPr>
        <w:pStyle w:val="FirstParagraph"/>
      </w:pPr>
      <w:r>
        <w:t xml:space="preserve">La base de la autorización es un estudio, mayoritariamente abierto, de hasta doce años de duración con 76 niños con déficit de IGF-1 por resistencia a la hormona del crecimiento. La velocidad de crecimiento aumentó de un promedio de 2,8 cm al año antes del tratamiento a 8,0 cm en el primer año de tratamiento; en los años siguientes descendió, pero se mantuvo por encima del valor inicial hasta ocho años. El efecto adverso más frecuente fue la hipoglucemia (en el 49 % de los niños, aunque ya se había observado antes del inicio del tratamiento), seguida de alteraciones del tejido adiposo en el lugar de inyección (32 %) y aumento de tamaño de las amígdalas y las vegetaciones (22 %) (Chernausek 2007, PMID 17192294).</w:t>
      </w:r>
    </w:p>
    <w:p>
      <w:pPr>
        <w:pStyle w:val="BodyText"/>
      </w:pPr>
      <w:r>
        <w:t xml:space="preserve">Desde 2008, un registro europeo, actualmente mundial, recoge datos de la práctica clínica (NCT00903110). En 138 niños prepúberes no tratados previamente, la talla mejoró en el primer año; los niños con síndrome de Laron respondieron algo mejor, y entre los demás el 56 % se consideró respondedor. El 65,3 % de los niños tuvo al menos un efecto indeseado, con mayor frecuencia una hipoglucemia (Bang 2021, PMID 33434161). 102 niños y adolescentes que ya habían alcanzado casi su talla definitiva ganaron en promedio 0,9 desviaciones estándar de talla, y 1,4 si el tratamiento se inició antes de la pubertad. Casi la mitad de estos niños tratados de forma precoz alcanzó una talla dentro del rango normal; en el síndrome de Laron, solo el 10,5 % (Ramon-Krauel 2026, PMID 40626687). Las hipoglucemias graves fueron poco frecuentes, con 0,01 episodios por paciente y año de tratamiento; el riesgo era mayor sobre todo en niños con síndrome de Laron o con hipoglucemias previas (Bang 2023, PMID 37579214).</w:t>
      </w:r>
    </w:p>
    <w:bookmarkEnd w:id="562"/>
    <w:bookmarkStart w:id="563" w:name="otras-aplicaciones-1"/>
    <w:p>
      <w:pPr>
        <w:pStyle w:val="Heading4"/>
      </w:pPr>
      <w:r>
        <w:t xml:space="preserve">Otras aplicaciones</w:t>
      </w:r>
    </w:p>
    <w:p>
      <w:pPr>
        <w:numPr>
          <w:ilvl w:val="0"/>
          <w:numId w:val="1175"/>
        </w:numPr>
        <w:pStyle w:val="Compact"/>
      </w:pPr>
      <w:r>
        <w:rPr>
          <w:bCs/>
          <w:b/>
        </w:rPr>
        <w:t xml:space="preserve">ELA:</w:t>
      </w:r>
      <w:r>
        <w:t xml:space="preserve"> </w:t>
      </w:r>
      <w:r>
        <w:t xml:space="preserve">En un estudio de fase 3 con 330 personas con esclerosis lateral amiotrófica, el IGF-1 no mostró a lo largo de dos años ninguna diferencia frente a placebo, ni en la fuerza muscular ni en la supervivencia sin traqueotomía (Sorenson 2008, PMID 19029516).</w:t>
      </w:r>
    </w:p>
    <w:p>
      <w:pPr>
        <w:numPr>
          <w:ilvl w:val="0"/>
          <w:numId w:val="1175"/>
        </w:numPr>
        <w:pStyle w:val="Compact"/>
      </w:pPr>
      <w:r>
        <w:rPr>
          <w:bCs/>
          <w:b/>
        </w:rPr>
        <w:t xml:space="preserve">Distrofia muscular de Duchenne:</w:t>
      </w:r>
      <w:r>
        <w:t xml:space="preserve"> </w:t>
      </w:r>
      <w:r>
        <w:t xml:space="preserve">En 17 niños tratados frente a 21 controles, los niños crecieron más rápido durante seis meses (6,5 frente a 3,3 cm al año), pero la distancia recorrida en la prueba de 6 minutos no cambió (Rutter 2020, PMID 32108355).</w:t>
      </w:r>
    </w:p>
    <w:p>
      <w:pPr>
        <w:numPr>
          <w:ilvl w:val="0"/>
          <w:numId w:val="1175"/>
        </w:numPr>
        <w:pStyle w:val="Compact"/>
      </w:pPr>
      <w:r>
        <w:rPr>
          <w:bCs/>
          <w:b/>
        </w:rPr>
        <w:t xml:space="preserve">Síndrome de Rett:</w:t>
      </w:r>
      <w:r>
        <w:t xml:space="preserve"> </w:t>
      </w:r>
      <w:r>
        <w:t xml:space="preserve">Una revisión sistemática describe indicios de conservación de capacidades sociales y cognitivas, pero con resultados heterogéneos, y reclama estudios más amplios (Ribeiro 2025, PMID 41174329).</w:t>
      </w:r>
    </w:p>
    <w:p>
      <w:pPr>
        <w:numPr>
          <w:ilvl w:val="0"/>
          <w:numId w:val="1175"/>
        </w:numPr>
        <w:pStyle w:val="Compact"/>
      </w:pPr>
      <w:r>
        <w:rPr>
          <w:bCs/>
          <w:b/>
        </w:rPr>
        <w:t xml:space="preserve">Prematuros:</w:t>
      </w:r>
      <w:r>
        <w:t xml:space="preserve"> </w:t>
      </w:r>
      <w:r>
        <w:t xml:space="preserve">El IGF-1 junto con su proteína de unión IGFBP-3 no previno en 121 prematuros extremos la retinopatía del prematuro, pero redujo la displasia broncopulmonar grave (21,3 % frente a 44,9 %). Se produjeron acontecimientos graves mortales en el 19,7 % de los niños tratados y en el 11,7 % de los controles (Ley 2019, PMID 30471715). Hay en curso un estudio de seguimiento sobre el desarrollo pulmonar (NCT03253263).</w:t>
      </w:r>
    </w:p>
    <w:p>
      <w:pPr>
        <w:numPr>
          <w:ilvl w:val="0"/>
          <w:numId w:val="1175"/>
        </w:numPr>
        <w:pStyle w:val="Compact"/>
      </w:pPr>
      <w:r>
        <w:rPr>
          <w:bCs/>
          <w:b/>
        </w:rPr>
        <w:t xml:space="preserve">Anorexia:</w:t>
      </w:r>
      <w:r>
        <w:t xml:space="preserve"> </w:t>
      </w:r>
      <w:r>
        <w:t xml:space="preserve">En 90 mujeres con anorexia nerviosa, un tratamiento de seis meses con IGF-1, seguido de un medicamento para el hueso, aumentó la densidad ósea de la columna más que el placebo (Haines 2021, PMID 34355814).</w:t>
      </w:r>
    </w:p>
    <w:p>
      <w:pPr>
        <w:numPr>
          <w:ilvl w:val="0"/>
          <w:numId w:val="1175"/>
        </w:numPr>
        <w:pStyle w:val="Compact"/>
      </w:pPr>
      <w:r>
        <w:rPr>
          <w:bCs/>
          <w:b/>
        </w:rPr>
        <w:t xml:space="preserve">Adultos con síndrome de Laron:</w:t>
      </w:r>
      <w:r>
        <w:t xml:space="preserve"> </w:t>
      </w:r>
      <w:r>
        <w:t xml:space="preserve">En diez adultos, tras ocho semanas de IGF-1, la proporción de grasa disminuyó y la masa magra aumentó (Mauras 2000, PMID 10999782).</w:t>
      </w:r>
    </w:p>
    <w:p>
      <w:pPr>
        <w:numPr>
          <w:ilvl w:val="0"/>
          <w:numId w:val="1175"/>
        </w:numPr>
        <w:pStyle w:val="Compact"/>
      </w:pPr>
      <w:r>
        <w:rPr>
          <w:bCs/>
          <w:b/>
        </w:rPr>
        <w:t xml:space="preserve">Deportistas:</w:t>
      </w:r>
      <w:r>
        <w:t xml:space="preserve"> </w:t>
      </w:r>
      <w:r>
        <w:t xml:space="preserve">En un estudio aleatorizado y doble ciego con 56 deportistas aficionados durante 28 días, con IGF-1/IGFBP-3 cambiaron los lípidos en sangre y los valores de insulina (Guha 2021, PMID 33249593). Este estudio no aporta datos de rendimiento.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Estudio a largo plazo (Chernausek 2007), PMID 17192294</w:t>
            </w:r>
          </w:p>
        </w:tc>
        <w:tc>
          <w:tcPr/>
          <w:p>
            <w:pPr>
              <w:pStyle w:val="Compact"/>
              <w:jc w:val="left"/>
            </w:pPr>
            <w:r>
              <w:t xml:space="preserve">76 niños con resistencia a la GH, mayoritariamente abierto</w:t>
            </w:r>
          </w:p>
        </w:tc>
        <w:tc>
          <w:tcPr/>
          <w:p>
            <w:pPr>
              <w:pStyle w:val="Compact"/>
              <w:jc w:val="left"/>
            </w:pPr>
            <w:r>
              <w:t xml:space="preserve">hasta 12 años</w:t>
            </w:r>
          </w:p>
        </w:tc>
        <w:tc>
          <w:tcPr/>
          <w:p>
            <w:pPr>
              <w:pStyle w:val="Compact"/>
              <w:jc w:val="left"/>
            </w:pPr>
            <w:r>
              <w:t xml:space="preserve">crecimiento 2,8 → 8,0 cm/año en el 1.er año; hipoglucemia en el 49 %</w:t>
            </w:r>
          </w:p>
        </w:tc>
      </w:tr>
      <w:tr>
        <w:tc>
          <w:tcPr/>
          <w:p>
            <w:pPr>
              <w:pStyle w:val="Compact"/>
              <w:jc w:val="left"/>
            </w:pPr>
            <w:r>
              <w:t xml:space="preserve">Registro (Bang 2021), PMID 33434161</w:t>
            </w:r>
          </w:p>
        </w:tc>
        <w:tc>
          <w:tcPr/>
          <w:p>
            <w:pPr>
              <w:pStyle w:val="Compact"/>
              <w:jc w:val="left"/>
            </w:pPr>
            <w:r>
              <w:t xml:space="preserve">242 niños, 138 de ellos prepúberes no tratados; observacional</w:t>
            </w:r>
          </w:p>
        </w:tc>
        <w:tc>
          <w:tcPr/>
          <w:p>
            <w:pPr>
              <w:pStyle w:val="Compact"/>
              <w:jc w:val="left"/>
            </w:pPr>
            <w:r>
              <w:t xml:space="preserve">hasta 5 años</w:t>
            </w:r>
          </w:p>
        </w:tc>
        <w:tc>
          <w:tcPr/>
          <w:p>
            <w:pPr>
              <w:pStyle w:val="Compact"/>
              <w:jc w:val="left"/>
            </w:pPr>
            <w:r>
              <w:t xml:space="preserve">aumento de talla; 65,3 % con efectos adversos</w:t>
            </w:r>
          </w:p>
        </w:tc>
      </w:tr>
      <w:tr>
        <w:tc>
          <w:tcPr/>
          <w:p>
            <w:pPr>
              <w:pStyle w:val="Compact"/>
              <w:jc w:val="left"/>
            </w:pPr>
            <w:r>
              <w:t xml:space="preserve">Registro, talla final (Ramon-Krauel 2026), PMID 40626687</w:t>
            </w:r>
          </w:p>
        </w:tc>
        <w:tc>
          <w:tcPr/>
          <w:p>
            <w:pPr>
              <w:pStyle w:val="Compact"/>
              <w:jc w:val="left"/>
            </w:pPr>
            <w:r>
              <w:t xml:space="preserve">102 adolescentes con talla final casi alcanzada</w:t>
            </w:r>
          </w:p>
        </w:tc>
        <w:tc>
          <w:tcPr/>
          <w:p>
            <w:pPr>
              <w:pStyle w:val="Compact"/>
              <w:jc w:val="left"/>
            </w:pPr>
            <w:r>
              <w:t xml:space="preserve">mediana 3,9 años</w:t>
            </w:r>
          </w:p>
        </w:tc>
        <w:tc>
          <w:tcPr/>
          <w:p>
            <w:pPr>
              <w:pStyle w:val="Compact"/>
              <w:jc w:val="left"/>
            </w:pPr>
            <w:r>
              <w:t xml:space="preserve">+0,9 DE (tratamiento precoz +1,4 DE)</w:t>
            </w:r>
          </w:p>
        </w:tc>
      </w:tr>
      <w:tr>
        <w:tc>
          <w:tcPr/>
          <w:p>
            <w:pPr>
              <w:pStyle w:val="Compact"/>
              <w:jc w:val="left"/>
            </w:pPr>
            <w:r>
              <w:t xml:space="preserve">ELA (Sorenson 2008), PMID 19029516</w:t>
            </w:r>
          </w:p>
        </w:tc>
        <w:tc>
          <w:tcPr/>
          <w:p>
            <w:pPr>
              <w:pStyle w:val="Compact"/>
              <w:jc w:val="left"/>
            </w:pPr>
            <w:r>
              <w:t xml:space="preserve">330 personas con ELA, ECA frente a placebo</w:t>
            </w:r>
          </w:p>
        </w:tc>
        <w:tc>
          <w:tcPr/>
          <w:p>
            <w:pPr>
              <w:pStyle w:val="Compact"/>
              <w:jc w:val="left"/>
            </w:pPr>
            <w:r>
              <w:t xml:space="preserve">2 años</w:t>
            </w:r>
          </w:p>
        </w:tc>
        <w:tc>
          <w:tcPr/>
          <w:p>
            <w:pPr>
              <w:pStyle w:val="Compact"/>
              <w:jc w:val="left"/>
            </w:pPr>
            <w:r>
              <w:t xml:space="preserve">sin beneficio</w:t>
            </w:r>
          </w:p>
        </w:tc>
      </w:tr>
      <w:tr>
        <w:tc>
          <w:tcPr/>
          <w:p>
            <w:pPr>
              <w:pStyle w:val="Compact"/>
              <w:jc w:val="left"/>
            </w:pPr>
            <w:r>
              <w:t xml:space="preserve">Prematuros (Ley 2019), PMID 30471715</w:t>
            </w:r>
          </w:p>
        </w:tc>
        <w:tc>
          <w:tcPr/>
          <w:p>
            <w:pPr>
              <w:pStyle w:val="Compact"/>
              <w:jc w:val="left"/>
            </w:pPr>
            <w:r>
              <w:t xml:space="preserve">121 prematuros extremos, ECA frente a tratamiento estándar</w:t>
            </w:r>
          </w:p>
        </w:tc>
        <w:tc>
          <w:tcPr/>
          <w:p>
            <w:pPr>
              <w:pStyle w:val="Compact"/>
              <w:jc w:val="left"/>
            </w:pPr>
            <w:r>
              <w:t xml:space="preserve">hasta la semana 40</w:t>
            </w:r>
          </w:p>
        </w:tc>
        <w:tc>
          <w:tcPr/>
          <w:p>
            <w:pPr>
              <w:pStyle w:val="Compact"/>
              <w:jc w:val="left"/>
            </w:pPr>
            <w:r>
              <w:t xml:space="preserve">sin efecto en la retina; menos DBP grave</w:t>
            </w:r>
          </w:p>
        </w:tc>
      </w:tr>
    </w:tbl>
    <w:bookmarkEnd w:id="563"/>
    <w:bookmarkEnd w:id="564"/>
    <w:bookmarkStart w:id="565" w:name="estudios-en-animales-y-de-laboratorio-31"/>
    <w:p>
      <w:pPr>
        <w:pStyle w:val="Heading3"/>
      </w:pPr>
      <w:r>
        <w:t xml:space="preserve">Estudios en animales y de laboratorio</w:t>
      </w:r>
    </w:p>
    <w:p>
      <w:pPr>
        <w:pStyle w:val="FirstParagraph"/>
      </w:pPr>
      <w:r>
        <w:t xml:space="preserve">Los efectos del IGF-1 sobre el crecimiento, el músculo y el metabolismo se han estudiado de forma muy amplia en estudios con animales y células y constituyen la base del tratamiento. Para la cuestión de la seguridad son importantes los experimentos celulares con suero sanguíneo de personas con síndrome de Laron: las células tratadas con este suero pobre en IGF-1 y expuestas después a estrés oxidativo presentaban menos roturas del ADN, y las células dañadas morían con más frecuencia (Guevara-Aguirre 2011, PMID 21325617). Al añadir IGF-1 al suero, estas diferencias desaparecían (Guevara-Aguirre 2015, PMID 25316432). Es decir, el IGF-1 tiende a mantener con vida también las células dañadas, un posible mecanismo de riesgo de cáncer.</w:t>
      </w:r>
    </w:p>
    <w:bookmarkEnd w:id="565"/>
    <w:bookmarkStart w:id="566" w:name="riesgos-y-efectos-adversos-31"/>
    <w:p>
      <w:pPr>
        <w:pStyle w:val="Heading3"/>
      </w:pPr>
      <w:r>
        <w:t xml:space="preserve">Riesgos y efectos adversos</w:t>
      </w:r>
    </w:p>
    <w:p>
      <w:pPr>
        <w:pStyle w:val="FirstParagraph"/>
      </w:pPr>
      <w:r>
        <w:rPr>
          <w:bCs/>
          <w:b/>
        </w:rPr>
        <w:t xml:space="preserve">Demostrado:</w:t>
      </w:r>
    </w:p>
    <w:p>
      <w:pPr>
        <w:numPr>
          <w:ilvl w:val="0"/>
          <w:numId w:val="1176"/>
        </w:numPr>
        <w:pStyle w:val="Compact"/>
      </w:pPr>
      <w:r>
        <w:rPr>
          <w:bCs/>
          <w:b/>
        </w:rPr>
        <w:t xml:space="preserve">Hipoglucemia (bajada de azúcar):</w:t>
      </w:r>
      <w:r>
        <w:t xml:space="preserve"> </w:t>
      </w:r>
      <w:r>
        <w:t xml:space="preserve">el efecto adverso más frecuente e importante, sobre todo en niños pequeños, en el síndrome de Laron y tras hipoglucemias previas (Chernausek 2007, PMID 17192294; Bang 2023, PMID 37579214). Por ello, la ficha técnica prescribe una estrecha relación temporal con las comidas; los detalles los regula ella misma.</w:t>
      </w:r>
    </w:p>
    <w:p>
      <w:pPr>
        <w:numPr>
          <w:ilvl w:val="0"/>
          <w:numId w:val="1176"/>
        </w:numPr>
        <w:pStyle w:val="Compact"/>
      </w:pPr>
      <w:r>
        <w:rPr>
          <w:bCs/>
          <w:b/>
        </w:rPr>
        <w:t xml:space="preserve">Aumento de tamaño de las amígdalas y las vegetaciones</w:t>
      </w:r>
      <w:r>
        <w:t xml:space="preserve"> </w:t>
      </w:r>
      <w:r>
        <w:t xml:space="preserve">(22 %) y alteraciones del tejido adiposo en el lugar de inyección (32 %) (Chernausek 2007, PMID 17192294).</w:t>
      </w:r>
    </w:p>
    <w:p>
      <w:pPr>
        <w:numPr>
          <w:ilvl w:val="0"/>
          <w:numId w:val="1176"/>
        </w:numPr>
        <w:pStyle w:val="Compact"/>
      </w:pPr>
      <w:r>
        <w:t xml:space="preserve">En el estudio con prematuros, con IGF-1/IGFBP-3 se produjeron numéricamente más acontecimientos graves mortales que con el tratamiento estándar (Ley 2019, PMID 30471715); el estudio no estaba diseñado para valorar esta diferencia.</w:t>
      </w:r>
    </w:p>
    <w:p>
      <w:pPr>
        <w:pStyle w:val="FirstParagraph"/>
      </w:pPr>
      <w:r>
        <w:rPr>
          <w:bCs/>
          <w:b/>
        </w:rPr>
        <w:t xml:space="preserve">Riesgo de cáncer: qué está demostrado y qué no:</w:t>
      </w:r>
    </w:p>
    <w:p>
      <w:pPr>
        <w:pStyle w:val="BodyText"/>
      </w:pPr>
      <w:r>
        <w:t xml:space="preserve">El IGF-1 es una señal de crecimiento y supervivencia para las células. La preocupación de que más IGF-1 aumente el riesgo de cáncer es, por tanto, biológicamente plausible y está respaldada por varios tipos de hallazgos:</w:t>
      </w:r>
    </w:p>
    <w:p>
      <w:pPr>
        <w:numPr>
          <w:ilvl w:val="0"/>
          <w:numId w:val="1177"/>
        </w:numPr>
        <w:pStyle w:val="Compact"/>
      </w:pPr>
      <w:r>
        <w:rPr>
          <w:iCs/>
          <w:i/>
        </w:rPr>
        <w:t xml:space="preserve">Estudios observacionales:</w:t>
      </w:r>
      <w:r>
        <w:t xml:space="preserve"> </w:t>
      </w:r>
      <w:r>
        <w:t xml:space="preserve">Las personas con niveles más altos de IGF-1 en sangre padecen con algo más de frecuencia cáncer de próstata y cáncer de mama antes de la menopausia (Renehan 2004, PMID 15110491). En el UK Biobank, cada aumento de 5 nmol/l se asoció a un riesgo de cáncer de mama un 11 % mayor (Murphy 2020, PMID 32169310); se observan relaciones similares para el cáncer colorrectal (Murphy 2020, PMID 31884074) y el cáncer de próstata (Watts 2023, PMID 35726641).</w:t>
      </w:r>
    </w:p>
    <w:p>
      <w:pPr>
        <w:numPr>
          <w:ilvl w:val="0"/>
          <w:numId w:val="1177"/>
        </w:numPr>
        <w:pStyle w:val="Compact"/>
      </w:pPr>
      <w:r>
        <w:rPr>
          <w:iCs/>
          <w:i/>
        </w:rPr>
        <w:t xml:space="preserve">Análisis genéticos (aleatorización mendeliana):</w:t>
      </w:r>
      <w:r>
        <w:t xml:space="preserve"> </w:t>
      </w:r>
      <w:r>
        <w:t xml:space="preserve">También las personas con niveles de IGF-1 más altos por causas genéticas padecen con algo más de frecuencia cáncer de mama y colorrectal, un indicio de que la relación podría ser causal (Murphy 2020, PMID 32169310; Murphy 2020, PMID 31884074).</w:t>
      </w:r>
    </w:p>
    <w:p>
      <w:pPr>
        <w:numPr>
          <w:ilvl w:val="0"/>
          <w:numId w:val="1177"/>
        </w:numPr>
        <w:pStyle w:val="Compact"/>
      </w:pPr>
      <w:r>
        <w:rPr>
          <w:iCs/>
          <w:i/>
        </w:rPr>
        <w:t xml:space="preserve">La imagen opuesta:</w:t>
      </w:r>
      <w:r>
        <w:t xml:space="preserve"> </w:t>
      </w:r>
      <w:r>
        <w:t xml:space="preserve">En un grupo ecuatoriano con síndrome de Laron, es decir, con déficit de IGF-1 de por vida, a lo largo de 22 años de observación solo se produjo un único cáncer, no mortal, frente al 17 % en familiares no afectados (Guevara-Aguirre 2011, PMID 21325617).</w:t>
      </w:r>
    </w:p>
    <w:p>
      <w:pPr>
        <w:pStyle w:val="FirstParagraph"/>
      </w:pPr>
      <w:r>
        <w:t xml:space="preserve">Lo importante es la magnitud: los aumentos de riesgo medidos con un IGF-1 naturalmente más alto son moderados (según la comparación y el tipo de cáncer, en su mayoría entre aproximadamente un 5 y un 65 % en términos relativos). En los niños para los que está autorizada la mecasermina se sustituye una hormona ausente, no se eleva en exceso un nivel normal. Aun así, tras la comercialización se notificaron casos de neoplasias benignas y malignas en niños tratados; la ficha técnica en la UE y EE. UU. se completó a raíz de ello con las correspondientes advertencias, y la mecasermina no debe utilizarse en caso de cáncer activo o sospechado (situación en 2026; para más detalles, véase la ficha técnica actual). Si existe una relación causal no puede aclararse a partir de notificaciones aisladas; el registro a largo plazo (NCT00903110) debe aportar datos al respecto.</w:t>
      </w:r>
    </w:p>
    <w:p>
      <w:pPr>
        <w:pStyle w:val="BodyText"/>
      </w:pPr>
      <w:r>
        <w:t xml:space="preserve">Para los adultos que usan IGF-1 sin déficit con el fin de mejorar el rendimiento o «rejuvenecer», estas consideraciones deben tomarse mucho más en serio: en ese caso se elevaría de forma continuada un nivel normal, justo la situación que en los estudios observacionales se asocia a un riesgo mayor. El tema se trata en detalle en la Parte IV.</w:t>
      </w:r>
    </w:p>
    <w:bookmarkEnd w:id="566"/>
    <w:bookmarkStart w:id="567" w:name="situación-legal-31"/>
    <w:p>
      <w:pPr>
        <w:pStyle w:val="Heading3"/>
      </w:pPr>
      <w:r>
        <w:t xml:space="preserve">Situación legal</w:t>
      </w:r>
    </w:p>
    <w:p>
      <w:pPr>
        <w:pStyle w:val="FirstParagraph"/>
      </w:pPr>
      <w:r>
        <w:rPr>
          <w:iCs/>
          <w:i/>
        </w:rPr>
        <w:t xml:space="preserve">Situación en 2026; compruebe la información actualizada.</w:t>
      </w:r>
    </w:p>
    <w:p>
      <w:pPr>
        <w:numPr>
          <w:ilvl w:val="0"/>
          <w:numId w:val="1178"/>
        </w:numPr>
        <w:pStyle w:val="Compact"/>
      </w:pPr>
      <w:r>
        <w:rPr>
          <w:bCs/>
          <w:b/>
        </w:rPr>
        <w:t xml:space="preserve">UE, Alemania, Austria:</w:t>
      </w:r>
      <w:r>
        <w:t xml:space="preserve"> </w:t>
      </w:r>
      <w:r>
        <w:t xml:space="preserve">autorizada (Increlex) exclusivamente para niños y adolescentes con déficit primario grave de IGF-1; con receta, tratamiento por médicas y médicos con experiencia en endocrinología pediátrica según la ficha técnica. La autorización de la UE está vinculada a la recogida de datos en el registro a largo plazo (Saavedra 2026, PMID 42341624).</w:t>
      </w:r>
    </w:p>
    <w:p>
      <w:pPr>
        <w:numPr>
          <w:ilvl w:val="0"/>
          <w:numId w:val="1178"/>
        </w:numPr>
        <w:pStyle w:val="Compact"/>
      </w:pPr>
      <w:r>
        <w:rPr>
          <w:bCs/>
          <w:b/>
        </w:rPr>
        <w:t xml:space="preserve">EE. UU.:</w:t>
      </w:r>
      <w:r>
        <w:t xml:space="preserve"> </w:t>
      </w:r>
      <w:r>
        <w:t xml:space="preserve">autorizada (Increlex) para la misma indicación.</w:t>
      </w:r>
    </w:p>
    <w:p>
      <w:pPr>
        <w:numPr>
          <w:ilvl w:val="0"/>
          <w:numId w:val="1178"/>
        </w:numPr>
        <w:pStyle w:val="Compact"/>
      </w:pPr>
      <w:r>
        <w:rPr>
          <w:bCs/>
          <w:b/>
        </w:rPr>
        <w:t xml:space="preserve">Otras aplicaciones</w:t>
      </w:r>
      <w:r>
        <w:t xml:space="preserve"> </w:t>
      </w:r>
      <w:r>
        <w:t xml:space="preserve">(adultos, deporte, antienvejecimiento) no están autorizadas.</w:t>
      </w:r>
    </w:p>
    <w:p>
      <w:pPr>
        <w:numPr>
          <w:ilvl w:val="0"/>
          <w:numId w:val="1178"/>
        </w:numPr>
        <w:pStyle w:val="Compact"/>
      </w:pPr>
      <w:r>
        <w:rPr>
          <w:bCs/>
          <w:b/>
        </w:rPr>
        <w:t xml:space="preserve">WADA:</w:t>
      </w:r>
      <w:r>
        <w:t xml:space="preserve"> </w:t>
      </w:r>
      <w:r>
        <w:t xml:space="preserve">prohibida (S2). Para detectar el abuso de IGF-1 se están desarrollando métodos basados en marcadores, similares a los de la prueba de la hormona del crecimiento (Guha 2013, PMID 23934394).</w:t>
      </w:r>
    </w:p>
    <w:bookmarkEnd w:id="567"/>
    <w:bookmarkStart w:id="568" w:name="estudios-en-curso-y-perspectivas-31"/>
    <w:p>
      <w:pPr>
        <w:pStyle w:val="Heading3"/>
      </w:pPr>
      <w:r>
        <w:t xml:space="preserve">Estudios en curso y perspectivas</w:t>
      </w:r>
    </w:p>
    <w:p>
      <w:pPr>
        <w:pStyle w:val="FirstParagraph"/>
      </w:pPr>
      <w:r>
        <w:rPr>
          <w:iCs/>
          <w:i/>
        </w:rPr>
        <w:t xml:space="preserve">Confirmado:</w:t>
      </w:r>
      <w:r>
        <w:t xml:space="preserve"> </w:t>
      </w:r>
      <w:r>
        <w:t xml:space="preserve">El registro mundial de Increlex (NCT00903110) se prolonga, según su entrada, hasta finales de 2027. Un estudio de fase 2 con IGF-1/IGFBP-3 para la prevención de la displasia broncopulmonar en prematuros extremos (NCT03253263, 295 niños) está activo, pero ya no recluta.</w:t>
      </w:r>
      <w:r>
        <w:t xml:space="preserve"> </w:t>
      </w:r>
      <w:r>
        <w:rPr>
          <w:iCs/>
          <w:i/>
        </w:rPr>
        <w:t xml:space="preserve">Valoración del autor:</w:t>
      </w:r>
      <w:r>
        <w:t xml:space="preserve"> </w:t>
      </w:r>
      <w:r>
        <w:t xml:space="preserve">No se vislumbran nuevas autorizaciones para adultos; la importancia de la mecasermina seguirá limitada a trastornos del crecimiento poco frecuentes y, en su caso, a la medicina de los prematuros.</w:t>
      </w:r>
    </w:p>
    <w:bookmarkEnd w:id="568"/>
    <w:bookmarkStart w:id="569" w:name="conclusión-31"/>
    <w:p>
      <w:pPr>
        <w:pStyle w:val="Heading3"/>
      </w:pPr>
      <w:r>
        <w:t xml:space="preserve">Conclusión</w:t>
      </w:r>
    </w:p>
    <w:p>
      <w:pPr>
        <w:pStyle w:val="FirstParagraph"/>
      </w:pPr>
      <w:r>
        <w:t xml:space="preserve">La mecasermina sustituye el IGF-1 que falta en niños con déficit primario grave de IGF-1 y mejora claramente su crecimiento, sobre todo cuando el tratamiento se inicia de forma precoz. El efecto adverso más frecuente es la hipoglucemia; tras notificaciones de neoplasias, se endurecieron las advertencias. En otras aplicaciones, por ejemplo en la ELA, el IGF-1 no aportó ningún beneficio. En personas sanas, su uso no está demostrado ni es justificable, porque un IGF-1 elevado de forma continuada se asocia en grandes estudios observacionales y genéticos a un riesgo de cáncer algo mayor.</w:t>
      </w:r>
    </w:p>
    <w:bookmarkEnd w:id="569"/>
    <w:bookmarkEnd w:id="570"/>
    <w:bookmarkStart w:id="579" w:name="igf-1-lr3"/>
    <w:p>
      <w:pPr>
        <w:pStyle w:val="Heading2"/>
      </w:pPr>
      <w:r>
        <w:t xml:space="preserve">IGF-1 LR3</w:t>
      </w:r>
    </w:p>
    <w:p>
      <w:pPr>
        <w:pStyle w:val="FirstParagraph"/>
      </w:pPr>
      <w:r>
        <w:t xml:space="preserve">El IGF-1 LR3 (en forma completa «Long-R3-IGF-I») no es un medicamento, sino un reactivo de laboratorio. Se desarrolló para que los cultivos celulares crecieran mejor en biotecnología y se emplea en experimentos con animales. Que se venda en internet en viales para inyección es un ejemplo paradigmático del mercado de los «research peptides»: una sustancia que nunca estuvo pensada para personas, nunca se probó en personas y cuyas propiedades refuerzan precisamente los riesgos que preocupan en el caso del IGF-1 natural.</w:t>
      </w:r>
    </w:p>
    <w:bookmarkStart w:id="571" w:name="ficha-32"/>
    <w:p>
      <w:pPr>
        <w:pStyle w:val="Heading3"/>
      </w:pPr>
      <w:r>
        <w:t xml:space="preserve">Ficha</w:t>
      </w:r>
    </w:p>
    <w:p>
      <w:pPr>
        <w:numPr>
          <w:ilvl w:val="0"/>
          <w:numId w:val="1179"/>
        </w:numPr>
        <w:pStyle w:val="Compact"/>
      </w:pPr>
      <w:r>
        <w:rPr>
          <w:bCs/>
          <w:b/>
        </w:rPr>
        <w:t xml:space="preserve">Tipo y estructura:</w:t>
      </w:r>
      <w:r>
        <w:t xml:space="preserve"> </w:t>
      </w:r>
      <w:r>
        <w:t xml:space="preserve">IGF-1 humano modificado: en la posición 3 se encuentra el aminoácido arginina («R3») y al principio se añadió una cadena adicional de aminoácidos («Long»). Ambas modificaciones reducen fuertemente la unión a las proteínas de unión de IGF (Bastian 1993, PMID 7693845; Tomas 1993, PMID 7683875).</w:t>
      </w:r>
    </w:p>
    <w:p>
      <w:pPr>
        <w:numPr>
          <w:ilvl w:val="0"/>
          <w:numId w:val="1179"/>
        </w:numPr>
        <w:pStyle w:val="Compact"/>
      </w:pPr>
      <w:r>
        <w:rPr>
          <w:bCs/>
          <w:b/>
        </w:rPr>
        <w:t xml:space="preserve">Origen:</w:t>
      </w:r>
      <w:r>
        <w:t xml:space="preserve"> </w:t>
      </w:r>
      <w:r>
        <w:t xml:space="preserve">descrito a principios de la década de 1990 como herramienta de investigación; hoy disponible comercialmente como aditivo para medios de cultivo celular.</w:t>
      </w:r>
    </w:p>
    <w:p>
      <w:pPr>
        <w:numPr>
          <w:ilvl w:val="0"/>
          <w:numId w:val="1179"/>
        </w:numPr>
        <w:pStyle w:val="Compact"/>
      </w:pPr>
      <w:r>
        <w:rPr>
          <w:bCs/>
          <w:b/>
        </w:rPr>
        <w:t xml:space="preserve">Mecanismo de acción:</w:t>
      </w:r>
      <w:r>
        <w:t xml:space="preserve"> </w:t>
      </w:r>
      <w:r>
        <w:t xml:space="preserve">se une, como el IGF-1, al receptor de IGF-1; como apenas es captado por las proteínas de unión, en la sangre se encuentra mayoritariamente en forma libre y, por tanto, directamente activa.</w:t>
      </w:r>
    </w:p>
    <w:p>
      <w:pPr>
        <w:numPr>
          <w:ilvl w:val="0"/>
          <w:numId w:val="1179"/>
        </w:numPr>
        <w:pStyle w:val="Compact"/>
      </w:pPr>
      <w:r>
        <w:rPr>
          <w:bCs/>
          <w:b/>
        </w:rPr>
        <w:t xml:space="preserve">Autorización UE:</w:t>
      </w:r>
      <w:r>
        <w:t xml:space="preserve"> </w:t>
      </w:r>
      <w:r>
        <w:t xml:space="preserve">no.</w:t>
      </w:r>
      <w:r>
        <w:t xml:space="preserve"> </w:t>
      </w:r>
      <w:r>
        <w:rPr>
          <w:bCs/>
          <w:b/>
        </w:rPr>
        <w:t xml:space="preserve">Autorización EE. UU.:</w:t>
      </w:r>
      <w:r>
        <w:t xml:space="preserve"> </w:t>
      </w:r>
      <w:r>
        <w:t xml:space="preserve">no. No está autorizado como medicamento en ningún lugar ni se ha solicitado nunca.</w:t>
      </w:r>
    </w:p>
    <w:p>
      <w:pPr>
        <w:numPr>
          <w:ilvl w:val="0"/>
          <w:numId w:val="1179"/>
        </w:numPr>
        <w:pStyle w:val="Compact"/>
      </w:pPr>
      <w:r>
        <w:rPr>
          <w:bCs/>
          <w:b/>
        </w:rPr>
        <w:t xml:space="preserve">WADA:</w:t>
      </w:r>
      <w:r>
        <w:t xml:space="preserve"> </w:t>
      </w:r>
      <w:r>
        <w:t xml:space="preserve">prohibido, grupo S2 (análogos del IGF-1 como factores de crecimiento).</w:t>
      </w:r>
    </w:p>
    <w:p>
      <w:pPr>
        <w:numPr>
          <w:ilvl w:val="0"/>
          <w:numId w:val="1179"/>
        </w:numPr>
        <w:pStyle w:val="Compact"/>
      </w:pPr>
      <w:r>
        <w:rPr>
          <w:bCs/>
          <w:b/>
        </w:rPr>
        <w:t xml:space="preserve">Nivel de evidencia: D</w:t>
      </w:r>
      <w:r>
        <w:t xml:space="preserve"> </w:t>
      </w:r>
      <w:r>
        <w:t xml:space="preserve">– ni un solo estudio en humanos; solo estudios en animales y de laboratorio.</w:t>
      </w:r>
    </w:p>
    <w:bookmarkEnd w:id="571"/>
    <w:bookmarkStart w:id="572" w:name="cómo-se-supone-que-actúa-32"/>
    <w:p>
      <w:pPr>
        <w:pStyle w:val="Heading3"/>
      </w:pPr>
      <w:r>
        <w:t xml:space="preserve">Cómo se supone que actúa</w:t>
      </w:r>
    </w:p>
    <w:p>
      <w:pPr>
        <w:pStyle w:val="FirstParagraph"/>
      </w:pPr>
      <w:r>
        <w:t xml:space="preserve">En la sangre, casi todo el IGF-1 está unido a proteínas de unión, sobre todo a la IGFBP-3. Estas proteínas actúan como un amortiguador: prolongan la vida del IGF-1, pero también lo mantienen alejado de las células y atenúan así su efecto. En experimentos celulares, la IGFBP-3 inhibió la activación del receptor de IGF-1 por el IGF-1 y también por el Long-R3-IGF-I, al captar estos mensajeros (Devi 2001, PMID 11735239).</w:t>
      </w:r>
    </w:p>
    <w:p>
      <w:pPr>
        <w:pStyle w:val="BodyText"/>
      </w:pPr>
      <w:r>
        <w:t xml:space="preserve">El LR3 se modificó de modo que escapara en gran medida a este amortiguador. En ratas se encontraba en la sangre mayoritariamente como péptido libre y –en animales no gestantes– se eliminaba de la sangre unas diez veces más rápido que el IGF-1; es decir, desaparece rápidamente hacia los tejidos (Bastian 1993, PMID 7693845). En ratas diabéticas fue entre 2,5 y 3 veces más eficaz que el IGF-1 para restablecer el crecimiento (Tomas 1993, PMID 7683875). En el mercado gris se deriva de ello la expectativa de que el LR3 desarrolle en el ser humano más músculo que el IGF-1 natural. No hay pruebas de ello.</w:t>
      </w:r>
    </w:p>
    <w:bookmarkEnd w:id="572"/>
    <w:bookmarkStart w:id="573" w:name="estudios-en-humanos-32"/>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w:t>
      </w:r>
      <w:r>
        <w:t xml:space="preserve"> </w:t>
      </w:r>
      <w:r>
        <w:rPr>
          <w:bCs/>
          <w:b/>
        </w:rPr>
        <w:t xml:space="preserve">no</w:t>
      </w:r>
      <w:r>
        <w:t xml:space="preserve"> </w:t>
      </w:r>
      <w:r>
        <w:t xml:space="preserve">encontró ningún estudio en humanos en PubMed (</w:t>
      </w:r>
      <w:r>
        <w:rPr>
          <w:rStyle w:val="VerbatimChar"/>
        </w:rPr>
        <w:t xml:space="preserve">humanstudien_alle</w:t>
      </w:r>
      <w:r>
        <w:t xml:space="preserve">: 0) ni</w:t>
      </w:r>
      <w:r>
        <w:t xml:space="preserve"> </w:t>
      </w:r>
      <w:r>
        <w:rPr>
          <w:bCs/>
          <w:b/>
        </w:rPr>
        <w:t xml:space="preserve">ninguna</w:t>
      </w:r>
      <w:r>
        <w:t xml:space="preserve"> </w:t>
      </w:r>
      <w:r>
        <w:t xml:space="preserve">entrada en ClinicalTrials.gov. Tampoco una búsqueda específica adicional de estudios piloto, informes de casos de intoxicaciones o efectos adversos dio con ninguna publicación en la que personas hubieran recibido IGF-1 LR3.</w:t>
      </w:r>
    </w:p>
    <w:p>
      <w:pPr>
        <w:pStyle w:val="BodyText"/>
      </w:pPr>
      <w:r>
        <w:t xml:space="preserve">Solo se encontró lo siguiente:</w:t>
      </w:r>
    </w:p>
    <w:p>
      <w:pPr>
        <w:numPr>
          <w:ilvl w:val="0"/>
          <w:numId w:val="1180"/>
        </w:numPr>
        <w:pStyle w:val="Compact"/>
      </w:pPr>
      <w:r>
        <w:rPr>
          <w:bCs/>
          <w:b/>
        </w:rPr>
        <w:t xml:space="preserve">Análisis del mercado gris:</w:t>
      </w:r>
      <w:r>
        <w:t xml:space="preserve"> </w:t>
      </w:r>
      <w:r>
        <w:t xml:space="preserve">Un laboratorio antidopaje encontró en un vial inyectable del mercado negro Long-R3-IGF-I con una llamada etiqueta His (His-tag), un apéndice de seis componentes de histidina que se utiliza en la fabricación de proteínas de laboratorio para su purificación. Los autores suponen que se trataba de un subproducto de la investigación bioquímica, no de un preparado fabricado para inyección; el efecto de esta variante en el ser humano es completamente desconocido (Kohler 2010, PMID 20675162). Otro grupo de trabajo encontró en productos del mercado negro numerosos indicios de formas peptídicas de baja calidad y oxidadas (Mongongu 2021, PMID 33587816).</w:t>
      </w:r>
    </w:p>
    <w:p>
      <w:pPr>
        <w:numPr>
          <w:ilvl w:val="0"/>
          <w:numId w:val="1180"/>
        </w:numPr>
        <w:pStyle w:val="Compact"/>
      </w:pPr>
      <w:r>
        <w:rPr>
          <w:bCs/>
          <w:b/>
        </w:rPr>
        <w:t xml:space="preserve">Revisiones sobre dopaje:</w:t>
      </w:r>
      <w:r>
        <w:t xml:space="preserve"> </w:t>
      </w:r>
      <w:r>
        <w:t xml:space="preserve">El IGF-1 y sus análogos se promocionan en internet y pueden conseguirse en el mercado negro desde hace años (Guha 2013, PMID 23934394).</w:t>
      </w:r>
    </w:p>
    <w:bookmarkEnd w:id="573"/>
    <w:bookmarkStart w:id="574" w:name="estudios-en-animales-y-de-laboratorio-32"/>
    <w:p>
      <w:pPr>
        <w:pStyle w:val="Heading3"/>
      </w:pPr>
      <w:r>
        <w:t xml:space="preserve">Estudios en animales y de laboratorio</w:t>
      </w:r>
    </w:p>
    <w:p>
      <w:pPr>
        <w:pStyle w:val="FirstParagraph"/>
      </w:pPr>
      <w:r>
        <w:t xml:space="preserve">Casi toda la investigación sobre el LR3 procede de la biología de los animales de granja y del desarrollo:</w:t>
      </w:r>
    </w:p>
    <w:p>
      <w:pPr>
        <w:numPr>
          <w:ilvl w:val="0"/>
          <w:numId w:val="1181"/>
        </w:numPr>
        <w:pStyle w:val="Compact"/>
      </w:pPr>
      <w:r>
        <w:rPr>
          <w:bCs/>
          <w:b/>
        </w:rPr>
        <w:t xml:space="preserve">Ratas:</w:t>
      </w:r>
      <w:r>
        <w:t xml:space="preserve"> </w:t>
      </w:r>
      <w:r>
        <w:t xml:space="preserve">distribución rápida hacia los tejidos, mayoritariamente como péptido libre (Bastian 1993, PMID 7693845); mayor efecto sobre el crecimiento que el IGF-1 en ratas diabéticas, sin reducir la excreción de glucosa en la orina (Tomas 1993, PMID 7683875).</w:t>
      </w:r>
    </w:p>
    <w:p>
      <w:pPr>
        <w:numPr>
          <w:ilvl w:val="0"/>
          <w:numId w:val="1181"/>
        </w:numPr>
        <w:pStyle w:val="Compact"/>
      </w:pPr>
      <w:r>
        <w:rPr>
          <w:bCs/>
          <w:b/>
        </w:rPr>
        <w:t xml:space="preserve">Cerdos:</w:t>
      </w:r>
      <w:r>
        <w:t xml:space="preserve"> </w:t>
      </w:r>
      <w:r>
        <w:t xml:space="preserve">Una infusión de cuatro días</w:t>
      </w:r>
      <w:r>
        <w:t xml:space="preserve"> </w:t>
      </w:r>
      <w:r>
        <w:rPr>
          <w:bCs/>
          <w:b/>
        </w:rPr>
        <w:t xml:space="preserve">redujo</w:t>
      </w:r>
      <w:r>
        <w:t xml:space="preserve"> </w:t>
      </w:r>
      <w:r>
        <w:t xml:space="preserve">en cerdos de engorde el aumento de peso y la ingesta de alimento y suprimió los niveles propios de hormona del crecimiento, IGF-1, IGFBP-3 e insulina (Dunaiski 1997, PMID 9488001).</w:t>
      </w:r>
    </w:p>
    <w:p>
      <w:pPr>
        <w:numPr>
          <w:ilvl w:val="0"/>
          <w:numId w:val="1181"/>
        </w:numPr>
        <w:pStyle w:val="Compact"/>
      </w:pPr>
      <w:r>
        <w:rPr>
          <w:bCs/>
          <w:b/>
        </w:rPr>
        <w:t xml:space="preserve">Cobayas:</w:t>
      </w:r>
      <w:r>
        <w:t xml:space="preserve"> </w:t>
      </w:r>
      <w:r>
        <w:t xml:space="preserve">Órganos como el intestino, los riñones, el bazo y las glándulas suprarrenales aumentaron de peso, pero el crecimiento corporal en conjunto no aumentó (Conlon 1995, PMID 7561636).</w:t>
      </w:r>
    </w:p>
    <w:p>
      <w:pPr>
        <w:numPr>
          <w:ilvl w:val="0"/>
          <w:numId w:val="1181"/>
        </w:numPr>
        <w:pStyle w:val="Compact"/>
      </w:pPr>
      <w:r>
        <w:rPr>
          <w:bCs/>
          <w:b/>
        </w:rPr>
        <w:t xml:space="preserve">Fetos de oveja:</w:t>
      </w:r>
      <w:r>
        <w:t xml:space="preserve"> </w:t>
      </w:r>
      <w:r>
        <w:t xml:space="preserve">En fetos de crecimiento normal, el LR3 redujo la secreción de insulina; una infusión breve disminuyó los niveles de insulina bajo sobrecarga de glucosa en un 66 % (White 2023, PMID 37114757). En fetos con retraso del crecimiento, un tratamiento de una semana no mejoró el crecimiento (White 2025, PMID 39679943).</w:t>
      </w:r>
    </w:p>
    <w:p>
      <w:pPr>
        <w:numPr>
          <w:ilvl w:val="0"/>
          <w:numId w:val="1181"/>
        </w:numPr>
        <w:pStyle w:val="Compact"/>
      </w:pPr>
      <w:r>
        <w:rPr>
          <w:bCs/>
          <w:b/>
        </w:rPr>
        <w:t xml:space="preserve">Ratones:</w:t>
      </w:r>
      <w:r>
        <w:t xml:space="preserve"> </w:t>
      </w:r>
      <w:r>
        <w:t xml:space="preserve">En un modelo de alzhéimer, el LR3 en aerosol nasal modificó los depósitos de amiloide, pero no impidió la pérdida de memoria (Engel 2025, PMID 39610283).</w:t>
      </w:r>
    </w:p>
    <w:p>
      <w:pPr>
        <w:pStyle w:val="FirstParagraph"/>
      </w:pPr>
      <w:r>
        <w:t xml:space="preserve">Los datos en animales son contradictorios: según la especie, el LR3 favoreció el crecimiento, no tuvo efecto o incluso lo inhibió. No es posible trasladarlo al ser humano.</w:t>
      </w:r>
    </w:p>
    <w:bookmarkEnd w:id="574"/>
    <w:bookmarkStart w:id="575" w:name="riesgos-y-efectos-adversos-32"/>
    <w:p>
      <w:pPr>
        <w:pStyle w:val="Heading3"/>
      </w:pPr>
      <w:r>
        <w:t xml:space="preserve">Riesgos y efectos adversos</w:t>
      </w:r>
    </w:p>
    <w:p>
      <w:pPr>
        <w:pStyle w:val="FirstParagraph"/>
      </w:pPr>
      <w:r>
        <w:t xml:space="preserve">Como no hay estudios en humanos, los riesgos solo pueden deducirse de la biología y de la experiencia con el IGF-1 natural (mecasermina). Estas deducciones son</w:t>
      </w:r>
      <w:r>
        <w:t xml:space="preserve"> </w:t>
      </w:r>
      <w:r>
        <w:rPr>
          <w:bCs/>
          <w:b/>
        </w:rPr>
        <w:t xml:space="preserve">teóricas</w:t>
      </w:r>
      <w:r>
        <w:t xml:space="preserve">, pero están bien fundamentadas:</w:t>
      </w:r>
    </w:p>
    <w:p>
      <w:pPr>
        <w:numPr>
          <w:ilvl w:val="0"/>
          <w:numId w:val="1182"/>
        </w:numPr>
        <w:pStyle w:val="Compact"/>
      </w:pPr>
      <w:r>
        <w:rPr>
          <w:bCs/>
          <w:b/>
        </w:rPr>
        <w:t xml:space="preserve">Hipoglucemia (bajada de azúcar):</w:t>
      </w:r>
      <w:r>
        <w:t xml:space="preserve"> </w:t>
      </w:r>
      <w:r>
        <w:t xml:space="preserve">A dosis más altas, el IGF-1 actúa de forma similar a la insulina. Con la mecasermina autorizada, la hipoglucemia es el efecto adverso más frecuente, aunque en ese caso el amortiguador de las proteínas de unión se mantiene en gran medida (Chernausek 2007, PMID 17192294). Un análogo que escapa deliberadamente a este amortiguador podría actuar con más fuerza y de forma menos previsible. Esto no se ha medido en humanos. En los experimentos con animales, en parte bajaron los niveles de insulina (Dunaiski 1997, PMID 9488001; White 2023, PMID 37114757), lo que podría alterar adicionalmente la regulación de la glucosa.</w:t>
      </w:r>
    </w:p>
    <w:p>
      <w:pPr>
        <w:numPr>
          <w:ilvl w:val="0"/>
          <w:numId w:val="1182"/>
        </w:numPr>
        <w:pStyle w:val="Compact"/>
      </w:pPr>
      <w:r>
        <w:rPr>
          <w:bCs/>
          <w:b/>
        </w:rPr>
        <w:t xml:space="preserve">Crecimiento de órganos y tejidos:</w:t>
      </w:r>
      <w:r>
        <w:t xml:space="preserve"> </w:t>
      </w:r>
      <w:r>
        <w:t xml:space="preserve">En cobayas aumentaron de tamaño los órganos internos (Conlon 1995, PMID 7561636). No está claro si ocurre algo similar en el ser humano.</w:t>
      </w:r>
    </w:p>
    <w:p>
      <w:pPr>
        <w:numPr>
          <w:ilvl w:val="0"/>
          <w:numId w:val="1182"/>
        </w:numPr>
        <w:pStyle w:val="Compact"/>
      </w:pPr>
      <w:r>
        <w:rPr>
          <w:bCs/>
          <w:b/>
        </w:rPr>
        <w:t xml:space="preserve">Teoría del cáncer:</w:t>
      </w:r>
      <w:r>
        <w:t xml:space="preserve"> </w:t>
      </w:r>
      <w:r>
        <w:t xml:space="preserve">El IGF-1 favorece la división y la supervivencia celulares. En grandes estudios observacionales y genéticos, los niveles más altos de IGF-1 se asocian a un riesgo algo mayor de cáncer de mama y de próstata (Renehan 2004, PMID 15110491; Murphy 2020, PMID 32169310; Watts 2023, PMID 35726641), y las personas con déficit congénito de IGF-1 padecen cáncer con una rareza llamativa (Guevara-Aguirre 2011, PMID 21325617). Un análogo que actúa con más fuerza y sin amortiguación sobre el receptor de IGF-1 refuerza precisamente esta vía de señalización. No se ha estudiado si esto aumenta de forma medible el riesgo de cáncer en el ser humano, y tampoco se estudiará por falta de estudios. La preocupación se basa en la plausibilidad, no en informes de casos.</w:t>
      </w:r>
    </w:p>
    <w:p>
      <w:pPr>
        <w:numPr>
          <w:ilvl w:val="0"/>
          <w:numId w:val="1182"/>
        </w:numPr>
        <w:pStyle w:val="Compact"/>
      </w:pPr>
      <w:r>
        <w:rPr>
          <w:bCs/>
          <w:b/>
        </w:rPr>
        <w:t xml:space="preserve">Calidad del producto:</w:t>
      </w:r>
      <w:r>
        <w:t xml:space="preserve"> </w:t>
      </w:r>
      <w:r>
        <w:t xml:space="preserve">Los preparados del mercado negro encontrados contenían variantes de laboratorio con apéndice de purificación y péptidos oxidados (Kohler 2010, PMID 20675162; Mongongu 2021, PMID 33587816). A ello se suman los riesgos generales de las inyecciones no estériles. Los reactivos para cultivo celular no están sujetos a ningún control farmacéutico.</w:t>
      </w:r>
    </w:p>
    <w:bookmarkEnd w:id="575"/>
    <w:bookmarkStart w:id="576" w:name="situación-legal-32"/>
    <w:p>
      <w:pPr>
        <w:pStyle w:val="Heading3"/>
      </w:pPr>
      <w:r>
        <w:t xml:space="preserve">Situación legal</w:t>
      </w:r>
    </w:p>
    <w:p>
      <w:pPr>
        <w:pStyle w:val="FirstParagraph"/>
      </w:pPr>
      <w:r>
        <w:rPr>
          <w:iCs/>
          <w:i/>
        </w:rPr>
        <w:t xml:space="preserve">Situación en 2026; compruebe la información actualizada.</w:t>
      </w:r>
    </w:p>
    <w:p>
      <w:pPr>
        <w:numPr>
          <w:ilvl w:val="0"/>
          <w:numId w:val="1183"/>
        </w:numPr>
        <w:pStyle w:val="Compact"/>
      </w:pPr>
      <w:r>
        <w:rPr>
          <w:bCs/>
          <w:b/>
        </w:rPr>
        <w:t xml:space="preserve">UE, Alemania, Austria:</w:t>
      </w:r>
      <w:r>
        <w:t xml:space="preserve"> </w:t>
      </w:r>
      <w:r>
        <w:t xml:space="preserve">no es un medicamento, no tiene autorización y tampoco se ha solicitado. Como reactivo de laboratorio puede venderse para la investigación; su dispensación para uso en humanos no está permitida según las leyes del medicamento.</w:t>
      </w:r>
    </w:p>
    <w:p>
      <w:pPr>
        <w:numPr>
          <w:ilvl w:val="0"/>
          <w:numId w:val="1183"/>
        </w:numPr>
        <w:pStyle w:val="Compact"/>
      </w:pPr>
      <w:r>
        <w:rPr>
          <w:bCs/>
          <w:b/>
        </w:rPr>
        <w:t xml:space="preserve">EE. UU.:</w:t>
      </w:r>
      <w:r>
        <w:t xml:space="preserve"> </w:t>
      </w:r>
      <w:r>
        <w:t xml:space="preserve">sin autorización; distribución solo como sustancia química de investigación.</w:t>
      </w:r>
    </w:p>
    <w:p>
      <w:pPr>
        <w:numPr>
          <w:ilvl w:val="0"/>
          <w:numId w:val="1183"/>
        </w:numPr>
        <w:pStyle w:val="Compact"/>
      </w:pPr>
      <w:r>
        <w:rPr>
          <w:bCs/>
          <w:b/>
        </w:rPr>
        <w:t xml:space="preserve">WADA:</w:t>
      </w:r>
      <w:r>
        <w:t xml:space="preserve"> </w:t>
      </w:r>
      <w:r>
        <w:t xml:space="preserve">prohibido (S2). Se ha desarrollado un método de detección en sangre para el LR3 y análogos del IGF-1 relacionados; en ratas, el LR3 sin modificar desaparecía ya al cabo de unas 4 horas, y los productos de degradación eran detectables hasta 16 horas (Mongongu 2021, PMID 33587816).</w:t>
      </w:r>
    </w:p>
    <w:bookmarkEnd w:id="576"/>
    <w:bookmarkStart w:id="577" w:name="estudios-en-curso-y-perspectivas-32"/>
    <w:p>
      <w:pPr>
        <w:pStyle w:val="Heading3"/>
      </w:pPr>
      <w:r>
        <w:t xml:space="preserve">Estudios en curso y perspectivas</w:t>
      </w:r>
    </w:p>
    <w:p>
      <w:pPr>
        <w:pStyle w:val="FirstParagraph"/>
      </w:pPr>
      <w:r>
        <w:t xml:space="preserve">En octubre de 2026 no figura en ClinicalTrials.gov ningún estudio con IGF-1 LR3.</w:t>
      </w:r>
      <w:r>
        <w:t xml:space="preserve"> </w:t>
      </w:r>
      <w:r>
        <w:rPr>
          <w:iCs/>
          <w:i/>
        </w:rPr>
        <w:t xml:space="preserve">Valoración del autor:</w:t>
      </w:r>
      <w:r>
        <w:t xml:space="preserve"> </w:t>
      </w:r>
      <w:r>
        <w:t xml:space="preserve">No cabe esperar un desarrollo como medicamento. El LR3 seguirá siendo una herramienta para el cultivo celular y la investigación con animales.</w:t>
      </w:r>
    </w:p>
    <w:bookmarkEnd w:id="577"/>
    <w:bookmarkStart w:id="578" w:name="conclusión-32"/>
    <w:p>
      <w:pPr>
        <w:pStyle w:val="Heading3"/>
      </w:pPr>
      <w:r>
        <w:t xml:space="preserve">Conclusión</w:t>
      </w:r>
    </w:p>
    <w:p>
      <w:pPr>
        <w:pStyle w:val="FirstParagraph"/>
      </w:pPr>
      <w:r>
        <w:t xml:space="preserve">El IGF-1 LR3 es un reactivo de laboratorio que nunca se ha estudiado en humanos. En experimentos con animales, según la especie, favoreció el crecimiento, no tuvo efecto o incluso lo inhibió. Su propiedad especial –la falta de unión a las proteínas de unión amortiguadoras– hace esperar un mayor riesgo de hipoglucemia y una señalización del crecimiento reforzada. Está demostrado que los productos del mercado negro contenían variantes de laboratorio que nunca estuvieron pensadas para inyección.</w:t>
      </w:r>
    </w:p>
    <w:bookmarkEnd w:id="578"/>
    <w:bookmarkEnd w:id="579"/>
    <w:bookmarkStart w:id="592" w:name="ibutamoreno-mk-677"/>
    <w:p>
      <w:pPr>
        <w:pStyle w:val="Heading2"/>
      </w:pPr>
      <w:r>
        <w:t xml:space="preserve">Ibutamoreno (MK-677)</w:t>
      </w:r>
    </w:p>
    <w:p>
      <w:pPr>
        <w:pStyle w:val="FirstParagraph"/>
      </w:pPr>
      <w:r>
        <w:rPr>
          <w:iCs/>
          <w:i/>
        </w:rPr>
        <w:t xml:space="preserve">Capítulo comparativo:</w:t>
      </w:r>
      <w:r>
        <w:t xml:space="preserve"> </w:t>
      </w:r>
      <w:r>
        <w:t xml:space="preserve">El ibutamoreno no es un péptido. Es una molécula pequeña y sintética que se toma por vía oral en comprimidos o en forma líquida, y precisamente por eso figura en este libro: como comparación. Actúa sobre el mismo receptor que la ipamorelina, el GHRP-2 o la hexarelina, es decir, sobre el receptor de la grelina, y eleva la hormona del crecimiento y el IGF-1 durante meses. El ibutamoreno fue evaluado en las décadas de 1990 y 2000 por la farmacéutica Merck en varios estudios aleatorizados de mayor tamaño. Estos estudios muestran con bastante precisión qué aporta una estimulación continuada del eje de la hormona del crecimiento en personas mayores y dónde están los riesgos. En el mercado gris, el ibutamoreno se vende hoy sobre todo como «suplemento similar a los SARM».</w:t>
      </w:r>
    </w:p>
    <w:bookmarkStart w:id="580" w:name="ficha-33"/>
    <w:p>
      <w:pPr>
        <w:pStyle w:val="Heading3"/>
      </w:pPr>
      <w:r>
        <w:t xml:space="preserve">Ficha</w:t>
      </w:r>
    </w:p>
    <w:p>
      <w:pPr>
        <w:numPr>
          <w:ilvl w:val="0"/>
          <w:numId w:val="1184"/>
        </w:numPr>
        <w:pStyle w:val="Compact"/>
      </w:pPr>
      <w:r>
        <w:rPr>
          <w:bCs/>
          <w:b/>
        </w:rPr>
        <w:t xml:space="preserve">Tipo y estructura:</w:t>
      </w:r>
      <w:r>
        <w:t xml:space="preserve"> </w:t>
      </w:r>
      <w:r>
        <w:t xml:space="preserve">molécula sintética pequeña, no un péptido («non-peptide agonist»; Liu 2021, PMID 34737341); activa por vía oral. Nombres de desarrollo MK-677 o MK-0677, actualmente en desarrollo como LUM-201 (Bright 2022, PMID 35354138).</w:t>
      </w:r>
    </w:p>
    <w:p>
      <w:pPr>
        <w:numPr>
          <w:ilvl w:val="0"/>
          <w:numId w:val="1184"/>
        </w:numPr>
        <w:pStyle w:val="Compact"/>
      </w:pPr>
      <w:r>
        <w:rPr>
          <w:bCs/>
          <w:b/>
        </w:rPr>
        <w:t xml:space="preserve">Origen:</w:t>
      </w:r>
      <w:r>
        <w:t xml:space="preserve"> </w:t>
      </w:r>
      <w:r>
        <w:t xml:space="preserve">desarrollado por Merck (EE. UU.) en la década de 1990 como «peptidomimético» de los péptidos liberadores de hormona del crecimiento.</w:t>
      </w:r>
    </w:p>
    <w:p>
      <w:pPr>
        <w:numPr>
          <w:ilvl w:val="0"/>
          <w:numId w:val="1184"/>
        </w:numPr>
        <w:pStyle w:val="Compact"/>
      </w:pPr>
      <w:r>
        <w:rPr>
          <w:bCs/>
          <w:b/>
        </w:rPr>
        <w:t xml:space="preserve">Mecanismo de acción:</w:t>
      </w:r>
      <w:r>
        <w:t xml:space="preserve"> </w:t>
      </w:r>
      <w:r>
        <w:t xml:space="preserve">agonista del receptor de la grelina (GHS-R1a); amplifica los pulsos de GH existentes y eleva el IGF-1 de forma continuada; aumenta el apetito.</w:t>
      </w:r>
    </w:p>
    <w:p>
      <w:pPr>
        <w:numPr>
          <w:ilvl w:val="0"/>
          <w:numId w:val="1184"/>
        </w:numPr>
        <w:pStyle w:val="Compact"/>
      </w:pPr>
      <w:r>
        <w:rPr>
          <w:bCs/>
          <w:b/>
        </w:rPr>
        <w:t xml:space="preserve">Autorización UE:</w:t>
      </w:r>
      <w:r>
        <w:t xml:space="preserve"> </w:t>
      </w:r>
      <w:r>
        <w:t xml:space="preserve">no.</w:t>
      </w:r>
      <w:r>
        <w:t xml:space="preserve"> </w:t>
      </w:r>
      <w:r>
        <w:rPr>
          <w:bCs/>
          <w:b/>
        </w:rPr>
        <w:t xml:space="preserve">Autorización EE. UU.:</w:t>
      </w:r>
      <w:r>
        <w:t xml:space="preserve"> </w:t>
      </w:r>
      <w:r>
        <w:t xml:space="preserve">no.</w:t>
      </w:r>
    </w:p>
    <w:p>
      <w:pPr>
        <w:numPr>
          <w:ilvl w:val="0"/>
          <w:numId w:val="1184"/>
        </w:numPr>
        <w:pStyle w:val="Compact"/>
      </w:pPr>
      <w:r>
        <w:rPr>
          <w:bCs/>
          <w:b/>
        </w:rPr>
        <w:t xml:space="preserve">WADA:</w:t>
      </w:r>
      <w:r>
        <w:t xml:space="preserve"> </w:t>
      </w:r>
      <w:r>
        <w:t xml:space="preserve">prohibido, grupo S2 (secretagogos de la hormona del crecimiento; el ibutamoreno se menciona expresamente).</w:t>
      </w:r>
    </w:p>
    <w:p>
      <w:pPr>
        <w:numPr>
          <w:ilvl w:val="0"/>
          <w:numId w:val="1184"/>
        </w:numPr>
        <w:pStyle w:val="Compact"/>
      </w:pPr>
      <w:r>
        <w:rPr>
          <w:bCs/>
          <w:b/>
        </w:rPr>
        <w:t xml:space="preserve">Nivel de evidencia: B</w:t>
      </w:r>
      <w:r>
        <w:t xml:space="preserve"> </w:t>
      </w:r>
      <w:r>
        <w:t xml:space="preserve">– varios estudios aleatorizados y controlados con placebo con hasta 563 participantes, pero sin autorización y sin ningún estudio con un resultado clínico principal positivo.</w:t>
      </w:r>
    </w:p>
    <w:bookmarkEnd w:id="580"/>
    <w:bookmarkStart w:id="581" w:name="cómo-se-supone-que-actúa-33"/>
    <w:p>
      <w:pPr>
        <w:pStyle w:val="Heading3"/>
      </w:pPr>
      <w:r>
        <w:t xml:space="preserve">Cómo se supone que actúa</w:t>
      </w:r>
    </w:p>
    <w:p>
      <w:pPr>
        <w:pStyle w:val="FirstParagraph"/>
      </w:pPr>
      <w:r>
        <w:t xml:space="preserve">El ibutamoreno imita a la grelina. A diferencia de los péptidos del grupo, no se destruye en el estómago y actúa durante el tiempo suficiente como para que una toma diaria refuerce la secreción de hormona del crecimiento a lo largo de todo el día. En personas mayores sanas, en un estudio casi duplicó la concentración media de hormona del crecimiento en 24 horas; el número de pulsos de GH no cambió, pero su altura aumentó. Al cabo de cuatro semanas, el IGF-1 alcanzó valores como los de los adultos jóvenes (Chapman 1996, PMID 8954023).</w:t>
      </w:r>
    </w:p>
    <w:p>
      <w:pPr>
        <w:pStyle w:val="BodyText"/>
      </w:pPr>
      <w:r>
        <w:t xml:space="preserve">La esperanza de Merck era compensar así el descenso del eje de la hormona del crecimiento en la vejez, denominado «somatopausia»: pérdida muscular (sarcopenia), fragilidad, pérdida ósea y recuperación lenta tras las lesiones.</w:t>
      </w:r>
    </w:p>
    <w:bookmarkEnd w:id="581"/>
    <w:bookmarkStart w:id="586" w:name="estudios-en-humanos-33"/>
    <w:p>
      <w:pPr>
        <w:pStyle w:val="Heading3"/>
      </w:pPr>
      <w:r>
        <w:t xml:space="preserve">Estudios en humanos</w:t>
      </w:r>
    </w:p>
    <w:p>
      <w:pPr>
        <w:pStyle w:val="FirstParagraph"/>
      </w:pPr>
      <w:r>
        <w:rPr>
          <w:bCs/>
          <w:b/>
        </w:rPr>
        <w:t xml:space="preserve">Magnitud de los datos disponibles (consulta de octubre de 2026):</w:t>
      </w:r>
      <w:r>
        <w:t xml:space="preserve"> </w:t>
      </w:r>
      <w:r>
        <w:t xml:space="preserve">La búsqueda automatizada de este libro encontró</w:t>
      </w:r>
      <w:r>
        <w:t xml:space="preserve"> </w:t>
      </w:r>
      <w:r>
        <w:rPr>
          <w:bCs/>
          <w:b/>
        </w:rPr>
        <w:t xml:space="preserve">19</w:t>
      </w:r>
      <w:r>
        <w:t xml:space="preserve"> </w:t>
      </w:r>
      <w:r>
        <w:t xml:space="preserve">estudios en humanos en PubMed (</w:t>
      </w:r>
      <w:r>
        <w:rPr>
          <w:rStyle w:val="VerbatimChar"/>
        </w:rPr>
        <w:t xml:space="preserve">humanstudien_alle</w:t>
      </w:r>
      <w:r>
        <w:t xml:space="preserve">) y</w:t>
      </w:r>
      <w:r>
        <w:t xml:space="preserve"> </w:t>
      </w:r>
      <w:r>
        <w:rPr>
          <w:bCs/>
          <w:b/>
        </w:rPr>
        <w:t xml:space="preserve">8</w:t>
      </w:r>
      <w:r>
        <w:t xml:space="preserve"> </w:t>
      </w:r>
      <w:r>
        <w:t xml:space="preserve">entradas en ClinicalTrials.gov.</w:t>
      </w:r>
    </w:p>
    <w:bookmarkStart w:id="582" w:name="adultos-mayores-sanos"/>
    <w:p>
      <w:pPr>
        <w:pStyle w:val="Heading4"/>
      </w:pPr>
      <w:r>
        <w:t xml:space="preserve">Adultos mayores sanos</w:t>
      </w:r>
    </w:p>
    <w:p>
      <w:pPr>
        <w:pStyle w:val="FirstParagraph"/>
      </w:pPr>
      <w:r>
        <w:t xml:space="preserve">El estudio más importante duró dos años: 65 mujeres y hombres sanos de entre 60 y 81 años recibieron diariamente ibutamoreno o placebo. La hormona del crecimiento y el IGF-1 aumentaron hasta valores de adultos jóvenes. La masa libre de grasa aumentó 1,1 kg con ibutamoreno y disminuyó 0,5 kg con placebo. La grasa abdominal no cambió, el peso corporal aumentó 2,7 kg (placebo: 0,8 kg) y la grasa de brazos y piernas aumentó más. El aumento de la masa libre de grasa</w:t>
      </w:r>
      <w:r>
        <w:t xml:space="preserve"> </w:t>
      </w:r>
      <w:r>
        <w:rPr>
          <w:bCs/>
          <w:b/>
        </w:rPr>
        <w:t xml:space="preserve">no</w:t>
      </w:r>
      <w:r>
        <w:t xml:space="preserve"> </w:t>
      </w:r>
      <w:r>
        <w:t xml:space="preserve">se tradujo en más fuerza ni en una mejor función; los autores admiten que el estudio era demasiado pequeño para ello. La glucosa en ayunas aumentó en promedio 0,3 mmol/l (5 mg/dl) y la sensibilidad a la insulina disminuyó. Los efectos adversos más frecuentes fueron un aumento inicial del apetito, una ligera retención de líquidos en las piernas y dolores musculares (Nass 2008, PMID 18981485).</w:t>
      </w:r>
    </w:p>
    <w:bookmarkEnd w:id="582"/>
    <w:bookmarkStart w:id="583" w:name="fractura-de-cadera"/>
    <w:p>
      <w:pPr>
        <w:pStyle w:val="Heading4"/>
      </w:pPr>
      <w:r>
        <w:t xml:space="preserve">Fractura de cadera</w:t>
      </w:r>
    </w:p>
    <w:p>
      <w:pPr>
        <w:pStyle w:val="FirstParagraph"/>
      </w:pPr>
      <w:r>
        <w:t xml:space="preserve">Dos estudios examinaron si el ibutamoreno ayuda a las personas mayores a recuperarse tras una fractura de cadera:</w:t>
      </w:r>
    </w:p>
    <w:p>
      <w:pPr>
        <w:numPr>
          <w:ilvl w:val="0"/>
          <w:numId w:val="1185"/>
        </w:numPr>
        <w:pStyle w:val="Compact"/>
      </w:pPr>
      <w:r>
        <w:t xml:space="preserve">En el primer estudio, con 161 pacientes de 13 centros, el IGF-1 aumentó un 84 % (placebo: 17 %). En las pruebas funcionales se observaron en parte tendencias favorables, pero ninguna diferencia estadísticamente significativa (Bach 2004, PMID 15066065).</w:t>
      </w:r>
    </w:p>
    <w:p>
      <w:pPr>
        <w:numPr>
          <w:ilvl w:val="0"/>
          <w:numId w:val="1185"/>
        </w:numPr>
        <w:pStyle w:val="Compact"/>
      </w:pPr>
      <w:r>
        <w:t xml:space="preserve">El segundo estudio, con 123 pacientes,</w:t>
      </w:r>
      <w:r>
        <w:t xml:space="preserve"> </w:t>
      </w:r>
      <w:r>
        <w:rPr>
          <w:bCs/>
          <w:b/>
        </w:rPr>
        <w:t xml:space="preserve">se interrumpió antes de tiempo porque en un número limitado de personas tratadas apareció una insuficiencia cardiaca</w:t>
      </w:r>
      <w:r>
        <w:t xml:space="preserve">. La velocidad de la marcha había mejorado ligeramente, la mayoría de las demás medidas funcionales no; los autores valoraron como desfavorable el perfil de seguridad en este grupo de pacientes (Adunsky 2011, PMID 21067829).</w:t>
      </w:r>
    </w:p>
    <w:p>
      <w:pPr>
        <w:pStyle w:val="FirstParagraph"/>
      </w:pPr>
      <w:r>
        <w:t xml:space="preserve">Otra entrada de Merck sobre la sarcopenia tras fractura de cadera (NCT00128115, 83 personas) figura como interrumpida, sin indicación de motivos ni resultados.</w:t>
      </w:r>
    </w:p>
    <w:bookmarkEnd w:id="583"/>
    <w:bookmarkStart w:id="584" w:name="enfermedad-de-alzheimer"/>
    <w:p>
      <w:pPr>
        <w:pStyle w:val="Heading4"/>
      </w:pPr>
      <w:r>
        <w:t xml:space="preserve">Enfermedad de Alzheimer</w:t>
      </w:r>
    </w:p>
    <w:p>
      <w:pPr>
        <w:pStyle w:val="FirstParagraph"/>
      </w:pPr>
      <w:r>
        <w:t xml:space="preserve">En un gran estudio, 563 personas con demencia de alzhéimer leve a moderada recibieron durante un año ibutamoreno o placebo. El IGF-1 aumentó un 60,1 % a las seis semanas y un 72,9 % a los doce meses. En ninguna de las cuatro escalas de rendimiento cognitivo, capacidad para las actividades cotidianas e impresión global difirió la evolución respecto al placebo (Sevigny 2008, PMID 19015485).</w:t>
      </w:r>
    </w:p>
    <w:bookmarkEnd w:id="584"/>
    <w:bookmarkStart w:id="585" w:name="otros-estudios-1"/>
    <w:p>
      <w:pPr>
        <w:pStyle w:val="Heading4"/>
      </w:pPr>
      <w:r>
        <w:t xml:space="preserve">Otros estudios</w:t>
      </w:r>
    </w:p>
    <w:p>
      <w:pPr>
        <w:numPr>
          <w:ilvl w:val="0"/>
          <w:numId w:val="1186"/>
        </w:numPr>
        <w:pStyle w:val="Compact"/>
      </w:pPr>
      <w:r>
        <w:rPr>
          <w:bCs/>
          <w:b/>
        </w:rPr>
        <w:t xml:space="preserve">Hombres con sobrepeso:</w:t>
      </w:r>
      <w:r>
        <w:t xml:space="preserve"> </w:t>
      </w:r>
      <w:r>
        <w:t xml:space="preserve">En 24 hombres, a lo largo de ocho semanas aumentó la masa libre de grasa, mientras que la grasa total y la abdominal no cambiaron; en la prueba de sobrecarga de glucosa empeoró la regulación de la glucosa (Svensson 1998, PMID 9467542).</w:t>
      </w:r>
    </w:p>
    <w:p>
      <w:pPr>
        <w:numPr>
          <w:ilvl w:val="0"/>
          <w:numId w:val="1186"/>
        </w:numPr>
        <w:pStyle w:val="Compact"/>
      </w:pPr>
      <w:r>
        <w:rPr>
          <w:bCs/>
          <w:b/>
        </w:rPr>
        <w:t xml:space="preserve">Osteoporosis:</w:t>
      </w:r>
      <w:r>
        <w:t xml:space="preserve"> </w:t>
      </w:r>
      <w:r>
        <w:t xml:space="preserve">En 292 mujeres posmenopáusicas, el ibutamoreno junto con el medicamento para el hueso alendronato aumentó la densidad ósea más que el alendronato solo únicamente en el cuello femoral, no en la columna ni en la cadera total (Murphy 2001, PMID 11238495).</w:t>
      </w:r>
    </w:p>
    <w:p>
      <w:pPr>
        <w:numPr>
          <w:ilvl w:val="0"/>
          <w:numId w:val="1186"/>
        </w:numPr>
        <w:pStyle w:val="Compact"/>
      </w:pPr>
      <w:r>
        <w:rPr>
          <w:bCs/>
          <w:b/>
        </w:rPr>
        <w:t xml:space="preserve">Sueño:</w:t>
      </w:r>
      <w:r>
        <w:t xml:space="preserve"> </w:t>
      </w:r>
      <w:r>
        <w:t xml:space="preserve">En pequeños estudios con ocho personas jóvenes y seis mayores se prolongaron el sueño profundo y el sueño REM, respectivamente (Copinschi 1997, PMID 9349662).</w:t>
      </w:r>
    </w:p>
    <w:p>
      <w:pPr>
        <w:numPr>
          <w:ilvl w:val="0"/>
          <w:numId w:val="1186"/>
        </w:numPr>
        <w:pStyle w:val="Compact"/>
      </w:pPr>
      <w:r>
        <w:rPr>
          <w:bCs/>
          <w:b/>
        </w:rPr>
        <w:t xml:space="preserve">Diálisis:</w:t>
      </w:r>
      <w:r>
        <w:t xml:space="preserve"> </w:t>
      </w:r>
      <w:r>
        <w:t xml:space="preserve">En 22 pacientes en diálisis, el IGF-1 aumentó un 65 % más que con placebo, sin efectos adversos graves (Campbell 2018, PMID 28340044).</w:t>
      </w:r>
    </w:p>
    <w:p>
      <w:pPr>
        <w:numPr>
          <w:ilvl w:val="0"/>
          <w:numId w:val="1186"/>
        </w:numPr>
        <w:pStyle w:val="Compact"/>
      </w:pPr>
      <w:r>
        <w:rPr>
          <w:bCs/>
          <w:b/>
        </w:rPr>
        <w:t xml:space="preserve">Niños con déficit de hormona del crecimiento:</w:t>
      </w:r>
      <w:r>
        <w:t xml:space="preserve"> </w:t>
      </w:r>
      <w:r>
        <w:t xml:space="preserve">Ya en 2001, el ibutamoreno aumentó la hormona del crecimiento y el IGF-1 en 18 niños (Codner 2001, PMID 11452249). Con el nombre LUM-201, en un estudio con 68 niños provocó respuestas de GH más altas que las pruebas de estimulación habituales (Bright 2022, PMID 35354138).</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Personas mayores sanas (Nass 2008), PMID 18981485</w:t>
            </w:r>
          </w:p>
        </w:tc>
        <w:tc>
          <w:tcPr/>
          <w:p>
            <w:pPr>
              <w:pStyle w:val="Compact"/>
              <w:jc w:val="left"/>
            </w:pPr>
            <w:r>
              <w:t xml:space="preserve">65 personas de 60–81 años, ECA frente a placebo</w:t>
            </w:r>
          </w:p>
        </w:tc>
        <w:tc>
          <w:tcPr/>
          <w:p>
            <w:pPr>
              <w:pStyle w:val="Compact"/>
              <w:jc w:val="left"/>
            </w:pPr>
            <w:r>
              <w:t xml:space="preserve">2 años</w:t>
            </w:r>
          </w:p>
        </w:tc>
        <w:tc>
          <w:tcPr/>
          <w:p>
            <w:pPr>
              <w:pStyle w:val="Compact"/>
              <w:jc w:val="left"/>
            </w:pPr>
            <w:r>
              <w:t xml:space="preserve">masa libre de grasa +1,1 frente a −0,5 kg; fuerza y función sin cambios; glucosa en ayunas ↑</w:t>
            </w:r>
          </w:p>
        </w:tc>
      </w:tr>
      <w:tr>
        <w:tc>
          <w:tcPr/>
          <w:p>
            <w:pPr>
              <w:pStyle w:val="Compact"/>
              <w:jc w:val="left"/>
            </w:pPr>
            <w:r>
              <w:t xml:space="preserve">Fractura de cadera 1 (Bach 2004), PMID 15066065</w:t>
            </w:r>
          </w:p>
        </w:tc>
        <w:tc>
          <w:tcPr/>
          <w:p>
            <w:pPr>
              <w:pStyle w:val="Compact"/>
              <w:jc w:val="left"/>
            </w:pPr>
            <w:r>
              <w:t xml:space="preserve">161 personas mayores tras fractura de cadera, ECA</w:t>
            </w:r>
          </w:p>
        </w:tc>
        <w:tc>
          <w:tcPr/>
          <w:p>
            <w:pPr>
              <w:pStyle w:val="Compact"/>
              <w:jc w:val="left"/>
            </w:pPr>
            <w:r>
              <w:t xml:space="preserve">6 meses</w:t>
            </w:r>
          </w:p>
        </w:tc>
        <w:tc>
          <w:tcPr/>
          <w:p>
            <w:pPr>
              <w:pStyle w:val="Compact"/>
              <w:jc w:val="left"/>
            </w:pPr>
            <w:r>
              <w:t xml:space="preserve">IGF-1 +84 %; función no significativamente mejor</w:t>
            </w:r>
          </w:p>
        </w:tc>
      </w:tr>
      <w:tr>
        <w:tc>
          <w:tcPr/>
          <w:p>
            <w:pPr>
              <w:pStyle w:val="Compact"/>
              <w:jc w:val="left"/>
            </w:pPr>
            <w:r>
              <w:t xml:space="preserve">Fractura de cadera 2 (Adunsky 2011), PMID 21067829</w:t>
            </w:r>
          </w:p>
        </w:tc>
        <w:tc>
          <w:tcPr/>
          <w:p>
            <w:pPr>
              <w:pStyle w:val="Compact"/>
              <w:jc w:val="left"/>
            </w:pPr>
            <w:r>
              <w:t xml:space="preserve">123 personas mayores tras fractura de cadera, ECA</w:t>
            </w:r>
          </w:p>
        </w:tc>
        <w:tc>
          <w:tcPr/>
          <w:p>
            <w:pPr>
              <w:pStyle w:val="Compact"/>
              <w:jc w:val="left"/>
            </w:pPr>
            <w:r>
              <w:t xml:space="preserve">24 semanas previstas</w:t>
            </w:r>
          </w:p>
        </w:tc>
        <w:tc>
          <w:tcPr/>
          <w:p>
            <w:pPr>
              <w:pStyle w:val="Compact"/>
              <w:jc w:val="left"/>
            </w:pPr>
            <w:r>
              <w:t xml:space="preserve">interrupción por señal de insuficiencia cardiaca</w:t>
            </w:r>
          </w:p>
        </w:tc>
      </w:tr>
      <w:tr>
        <w:tc>
          <w:tcPr/>
          <w:p>
            <w:pPr>
              <w:pStyle w:val="Compact"/>
              <w:jc w:val="left"/>
            </w:pPr>
            <w:r>
              <w:t xml:space="preserve">Alzhéimer (Sevigny 2008), PMID 19015485</w:t>
            </w:r>
          </w:p>
        </w:tc>
        <w:tc>
          <w:tcPr/>
          <w:p>
            <w:pPr>
              <w:pStyle w:val="Compact"/>
              <w:jc w:val="left"/>
            </w:pPr>
            <w:r>
              <w:t xml:space="preserve">563 personas con alzhéimer, ECA</w:t>
            </w:r>
          </w:p>
        </w:tc>
        <w:tc>
          <w:tcPr/>
          <w:p>
            <w:pPr>
              <w:pStyle w:val="Compact"/>
              <w:jc w:val="left"/>
            </w:pPr>
            <w:r>
              <w:t xml:space="preserve">12 meses</w:t>
            </w:r>
          </w:p>
        </w:tc>
        <w:tc>
          <w:tcPr/>
          <w:p>
            <w:pPr>
              <w:pStyle w:val="Compact"/>
              <w:jc w:val="left"/>
            </w:pPr>
            <w:r>
              <w:t xml:space="preserve">IGF-1 +72,9 %; sin efecto en la evolución de la enfermedad</w:t>
            </w:r>
          </w:p>
        </w:tc>
      </w:tr>
      <w:tr>
        <w:tc>
          <w:tcPr/>
          <w:p>
            <w:pPr>
              <w:pStyle w:val="Compact"/>
              <w:jc w:val="left"/>
            </w:pPr>
            <w:r>
              <w:t xml:space="preserve">Osteoporosis (Murphy 2001), PMID 11238495</w:t>
            </w:r>
          </w:p>
        </w:tc>
        <w:tc>
          <w:tcPr/>
          <w:p>
            <w:pPr>
              <w:pStyle w:val="Compact"/>
              <w:jc w:val="left"/>
            </w:pPr>
            <w:r>
              <w:t xml:space="preserve">292 mujeres, ECA con alendronato</w:t>
            </w:r>
          </w:p>
        </w:tc>
        <w:tc>
          <w:tcPr/>
          <w:p>
            <w:pPr>
              <w:pStyle w:val="Compact"/>
              <w:jc w:val="left"/>
            </w:pPr>
            <w:r>
              <w:t xml:space="preserve">12–18 meses</w:t>
            </w:r>
          </w:p>
        </w:tc>
        <w:tc>
          <w:tcPr/>
          <w:p>
            <w:pPr>
              <w:pStyle w:val="Compact"/>
              <w:jc w:val="left"/>
            </w:pPr>
            <w:r>
              <w:t xml:space="preserve">solo densidad ósea del cuello femoral algo mayor</w:t>
            </w:r>
          </w:p>
        </w:tc>
      </w:tr>
    </w:tbl>
    <w:bookmarkEnd w:id="585"/>
    <w:bookmarkEnd w:id="586"/>
    <w:bookmarkStart w:id="587" w:name="estudios-en-animales-y-de-laboratorio-33"/>
    <w:p>
      <w:pPr>
        <w:pStyle w:val="Heading3"/>
      </w:pPr>
      <w:r>
        <w:t xml:space="preserve">Estudios en animales y de laboratorio</w:t>
      </w:r>
    </w:p>
    <w:p>
      <w:pPr>
        <w:pStyle w:val="FirstParagraph"/>
      </w:pPr>
      <w:r>
        <w:t xml:space="preserve">En ratones con un modelo de alzhéimer, el ibutamoreno redujo los depósitos de amiloide y la pérdida de neuronas en el cerebro (Jeong 2018, PMID 29912176), un hallazgo que en el gran estudio de alzhéimer en humanos no se tradujo en un beneficio clínico. La estructura del receptor de la grelina con ibutamoreno unido se resolvió en 2021 (Liu 2021, PMID 34737341).</w:t>
      </w:r>
    </w:p>
    <w:bookmarkEnd w:id="587"/>
    <w:bookmarkStart w:id="588" w:name="riesgos-y-efectos-adversos-33"/>
    <w:p>
      <w:pPr>
        <w:pStyle w:val="Heading3"/>
      </w:pPr>
      <w:r>
        <w:t xml:space="preserve">Riesgos y efectos adversos</w:t>
      </w:r>
    </w:p>
    <w:p>
      <w:pPr>
        <w:pStyle w:val="FirstParagraph"/>
      </w:pPr>
      <w:r>
        <w:rPr>
          <w:bCs/>
          <w:b/>
        </w:rPr>
        <w:t xml:space="preserve">Demostrado en estudios aleatorizados:</w:t>
      </w:r>
    </w:p>
    <w:p>
      <w:pPr>
        <w:numPr>
          <w:ilvl w:val="0"/>
          <w:numId w:val="1187"/>
        </w:numPr>
        <w:pStyle w:val="Compact"/>
      </w:pPr>
      <w:r>
        <w:rPr>
          <w:bCs/>
          <w:b/>
        </w:rPr>
        <w:t xml:space="preserve">Señal de insuficiencia cardiaca:</w:t>
      </w:r>
      <w:r>
        <w:t xml:space="preserve"> </w:t>
      </w:r>
      <w:r>
        <w:t xml:space="preserve">interrupción de un estudio en personas mayores tras fractura de cadera por casos de insuficiencia cardiaca (Adunsky 2011, PMID 21067829). El resumen no indica cuántos casos fueron. La retención de líquidos forma parte de los efectos conocidos de unos niveles elevados de hormona del crecimiento y sobrecarga un corazón previamente dañado.</w:t>
      </w:r>
    </w:p>
    <w:p>
      <w:pPr>
        <w:numPr>
          <w:ilvl w:val="0"/>
          <w:numId w:val="1187"/>
        </w:numPr>
        <w:pStyle w:val="Compact"/>
      </w:pPr>
      <w:r>
        <w:rPr>
          <w:bCs/>
          <w:b/>
        </w:rPr>
        <w:t xml:space="preserve">Glucosa:</w:t>
      </w:r>
      <w:r>
        <w:t xml:space="preserve"> </w:t>
      </w:r>
      <w:r>
        <w:t xml:space="preserve">aumento de la glucosa en ayunas y menor sensibilidad a la insulina (Nass 2008, PMID 18981485; Chapman 1996, PMID 8954023); empeoramiento de la tolerancia a la glucosa en hombres con sobrepeso (Svensson 1998, PMID 9467542).</w:t>
      </w:r>
    </w:p>
    <w:p>
      <w:pPr>
        <w:numPr>
          <w:ilvl w:val="0"/>
          <w:numId w:val="1187"/>
        </w:numPr>
        <w:pStyle w:val="Compact"/>
      </w:pPr>
      <w:r>
        <w:rPr>
          <w:bCs/>
          <w:b/>
        </w:rPr>
        <w:t xml:space="preserve">Aumento de peso y apetito:</w:t>
      </w:r>
      <w:r>
        <w:t xml:space="preserve"> </w:t>
      </w:r>
      <w:r>
        <w:t xml:space="preserve">más peso corporal, más grasa en brazos y piernas, más hambre (Nass 2008, PMID 18981485).</w:t>
      </w:r>
    </w:p>
    <w:p>
      <w:pPr>
        <w:numPr>
          <w:ilvl w:val="0"/>
          <w:numId w:val="1187"/>
        </w:numPr>
        <w:pStyle w:val="Compact"/>
      </w:pPr>
      <w:r>
        <w:rPr>
          <w:bCs/>
          <w:b/>
        </w:rPr>
        <w:t xml:space="preserve">Retención de líquidos y dolores musculares</w:t>
      </w:r>
      <w:r>
        <w:t xml:space="preserve"> </w:t>
      </w:r>
      <w:r>
        <w:t xml:space="preserve">(Nass 2008, PMID 18981485).</w:t>
      </w:r>
    </w:p>
    <w:p>
      <w:pPr>
        <w:pStyle w:val="FirstParagraph"/>
      </w:pPr>
      <w:r>
        <w:rPr>
          <w:bCs/>
          <w:b/>
        </w:rPr>
        <w:t xml:space="preserve">Informes de casos del uso en el mercado gris:</w:t>
      </w:r>
      <w:r>
        <w:t xml:space="preserve"> </w:t>
      </w:r>
      <w:r>
        <w:t xml:space="preserve">Un hombre de poco más de 30 años presentó, tras dos meses de toma de MK-677, una elevación de las enzimas hepáticas que se normalizó tras la suspensión (Cobani 2025, PMID 40675653). Un hombre de 40 años desarrolló crecimiento mamario y un déficit de testosterona; sus suplementos de fitness contenían, además de MK-677, también un SARM, cardarine y hormonas no declaradas (Chong 2024, PMID 39145153).</w:t>
      </w:r>
    </w:p>
    <w:p>
      <w:pPr>
        <w:pStyle w:val="BodyText"/>
      </w:pPr>
      <w:r>
        <w:rPr>
          <w:bCs/>
          <w:b/>
        </w:rPr>
        <w:t xml:space="preserve">Cáncer:</w:t>
      </w:r>
      <w:r>
        <w:t xml:space="preserve"> </w:t>
      </w:r>
      <w:r>
        <w:t xml:space="preserve">El ibutamoreno eleva el IGF-1 durante meses o años hasta el nivel de los adultos jóvenes. En los estudios no se comunicó ninguna señal de cáncer, pero no eran lo bastante grandes ni largos para ello. Una revisión sobre los liberadores de GH reclama expresamente datos a largo plazo sobre cáncer y mortalidad (Sigalos 2018, PMID 28400207). Sobre los datos generales, véanse la introducción de este grupo y la Parte IV.</w:t>
      </w:r>
    </w:p>
    <w:p>
      <w:pPr>
        <w:pStyle w:val="BodyText"/>
      </w:pPr>
      <w:r>
        <w:rPr>
          <w:bCs/>
          <w:b/>
        </w:rPr>
        <w:t xml:space="preserve">Calidad en el mercado gris:</w:t>
      </w:r>
      <w:r>
        <w:t xml:space="preserve"> </w:t>
      </w:r>
      <w:r>
        <w:t xml:space="preserve">En un análisis estadounidense de 44 productos vendidos en internet como SARM, el 39 % contenía en su lugar o además otras sustancias no autorizadas, entre ellas ibutamoreno; solo el 41 % contenía la cantidad indicada del principio activo (Van Wagoner 2017, PMID 29183075). Una vigilancia del mercado europeo con 324 muestras de 13 países encontró el ibutamoreno como el principio activo más frecuente entre los preparados para el desarrollo muscular analizados; el 24 % de los productos se presentaba como complemento alimenticio (Barrios 2025, PMID 40551438).</w:t>
      </w:r>
    </w:p>
    <w:bookmarkEnd w:id="588"/>
    <w:bookmarkStart w:id="589" w:name="situación-legal-33"/>
    <w:p>
      <w:pPr>
        <w:pStyle w:val="Heading3"/>
      </w:pPr>
      <w:r>
        <w:t xml:space="preserve">Situación legal</w:t>
      </w:r>
    </w:p>
    <w:p>
      <w:pPr>
        <w:pStyle w:val="FirstParagraph"/>
      </w:pPr>
      <w:r>
        <w:rPr>
          <w:iCs/>
          <w:i/>
        </w:rPr>
        <w:t xml:space="preserve">Situación en 2026; compruebe la información actualizada.</w:t>
      </w:r>
    </w:p>
    <w:p>
      <w:pPr>
        <w:numPr>
          <w:ilvl w:val="0"/>
          <w:numId w:val="1188"/>
        </w:numPr>
        <w:pStyle w:val="Compact"/>
      </w:pPr>
      <w:r>
        <w:rPr>
          <w:bCs/>
          <w:b/>
        </w:rPr>
        <w:t xml:space="preserve">UE, Alemania, Austria:</w:t>
      </w:r>
      <w:r>
        <w:t xml:space="preserve"> </w:t>
      </w:r>
      <w:r>
        <w:t xml:space="preserve">sin autorización. El ibutamoreno es un principio activo no autorizado; no puede comercializarse como complemento alimenticio. Quien lo ofrece para uso en humanos infringe la legislación farmacéutica.</w:t>
      </w:r>
    </w:p>
    <w:p>
      <w:pPr>
        <w:numPr>
          <w:ilvl w:val="0"/>
          <w:numId w:val="1188"/>
        </w:numPr>
        <w:pStyle w:val="Compact"/>
      </w:pPr>
      <w:r>
        <w:rPr>
          <w:bCs/>
          <w:b/>
        </w:rPr>
        <w:t xml:space="preserve">EE. UU.:</w:t>
      </w:r>
      <w:r>
        <w:t xml:space="preserve"> </w:t>
      </w:r>
      <w:r>
        <w:t xml:space="preserve">sin autorización; aun así se vende como «research chemical» o en suplementos.</w:t>
      </w:r>
    </w:p>
    <w:p>
      <w:pPr>
        <w:numPr>
          <w:ilvl w:val="0"/>
          <w:numId w:val="1188"/>
        </w:numPr>
        <w:pStyle w:val="Compact"/>
      </w:pPr>
      <w:r>
        <w:rPr>
          <w:bCs/>
          <w:b/>
        </w:rPr>
        <w:t xml:space="preserve">WADA:</w:t>
      </w:r>
      <w:r>
        <w:t xml:space="preserve"> </w:t>
      </w:r>
      <w:r>
        <w:t xml:space="preserve">prohibido (S2). También se controla en la hípica, por ejemplo mediante análisis de pelo (Viljanto 2023, PMID 36354265).</w:t>
      </w:r>
    </w:p>
    <w:bookmarkEnd w:id="589"/>
    <w:bookmarkStart w:id="590" w:name="estudios-en-curso-y-perspectivas-33"/>
    <w:p>
      <w:pPr>
        <w:pStyle w:val="Heading3"/>
      </w:pPr>
      <w:r>
        <w:t xml:space="preserve">Estudios en curso y perspectivas</w:t>
      </w:r>
    </w:p>
    <w:p>
      <w:pPr>
        <w:pStyle w:val="FirstParagraph"/>
      </w:pPr>
      <w:r>
        <w:rPr>
          <w:iCs/>
          <w:i/>
        </w:rPr>
        <w:t xml:space="preserve">Confirmado:</w:t>
      </w:r>
      <w:r>
        <w:t xml:space="preserve"> </w:t>
      </w:r>
      <w:r>
        <w:t xml:space="preserve">Con el nombre LUM-201, el ibutamoreno se está desarrollando en comprimidos para niños con déficit de hormona del crecimiento. Un estudio de fase 2 con 104 niños (NCT04614337) ha concluido; un estudio de fase 3 con 150 niños previstos recluta desde 2026 (NCT06948214), y está previsto un estudio de seguridad a largo plazo (NCT07129759). Otro estudio de fase 2 examinará a partir de 2027 el LUM-201 junto con semaglutida en personas mayores con obesidad, para limitar la pérdida muscular al adelgazar (NCT07754045).</w:t>
      </w:r>
    </w:p>
    <w:p>
      <w:pPr>
        <w:pStyle w:val="BodyText"/>
      </w:pPr>
      <w:r>
        <w:rPr>
          <w:iCs/>
          <w:i/>
        </w:rPr>
        <w:t xml:space="preserve">Valoración del autor:</w:t>
      </w:r>
      <w:r>
        <w:t xml:space="preserve"> </w:t>
      </w:r>
      <w:r>
        <w:t xml:space="preserve">Una autorización para niños solo sería concebible tras la conclusión del estudio de fase 3, es decir, no antes de finales de la década de 2020. Una autorización para adultos mayores no se vislumbra tras la señal de insuficiencia cardiaca y la ausencia de mejoras funcionales.</w:t>
      </w:r>
    </w:p>
    <w:bookmarkEnd w:id="590"/>
    <w:bookmarkStart w:id="591" w:name="conclusión-33"/>
    <w:p>
      <w:pPr>
        <w:pStyle w:val="Heading3"/>
      </w:pPr>
      <w:r>
        <w:t xml:space="preserve">Conclusión</w:t>
      </w:r>
    </w:p>
    <w:p>
      <w:pPr>
        <w:pStyle w:val="FirstParagraph"/>
      </w:pPr>
      <w:r>
        <w:t xml:space="preserve">El ibutamoreno es el agente activo por vía oral más exhaustivamente estudiado que estimula de forma continuada el eje de la hormona del crecimiento. Los estudios muestran el patrón básico de todo el grupo: el IGF-1 y la masa magra aumentan, pero la fuerza, la función y la evolución de las enfermedades –en la vejez, la fractura de cadera y el alzhéimer– no mejoraron. En cambio, aumentaron la glucosa y el peso, y un estudio en personas mayores se interrumpió por insuficiencia cardiaca. Los productos del mercado gris con «MK-677» suelen estar mal etiquetados.</w:t>
      </w:r>
    </w:p>
    <w:bookmarkEnd w:id="591"/>
    <w:bookmarkEnd w:id="592"/>
    <w:bookmarkEnd w:id="593"/>
    <w:bookmarkStart w:id="738" w:name="parte-ii-d-cerebro-sueño-y-longevidad"/>
    <w:p>
      <w:pPr>
        <w:pStyle w:val="Heading1"/>
      </w:pPr>
      <w:r>
        <w:t xml:space="preserve">Parte II · D – Cerebro, sueño y longevidad</w:t>
      </w:r>
    </w:p>
    <w:p>
      <w:pPr>
        <w:pStyle w:val="FirstParagraph"/>
      </w:pPr>
      <w:r>
        <w:t xml:space="preserve">Pocos grupos de péptidos se promocionan en internet de forma tan prometedora como este: sustancias para mejorar la concentración y la memoria («nootrópicos»), para un sueño más profundo, para telómeros más largos y «mitocondrias más jóvenes». Lo que tienen en común los doce principios activos de esta sección es que actúan sobre el cerebro, el envejecimiento celular o el metabolismo energético, y que la distancia entre las promesas y las pruebas es aquí especialmente grande.</w:t>
      </w:r>
    </w:p>
    <w:bookmarkStart w:id="594" w:name="qué-une-a-estos-péptidos"/>
    <w:p>
      <w:pPr>
        <w:pStyle w:val="Heading3"/>
      </w:pPr>
      <w:r>
        <w:t xml:space="preserve">Qué une a estos péptidos</w:t>
      </w:r>
    </w:p>
    <w:p>
      <w:pPr>
        <w:pStyle w:val="FirstParagraph"/>
      </w:pPr>
      <w:r>
        <w:t xml:space="preserve">El grupo puede dividirse a grandes rasgos en tres familias:</w:t>
      </w:r>
    </w:p>
    <w:p>
      <w:pPr>
        <w:numPr>
          <w:ilvl w:val="0"/>
          <w:numId w:val="1189"/>
        </w:numPr>
        <w:pStyle w:val="Compact"/>
      </w:pPr>
      <w:r>
        <w:rPr>
          <w:bCs/>
          <w:b/>
        </w:rPr>
        <w:t xml:space="preserve">Neuropéptidos rusos y «biorreguladores»:</w:t>
      </w:r>
      <w:r>
        <w:t xml:space="preserve"> </w:t>
      </w:r>
      <w:r>
        <w:t xml:space="preserve">Semax, Selank, DSIP, Epitalon y Pinealon proceden de la investigación soviética y rusa. La cerebrolisina, una mezcla de péptidos obtenida de cerebro de cerdo, procede de Austria, pero se utiliza sobre todo en Europa del Este y en Asia.</w:t>
      </w:r>
    </w:p>
    <w:p>
      <w:pPr>
        <w:numPr>
          <w:ilvl w:val="0"/>
          <w:numId w:val="1189"/>
        </w:numPr>
        <w:pStyle w:val="Compact"/>
      </w:pPr>
      <w:r>
        <w:rPr>
          <w:bCs/>
          <w:b/>
        </w:rPr>
        <w:t xml:space="preserve">Péptidos mitocondriales:</w:t>
      </w:r>
      <w:r>
        <w:t xml:space="preserve"> </w:t>
      </w:r>
      <w:r>
        <w:t xml:space="preserve">MOTS-c y la humanina son sustancias señalizadoras propias del organismo, codificadas en el material genético de las mitocondrias. SS-31 (elamipretida) es un péptido artificial que se une de forma selectiva a la membrana mitocondrial.</w:t>
      </w:r>
    </w:p>
    <w:p>
      <w:pPr>
        <w:numPr>
          <w:ilvl w:val="0"/>
          <w:numId w:val="1189"/>
        </w:numPr>
        <w:pStyle w:val="Compact"/>
      </w:pPr>
      <w:r>
        <w:rPr>
          <w:bCs/>
          <w:b/>
        </w:rPr>
        <w:t xml:space="preserve">Moléculas experimentales «antienvejecimiento»:</w:t>
      </w:r>
      <w:r>
        <w:t xml:space="preserve"> </w:t>
      </w:r>
      <w:r>
        <w:t xml:space="preserve">Dihexa (un derivado de la angiotensina IV) y FOXO4-DRI (un senolítico que debería eliminar las células envejecidas) nunca se han estudiado en seres humanos. Por último, el glutatión es un tripéptido propio del organismo que se vende como complemento alimenticio y en infusión.</w:t>
      </w:r>
    </w:p>
    <w:bookmarkEnd w:id="594"/>
    <w:bookmarkStart w:id="595" w:name="X86b6f1841588d01c672de7e4ef1203116b61ae1"/>
    <w:p>
      <w:pPr>
        <w:pStyle w:val="Heading3"/>
      </w:pPr>
      <w:r>
        <w:t xml:space="preserve">El mundo de los nootrópicos y la longevidad</w:t>
      </w:r>
    </w:p>
    <w:p>
      <w:pPr>
        <w:pStyle w:val="FirstParagraph"/>
      </w:pPr>
      <w:r>
        <w:t xml:space="preserve">Quien busca estas sustancias en internet acaba rápidamente en foros, con influencers y en «clínicas de longevidad». Son típicos tres errores de razonamiento que encontrará una y otra vez en los capítulos siguientes:</w:t>
      </w:r>
    </w:p>
    <w:p>
      <w:pPr>
        <w:numPr>
          <w:ilvl w:val="0"/>
          <w:numId w:val="1190"/>
        </w:numPr>
        <w:pStyle w:val="Compact"/>
      </w:pPr>
      <w:r>
        <w:rPr>
          <w:bCs/>
          <w:b/>
        </w:rPr>
        <w:t xml:space="preserve">Del animal al ser humano:</w:t>
      </w:r>
      <w:r>
        <w:t xml:space="preserve"> </w:t>
      </w:r>
      <w:r>
        <w:t xml:space="preserve">Que un péptido mejore la memoria o la esperanza de vida en ratones dice poco sobre si actúa en el ser humano. En la investigación sobre el ictus y el alzhéimer, cientos de principios activos con éxito en animales han fracasado en humanos.</w:t>
      </w:r>
    </w:p>
    <w:p>
      <w:pPr>
        <w:numPr>
          <w:ilvl w:val="0"/>
          <w:numId w:val="1190"/>
        </w:numPr>
        <w:pStyle w:val="Compact"/>
      </w:pPr>
      <w:r>
        <w:rPr>
          <w:bCs/>
          <w:b/>
        </w:rPr>
        <w:t xml:space="preserve">Del nivel en sangre a la inyección:</w:t>
      </w:r>
      <w:r>
        <w:t xml:space="preserve"> </w:t>
      </w:r>
      <w:r>
        <w:t xml:space="preserve">Que las personas con niveles bajos de MOTS-c o de humanina enfermen con más frecuencia no demuestra que su aporte sea saludable.</w:t>
      </w:r>
    </w:p>
    <w:p>
      <w:pPr>
        <w:numPr>
          <w:ilvl w:val="0"/>
          <w:numId w:val="1190"/>
        </w:numPr>
        <w:pStyle w:val="Compact"/>
      </w:pPr>
      <w:r>
        <w:rPr>
          <w:bCs/>
          <w:b/>
        </w:rPr>
        <w:t xml:space="preserve">Del mecanismo al beneficio:</w:t>
      </w:r>
      <w:r>
        <w:t xml:space="preserve"> </w:t>
      </w:r>
      <w:r>
        <w:t xml:space="preserve">Un mecanismo coherente –«protege las mitocondrias», «alarga los telómeros»– no equivale a eficacia. SS-31 es el mejor ejemplo: se evaluó en varios estudios grandes y no alcanzó los objetivos principales en el infarto de miocardio, la insuficiencia cardiaca y la miopatía mitocondrial.</w:t>
      </w:r>
    </w:p>
    <w:p>
      <w:pPr>
        <w:pStyle w:val="FirstParagraph"/>
      </w:pPr>
      <w:r>
        <w:t xml:space="preserve">A ello se suma que casi todas estas sustancias se venden en el mercado gris como «research peptides», sin control de calidad (véanse la Parte I y la Parte IV).</w:t>
      </w:r>
    </w:p>
    <w:bookmarkEnd w:id="595"/>
    <w:bookmarkStart w:id="596" w:name="Xd92f64d9968c943e2b0610b6d36d3feb2f0fcd1"/>
    <w:p>
      <w:pPr>
        <w:pStyle w:val="Heading3"/>
      </w:pPr>
      <w:r>
        <w:t xml:space="preserve">La investigación rusa sobre péptidos y su situación de publicación</w:t>
      </w:r>
    </w:p>
    <w:p>
      <w:pPr>
        <w:pStyle w:val="FirstParagraph"/>
      </w:pPr>
      <w:r>
        <w:t xml:space="preserve">Una gran parte de la literatura sobre Semax, Selank, DSIP, Epitalon y Pinealon procede de unos pocos institutos de Moscú y San Petersburgo. Esto no es motivo para rechazar esa investigación en bloque, pero sí para ser prudentes:</w:t>
      </w:r>
    </w:p>
    <w:p>
      <w:pPr>
        <w:numPr>
          <w:ilvl w:val="0"/>
          <w:numId w:val="1191"/>
        </w:numPr>
        <w:pStyle w:val="Compact"/>
      </w:pPr>
      <w:r>
        <w:rPr>
          <w:bCs/>
          <w:b/>
        </w:rPr>
        <w:t xml:space="preserve">Autorización sin estándares internacionales:</w:t>
      </w:r>
      <w:r>
        <w:t xml:space="preserve"> </w:t>
      </w:r>
      <w:r>
        <w:t xml:space="preserve">Algunos péptidos están registrados como medicamentos en Rusia sin que se hayan publicado estudios grandes, ciegos y registrados previamente como los que exigen la UE o EE. UU.</w:t>
      </w:r>
    </w:p>
    <w:p>
      <w:pPr>
        <w:numPr>
          <w:ilvl w:val="0"/>
          <w:numId w:val="1191"/>
        </w:numPr>
        <w:pStyle w:val="Compact"/>
      </w:pPr>
      <w:r>
        <w:rPr>
          <w:bCs/>
          <w:b/>
        </w:rPr>
        <w:t xml:space="preserve">Estudios pequeños y no controlados:</w:t>
      </w:r>
      <w:r>
        <w:t xml:space="preserve"> </w:t>
      </w:r>
      <w:r>
        <w:t xml:space="preserve">Muchos trabajos clínicos carecen de grupo placebo o de asignación aleatoria, o no indican cifras en el resumen.</w:t>
      </w:r>
    </w:p>
    <w:p>
      <w:pPr>
        <w:numPr>
          <w:ilvl w:val="0"/>
          <w:numId w:val="1191"/>
        </w:numPr>
        <w:pStyle w:val="Compact"/>
      </w:pPr>
      <w:r>
        <w:rPr>
          <w:bCs/>
          <w:b/>
        </w:rPr>
        <w:t xml:space="preserve">Idioma y acceso:</w:t>
      </w:r>
      <w:r>
        <w:t xml:space="preserve"> </w:t>
      </w:r>
      <w:r>
        <w:t xml:space="preserve">Muchos trabajos solo se publican en ruso, a menudo en revistas en las que los propios grupos de autores publican con frecuencia.</w:t>
      </w:r>
    </w:p>
    <w:p>
      <w:pPr>
        <w:numPr>
          <w:ilvl w:val="0"/>
          <w:numId w:val="1191"/>
        </w:numPr>
        <w:pStyle w:val="Compact"/>
      </w:pPr>
      <w:r>
        <w:rPr>
          <w:bCs/>
          <w:b/>
        </w:rPr>
        <w:t xml:space="preserve">Falta de replicación:</w:t>
      </w:r>
      <w:r>
        <w:t xml:space="preserve"> </w:t>
      </w:r>
      <w:r>
        <w:t xml:space="preserve">Grupos independientes fuera de Rusia rara vez han comprobado los resultados y, cuando lo han hecho, a menudo con resultados decepcionantes, como en el caso del DSIP.</w:t>
      </w:r>
    </w:p>
    <w:p>
      <w:pPr>
        <w:numPr>
          <w:ilvl w:val="0"/>
          <w:numId w:val="1191"/>
        </w:numPr>
        <w:pStyle w:val="Compact"/>
      </w:pPr>
      <w:r>
        <w:rPr>
          <w:bCs/>
          <w:b/>
        </w:rPr>
        <w:t xml:space="preserve">Sin registros:</w:t>
      </w:r>
      <w:r>
        <w:t xml:space="preserve"> </w:t>
      </w:r>
      <w:r>
        <w:t xml:space="preserve">Para Semax, Selank, DSIP y Pinealon no figura ni un solo estudio en ClinicalTrials.gov.</w:t>
      </w:r>
    </w:p>
    <w:bookmarkEnd w:id="596"/>
    <w:bookmarkStart w:id="597" w:name="visión-general-1"/>
    <w:p>
      <w:pPr>
        <w:pStyle w:val="Heading3"/>
      </w:pPr>
      <w:r>
        <w:t xml:space="preserve">Visión general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w:t>
            </w:r>
          </w:p>
        </w:tc>
        <w:tc>
          <w:tcPr/>
          <w:p>
            <w:pPr>
              <w:pStyle w:val="Compact"/>
              <w:jc w:val="left"/>
            </w:pPr>
            <w:r>
              <w:t xml:space="preserve">En resumen</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solo Rusia</w:t>
            </w:r>
          </w:p>
        </w:tc>
        <w:tc>
          <w:tcPr/>
          <w:p>
            <w:pPr>
              <w:pStyle w:val="Compact"/>
              <w:jc w:val="left"/>
            </w:pPr>
            <w:r>
              <w:t xml:space="preserve">fragmento de ACTH; pequeños estudios en ictus</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solo Rusia</w:t>
            </w:r>
          </w:p>
        </w:tc>
        <w:tc>
          <w:tcPr/>
          <w:p>
            <w:pPr>
              <w:pStyle w:val="Compact"/>
              <w:jc w:val="left"/>
            </w:pPr>
            <w:r>
              <w:t xml:space="preserve">ansiolítico; sin estudios con placebo</w:t>
            </w:r>
          </w:p>
        </w:tc>
      </w:tr>
      <w:tr>
        <w:tc>
          <w:tcPr/>
          <w:p>
            <w:pPr>
              <w:pStyle w:val="Compact"/>
              <w:jc w:val="left"/>
            </w:pPr>
            <w:r>
              <w:t xml:space="preserve">Cerebrolisina</w:t>
            </w:r>
          </w:p>
        </w:tc>
        <w:tc>
          <w:tcPr/>
          <w:p>
            <w:pPr>
              <w:pStyle w:val="Compact"/>
              <w:jc w:val="left"/>
            </w:pPr>
            <w:r>
              <w:t xml:space="preserve">B</w:t>
            </w:r>
          </w:p>
        </w:tc>
        <w:tc>
          <w:tcPr/>
          <w:p>
            <w:pPr>
              <w:pStyle w:val="Compact"/>
              <w:jc w:val="left"/>
            </w:pPr>
            <w:r>
              <w:t xml:space="preserve">nacional, entre otros Austria</w:t>
            </w:r>
          </w:p>
        </w:tc>
        <w:tc>
          <w:tcPr/>
          <w:p>
            <w:pPr>
              <w:pStyle w:val="Compact"/>
              <w:jc w:val="left"/>
            </w:pPr>
            <w:r>
              <w:t xml:space="preserve">muchos ECA, Cochrane prudente</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no</w:t>
            </w:r>
          </w:p>
        </w:tc>
        <w:tc>
          <w:tcPr/>
          <w:p>
            <w:pPr>
              <w:pStyle w:val="Compact"/>
              <w:jc w:val="left"/>
            </w:pPr>
            <w:r>
              <w:t xml:space="preserve">solo datos en animales; cuestión del cáncer abierta</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no</w:t>
            </w:r>
          </w:p>
        </w:tc>
        <w:tc>
          <w:tcPr/>
          <w:p>
            <w:pPr>
              <w:pStyle w:val="Compact"/>
              <w:jc w:val="left"/>
            </w:pPr>
            <w:r>
              <w:t xml:space="preserve">«péptido del sueño» sin beneficio confirmado</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no</w:t>
            </w:r>
          </w:p>
        </w:tc>
        <w:tc>
          <w:tcPr/>
          <w:p>
            <w:pPr>
              <w:pStyle w:val="Compact"/>
              <w:jc w:val="left"/>
            </w:pPr>
            <w:r>
              <w:t xml:space="preserve">promesa sobre los telómeros solo en el laboratorio</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no</w:t>
            </w:r>
          </w:p>
        </w:tc>
        <w:tc>
          <w:tcPr/>
          <w:p>
            <w:pPr>
              <w:pStyle w:val="Compact"/>
              <w:jc w:val="left"/>
            </w:pPr>
            <w:r>
              <w:t xml:space="preserve">pequeñas observaciones rusas</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no</w:t>
            </w:r>
          </w:p>
        </w:tc>
        <w:tc>
          <w:tcPr/>
          <w:p>
            <w:pPr>
              <w:pStyle w:val="Compact"/>
              <w:jc w:val="left"/>
            </w:pPr>
            <w:r>
              <w:t xml:space="preserve">en ratones sí, en humanos solo niveles en sangre</w:t>
            </w:r>
          </w:p>
        </w:tc>
      </w:tr>
      <w:tr>
        <w:tc>
          <w:tcPr/>
          <w:p>
            <w:pPr>
              <w:pStyle w:val="Compact"/>
              <w:jc w:val="left"/>
            </w:pPr>
            <w:r>
              <w:t xml:space="preserve">Humanina</w:t>
            </w:r>
          </w:p>
        </w:tc>
        <w:tc>
          <w:tcPr/>
          <w:p>
            <w:pPr>
              <w:pStyle w:val="Compact"/>
              <w:jc w:val="left"/>
            </w:pPr>
            <w:r>
              <w:t xml:space="preserve">D</w:t>
            </w:r>
          </w:p>
        </w:tc>
        <w:tc>
          <w:tcPr/>
          <w:p>
            <w:pPr>
              <w:pStyle w:val="Compact"/>
              <w:jc w:val="left"/>
            </w:pPr>
            <w:r>
              <w:t xml:space="preserve">no</w:t>
            </w:r>
          </w:p>
        </w:tc>
        <w:tc>
          <w:tcPr/>
          <w:p>
            <w:pPr>
              <w:pStyle w:val="Compact"/>
              <w:jc w:val="left"/>
            </w:pPr>
            <w:r>
              <w:t xml:space="preserve">biomarcador; en animales favorece tumores</w:t>
            </w:r>
          </w:p>
        </w:tc>
      </w:tr>
      <w:tr>
        <w:tc>
          <w:tcPr/>
          <w:p>
            <w:pPr>
              <w:pStyle w:val="Compact"/>
              <w:jc w:val="left"/>
            </w:pPr>
            <w:r>
              <w:t xml:space="preserve">SS-31 (elamipretida)</w:t>
            </w:r>
          </w:p>
        </w:tc>
        <w:tc>
          <w:tcPr/>
          <w:p>
            <w:pPr>
              <w:pStyle w:val="Compact"/>
              <w:jc w:val="left"/>
            </w:pPr>
            <w:r>
              <w:t xml:space="preserve">B</w:t>
            </w:r>
          </w:p>
        </w:tc>
        <w:tc>
          <w:tcPr/>
          <w:p>
            <w:pPr>
              <w:pStyle w:val="Compact"/>
              <w:jc w:val="left"/>
            </w:pPr>
            <w:r>
              <w:t xml:space="preserve">EE. UU. (síndrome de Barth)</w:t>
            </w:r>
          </w:p>
        </w:tc>
        <w:tc>
          <w:tcPr/>
          <w:p>
            <w:pPr>
              <w:pStyle w:val="Compact"/>
              <w:jc w:val="left"/>
            </w:pPr>
            <w:r>
              <w:t xml:space="preserve">estudios grandes mayoritariamente negativos</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no</w:t>
            </w:r>
          </w:p>
        </w:tc>
        <w:tc>
          <w:tcPr/>
          <w:p>
            <w:pPr>
              <w:pStyle w:val="Compact"/>
              <w:jc w:val="left"/>
            </w:pPr>
            <w:r>
              <w:t xml:space="preserve">senolítico, solo datos en animales</w:t>
            </w:r>
          </w:p>
        </w:tc>
      </w:tr>
      <w:tr>
        <w:tc>
          <w:tcPr/>
          <w:p>
            <w:pPr>
              <w:pStyle w:val="Compact"/>
              <w:jc w:val="left"/>
            </w:pPr>
            <w:r>
              <w:t xml:space="preserve">Glutatión</w:t>
            </w:r>
          </w:p>
        </w:tc>
        <w:tc>
          <w:tcPr/>
          <w:p>
            <w:pPr>
              <w:pStyle w:val="Compact"/>
              <w:jc w:val="left"/>
            </w:pPr>
            <w:r>
              <w:t xml:space="preserve">B</w:t>
            </w:r>
          </w:p>
        </w:tc>
        <w:tc>
          <w:tcPr/>
          <w:p>
            <w:pPr>
              <w:pStyle w:val="Compact"/>
              <w:jc w:val="left"/>
            </w:pPr>
            <w:r>
              <w:t xml:space="preserve">complemento alimenticio</w:t>
            </w:r>
          </w:p>
        </w:tc>
        <w:tc>
          <w:tcPr/>
          <w:p>
            <w:pPr>
              <w:pStyle w:val="Compact"/>
              <w:jc w:val="left"/>
            </w:pPr>
            <w:r>
              <w:t xml:space="preserve">infusiones para aclarar la piel, arriesgadas</w:t>
            </w:r>
          </w:p>
        </w:tc>
      </w:tr>
    </w:tbl>
    <w:bookmarkEnd w:id="597"/>
    <w:bookmarkStart w:id="598" w:name="nota-de-lectura"/>
    <w:p>
      <w:pPr>
        <w:pStyle w:val="Heading3"/>
      </w:pPr>
      <w:r>
        <w:t xml:space="preserve">Nota de lectura</w:t>
      </w:r>
    </w:p>
    <w:p>
      <w:pPr>
        <w:pStyle w:val="FirstParagraph"/>
      </w:pPr>
      <w:r>
        <w:t xml:space="preserve">Los capítulos siguen la estructura uniforme de este libro. Preste especial atención en cada capítulo al apartado «Estudios en humanos» y, dentro de él, a la magnitud de los datos disponibles: en nueve de los doce péptidos no existe ningún estudio en el que personas recibieran el principio activo, o solo hay investigaciones muy pequeñas y metodológicamente débiles. La situación legal y el estatus ante la FDA cambiaron varias veces en 2026; los datos corresponden a la situación de octubre de 2026 y conviene comprobarlos en su versión actual.</w:t>
      </w:r>
    </w:p>
    <w:bookmarkEnd w:id="598"/>
    <w:bookmarkStart w:id="610" w:name="semax"/>
    <w:p>
      <w:pPr>
        <w:pStyle w:val="Heading2"/>
      </w:pPr>
      <w:r>
        <w:t xml:space="preserve">Semax</w:t>
      </w:r>
    </w:p>
    <w:bookmarkStart w:id="599" w:name="ficha-34"/>
    <w:p>
      <w:pPr>
        <w:pStyle w:val="Heading3"/>
      </w:pPr>
      <w:r>
        <w:t xml:space="preserve">Ficha</w:t>
      </w:r>
    </w:p>
    <w:p>
      <w:pPr>
        <w:numPr>
          <w:ilvl w:val="0"/>
          <w:numId w:val="1192"/>
        </w:numPr>
        <w:pStyle w:val="Compact"/>
      </w:pPr>
      <w:r>
        <w:rPr>
          <w:bCs/>
          <w:b/>
        </w:rPr>
        <w:t xml:space="preserve">Tipo y estructura:</w:t>
      </w:r>
      <w:r>
        <w:t xml:space="preserve"> </w:t>
      </w:r>
      <w:r>
        <w:t xml:space="preserve">heptapéptido sintético (siete aminoácidos: Met-Glu-His-Phe-Pro-Gly-Pro). Los cuatro primeros componentes corresponden a un fragmento de la hormona del estrés ACTH (hormona adrenocorticotropa, segmento 4–7), al que se ha añadido el tripéptido Pro-Gly-Pro, que debería ralentizar su degradación.</w:t>
      </w:r>
    </w:p>
    <w:p>
      <w:pPr>
        <w:numPr>
          <w:ilvl w:val="0"/>
          <w:numId w:val="1192"/>
        </w:numPr>
        <w:pStyle w:val="Compact"/>
      </w:pPr>
      <w:r>
        <w:rPr>
          <w:bCs/>
          <w:b/>
        </w:rPr>
        <w:t xml:space="preserve">Origen:</w:t>
      </w:r>
      <w:r>
        <w:t xml:space="preserve"> </w:t>
      </w:r>
      <w:r>
        <w:t xml:space="preserve">desarrollado a partir de la década de 1980 en el Instituto de Genética Molecular de la Academia Rusa de Ciencias, en Moscú.</w:t>
      </w:r>
    </w:p>
    <w:p>
      <w:pPr>
        <w:numPr>
          <w:ilvl w:val="0"/>
          <w:numId w:val="1192"/>
        </w:numPr>
        <w:pStyle w:val="Compact"/>
      </w:pPr>
      <w:r>
        <w:rPr>
          <w:bCs/>
          <w:b/>
        </w:rPr>
        <w:t xml:space="preserve">Mecanismo de acción:</w:t>
      </w:r>
      <w:r>
        <w:t xml:space="preserve"> </w:t>
      </w:r>
      <w:r>
        <w:t xml:space="preserve">debería estimular la formación de factores de crecimiento nervioso (sobre todo BDNF) y proteger las neuronas en caso de falta de oxígeno; a diferencia de la ACTH, no estimula a la glándula suprarrenal a liberar cortisol. Se administra en gotas nasales.</w:t>
      </w:r>
    </w:p>
    <w:p>
      <w:pPr>
        <w:numPr>
          <w:ilvl w:val="0"/>
          <w:numId w:val="1192"/>
        </w:numPr>
        <w:pStyle w:val="Compact"/>
      </w:pPr>
      <w:r>
        <w:rPr>
          <w:bCs/>
          <w:b/>
        </w:rPr>
        <w:t xml:space="preserve">Autorización UE:</w:t>
      </w:r>
      <w:r>
        <w:t xml:space="preserve"> </w:t>
      </w:r>
      <w:r>
        <w:t xml:space="preserve">no.</w:t>
      </w:r>
    </w:p>
    <w:p>
      <w:pPr>
        <w:numPr>
          <w:ilvl w:val="0"/>
          <w:numId w:val="1192"/>
        </w:numPr>
        <w:pStyle w:val="Compact"/>
      </w:pPr>
      <w:r>
        <w:rPr>
          <w:bCs/>
          <w:b/>
        </w:rPr>
        <w:t xml:space="preserve">Autorización EE. UU.:</w:t>
      </w:r>
      <w:r>
        <w:t xml:space="preserve"> </w:t>
      </w:r>
      <w:r>
        <w:t xml:space="preserve">no. A partir de 2023, Semax figuró en la lista de la FDA de sustancias con posibles riesgos de seguridad para preparados de farmacia («categoría 2»); en abril de 2026 se retiró de ella y en julio de 2026 el comité asesor PCAC recomendó por estrecho margen su inclusión en la lista de sustancias admisibles para fórmulas magistrales. Eso no equivale a una autorización como medicamento.</w:t>
      </w:r>
    </w:p>
    <w:p>
      <w:pPr>
        <w:numPr>
          <w:ilvl w:val="0"/>
          <w:numId w:val="1192"/>
        </w:numPr>
        <w:pStyle w:val="Compact"/>
      </w:pPr>
      <w:r>
        <w:rPr>
          <w:bCs/>
          <w:b/>
        </w:rPr>
        <w:t xml:space="preserve">Rusia y algunos países vecinos:</w:t>
      </w:r>
      <w:r>
        <w:t xml:space="preserve"> </w:t>
      </w:r>
      <w:r>
        <w:t xml:space="preserve">registrado como medicamento (gotas nasales; solución al 0,1 % como nootrópico, solución al 1 % para el ictus).</w:t>
      </w:r>
    </w:p>
    <w:p>
      <w:pPr>
        <w:numPr>
          <w:ilvl w:val="0"/>
          <w:numId w:val="1192"/>
        </w:numPr>
        <w:pStyle w:val="Compact"/>
      </w:pPr>
      <w:r>
        <w:rPr>
          <w:bCs/>
          <w:b/>
        </w:rPr>
        <w:t xml:space="preserve">WADA:</w:t>
      </w:r>
      <w:r>
        <w:t xml:space="preserve"> </w:t>
      </w:r>
      <w:r>
        <w:t xml:space="preserve">no figura nominalmente. Como Semax está autorizado en Rusia, no entra claramente en la categoría general S0 de sustancias no aprobadas (situación en 2026; compruebe la información actualizada).</w:t>
      </w:r>
    </w:p>
    <w:p>
      <w:pPr>
        <w:numPr>
          <w:ilvl w:val="0"/>
          <w:numId w:val="1192"/>
        </w:numPr>
        <w:pStyle w:val="Compact"/>
      </w:pPr>
      <w:r>
        <w:rPr>
          <w:bCs/>
          <w:b/>
        </w:rPr>
        <w:t xml:space="preserve">Nivel de evidencia:</w:t>
      </w:r>
      <w:r>
        <w:t xml:space="preserve"> </w:t>
      </w:r>
      <w:r>
        <w:rPr>
          <w:bCs/>
          <w:b/>
        </w:rPr>
        <w:t xml:space="preserve">C</w:t>
      </w:r>
      <w:r>
        <w:t xml:space="preserve"> </w:t>
      </w:r>
      <w:r>
        <w:t xml:space="preserve">– pocos estudios pequeños, mayoritariamente no aleatorizados, de centros rusos.</w:t>
      </w:r>
    </w:p>
    <w:bookmarkEnd w:id="599"/>
    <w:bookmarkStart w:id="600" w:name="cómo-se-supone-que-actúa-34"/>
    <w:p>
      <w:pPr>
        <w:pStyle w:val="Heading3"/>
      </w:pPr>
      <w:r>
        <w:t xml:space="preserve">Cómo se supone que actúa</w:t>
      </w:r>
    </w:p>
    <w:p>
      <w:pPr>
        <w:pStyle w:val="FirstParagraph"/>
      </w:pPr>
      <w:r>
        <w:t xml:space="preserve">La ACTH es una hormona de la hipófisis que estimula a la glándula suprarrenal a producir cortisol. Ya en la década de 1970 se observó que fragmentos cortos de esta hormona –sin el efecto sobre la glándula suprarrenal– influyen en la atención y el aprendizaje en animales. Sin embargo, estos fragmentos se degradan en el organismo en cuestión de minutos. Por eso, los desarrolladores de Semax prolongaron el fragmento ACTH(4–7) con la secuencia Pro-Gly-Pro, más estable frente a las enzimas que degradan proteínas.</w:t>
      </w:r>
    </w:p>
    <w:p>
      <w:pPr>
        <w:pStyle w:val="BodyText"/>
      </w:pPr>
      <w:r>
        <w:t xml:space="preserve">Para el mecanismo de acción, los desarrolladores se apoyan sobre todo en datos en animales:</w:t>
      </w:r>
    </w:p>
    <w:p>
      <w:pPr>
        <w:numPr>
          <w:ilvl w:val="0"/>
          <w:numId w:val="1193"/>
        </w:numPr>
        <w:pStyle w:val="Compact"/>
      </w:pPr>
      <w:r>
        <w:rPr>
          <w:bCs/>
          <w:b/>
        </w:rPr>
        <w:t xml:space="preserve">Factores de crecimiento nervioso:</w:t>
      </w:r>
      <w:r>
        <w:t xml:space="preserve"> </w:t>
      </w:r>
      <w:r>
        <w:t xml:space="preserve">En ratas se encontraron sitios de unión específicos para Semax marcado en el prosencéfalo basal; tras su administración nasal aumentó allí en tres horas el contenido de BDNF (Brain-Derived Neurotrophic Factor), una proteína que favorece la capacidad de adaptación de las conexiones nerviosas. En el cerebelo no ocurrió así (Dolotov 2006, PMID 16635254).</w:t>
      </w:r>
    </w:p>
    <w:p>
      <w:pPr>
        <w:numPr>
          <w:ilvl w:val="0"/>
          <w:numId w:val="1193"/>
        </w:numPr>
        <w:pStyle w:val="Compact"/>
      </w:pPr>
      <w:r>
        <w:rPr>
          <w:bCs/>
          <w:b/>
        </w:rPr>
        <w:t xml:space="preserve">Actividad génica tras el ictus:</w:t>
      </w:r>
      <w:r>
        <w:t xml:space="preserve"> </w:t>
      </w:r>
      <w:r>
        <w:t xml:space="preserve">En un modelo de ictus en ratas, Semax modificó la actividad de numerosos genes, sobre todo del sistema inmunitario y de la formación de vasos sanguíneos (Medvedeva 2014, PMID 24661604).</w:t>
      </w:r>
    </w:p>
    <w:p>
      <w:pPr>
        <w:pStyle w:val="FirstParagraph"/>
      </w:pPr>
      <w:r>
        <w:t xml:space="preserve">No se ha identificado un receptor propio para Semax. Sigue abierto si los aumentos de BDNF medidos en ratas se producen de forma comparable en el ser humano y si bastan para obtener un beneficio.</w:t>
      </w:r>
    </w:p>
    <w:bookmarkEnd w:id="600"/>
    <w:bookmarkStart w:id="604" w:name="estudios-en-humanos-34"/>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 solo 4 publicaciones clasificadas como estudios en humanos; en total, PubMed recoge unos 210 trabajos con «Semax» en el título o el resumen, en su inmensa mayoría estudios en animales y de laboratorio. En ClinicalTrials.gov no hay registrado ni un solo estudio. En una búsqueda específica adicional se encontraron algunos pequeños trabajos clínicos más. Prácticamente todos proceden de instituciones rusas, muchos del entorno de los desarrolladores, y solo se han publicado en ruso con resumen en inglés.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Gusev 1997, PMID 11517472</w:t>
            </w:r>
          </w:p>
        </w:tc>
        <w:tc>
          <w:tcPr/>
          <w:p>
            <w:pPr>
              <w:pStyle w:val="Compact"/>
              <w:jc w:val="left"/>
            </w:pPr>
            <w:r>
              <w:t xml:space="preserve">30 personas con ictus isquémico agudo, comparación con 80 personas con tratamiento estándar, no aleatorizado</w:t>
            </w:r>
          </w:p>
        </w:tc>
        <w:tc>
          <w:tcPr/>
          <w:p>
            <w:pPr>
              <w:pStyle w:val="Compact"/>
              <w:jc w:val="left"/>
            </w:pPr>
            <w:r>
              <w:t xml:space="preserve">5–10 días de tratamiento</w:t>
            </w:r>
          </w:p>
        </w:tc>
        <w:tc>
          <w:tcPr/>
          <w:p>
            <w:pPr>
              <w:pStyle w:val="Compact"/>
              <w:jc w:val="left"/>
            </w:pPr>
            <w:r>
              <w:t xml:space="preserve">«cierta influencia» en la velocidad de recuperación de los déficits neurológicos, sin tamaños del efecto en el resumen</w:t>
            </w:r>
          </w:p>
        </w:tc>
      </w:tr>
      <w:tr>
        <w:tc>
          <w:tcPr/>
          <w:p>
            <w:pPr>
              <w:pStyle w:val="Compact"/>
              <w:jc w:val="left"/>
            </w:pPr>
            <w:r>
              <w:t xml:space="preserve">Gusev 2005, PMID 15792140</w:t>
            </w:r>
          </w:p>
        </w:tc>
        <w:tc>
          <w:tcPr/>
          <w:p>
            <w:pPr>
              <w:pStyle w:val="Compact"/>
              <w:jc w:val="left"/>
            </w:pPr>
            <w:r>
              <w:t xml:space="preserve">187 personas con trastorno crónico de la circulación cerebral</w:t>
            </w:r>
          </w:p>
        </w:tc>
        <w:tc>
          <w:tcPr/>
          <w:p>
            <w:pPr>
              <w:pStyle w:val="Compact"/>
              <w:jc w:val="left"/>
            </w:pPr>
            <w:r>
              <w:t xml:space="preserve">no indicada</w:t>
            </w:r>
          </w:p>
        </w:tc>
        <w:tc>
          <w:tcPr/>
          <w:p>
            <w:pPr>
              <w:pStyle w:val="Compact"/>
              <w:jc w:val="left"/>
            </w:pPr>
            <w:r>
              <w:t xml:space="preserve">según los autores, mejoría clínica y menos ictus; diseño y cifras no figuran en el resumen</w:t>
            </w:r>
          </w:p>
        </w:tc>
      </w:tr>
      <w:tr>
        <w:tc>
          <w:tcPr/>
          <w:p>
            <w:pPr>
              <w:pStyle w:val="Compact"/>
              <w:jc w:val="left"/>
            </w:pPr>
            <w:r>
              <w:t xml:space="preserve">Gusev 2018, PMID 29798983</w:t>
            </w:r>
          </w:p>
        </w:tc>
        <w:tc>
          <w:tcPr/>
          <w:p>
            <w:pPr>
              <w:pStyle w:val="Compact"/>
              <w:jc w:val="left"/>
            </w:pPr>
            <w:r>
              <w:t xml:space="preserve">110 personas tras un ictus, rehabilitación precoz o tardía, en cada caso con o sin Semax</w:t>
            </w:r>
          </w:p>
        </w:tc>
        <w:tc>
          <w:tcPr/>
          <w:p>
            <w:pPr>
              <w:pStyle w:val="Compact"/>
              <w:jc w:val="left"/>
            </w:pPr>
            <w:r>
              <w:t xml:space="preserve">unos 5 meses</w:t>
            </w:r>
          </w:p>
        </w:tc>
        <w:tc>
          <w:tcPr/>
          <w:p>
            <w:pPr>
              <w:pStyle w:val="Compact"/>
              <w:jc w:val="left"/>
            </w:pPr>
            <w:r>
              <w:t xml:space="preserve">nivel de BDNF en sangre más alto, mejoría más rápida en el índice de Barthel</w:t>
            </w:r>
          </w:p>
        </w:tc>
      </w:tr>
      <w:tr>
        <w:tc>
          <w:tcPr/>
          <w:p>
            <w:pPr>
              <w:pStyle w:val="Compact"/>
              <w:jc w:val="left"/>
            </w:pPr>
            <w:r>
              <w:t xml:space="preserve">Serdiuk 2007, PMID 18379501</w:t>
            </w:r>
          </w:p>
        </w:tc>
        <w:tc>
          <w:tcPr/>
          <w:p>
            <w:pPr>
              <w:pStyle w:val="Compact"/>
              <w:jc w:val="left"/>
            </w:pPr>
            <w:r>
              <w:t xml:space="preserve">27 personas con enfermedad de la motoneurona (p. ej., ELA), abierto</w:t>
            </w:r>
          </w:p>
        </w:tc>
        <w:tc>
          <w:tcPr/>
          <w:p>
            <w:pPr>
              <w:pStyle w:val="Compact"/>
              <w:jc w:val="left"/>
            </w:pPr>
            <w:r>
              <w:t xml:space="preserve">48 días</w:t>
            </w:r>
          </w:p>
        </w:tc>
        <w:tc>
          <w:tcPr/>
          <w:p>
            <w:pPr>
              <w:pStyle w:val="Compact"/>
              <w:jc w:val="left"/>
            </w:pPr>
            <w:r>
              <w:t xml:space="preserve">sin influencia en la evolución de la enfermedad ni en los hallazgos musculares; mejores valores de calidad de vida</w:t>
            </w:r>
          </w:p>
        </w:tc>
      </w:tr>
      <w:tr>
        <w:tc>
          <w:tcPr/>
          <w:p>
            <w:pPr>
              <w:pStyle w:val="Compact"/>
              <w:jc w:val="left"/>
            </w:pPr>
            <w:r>
              <w:t xml:space="preserve">Polunin 2000, PMID 10741256</w:t>
            </w:r>
          </w:p>
        </w:tc>
        <w:tc>
          <w:tcPr/>
          <w:p>
            <w:pPr>
              <w:pStyle w:val="Compact"/>
              <w:jc w:val="left"/>
            </w:pPr>
            <w:r>
              <w:t xml:space="preserve">personas con enfermedades del nervio óptico, tres grupos incl. control</w:t>
            </w:r>
          </w:p>
        </w:tc>
        <w:tc>
          <w:tcPr/>
          <w:p>
            <w:pPr>
              <w:pStyle w:val="Compact"/>
              <w:jc w:val="left"/>
            </w:pPr>
            <w:r>
              <w:t xml:space="preserve">no indicada</w:t>
            </w:r>
          </w:p>
        </w:tc>
        <w:tc>
          <w:tcPr/>
          <w:p>
            <w:pPr>
              <w:pStyle w:val="Compact"/>
              <w:jc w:val="left"/>
            </w:pPr>
            <w:r>
              <w:t xml:space="preserve">según los autores, mejor agudeza visual y campo visual; sin cifras en el resumen</w:t>
            </w:r>
          </w:p>
        </w:tc>
      </w:tr>
      <w:tr>
        <w:tc>
          <w:tcPr/>
          <w:p>
            <w:pPr>
              <w:pStyle w:val="Compact"/>
              <w:jc w:val="left"/>
            </w:pPr>
            <w:r>
              <w:t xml:space="preserve">Lebedeva 2018, PMID 30225715</w:t>
            </w:r>
          </w:p>
        </w:tc>
        <w:tc>
          <w:tcPr/>
          <w:p>
            <w:pPr>
              <w:pStyle w:val="Compact"/>
              <w:jc w:val="left"/>
            </w:pPr>
            <w:r>
              <w:t xml:space="preserve">24 personas sanas, Semax (14) o placebo (10)</w:t>
            </w:r>
          </w:p>
        </w:tc>
        <w:tc>
          <w:tcPr/>
          <w:p>
            <w:pPr>
              <w:pStyle w:val="Compact"/>
              <w:jc w:val="left"/>
            </w:pPr>
            <w:r>
              <w:t xml:space="preserve">administración única, medición a los 20 minutos</w:t>
            </w:r>
          </w:p>
        </w:tc>
        <w:tc>
          <w:tcPr/>
          <w:p>
            <w:pPr>
              <w:pStyle w:val="Compact"/>
              <w:jc w:val="left"/>
            </w:pPr>
            <w:r>
              <w:t xml:space="preserve">actividad de las redes en reposo modificada en la RM funcional</w:t>
            </w:r>
          </w:p>
        </w:tc>
      </w:tr>
    </w:tbl>
    <w:bookmarkStart w:id="601" w:name="ictus"/>
    <w:p>
      <w:pPr>
        <w:pStyle w:val="Heading4"/>
      </w:pPr>
      <w:r>
        <w:t xml:space="preserve">Ictus</w:t>
      </w:r>
    </w:p>
    <w:p>
      <w:pPr>
        <w:pStyle w:val="FirstParagraph"/>
      </w:pPr>
      <w:r>
        <w:t xml:space="preserve">El ictus es el principal campo de aplicación para el que Semax está registrado en Rusia. Su base es escasa. En el primer estudio clínico, 30 personas con ictus agudo recibieron Semax además del tratamiento estándar; como comparación sirvieron 80 personas que solo recibieron el tratamiento estándar. Los grupos no se asignaron por sorteo. Los autores informan de una «cierta influencia» en la regresión de los déficits, sobre todo de las parálisis (Gusev 1997, PMID 11517472). Un trabajo posterior del mismo grupo examinó mensajeros inflamatorios en la sangre y era expresamente un análisis retrospectivo (Miasoedova 1999, PMID 10358912).</w:t>
      </w:r>
    </w:p>
    <w:p>
      <w:pPr>
        <w:pStyle w:val="BodyText"/>
      </w:pPr>
      <w:r>
        <w:t xml:space="preserve">El estudio más grande hasta la fecha, con 110 personas tras un ictus, comparó la rehabilitación precoz y la tardía, en cada caso con o sin Semax. Con Semax aumentó el nivel de BDNF en el plasma sanguíneo y se mantuvo elevado durante la observación; el índice de Barthel, una medida de la autonomía en la vida diaria, mejoró más rápido (Gusev 2018, PMID 29798983). El resumen no menciona ni asignación aleatoria ni enmascaramiento, y las diferencias entre los grupos no se indican como tamaño del efecto. Para demostrar un beneficio, esto no basta.</w:t>
      </w:r>
    </w:p>
    <w:p>
      <w:pPr>
        <w:pStyle w:val="BodyText"/>
      </w:pPr>
      <w:r>
        <w:t xml:space="preserve">A modo de comparación: con otros principios activos que debían «proteger las neuronas», en el ictus han fracasado hasta ahora casi todos en grandes estudios internacionales con enmascaramiento. Para Semax no existe un estudio así.</w:t>
      </w:r>
    </w:p>
    <w:bookmarkEnd w:id="601"/>
    <w:bookmarkStart w:id="602" w:name="otras-aplicaciones-2"/>
    <w:p>
      <w:pPr>
        <w:pStyle w:val="Heading4"/>
      </w:pPr>
      <w:r>
        <w:t xml:space="preserve">Otras aplicaciones</w:t>
      </w:r>
    </w:p>
    <w:p>
      <w:pPr>
        <w:numPr>
          <w:ilvl w:val="0"/>
          <w:numId w:val="1194"/>
        </w:numPr>
        <w:pStyle w:val="Compact"/>
      </w:pPr>
      <w:r>
        <w:rPr>
          <w:bCs/>
          <w:b/>
        </w:rPr>
        <w:t xml:space="preserve">Enfermedades de la motoneurona:</w:t>
      </w:r>
      <w:r>
        <w:t xml:space="preserve"> </w:t>
      </w:r>
      <w:r>
        <w:t xml:space="preserve">En un estudio abierto con 27 personas, Semax no modificó ni la evolución del daño nervioso en el electromiograma ni las escalas de valoración clínica. Los valores de calidad de vida mejoraron, sobre todo el estado de ánimo y la motivación, con mayor intensidad el décimo día (Serdiuk 2007, PMID 18379501). Sin grupo placebo no puede descartarse un efecto de expectativa.</w:t>
      </w:r>
    </w:p>
    <w:p>
      <w:pPr>
        <w:numPr>
          <w:ilvl w:val="0"/>
          <w:numId w:val="1194"/>
        </w:numPr>
        <w:pStyle w:val="Compact"/>
      </w:pPr>
      <w:r>
        <w:rPr>
          <w:bCs/>
          <w:b/>
        </w:rPr>
        <w:t xml:space="preserve">Enfermedades del nervio óptico:</w:t>
      </w:r>
      <w:r>
        <w:t xml:space="preserve"> </w:t>
      </w:r>
      <w:r>
        <w:t xml:space="preserve">Un estudio controlado informa de mejores funciones visuales con el tratamiento adicional con Semax, sin cifras en el resumen (Polunin 2000, PMID 10741256).</w:t>
      </w:r>
    </w:p>
    <w:p>
      <w:pPr>
        <w:numPr>
          <w:ilvl w:val="0"/>
          <w:numId w:val="1194"/>
        </w:numPr>
        <w:pStyle w:val="Compact"/>
      </w:pPr>
      <w:r>
        <w:rPr>
          <w:bCs/>
          <w:b/>
        </w:rPr>
        <w:t xml:space="preserve">Secuelas de la falta de oxígeno:</w:t>
      </w:r>
      <w:r>
        <w:t xml:space="preserve"> </w:t>
      </w:r>
      <w:r>
        <w:t xml:space="preserve">En 73 personas con daño cerebral tras falta de oxígeno, los autores describen un efecto sobre los trastornos de memoria. En algunas aparecieron tras la administración episodios de actividad de tipo convulsivo en el EEG; por eso, los autores aconsejan realizar la primera administración bajo control con EEG (Alekseeva 1999, PMID 10199046).</w:t>
      </w:r>
    </w:p>
    <w:p>
      <w:pPr>
        <w:numPr>
          <w:ilvl w:val="0"/>
          <w:numId w:val="1194"/>
        </w:numPr>
        <w:pStyle w:val="Compact"/>
      </w:pPr>
      <w:r>
        <w:rPr>
          <w:bCs/>
          <w:b/>
        </w:rPr>
        <w:t xml:space="preserve">Úlcera gástrica:</w:t>
      </w:r>
      <w:r>
        <w:t xml:space="preserve"> </w:t>
      </w:r>
      <w:r>
        <w:t xml:space="preserve">En un trabajo sobre úlceras gástricas resistentes al tratamiento, a los 14 días habían cicatrizado el 89,5 % de las úlceras con Semax además del tratamiento estándar, frente al 30,8 % en el grupo de control (Ivanikov 2002, PMID 12459874). El resumen no indica el tamaño de los grupos ni la asignación; los propios autores reclaman más estudios.</w:t>
      </w:r>
    </w:p>
    <w:bookmarkEnd w:id="602"/>
    <w:bookmarkStart w:id="603" w:name="personas-sanas-y-nootrópico"/>
    <w:p>
      <w:pPr>
        <w:pStyle w:val="Heading4"/>
      </w:pPr>
      <w:r>
        <w:t xml:space="preserve">Personas sanas y «nootrópico»</w:t>
      </w:r>
    </w:p>
    <w:p>
      <w:pPr>
        <w:pStyle w:val="FirstParagraph"/>
      </w:pPr>
      <w:r>
        <w:t xml:space="preserve">En internet, Semax se ofrece sobre todo como sustancia para aumentar la concentración y la memoria en personas sanas. Faltan estudios sólidos al respecto. Una revisión de los desarrolladores de la década de 1990 afirma que Semax mejora la memoria y la atención de hombres sanos «en condiciones extremas», pero no indica datos de estudios en el resumen (Asmarin 1997, PMID 9173745). Dos pequeños estudios de neuroimagen en personas sanas mostraron, tras una administración única, patrones de actividad modificados en la RM funcional (Lebedeva 2018, PMID 30225715; Panikratova 2020, PMID 32342318, 52 personas sanas con Semax, Selank o placebo). Sin embargo, una actividad cerebral modificada en el escáner no demuestra un mejor rendimiento en la vida diaria.</w:t>
      </w:r>
    </w:p>
    <w:bookmarkEnd w:id="603"/>
    <w:bookmarkEnd w:id="604"/>
    <w:bookmarkStart w:id="605" w:name="estudios-en-animales-y-de-laboratorio-34"/>
    <w:p>
      <w:pPr>
        <w:pStyle w:val="Heading3"/>
      </w:pPr>
      <w:r>
        <w:t xml:space="preserve">Estudios en animales y de laboratorio</w:t>
      </w:r>
    </w:p>
    <w:p>
      <w:pPr>
        <w:pStyle w:val="FirstParagraph"/>
      </w:pPr>
      <w:r>
        <w:t xml:space="preserve">La literatura preclínica es amplia y procede igualmente, en su mayor parte, de Moscú:</w:t>
      </w:r>
    </w:p>
    <w:p>
      <w:pPr>
        <w:numPr>
          <w:ilvl w:val="0"/>
          <w:numId w:val="1195"/>
        </w:numPr>
        <w:pStyle w:val="Compact"/>
      </w:pPr>
      <w:r>
        <w:t xml:space="preserve">En ratas con ictus provocado artificialmente, Semax modificó la actividad de genes del sistema inmunitario y vascular (Medvedeva 2014, PMID 24661604).</w:t>
      </w:r>
    </w:p>
    <w:p>
      <w:pPr>
        <w:numPr>
          <w:ilvl w:val="0"/>
          <w:numId w:val="1195"/>
        </w:numPr>
        <w:pStyle w:val="Compact"/>
      </w:pPr>
      <w:r>
        <w:t xml:space="preserve">En ratas cuyo sistema dopaminérgico se había dañado con la neurotoxina MPTP, Semax redujo los trastornos motores y de ansiedad (Levitskaya 2004, PMID 15341218).</w:t>
      </w:r>
    </w:p>
    <w:p>
      <w:pPr>
        <w:numPr>
          <w:ilvl w:val="0"/>
          <w:numId w:val="1195"/>
        </w:numPr>
        <w:pStyle w:val="Compact"/>
      </w:pPr>
      <w:r>
        <w:t xml:space="preserve">En ratones modificados genéticamente con depósitos similares a los del alzhéimer, Semax y un derivado mejoraron la conducta en pruebas de memoria y redujeron el número de depósitos de amiloide (Radchenko 2025, PMID 41479572).</w:t>
      </w:r>
    </w:p>
    <w:p>
      <w:pPr>
        <w:numPr>
          <w:ilvl w:val="0"/>
          <w:numId w:val="1195"/>
        </w:numPr>
        <w:pStyle w:val="Compact"/>
      </w:pPr>
      <w:r>
        <w:t xml:space="preserve">En experimentos de laboratorio, Semax se une a iones de cobre, lo que atenuó la formación de radicales de oxígeno nocivos por los complejos de amiloide y cobre (Tomasello 2025, PMID 40496623).</w:t>
      </w:r>
    </w:p>
    <w:p>
      <w:pPr>
        <w:pStyle w:val="FirstParagraph"/>
      </w:pPr>
      <w:r>
        <w:t xml:space="preserve">Estos resultados son hallazgos en animales y de laboratorio. Muchos principios activos que protegían en estos modelos fracasaron después en el ser humano.</w:t>
      </w:r>
    </w:p>
    <w:bookmarkEnd w:id="605"/>
    <w:bookmarkStart w:id="606" w:name="riesgos-y-efectos-adversos-34"/>
    <w:p>
      <w:pPr>
        <w:pStyle w:val="Heading3"/>
      </w:pPr>
      <w:r>
        <w:t xml:space="preserve">Riesgos y efectos adversos</w:t>
      </w:r>
    </w:p>
    <w:p>
      <w:pPr>
        <w:pStyle w:val="FirstParagraph"/>
      </w:pPr>
      <w:r>
        <w:rPr>
          <w:bCs/>
          <w:b/>
        </w:rPr>
        <w:t xml:space="preserve">Demostrado:</w:t>
      </w:r>
      <w:r>
        <w:t xml:space="preserve"> </w:t>
      </w:r>
      <w:r>
        <w:t xml:space="preserve">No hay datos de seguridad recogidos de forma sistemática en estudios de mayor tamaño. Los trabajos rusos describen Semax como bien tolerado, en parte también expresamente en personas mayores (Gusev 2005, PMID 15792140). Una señal a tener en cuenta es la observación de alteraciones del EEG de tipo convulsivo tras la administración en algunas personas con daño cerebral previo (Alekseeva 1999, PMID 10199046).</w:t>
      </w:r>
    </w:p>
    <w:p>
      <w:pPr>
        <w:pStyle w:val="BodyText"/>
      </w:pPr>
      <w:r>
        <w:rPr>
          <w:bCs/>
          <w:b/>
        </w:rPr>
        <w:t xml:space="preserve">Teórico:</w:t>
      </w:r>
      <w:r>
        <w:t xml:space="preserve"> </w:t>
      </w:r>
      <w:r>
        <w:t xml:space="preserve">Semax influiría en factores de crecimiento y genes inmunitarios; las consecuencias a largo plazo de tales intervenciones no se han estudiado. Faltan datos sobre embarazo, lactancia, niños, epilepsia y enfermedades psiquiátricas.</w:t>
      </w:r>
    </w:p>
    <w:p>
      <w:pPr>
        <w:pStyle w:val="BodyText"/>
      </w:pPr>
      <w:r>
        <w:rPr>
          <w:bCs/>
          <w:b/>
        </w:rPr>
        <w:t xml:space="preserve">Mercado gris:</w:t>
      </w:r>
      <w:r>
        <w:t xml:space="preserve"> </w:t>
      </w:r>
      <w:r>
        <w:t xml:space="preserve">Fuera de Rusia, Semax se vende sobre todo como «research peptide» o como solución nasal de mezcla casera. El contenido, la pureza y la esterilidad de estos productos no están comprobados. Un laboratorio de control de medicamentos identificó Semax y Selank en 2017 y 2018 en preparados desconocidos incautados y, en una búsqueda en internet, constató que estos «péptidos nootrópicos» se ofrecen libremente como polvo para inyección o como aerosol nasal (Vanhee 2020, PMID 31667971). Más información en la Parte I y la Parte IV.</w:t>
      </w:r>
    </w:p>
    <w:bookmarkEnd w:id="606"/>
    <w:bookmarkStart w:id="607" w:name="situación-legal-34"/>
    <w:p>
      <w:pPr>
        <w:pStyle w:val="Heading3"/>
      </w:pPr>
      <w:r>
        <w:t xml:space="preserve">Situación legal</w:t>
      </w:r>
    </w:p>
    <w:p>
      <w:pPr>
        <w:numPr>
          <w:ilvl w:val="0"/>
          <w:numId w:val="1196"/>
        </w:numPr>
        <w:pStyle w:val="Compact"/>
      </w:pPr>
      <w:r>
        <w:rPr>
          <w:bCs/>
          <w:b/>
        </w:rPr>
        <w:t xml:space="preserve">UE / Austria / Alemania:</w:t>
      </w:r>
      <w:r>
        <w:t xml:space="preserve"> </w:t>
      </w:r>
      <w:r>
        <w:t xml:space="preserve">Semax no está autorizado. Como sustancia con un efecto pretendido sobre las funciones corporales, se considera medicamento; su venta y publicidad sin autorización no están permitidas. La importación desde Rusia como medicamento está sujeta a las normas sobre importaciones individuales (situación en 2026; compruebe la información actualizada).</w:t>
      </w:r>
    </w:p>
    <w:p>
      <w:pPr>
        <w:numPr>
          <w:ilvl w:val="0"/>
          <w:numId w:val="1196"/>
        </w:numPr>
        <w:pStyle w:val="Compact"/>
      </w:pPr>
      <w:r>
        <w:rPr>
          <w:bCs/>
          <w:b/>
        </w:rPr>
        <w:t xml:space="preserve">EE. UU.:</w:t>
      </w:r>
      <w:r>
        <w:t xml:space="preserve"> </w:t>
      </w:r>
      <w:r>
        <w:t xml:space="preserve">no autorizado. La FDA retiró Semax en abril de 2026 de su lista de «categoría 2»; el comité asesor PCAC votó en julio de 2026, por 8 votos contra 5, a favor de incluir Semax en la lista de sustancias que las farmacias pueden utilizar para fórmulas magistrales. Los expertos de la FDA lo habían desaconsejado; la decisión de la agencia estaba pendiente al cierre de la redacción (situación en octubre de 2026; compruebe la información actualizada).</w:t>
      </w:r>
    </w:p>
    <w:p>
      <w:pPr>
        <w:numPr>
          <w:ilvl w:val="0"/>
          <w:numId w:val="1196"/>
        </w:numPr>
        <w:pStyle w:val="Compact"/>
      </w:pPr>
      <w:r>
        <w:rPr>
          <w:bCs/>
          <w:b/>
        </w:rPr>
        <w:t xml:space="preserve">Rusia:</w:t>
      </w:r>
      <w:r>
        <w:t xml:space="preserve"> </w:t>
      </w:r>
      <w:r>
        <w:t xml:space="preserve">registrado como medicamento y disponible en farmacias.</w:t>
      </w:r>
    </w:p>
    <w:p>
      <w:pPr>
        <w:numPr>
          <w:ilvl w:val="0"/>
          <w:numId w:val="1196"/>
        </w:numPr>
        <w:pStyle w:val="Compact"/>
      </w:pPr>
      <w:r>
        <w:rPr>
          <w:bCs/>
          <w:b/>
        </w:rPr>
        <w:t xml:space="preserve">Deporte:</w:t>
      </w:r>
      <w:r>
        <w:t xml:space="preserve"> </w:t>
      </w:r>
      <w:r>
        <w:t xml:space="preserve">no figura nominalmente en la lista de la WADA (situación en 2026; compruebe la información actualizada).</w:t>
      </w:r>
    </w:p>
    <w:bookmarkEnd w:id="607"/>
    <w:bookmarkStart w:id="608" w:name="estudios-en-curso-y-perspectivas-34"/>
    <w:p>
      <w:pPr>
        <w:pStyle w:val="Heading3"/>
      </w:pPr>
      <w:r>
        <w:t xml:space="preserve">Estudios en curso y perspectivas</w:t>
      </w:r>
    </w:p>
    <w:p>
      <w:pPr>
        <w:pStyle w:val="FirstParagraph"/>
      </w:pPr>
      <w:r>
        <w:rPr>
          <w:bCs/>
          <w:b/>
        </w:rPr>
        <w:t xml:space="preserve">Confirmado:</w:t>
      </w:r>
      <w:r>
        <w:t xml:space="preserve"> </w:t>
      </w:r>
      <w:r>
        <w:t xml:space="preserve">En ClinicalTrials.gov no hay registrado ningún estudio con Semax (consulta de octubre de 2026). La investigación en Rusia sigue centrándose en modelos animales, por ejemplo sobre la actividad génica tras el ictus y en modelos de alzhéimer.</w:t>
      </w:r>
    </w:p>
    <w:p>
      <w:pPr>
        <w:pStyle w:val="BodyText"/>
      </w:pPr>
      <w:r>
        <w:rPr>
          <w:bCs/>
          <w:b/>
        </w:rPr>
        <w:t xml:space="preserve">Valoración:</w:t>
      </w:r>
      <w:r>
        <w:t xml:space="preserve"> </w:t>
      </w:r>
      <w:r>
        <w:t xml:space="preserve">Sin un estudio suficientemente grande, con enmascaramiento y registrado internacionalmente, es poco probable que Semax obtenga una autorización fuera de Rusia. El debate en EE. UU. gira en torno a las fórmulas magistrales de farmacia, no a una demostración de eficacia.</w:t>
      </w:r>
    </w:p>
    <w:bookmarkEnd w:id="608"/>
    <w:bookmarkStart w:id="609" w:name="conclusión-34"/>
    <w:p>
      <w:pPr>
        <w:pStyle w:val="Heading3"/>
      </w:pPr>
      <w:r>
        <w:t xml:space="preserve">Conclusión</w:t>
      </w:r>
    </w:p>
    <w:p>
      <w:pPr>
        <w:pStyle w:val="FirstParagraph"/>
      </w:pPr>
      <w:r>
        <w:t xml:space="preserve">Semax es un péptido derivado de un fragmento de ACTH que se utiliza desde hace décadas en Rusia y que en ratas aumentó los factores de crecimiento nervioso. Los estudios en humanos son pequeños, en su mayoría no aleatorizados y proceden casi exclusivamente del entorno de los desarrolladores; en el ictus informan de una recuperación más rápida y de niveles de BDNF más altos, sin tamaños del efecto de nivel internacional. Para la mejora del rendimiento en personas sanas no hay datos concluyentes. Los datos no bastan para valorar un beneficio ni la seguridad a largo plazo.</w:t>
      </w:r>
    </w:p>
    <w:bookmarkEnd w:id="609"/>
    <w:bookmarkEnd w:id="610"/>
    <w:bookmarkStart w:id="621" w:name="selank"/>
    <w:p>
      <w:pPr>
        <w:pStyle w:val="Heading2"/>
      </w:pPr>
      <w:r>
        <w:t xml:space="preserve">Selank</w:t>
      </w:r>
    </w:p>
    <w:bookmarkStart w:id="611" w:name="ficha-35"/>
    <w:p>
      <w:pPr>
        <w:pStyle w:val="Heading3"/>
      </w:pPr>
      <w:r>
        <w:t xml:space="preserve">Ficha</w:t>
      </w:r>
    </w:p>
    <w:p>
      <w:pPr>
        <w:numPr>
          <w:ilvl w:val="0"/>
          <w:numId w:val="1197"/>
        </w:numPr>
        <w:pStyle w:val="Compact"/>
      </w:pPr>
      <w:r>
        <w:rPr>
          <w:bCs/>
          <w:b/>
        </w:rPr>
        <w:t xml:space="preserve">Tipo y estructura:</w:t>
      </w:r>
      <w:r>
        <w:t xml:space="preserve"> </w:t>
      </w:r>
      <w:r>
        <w:t xml:space="preserve">heptapéptido sintético (Thr-Lys-Pro-Arg-Pro-Gly-Pro). Los cuatro primeros aminoácidos corresponden a la tuftsina, un péptido propio del organismo que se escinde de un fragmento de anticuerpo y estimula las células inmunitarias; se le ha añadido –como a Semax– la secuencia estabilizadora Pro-Gly-Pro.</w:t>
      </w:r>
    </w:p>
    <w:p>
      <w:pPr>
        <w:numPr>
          <w:ilvl w:val="0"/>
          <w:numId w:val="1197"/>
        </w:numPr>
        <w:pStyle w:val="Compact"/>
      </w:pPr>
      <w:r>
        <w:rPr>
          <w:bCs/>
          <w:b/>
        </w:rPr>
        <w:t xml:space="preserve">Origen:</w:t>
      </w:r>
      <w:r>
        <w:t xml:space="preserve"> </w:t>
      </w:r>
      <w:r>
        <w:t xml:space="preserve">desarrollado en Moscú en el Instituto de Genética Molecular y en el Instituto de Farmacología Zakusov.</w:t>
      </w:r>
    </w:p>
    <w:p>
      <w:pPr>
        <w:numPr>
          <w:ilvl w:val="0"/>
          <w:numId w:val="1197"/>
        </w:numPr>
        <w:pStyle w:val="Compact"/>
      </w:pPr>
      <w:r>
        <w:rPr>
          <w:bCs/>
          <w:b/>
        </w:rPr>
        <w:t xml:space="preserve">Mecanismo de acción:</w:t>
      </w:r>
      <w:r>
        <w:t xml:space="preserve"> </w:t>
      </w:r>
      <w:r>
        <w:t xml:space="preserve">debería tener un efecto ansiolítico sin causar somnolencia ni dependencia como las benzodiacepinas. Se discuten una inhibición de la degradación de las encefalinas propias del organismo (mensajeros que atenúan el dolor y el estrés), así como influencias sobre el sistema GABA y sobre los mensajeros inmunitarios. Se administra en gotas nasales.</w:t>
      </w:r>
    </w:p>
    <w:p>
      <w:pPr>
        <w:numPr>
          <w:ilvl w:val="0"/>
          <w:numId w:val="1197"/>
        </w:numPr>
        <w:pStyle w:val="Compact"/>
      </w:pPr>
      <w:r>
        <w:rPr>
          <w:bCs/>
          <w:b/>
        </w:rPr>
        <w:t xml:space="preserve">Autorización UE:</w:t>
      </w:r>
      <w:r>
        <w:t xml:space="preserve"> </w:t>
      </w:r>
      <w:r>
        <w:t xml:space="preserve">no.</w:t>
      </w:r>
    </w:p>
    <w:p>
      <w:pPr>
        <w:numPr>
          <w:ilvl w:val="0"/>
          <w:numId w:val="1197"/>
        </w:numPr>
        <w:pStyle w:val="Compact"/>
      </w:pPr>
      <w:r>
        <w:rPr>
          <w:bCs/>
          <w:b/>
        </w:rPr>
        <w:t xml:space="preserve">Autorización EE. UU.:</w:t>
      </w:r>
      <w:r>
        <w:t xml:space="preserve"> </w:t>
      </w:r>
      <w:r>
        <w:t xml:space="preserve">no. En 2023, Selank figuró en la lista de «categoría 2» de la FDA para fórmulas magistrales de farmacia; el estado actual está documentado de forma poco uniforme (situación en octubre de 2026; compruebe la información actualizada).</w:t>
      </w:r>
    </w:p>
    <w:p>
      <w:pPr>
        <w:numPr>
          <w:ilvl w:val="0"/>
          <w:numId w:val="1197"/>
        </w:numPr>
        <w:pStyle w:val="Compact"/>
      </w:pPr>
      <w:r>
        <w:rPr>
          <w:bCs/>
          <w:b/>
        </w:rPr>
        <w:t xml:space="preserve">Rusia:</w:t>
      </w:r>
      <w:r>
        <w:t xml:space="preserve"> </w:t>
      </w:r>
      <w:r>
        <w:t xml:space="preserve">registrado como medicamento (ansiolítico).</w:t>
      </w:r>
    </w:p>
    <w:p>
      <w:pPr>
        <w:numPr>
          <w:ilvl w:val="0"/>
          <w:numId w:val="1197"/>
        </w:numPr>
        <w:pStyle w:val="Compact"/>
      </w:pPr>
      <w:r>
        <w:rPr>
          <w:bCs/>
          <w:b/>
        </w:rPr>
        <w:t xml:space="preserve">WADA:</w:t>
      </w:r>
      <w:r>
        <w:t xml:space="preserve"> </w:t>
      </w:r>
      <w:r>
        <w:t xml:space="preserve">no figura nominalmente (situación en 2026; compruebe la información actualizada).</w:t>
      </w:r>
    </w:p>
    <w:p>
      <w:pPr>
        <w:numPr>
          <w:ilvl w:val="0"/>
          <w:numId w:val="1197"/>
        </w:numPr>
        <w:pStyle w:val="Compact"/>
      </w:pPr>
      <w:r>
        <w:rPr>
          <w:bCs/>
          <w:b/>
        </w:rPr>
        <w:t xml:space="preserve">Nivel de evidencia:</w:t>
      </w:r>
      <w:r>
        <w:t xml:space="preserve"> </w:t>
      </w:r>
      <w:r>
        <w:rPr>
          <w:bCs/>
          <w:b/>
        </w:rPr>
        <w:t xml:space="preserve">C</w:t>
      </w:r>
      <w:r>
        <w:t xml:space="preserve"> </w:t>
      </w:r>
      <w:r>
        <w:t xml:space="preserve">– tres pequeños estudios comparativos de Rusia, sin control con placebo y sin registro.</w:t>
      </w:r>
    </w:p>
    <w:bookmarkEnd w:id="611"/>
    <w:bookmarkStart w:id="612" w:name="cómo-se-supone-que-actúa-35"/>
    <w:p>
      <w:pPr>
        <w:pStyle w:val="Heading3"/>
      </w:pPr>
      <w:r>
        <w:t xml:space="preserve">Cómo se supone que actúa</w:t>
      </w:r>
    </w:p>
    <w:p>
      <w:pPr>
        <w:pStyle w:val="FirstParagraph"/>
      </w:pPr>
      <w:r>
        <w:t xml:space="preserve">La tuftsina es un péptido corto que activa los fagocitos del sistema inmunitario. En experimentos con animales se observó que algunas de sus modificaciones influyen también en la conducta. Selank es una de esas modificaciones, que debería permanecer más tiempo en el organismo gracias al Pro-Gly-Pro añadido.</w:t>
      </w:r>
    </w:p>
    <w:p>
      <w:pPr>
        <w:pStyle w:val="BodyText"/>
      </w:pPr>
      <w:r>
        <w:t xml:space="preserve">Para el mecanismo existen varias hipótesis que se basan en datos de laboratorio y en animales:</w:t>
      </w:r>
    </w:p>
    <w:p>
      <w:pPr>
        <w:numPr>
          <w:ilvl w:val="0"/>
          <w:numId w:val="1198"/>
        </w:numPr>
        <w:pStyle w:val="Compact"/>
      </w:pPr>
      <w:r>
        <w:rPr>
          <w:bCs/>
          <w:b/>
        </w:rPr>
        <w:t xml:space="preserve">Encefalinas:</w:t>
      </w:r>
      <w:r>
        <w:t xml:space="preserve"> </w:t>
      </w:r>
      <w:r>
        <w:t xml:space="preserve">En el suero sanguíneo, Selank inhibió in vitro enzimas que degradan las encefalinas. Los investigadores encontraron además en personas con trastorno de ansiedad generalizada una semivida acortada de las encefalinas en sangre y concluyeron de ello que Selank podría actuar por esta vía (Zozulya 2001, PMID 11550013).</w:t>
      </w:r>
    </w:p>
    <w:p>
      <w:pPr>
        <w:numPr>
          <w:ilvl w:val="0"/>
          <w:numId w:val="1198"/>
        </w:numPr>
        <w:pStyle w:val="Compact"/>
      </w:pPr>
      <w:r>
        <w:rPr>
          <w:bCs/>
          <w:b/>
        </w:rPr>
        <w:t xml:space="preserve">Sistema GABA:</w:t>
      </w:r>
      <w:r>
        <w:t xml:space="preserve"> </w:t>
      </w:r>
      <w:r>
        <w:t xml:space="preserve">En ratas, una hora después de su administración, Selank modificó la actividad de 45 de 84 genes de la neurotransmisión estudiados en la corteza cerebral, de forma similar al propio mensajero GABA. Los autores suponen una influencia sobre el sistema GABA, sobre el que actúan también las benzodiacepinas (Volkova 2016, PMID 26924987).</w:t>
      </w:r>
    </w:p>
    <w:p>
      <w:pPr>
        <w:numPr>
          <w:ilvl w:val="0"/>
          <w:numId w:val="1198"/>
        </w:numPr>
        <w:pStyle w:val="Compact"/>
      </w:pPr>
      <w:r>
        <w:rPr>
          <w:bCs/>
          <w:b/>
        </w:rPr>
        <w:t xml:space="preserve">Sistema inmunitario:</w:t>
      </w:r>
      <w:r>
        <w:t xml:space="preserve"> </w:t>
      </w:r>
      <w:r>
        <w:t xml:space="preserve">En ratas y ratones, Selank influyó en genes de la inflamación; en cultivos celulares y en ratones mostró efectos contra los virus de la gripe (Ershov 2009, PMID 19882898).</w:t>
      </w:r>
    </w:p>
    <w:p>
      <w:pPr>
        <w:pStyle w:val="FirstParagraph"/>
      </w:pPr>
      <w:r>
        <w:t xml:space="preserve">No se ha publicado cuánto Selank llega realmente al cerebro en el ser humano tras su administración nasal.</w:t>
      </w:r>
    </w:p>
    <w:bookmarkEnd w:id="612"/>
    <w:bookmarkStart w:id="615" w:name="estudios-en-humanos-35"/>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 3 publicaciones clasificadas como estudios en humanos; en total, PubMed recoge unos 70 trabajos con «Selank» en el título o el resumen, casi todos experimentos con animales. La búsqueda en ClinicalTrials.gov dio 2 resultados; ambos, tras un examen más detallado, se refieren a otros procedimientos (estimulación cerebral) y no a un estudio con Selank. Por tanto, no existe ningún estudio clínico registrado con Selank.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Zozulia 2008, PMID 18454096</w:t>
            </w:r>
          </w:p>
        </w:tc>
        <w:tc>
          <w:tcPr/>
          <w:p>
            <w:pPr>
              <w:pStyle w:val="Compact"/>
              <w:jc w:val="left"/>
            </w:pPr>
            <w:r>
              <w:t xml:space="preserve">62 personas con trastorno de ansiedad generalizada o neurastenia; Selank (30) frente a medazepam (32)</w:t>
            </w:r>
          </w:p>
        </w:tc>
        <w:tc>
          <w:tcPr/>
          <w:p>
            <w:pPr>
              <w:pStyle w:val="Compact"/>
              <w:jc w:val="left"/>
            </w:pPr>
            <w:r>
              <w:t xml:space="preserve">no figura en el resumen</w:t>
            </w:r>
          </w:p>
        </w:tc>
        <w:tc>
          <w:tcPr/>
          <w:p>
            <w:pPr>
              <w:pStyle w:val="Compact"/>
              <w:jc w:val="left"/>
            </w:pPr>
            <w:r>
              <w:t xml:space="preserve">efecto ansiolítico similar de ambos fármacos; con Selank, además, efecto «activador»</w:t>
            </w:r>
          </w:p>
        </w:tc>
      </w:tr>
      <w:tr>
        <w:tc>
          <w:tcPr/>
          <w:p>
            <w:pPr>
              <w:pStyle w:val="Compact"/>
              <w:jc w:val="left"/>
            </w:pPr>
            <w:r>
              <w:t xml:space="preserve">Medvedev 2014, PMID 25176261</w:t>
            </w:r>
          </w:p>
        </w:tc>
        <w:tc>
          <w:tcPr/>
          <w:p>
            <w:pPr>
              <w:pStyle w:val="Compact"/>
              <w:jc w:val="left"/>
            </w:pPr>
            <w:r>
              <w:t xml:space="preserve">60 personas con trastornos de ansiedad y somatomorfos; Selank frente a fenazepam</w:t>
            </w:r>
          </w:p>
        </w:tc>
        <w:tc>
          <w:tcPr/>
          <w:p>
            <w:pPr>
              <w:pStyle w:val="Compact"/>
              <w:jc w:val="left"/>
            </w:pPr>
            <w:r>
              <w:t xml:space="preserve">no figura en el resumen</w:t>
            </w:r>
          </w:p>
        </w:tc>
        <w:tc>
          <w:tcPr/>
          <w:p>
            <w:pPr>
              <w:pStyle w:val="Compact"/>
              <w:jc w:val="left"/>
            </w:pPr>
            <w:r>
              <w:t xml:space="preserve">según los autores, claro efecto ansiolítico que se mantuvo una semana tras la suspensión</w:t>
            </w:r>
          </w:p>
        </w:tc>
      </w:tr>
      <w:tr>
        <w:tc>
          <w:tcPr/>
          <w:p>
            <w:pPr>
              <w:pStyle w:val="Compact"/>
              <w:jc w:val="left"/>
            </w:pPr>
            <w:r>
              <w:t xml:space="preserve">Medvedev 2015, PMID 26356395</w:t>
            </w:r>
          </w:p>
        </w:tc>
        <w:tc>
          <w:tcPr/>
          <w:p>
            <w:pPr>
              <w:pStyle w:val="Compact"/>
              <w:jc w:val="left"/>
            </w:pPr>
            <w:r>
              <w:t xml:space="preserve">70 personas; fenazepam solo (30) frente a fenazepam más Selank (40)</w:t>
            </w:r>
          </w:p>
        </w:tc>
        <w:tc>
          <w:tcPr/>
          <w:p>
            <w:pPr>
              <w:pStyle w:val="Compact"/>
              <w:jc w:val="left"/>
            </w:pPr>
            <w:r>
              <w:t xml:space="preserve">no figura en el resumen</w:t>
            </w:r>
          </w:p>
        </w:tc>
        <w:tc>
          <w:tcPr/>
          <w:p>
            <w:pPr>
              <w:pStyle w:val="Compact"/>
              <w:jc w:val="left"/>
            </w:pPr>
            <w:r>
              <w:t xml:space="preserve">inicio del efecto más rápido y menos efectos adversos del fenazepam en el grupo de combinación</w:t>
            </w:r>
          </w:p>
        </w:tc>
      </w:tr>
      <w:tr>
        <w:tc>
          <w:tcPr/>
          <w:p>
            <w:pPr>
              <w:pStyle w:val="Compact"/>
              <w:jc w:val="left"/>
            </w:pPr>
            <w:r>
              <w:t xml:space="preserve">Uchakina 2008, PMID 18577961</w:t>
            </w:r>
          </w:p>
        </w:tc>
        <w:tc>
          <w:tcPr/>
          <w:p>
            <w:pPr>
              <w:pStyle w:val="Compact"/>
              <w:jc w:val="left"/>
            </w:pPr>
            <w:r>
              <w:t xml:space="preserve">personas con trastorno de ansiedad o neurastenia</w:t>
            </w:r>
          </w:p>
        </w:tc>
        <w:tc>
          <w:tcPr/>
          <w:p>
            <w:pPr>
              <w:pStyle w:val="Compact"/>
              <w:jc w:val="left"/>
            </w:pPr>
            <w:r>
              <w:t xml:space="preserve">14 días</w:t>
            </w:r>
          </w:p>
        </w:tc>
        <w:tc>
          <w:tcPr/>
          <w:p>
            <w:pPr>
              <w:pStyle w:val="Compact"/>
              <w:jc w:val="left"/>
            </w:pPr>
            <w:r>
              <w:t xml:space="preserve">desplazamientos en el equilibrio de los mensajeros inmunitarios en sangre</w:t>
            </w:r>
          </w:p>
        </w:tc>
      </w:tr>
      <w:tr>
        <w:tc>
          <w:tcPr/>
          <w:p>
            <w:pPr>
              <w:pStyle w:val="Compact"/>
              <w:jc w:val="left"/>
            </w:pPr>
            <w:r>
              <w:t xml:space="preserve">Panikratova 2020, PMID 32342318</w:t>
            </w:r>
          </w:p>
        </w:tc>
        <w:tc>
          <w:tcPr/>
          <w:p>
            <w:pPr>
              <w:pStyle w:val="Compact"/>
              <w:jc w:val="left"/>
            </w:pPr>
            <w:r>
              <w:t xml:space="preserve">52 personas sanas; Selank, Semax o placebo, administración única</w:t>
            </w:r>
          </w:p>
        </w:tc>
        <w:tc>
          <w:tcPr/>
          <w:p>
            <w:pPr>
              <w:pStyle w:val="Compact"/>
              <w:jc w:val="left"/>
            </w:pPr>
            <w:r>
              <w:t xml:space="preserve">20 minutos</w:t>
            </w:r>
          </w:p>
        </w:tc>
        <w:tc>
          <w:tcPr/>
          <w:p>
            <w:pPr>
              <w:pStyle w:val="Compact"/>
              <w:jc w:val="left"/>
            </w:pPr>
            <w:r>
              <w:t xml:space="preserve">conexiones funcionales de la amígdala modificadas en la RM</w:t>
            </w:r>
          </w:p>
        </w:tc>
      </w:tr>
    </w:tbl>
    <w:bookmarkStart w:id="613" w:name="trastornos-de-ansiedad"/>
    <w:p>
      <w:pPr>
        <w:pStyle w:val="Heading4"/>
      </w:pPr>
      <w:r>
        <w:t xml:space="preserve">Trastornos de ansiedad</w:t>
      </w:r>
    </w:p>
    <w:p>
      <w:pPr>
        <w:pStyle w:val="FirstParagraph"/>
      </w:pPr>
      <w:r>
        <w:t xml:space="preserve">Los tres estudios clínicos compararon Selank con benzodiacepinas: medazepam o el fenazepam, muy extendido en Rusia. En el primer estudio, con 62 personas, el efecto ansiolítico de Selank y del medazepam en las escalas de cuestionario (Hamilton, Zung, CGI) fue similar; Selank habría actuado además contra el agotamiento. Los investigadores midieron también la semivida del mensajero leu-encefalina en sangre, que aumentó con Selank (Zozulia 2008, PMID 18454096). En un segundo estudio, con 60 personas, se describe un marcado efecto ansiolítico y un ligero efecto favorecedor de la memoria, que se mantuvieron una semana más allá del final del tratamiento (Medvedev 2014, PMID 25176261).</w:t>
      </w:r>
    </w:p>
    <w:p>
      <w:pPr>
        <w:pStyle w:val="BodyText"/>
      </w:pPr>
      <w:r>
        <w:t xml:space="preserve">El tercer estudio examinó Selank como complemento: 40 personas recibieron fenazepam más Selank y 30 solo fenazepam. En el grupo de combinación, según los autores, el efecto se inició antes y los efectos adversos típicos de las benzodiacepinas, como los trastornos de la atención y la memoria, el cansancio y los trastornos sexuales, fueron menos frecuentes, también tras la suspensión del tranquilizante (Medvedev 2015, PMID 26356395).</w:t>
      </w:r>
    </w:p>
    <w:p>
      <w:pPr>
        <w:pStyle w:val="BodyText"/>
      </w:pPr>
      <w:r>
        <w:t xml:space="preserve">Estos resultados suenan alentadores, pero tienen límites claros:</w:t>
      </w:r>
    </w:p>
    <w:p>
      <w:pPr>
        <w:numPr>
          <w:ilvl w:val="0"/>
          <w:numId w:val="1199"/>
        </w:numPr>
        <w:pStyle w:val="Compact"/>
      </w:pPr>
      <w:r>
        <w:rPr>
          <w:bCs/>
          <w:b/>
        </w:rPr>
        <w:t xml:space="preserve">Sin placebo:</w:t>
      </w:r>
      <w:r>
        <w:t xml:space="preserve"> </w:t>
      </w:r>
      <w:r>
        <w:t xml:space="preserve">En los trastornos de ansiedad, las molestias suelen mejorar considerablemente también con medicamentos simulados. Sin grupo placebo no puede decirse qué parte corresponde a Selank.</w:t>
      </w:r>
    </w:p>
    <w:p>
      <w:pPr>
        <w:numPr>
          <w:ilvl w:val="0"/>
          <w:numId w:val="1199"/>
        </w:numPr>
        <w:pStyle w:val="Compact"/>
      </w:pPr>
      <w:r>
        <w:rPr>
          <w:bCs/>
          <w:b/>
        </w:rPr>
        <w:t xml:space="preserve">«De eficacia similar» no es una demostración:</w:t>
      </w:r>
      <w:r>
        <w:t xml:space="preserve"> </w:t>
      </w:r>
      <w:r>
        <w:t xml:space="preserve">Una demostración de equivalencia requiere márgenes fijados de antemano y un número suficiente de participantes. Ninguna de las dos cosas se aprecia en los resúmenes.</w:t>
      </w:r>
    </w:p>
    <w:p>
      <w:pPr>
        <w:numPr>
          <w:ilvl w:val="0"/>
          <w:numId w:val="1199"/>
        </w:numPr>
        <w:pStyle w:val="Compact"/>
      </w:pPr>
      <w:r>
        <w:rPr>
          <w:bCs/>
          <w:b/>
        </w:rPr>
        <w:t xml:space="preserve">Observación breve, grupos pequeños, sin registro:</w:t>
      </w:r>
      <w:r>
        <w:t xml:space="preserve"> </w:t>
      </w:r>
      <w:r>
        <w:t xml:space="preserve">Todos los estudios proceden de centros rusos, no se inscribieron previamente en un registro público y se publicaron en revistas especializadas en lengua rusa.</w:t>
      </w:r>
    </w:p>
    <w:bookmarkEnd w:id="613"/>
    <w:bookmarkStart w:id="614" w:name="sistema-inmunitario-y-personas-sanas"/>
    <w:p>
      <w:pPr>
        <w:pStyle w:val="Heading4"/>
      </w:pPr>
      <w:r>
        <w:t xml:space="preserve">Sistema inmunitario y personas sanas</w:t>
      </w:r>
    </w:p>
    <w:p>
      <w:pPr>
        <w:pStyle w:val="FirstParagraph"/>
      </w:pPr>
      <w:r>
        <w:t xml:space="preserve">Un trabajo describe, en personas con estados de ansiedad y agotamiento, tras 14 días de Selank, cambios en los mensajeros inmunitarios (equilibrio Th1/Th2) en la sangre; in vitro, Selank suprimió la formación del mensajero inflamatorio IL-6 en células sanguíneas de personas con depresión (Uchakina 2008, PMID 18577961). No se ha estudiado si esto tiene relevancia clínica. En personas sanas, un pequeño estudio de neuroimagen mostró tras una administración única conexiones modificadas entre la amígdala, una región cerebral importante para la ansiedad, y partes del lóbulo temporal (Panikratova 2020, PMID 32342318). No hay estudios sobre la concentración o el rendimiento en personas sanas, la principal promesa en internet.</w:t>
      </w:r>
    </w:p>
    <w:bookmarkEnd w:id="614"/>
    <w:bookmarkEnd w:id="615"/>
    <w:bookmarkStart w:id="616" w:name="estudios-en-animales-y-de-laboratorio-35"/>
    <w:p>
      <w:pPr>
        <w:pStyle w:val="Heading3"/>
      </w:pPr>
      <w:r>
        <w:t xml:space="preserve">Estudios en animales y de laboratorio</w:t>
      </w:r>
    </w:p>
    <w:p>
      <w:pPr>
        <w:numPr>
          <w:ilvl w:val="0"/>
          <w:numId w:val="1200"/>
        </w:numPr>
        <w:pStyle w:val="Compact"/>
      </w:pPr>
      <w:r>
        <w:t xml:space="preserve">En ratas con 30 semanas de consumo de alcohol, Selank impidió los trastornos de memoria y atención durante la abstinencia e influyó en el contenido de BDNF en el hipocampo y el lóbulo frontal (Kolik 2019, PMID 31625062).</w:t>
      </w:r>
    </w:p>
    <w:p>
      <w:pPr>
        <w:numPr>
          <w:ilvl w:val="0"/>
          <w:numId w:val="1200"/>
        </w:numPr>
        <w:pStyle w:val="Compact"/>
      </w:pPr>
      <w:r>
        <w:t xml:space="preserve">En ratas, Selank modificó la actividad de numerosos genes del sistema GABA (Volkova 2016, PMID 26924987).</w:t>
      </w:r>
    </w:p>
    <w:p>
      <w:pPr>
        <w:numPr>
          <w:ilvl w:val="0"/>
          <w:numId w:val="1200"/>
        </w:numPr>
        <w:pStyle w:val="Compact"/>
      </w:pPr>
      <w:r>
        <w:t xml:space="preserve">En cultivos celulares y en ratones, Selank inhibió los virus de la gripe, con más intensidad cuando se administraba antes de la infección (Ershov 2009, PMID 19882898).</w:t>
      </w:r>
    </w:p>
    <w:p>
      <w:pPr>
        <w:numPr>
          <w:ilvl w:val="0"/>
          <w:numId w:val="1200"/>
        </w:numPr>
        <w:pStyle w:val="Compact"/>
      </w:pPr>
      <w:r>
        <w:t xml:space="preserve">En otros trabajos de los mismos grupos de investigación se describen efectos en el estrés, en la abstinencia de morfina y alcohol y en modelos de párkinson en roedores.</w:t>
      </w:r>
    </w:p>
    <w:p>
      <w:pPr>
        <w:pStyle w:val="FirstParagraph"/>
      </w:pPr>
      <w:r>
        <w:t xml:space="preserve">Estos hallazgos son resultados en animales y de laboratorio y proceden en gran parte de un círculo reducido de grupos de investigación.</w:t>
      </w:r>
    </w:p>
    <w:bookmarkEnd w:id="616"/>
    <w:bookmarkStart w:id="617" w:name="riesgos-y-efectos-adversos-35"/>
    <w:p>
      <w:pPr>
        <w:pStyle w:val="Heading3"/>
      </w:pPr>
      <w:r>
        <w:t xml:space="preserve">Riesgos y efectos adversos</w:t>
      </w:r>
    </w:p>
    <w:p>
      <w:pPr>
        <w:pStyle w:val="FirstParagraph"/>
      </w:pPr>
      <w:r>
        <w:rPr>
          <w:bCs/>
          <w:b/>
        </w:rPr>
        <w:t xml:space="preserve">Demostrado:</w:t>
      </w:r>
      <w:r>
        <w:t xml:space="preserve"> </w:t>
      </w:r>
      <w:r>
        <w:t xml:space="preserve">En los pequeños estudios rusos, Selank se describe como bien tolerado; los resúmenes no indican tasas de efectos adversos recogidas de forma sistemática. Faltan datos a largo plazo y datos sobre dependencia o síntomas de abstinencia.</w:t>
      </w:r>
    </w:p>
    <w:p>
      <w:pPr>
        <w:pStyle w:val="BodyText"/>
      </w:pPr>
      <w:r>
        <w:rPr>
          <w:bCs/>
          <w:b/>
        </w:rPr>
        <w:t xml:space="preserve">Teórico:</w:t>
      </w:r>
      <w:r>
        <w:t xml:space="preserve"> </w:t>
      </w:r>
      <w:r>
        <w:t xml:space="preserve">Selank actuaría sobre los sistemas inmunitario, de las encefalinas y GABA. No se han estudiado las interacciones con tranquilizantes, alcohol o antidepresivos; el estudio ruso de combinación muestra al menos que Selank se utiliza junto con benzodiacepinas. No hay datos sobre embarazo, lactancia y niños.</w:t>
      </w:r>
    </w:p>
    <w:p>
      <w:pPr>
        <w:pStyle w:val="BodyText"/>
      </w:pPr>
      <w:r>
        <w:rPr>
          <w:bCs/>
          <w:b/>
        </w:rPr>
        <w:t xml:space="preserve">Mercado gris:</w:t>
      </w:r>
      <w:r>
        <w:t xml:space="preserve"> </w:t>
      </w:r>
      <w:r>
        <w:t xml:space="preserve">Fuera de Rusia, Selank se vende como «research peptide» en polvo para inyección o como aerosol nasal. Un laboratorio de control belga encontró Selank en preparados desconocidos incautados (Vanhee 2020, PMID 31667971). La inyección no es una vía de administración evaluada en estudios; la pureza y el contenido de estos productos no están comprobados.</w:t>
      </w:r>
    </w:p>
    <w:p>
      <w:pPr>
        <w:pStyle w:val="BodyText"/>
      </w:pPr>
      <w:r>
        <w:rPr>
          <w:bCs/>
          <w:b/>
        </w:rPr>
        <w:t xml:space="preserve">Importante:</w:t>
      </w:r>
      <w:r>
        <w:t xml:space="preserve"> </w:t>
      </w:r>
      <w:r>
        <w:t xml:space="preserve">Los trastornos de ansiedad son bien tratables, con psicoterapia y con medicamentos autorizados cuyo efecto está demostrado en grandes estudios controlados con placebo. Un péptido del mercado gris no es un sustituto.</w:t>
      </w:r>
    </w:p>
    <w:bookmarkEnd w:id="617"/>
    <w:bookmarkStart w:id="618" w:name="situación-legal-35"/>
    <w:p>
      <w:pPr>
        <w:pStyle w:val="Heading3"/>
      </w:pPr>
      <w:r>
        <w:t xml:space="preserve">Situación legal</w:t>
      </w:r>
    </w:p>
    <w:p>
      <w:pPr>
        <w:numPr>
          <w:ilvl w:val="0"/>
          <w:numId w:val="1201"/>
        </w:numPr>
        <w:pStyle w:val="Compact"/>
      </w:pPr>
      <w:r>
        <w:rPr>
          <w:bCs/>
          <w:b/>
        </w:rPr>
        <w:t xml:space="preserve">UE / Austria / Alemania:</w:t>
      </w:r>
      <w:r>
        <w:t xml:space="preserve"> </w:t>
      </w:r>
      <w:r>
        <w:t xml:space="preserve">no autorizado; como sustancia con efecto farmacológico, Selank se considera medicamento, y su comercialización sin autorización no está permitida (situación en 2026; compruebe la información actualizada).</w:t>
      </w:r>
    </w:p>
    <w:p>
      <w:pPr>
        <w:numPr>
          <w:ilvl w:val="0"/>
          <w:numId w:val="1201"/>
        </w:numPr>
        <w:pStyle w:val="Compact"/>
      </w:pPr>
      <w:r>
        <w:rPr>
          <w:bCs/>
          <w:b/>
        </w:rPr>
        <w:t xml:space="preserve">EE. UU.:</w:t>
      </w:r>
      <w:r>
        <w:t xml:space="preserve"> </w:t>
      </w:r>
      <w:r>
        <w:t xml:space="preserve">no autorizado. En 2023, Selank se incluyó en la «categoría 2» de la FDA de sustancias para fórmulas magistrales con problemas de seguridad; según informaciones posteriores, la nominación se retiró. Selank no figuraba entre los péptidos que el comité asesor PCAC evaluó en julio de 2026. Según los conocimientos actuales, no existe autorización para fórmulas magistrales de farmacia (situación en octubre de 2026; compruebe la información actualizada).</w:t>
      </w:r>
    </w:p>
    <w:p>
      <w:pPr>
        <w:numPr>
          <w:ilvl w:val="0"/>
          <w:numId w:val="1201"/>
        </w:numPr>
        <w:pStyle w:val="Compact"/>
      </w:pPr>
      <w:r>
        <w:rPr>
          <w:bCs/>
          <w:b/>
        </w:rPr>
        <w:t xml:space="preserve">Rusia:</w:t>
      </w:r>
      <w:r>
        <w:t xml:space="preserve"> </w:t>
      </w:r>
      <w:r>
        <w:t xml:space="preserve">registrado como medicamento.</w:t>
      </w:r>
    </w:p>
    <w:p>
      <w:pPr>
        <w:numPr>
          <w:ilvl w:val="0"/>
          <w:numId w:val="1201"/>
        </w:numPr>
        <w:pStyle w:val="Compact"/>
      </w:pPr>
      <w:r>
        <w:rPr>
          <w:bCs/>
          <w:b/>
        </w:rPr>
        <w:t xml:space="preserve">Deporte:</w:t>
      </w:r>
      <w:r>
        <w:t xml:space="preserve"> </w:t>
      </w:r>
      <w:r>
        <w:t xml:space="preserve">no figura nominalmente en la lista de la WADA (situación en 2026; compruebe la información actualizada).</w:t>
      </w:r>
    </w:p>
    <w:bookmarkEnd w:id="618"/>
    <w:bookmarkStart w:id="619" w:name="estudios-en-curso-y-perspectivas-35"/>
    <w:p>
      <w:pPr>
        <w:pStyle w:val="Heading3"/>
      </w:pPr>
      <w:r>
        <w:t xml:space="preserve">Estudios en curso y perspectivas</w:t>
      </w:r>
    </w:p>
    <w:p>
      <w:pPr>
        <w:pStyle w:val="FirstParagraph"/>
      </w:pPr>
      <w:r>
        <w:rPr>
          <w:bCs/>
          <w:b/>
        </w:rPr>
        <w:t xml:space="preserve">Confirmado:</w:t>
      </w:r>
      <w:r>
        <w:t xml:space="preserve"> </w:t>
      </w:r>
      <w:r>
        <w:t xml:space="preserve">En ClinicalTrials.gov no hay registrado ningún estudio con Selank (consulta de octubre de 2026).</w:t>
      </w:r>
    </w:p>
    <w:p>
      <w:pPr>
        <w:pStyle w:val="BodyText"/>
      </w:pPr>
      <w:r>
        <w:rPr>
          <w:bCs/>
          <w:b/>
        </w:rPr>
        <w:t xml:space="preserve">Valoración:</w:t>
      </w:r>
      <w:r>
        <w:t xml:space="preserve"> </w:t>
      </w:r>
      <w:r>
        <w:t xml:space="preserve">Selank es un ejemplo de péptido que llegó a la práctica asistencial en Rusia sin cumplir los requisitos de estudio vigentes en la UE o en EE. UU. Una autorización fuera de Rusia requeriría como mínimo un estudio controlado con placebo de mayor tamaño en los trastornos de ansiedad; no hay indicios de ello.</w:t>
      </w:r>
    </w:p>
    <w:bookmarkEnd w:id="619"/>
    <w:bookmarkStart w:id="620" w:name="conclusión-35"/>
    <w:p>
      <w:pPr>
        <w:pStyle w:val="Heading3"/>
      </w:pPr>
      <w:r>
        <w:t xml:space="preserve">Conclusión</w:t>
      </w:r>
    </w:p>
    <w:p>
      <w:pPr>
        <w:pStyle w:val="FirstParagraph"/>
      </w:pPr>
      <w:r>
        <w:t xml:space="preserve">Selank es un péptido derivado de la tuftsina que está registrado en Rusia como ansiolítico. Tres pequeños estudios rusos describen un efecto ansiolítico similar al de las benzodiacepinas, pero ninguno tuvo grupo placebo ni se registró previamente. Las hipótesis sobre el mecanismo relativas a las encefalinas, el GABA y el sistema inmunitario se basan en datos de laboratorio y en animales. Los datos no bastan para valorar la eficacia y la seguridad según los criterios actuales.</w:t>
      </w:r>
    </w:p>
    <w:bookmarkEnd w:id="620"/>
    <w:bookmarkEnd w:id="621"/>
    <w:bookmarkStart w:id="638" w:name="cerebrolisina"/>
    <w:p>
      <w:pPr>
        <w:pStyle w:val="Heading2"/>
      </w:pPr>
      <w:r>
        <w:t xml:space="preserve">Cerebrolisina</w:t>
      </w:r>
    </w:p>
    <w:bookmarkStart w:id="622" w:name="ficha-36"/>
    <w:p>
      <w:pPr>
        <w:pStyle w:val="Heading3"/>
      </w:pPr>
      <w:r>
        <w:t xml:space="preserve">Ficha</w:t>
      </w:r>
    </w:p>
    <w:p>
      <w:pPr>
        <w:numPr>
          <w:ilvl w:val="0"/>
          <w:numId w:val="1202"/>
        </w:numPr>
        <w:pStyle w:val="Compact"/>
      </w:pPr>
      <w:r>
        <w:rPr>
          <w:bCs/>
          <w:b/>
        </w:rPr>
        <w:t xml:space="preserve">Tipo y estructura:</w:t>
      </w:r>
      <w:r>
        <w:t xml:space="preserve"> </w:t>
      </w:r>
      <w:r>
        <w:t xml:space="preserve">no es un péptido único, sino una mezcla de péptidos cortos y aminoácidos libres. Se obtiene mediante la escisión enzimática de proteínas purificadas de cerebro de cerdo. Su composición exacta no está descrita por completo; el fabricante estandariza el preparado mediante su procedimiento de fabricación y pruebas biológicas.</w:t>
      </w:r>
    </w:p>
    <w:p>
      <w:pPr>
        <w:numPr>
          <w:ilvl w:val="0"/>
          <w:numId w:val="1202"/>
        </w:numPr>
        <w:pStyle w:val="Compact"/>
      </w:pPr>
      <w:r>
        <w:rPr>
          <w:bCs/>
          <w:b/>
        </w:rPr>
        <w:t xml:space="preserve">Origen:</w:t>
      </w:r>
      <w:r>
        <w:t xml:space="preserve"> </w:t>
      </w:r>
      <w:r>
        <w:t xml:space="preserve">fabricada desde hace décadas por una empresa austriaca (actualmente EVER Neuro Pharma, Unterach am Attersee).</w:t>
      </w:r>
    </w:p>
    <w:p>
      <w:pPr>
        <w:numPr>
          <w:ilvl w:val="0"/>
          <w:numId w:val="1202"/>
        </w:numPr>
        <w:pStyle w:val="Compact"/>
      </w:pPr>
      <w:r>
        <w:rPr>
          <w:bCs/>
          <w:b/>
        </w:rPr>
        <w:t xml:space="preserve">Mecanismo de acción:</w:t>
      </w:r>
      <w:r>
        <w:t xml:space="preserve"> </w:t>
      </w:r>
      <w:r>
        <w:t xml:space="preserve">debería imitar efectos de los factores de crecimiento nervioso propios del organismo: proteger las neuronas (neuroprotección) y favorecer los procesos de reparación y remodelación (neurorregeneración). Se administra en infusión o inyección intravenosa, por lo general en ciclos de 10 a 21 días.</w:t>
      </w:r>
    </w:p>
    <w:p>
      <w:pPr>
        <w:numPr>
          <w:ilvl w:val="0"/>
          <w:numId w:val="1202"/>
        </w:numPr>
        <w:pStyle w:val="Compact"/>
      </w:pPr>
      <w:r>
        <w:rPr>
          <w:bCs/>
          <w:b/>
        </w:rPr>
        <w:t xml:space="preserve">Autorización UE:</w:t>
      </w:r>
      <w:r>
        <w:t xml:space="preserve"> </w:t>
      </w:r>
      <w:r>
        <w:t xml:space="preserve">sin autorización centralizada en la UE. Autorizada a nivel nacional en Austria y en una serie de otros Estados, sobre todo de Europa central y oriental (según el país, para el ictus, el traumatismo craneoencefálico y la demencia). En Alemania, según nuestros conocimientos, no se comercializa (situación en 2026; compruebe la información actualizada).</w:t>
      </w:r>
    </w:p>
    <w:p>
      <w:pPr>
        <w:numPr>
          <w:ilvl w:val="0"/>
          <w:numId w:val="1202"/>
        </w:numPr>
        <w:pStyle w:val="Compact"/>
      </w:pPr>
      <w:r>
        <w:rPr>
          <w:bCs/>
          <w:b/>
        </w:rPr>
        <w:t xml:space="preserve">Autorización EE. UU.:</w:t>
      </w:r>
      <w:r>
        <w:t xml:space="preserve"> </w:t>
      </w:r>
      <w:r>
        <w:t xml:space="preserve">no.</w:t>
      </w:r>
    </w:p>
    <w:p>
      <w:pPr>
        <w:numPr>
          <w:ilvl w:val="0"/>
          <w:numId w:val="1202"/>
        </w:numPr>
        <w:pStyle w:val="Compact"/>
      </w:pPr>
      <w:r>
        <w:rPr>
          <w:bCs/>
          <w:b/>
        </w:rPr>
        <w:t xml:space="preserve">Otros países:</w:t>
      </w:r>
      <w:r>
        <w:t xml:space="preserve"> </w:t>
      </w:r>
      <w:r>
        <w:t xml:space="preserve">ampliamente utilizada en Rusia, otros Estados sucesores de la Unión Soviética, China y otros países asiáticos.</w:t>
      </w:r>
    </w:p>
    <w:p>
      <w:pPr>
        <w:numPr>
          <w:ilvl w:val="0"/>
          <w:numId w:val="1202"/>
        </w:numPr>
        <w:pStyle w:val="Compact"/>
      </w:pPr>
      <w:r>
        <w:rPr>
          <w:bCs/>
          <w:b/>
        </w:rPr>
        <w:t xml:space="preserve">WADA:</w:t>
      </w:r>
      <w:r>
        <w:t xml:space="preserve"> </w:t>
      </w:r>
      <w:r>
        <w:t xml:space="preserve">no figura en la lista (situación en 2026; compruebe la información actualizada).</w:t>
      </w:r>
    </w:p>
    <w:p>
      <w:pPr>
        <w:numPr>
          <w:ilvl w:val="0"/>
          <w:numId w:val="1202"/>
        </w:numPr>
        <w:pStyle w:val="Compact"/>
      </w:pPr>
      <w:r>
        <w:rPr>
          <w:bCs/>
          <w:b/>
        </w:rPr>
        <w:t xml:space="preserve">Nivel de evidencia:</w:t>
      </w:r>
      <w:r>
        <w:t xml:space="preserve"> </w:t>
      </w:r>
      <w:r>
        <w:rPr>
          <w:bCs/>
          <w:b/>
        </w:rPr>
        <w:t xml:space="preserve">B</w:t>
      </w:r>
      <w:r>
        <w:t xml:space="preserve"> </w:t>
      </w:r>
      <w:r>
        <w:t xml:space="preserve">– numerosos estudios aleatorizados y controlados con placebo, entre ellos uno grande con más de 1000 participantes; sin embargo, los resultados son heterogéneos, y las dos grandes revisiones Cochrane independientes llegan a valoraciones prudentes.</w:t>
      </w:r>
    </w:p>
    <w:bookmarkEnd w:id="622"/>
    <w:bookmarkStart w:id="623" w:name="cómo-se-supone-que-actúa-36"/>
    <w:p>
      <w:pPr>
        <w:pStyle w:val="Heading3"/>
      </w:pPr>
      <w:r>
        <w:t xml:space="preserve">Cómo se supone que actúa</w:t>
      </w:r>
    </w:p>
    <w:p>
      <w:pPr>
        <w:pStyle w:val="FirstParagraph"/>
      </w:pPr>
      <w:r>
        <w:t xml:space="preserve">Los factores de crecimiento nervioso como el BDNF, el NGF o el CNTF son proteínas que mantienen con vida a las neuronas, estimulan la brotación de nuevas conexiones y favorecen la formación de nuevas neuronas en determinadas regiones cerebrales. Como medicamentos resultan difíciles: son grandes, apenas atraviesan la barrera hematoencefálica y actúan en muchos lugares a la vez.</w:t>
      </w:r>
    </w:p>
    <w:p>
      <w:pPr>
        <w:pStyle w:val="BodyText"/>
      </w:pPr>
      <w:r>
        <w:t xml:space="preserve">La cerebrolisina sigue otro enfoque. A partir de proteínas de cerebro de cerdo se obtiene, mediante una escisión controlada, una mezcla de pequeños fragmentos. El fabricante y los investigadores vinculados a él parten de la base de que algunos de estos fragmentos desencadenan señales similares a las de los factores de crecimiento propios del organismo. Por eso se habla de un principio activo «multimodal», es decir, uno que debería influir en muchas vías a la vez.</w:t>
      </w:r>
    </w:p>
    <w:p>
      <w:pPr>
        <w:pStyle w:val="BodyText"/>
      </w:pPr>
      <w:r>
        <w:t xml:space="preserve">Para las lectoras y los lectores esto significa dos cosas: en primer lugar, el mecanismo se deduce sobre todo de experimentos con animales y con células. En segundo lugar, en una mezcla es difícil decir qué componente es responsable de qué y cuánto llega realmente al cerebro.</w:t>
      </w:r>
    </w:p>
    <w:bookmarkEnd w:id="623"/>
    <w:bookmarkStart w:id="632" w:name="estudios-en-humanos-36"/>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 88 publicaciones clasificadas como estudios en humanos, además de 15 metaanálisis y revisiones sistemáticas (entre ellas ocho versiones de revisiones Cochrane). En ClinicalTrials.gov había registrados 43 estudios, la mayoría sobre el ictus, algunos sobre el traumatismo craneoencefálico, la demencia, la hemorragia cerebral, el delirio y –durante la pandemia– la pérdida del olfato tras la COVID-19. Una gran parte de los estudios fue financiada o apoyada por el fabricante; muchos trabajos más pequeños proceden de Rusia, Rumanía, China e Irán.</w:t>
      </w:r>
    </w:p>
    <w:p>
      <w:pPr>
        <w:pStyle w:val="BodyText"/>
      </w:pPr>
      <w:r>
        <w:t xml:space="preserve">Una nota sobre la estadística que se utiliza en muchos estudios con cerebrolisina: en lugar de un único criterio de valoración principal, a menudo evalúan una combinación de varias escalas con el llamado estimador de Mann-Whitney (MW). Este indica la probabilidad de que una persona elegida al azar del grupo de cerebrolisina obtenga un mejor resultado que una del grupo placebo. Un MW de 0,50 significa que no hay diferencia; los valores en torno a 0,56 se consideran una ventaja pequeña, en torno a 0,64 mediana y a partir de 0,71 grande. Este método es admisible, pero hace que los resultados sean más difíciles de comparar con otros estudios sobre el ictus, que suelen indicar la proporción de personas sin discapacidad permanente.</w:t>
      </w:r>
    </w:p>
    <w:bookmarkStart w:id="624" w:name="ictus-isquémico-agudo"/>
    <w:p>
      <w:pPr>
        <w:pStyle w:val="Heading4"/>
      </w:pPr>
      <w:r>
        <w:t xml:space="preserve">Ictus isquémico agudo</w:t>
      </w:r>
    </w:p>
    <w:p>
      <w:pPr>
        <w:pStyle w:val="FirstParagraph"/>
      </w:pPr>
      <w:r>
        <w:t xml:space="preserve">En el ictus isquémico, un coágulo ocluye un vaso cerebral. Los tratamientos establecidos son la disolución del coágulo con medicamentos (trombólisis) y su extracción con un catéter (trombectomía). Los agentes complementarios «neuroprotectores» deberían proteger el tejido circundante, un enfoque en el que han fracasado docenas de principios activos en grandes estudios en todo el mundo.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Ladurner 2005, PMID 15583955</w:t>
            </w:r>
          </w:p>
        </w:tc>
        <w:tc>
          <w:tcPr/>
          <w:p>
            <w:pPr>
              <w:pStyle w:val="Compact"/>
              <w:jc w:val="left"/>
            </w:pPr>
            <w:r>
              <w:t xml:space="preserve">146 personas, ECA frente a placebo, inicio en 24 h</w:t>
            </w:r>
          </w:p>
        </w:tc>
        <w:tc>
          <w:tcPr/>
          <w:p>
            <w:pPr>
              <w:pStyle w:val="Compact"/>
              <w:jc w:val="left"/>
            </w:pPr>
            <w:r>
              <w:t xml:space="preserve">90 días</w:t>
            </w:r>
          </w:p>
        </w:tc>
        <w:tc>
          <w:tcPr/>
          <w:p>
            <w:pPr>
              <w:pStyle w:val="Compact"/>
              <w:jc w:val="left"/>
            </w:pPr>
            <w:r>
              <w:t xml:space="preserve">sin mejora en la escala neurológica, el índice de Barthel ni la impresión global; una prueba cognitiva mejor</w:t>
            </w:r>
          </w:p>
        </w:tc>
      </w:tr>
      <w:tr>
        <w:tc>
          <w:tcPr/>
          <w:p>
            <w:pPr>
              <w:pStyle w:val="Compact"/>
              <w:jc w:val="left"/>
            </w:pPr>
            <w:r>
              <w:t xml:space="preserve">CASTA (Heiss 2012), PMID 22282884</w:t>
            </w:r>
          </w:p>
        </w:tc>
        <w:tc>
          <w:tcPr/>
          <w:p>
            <w:pPr>
              <w:pStyle w:val="Compact"/>
              <w:jc w:val="left"/>
            </w:pPr>
            <w:r>
              <w:t xml:space="preserve">1070 personas en Asia, doble ciego frente a placebo, inicio en 12 h</w:t>
            </w:r>
          </w:p>
        </w:tc>
        <w:tc>
          <w:tcPr/>
          <w:p>
            <w:pPr>
              <w:pStyle w:val="Compact"/>
              <w:jc w:val="left"/>
            </w:pPr>
            <w:r>
              <w:t xml:space="preserve">90 días</w:t>
            </w:r>
          </w:p>
        </w:tc>
        <w:tc>
          <w:tcPr/>
          <w:p>
            <w:pPr>
              <w:pStyle w:val="Compact"/>
              <w:jc w:val="left"/>
            </w:pPr>
            <w:r>
              <w:t xml:space="preserve">criterio principal neutro; subgrupo a posteriori de personas gravemente afectadas con tendencia a favor de la cerebrolisina</w:t>
            </w:r>
          </w:p>
        </w:tc>
      </w:tr>
      <w:tr>
        <w:tc>
          <w:tcPr/>
          <w:p>
            <w:pPr>
              <w:pStyle w:val="Compact"/>
              <w:jc w:val="left"/>
            </w:pPr>
            <w:r>
              <w:t xml:space="preserve">Lang 2013, PMID 23009193</w:t>
            </w:r>
          </w:p>
        </w:tc>
        <w:tc>
          <w:tcPr/>
          <w:p>
            <w:pPr>
              <w:pStyle w:val="Compact"/>
              <w:jc w:val="left"/>
            </w:pPr>
            <w:r>
              <w:t xml:space="preserve">119 personas, además de la trombólisis, doble ciego</w:t>
            </w:r>
          </w:p>
        </w:tc>
        <w:tc>
          <w:tcPr/>
          <w:p>
            <w:pPr>
              <w:pStyle w:val="Compact"/>
              <w:jc w:val="left"/>
            </w:pPr>
            <w:r>
              <w:t xml:space="preserve">90 días</w:t>
            </w:r>
          </w:p>
        </w:tc>
        <w:tc>
          <w:tcPr/>
          <w:p>
            <w:pPr>
              <w:pStyle w:val="Compact"/>
              <w:jc w:val="left"/>
            </w:pPr>
            <w:r>
              <w:t xml:space="preserve">interrumpido tras un análisis intermedio sin beneficio en el criterio principal; mejoría precoz en la NIHSS más frecuente</w:t>
            </w:r>
          </w:p>
        </w:tc>
      </w:tr>
      <w:tr>
        <w:tc>
          <w:tcPr/>
          <w:p>
            <w:pPr>
              <w:pStyle w:val="Compact"/>
              <w:jc w:val="left"/>
            </w:pPr>
            <w:r>
              <w:t xml:space="preserve">CARS (Muresanu 2016), PMID 26564102</w:t>
            </w:r>
          </w:p>
        </w:tc>
        <w:tc>
          <w:tcPr/>
          <w:p>
            <w:pPr>
              <w:pStyle w:val="Compact"/>
              <w:jc w:val="left"/>
            </w:pPr>
            <w:r>
              <w:t xml:space="preserve">personas en rehabilitación precoz, doble ciego frente a placebo</w:t>
            </w:r>
          </w:p>
        </w:tc>
        <w:tc>
          <w:tcPr/>
          <w:p>
            <w:pPr>
              <w:pStyle w:val="Compact"/>
              <w:jc w:val="left"/>
            </w:pPr>
            <w:r>
              <w:t xml:space="preserve">90 días</w:t>
            </w:r>
          </w:p>
        </w:tc>
        <w:tc>
          <w:tcPr/>
          <w:p>
            <w:pPr>
              <w:pStyle w:val="Compact"/>
              <w:jc w:val="left"/>
            </w:pPr>
            <w:r>
              <w:t xml:space="preserve">función del brazo (ARAT) claramente mejor: MW 0,71</w:t>
            </w:r>
          </w:p>
        </w:tc>
      </w:tr>
      <w:tr>
        <w:tc>
          <w:tcPr/>
          <w:p>
            <w:pPr>
              <w:pStyle w:val="Compact"/>
              <w:jc w:val="left"/>
            </w:pPr>
            <w:r>
              <w:t xml:space="preserve">Gharagozli 2017, PMID 29075343</w:t>
            </w:r>
          </w:p>
        </w:tc>
        <w:tc>
          <w:tcPr/>
          <w:p>
            <w:pPr>
              <w:pStyle w:val="Compact"/>
              <w:jc w:val="left"/>
            </w:pPr>
            <w:r>
              <w:t xml:space="preserve">100 personas, doble ciego frente a placebo</w:t>
            </w:r>
          </w:p>
        </w:tc>
        <w:tc>
          <w:tcPr/>
          <w:p>
            <w:pPr>
              <w:pStyle w:val="Compact"/>
              <w:jc w:val="left"/>
            </w:pPr>
            <w:r>
              <w:t xml:space="preserve">30 días</w:t>
            </w:r>
          </w:p>
        </w:tc>
        <w:tc>
          <w:tcPr/>
          <w:p>
            <w:pPr>
              <w:pStyle w:val="Compact"/>
              <w:jc w:val="left"/>
            </w:pPr>
            <w:r>
              <w:t xml:space="preserve">NIHSS mejor: MW 0,66</w:t>
            </w:r>
          </w:p>
        </w:tc>
      </w:tr>
      <w:tr>
        <w:tc>
          <w:tcPr/>
          <w:p>
            <w:pPr>
              <w:pStyle w:val="Compact"/>
              <w:jc w:val="left"/>
            </w:pPr>
            <w:r>
              <w:t xml:space="preserve">CEREHETIS (Khasanova 2023), PMID 36973684</w:t>
            </w:r>
          </w:p>
        </w:tc>
        <w:tc>
          <w:tcPr/>
          <w:p>
            <w:pPr>
              <w:pStyle w:val="Compact"/>
              <w:jc w:val="left"/>
            </w:pPr>
            <w:r>
              <w:t xml:space="preserve">341 personas con trombólisis, aleatorizado abierto</w:t>
            </w:r>
          </w:p>
        </w:tc>
        <w:tc>
          <w:tcPr/>
          <w:p>
            <w:pPr>
              <w:pStyle w:val="Compact"/>
              <w:jc w:val="left"/>
            </w:pPr>
            <w:r>
              <w:t xml:space="preserve">90 días</w:t>
            </w:r>
          </w:p>
        </w:tc>
        <w:tc>
          <w:tcPr/>
          <w:p>
            <w:pPr>
              <w:pStyle w:val="Compact"/>
              <w:jc w:val="left"/>
            </w:pPr>
            <w:r>
              <w:t xml:space="preserve">menos hemorragias sintomáticas (OR 0,248); sin diferencia en la mRS a los 90 días</w:t>
            </w:r>
          </w:p>
        </w:tc>
      </w:tr>
    </w:tbl>
    <w:p>
      <w:pPr>
        <w:pStyle w:val="BodyText"/>
      </w:pPr>
      <w:r>
        <w:rPr>
          <w:bCs/>
          <w:b/>
        </w:rPr>
        <w:t xml:space="preserve">CASTA: el estudio más grande.</w:t>
      </w:r>
      <w:r>
        <w:t xml:space="preserve"> </w:t>
      </w:r>
      <w:r>
        <w:t xml:space="preserve">El estudio</w:t>
      </w:r>
      <w:r>
        <w:t xml:space="preserve"> </w:t>
      </w:r>
      <w:r>
        <w:rPr>
          <w:iCs/>
          <w:i/>
        </w:rPr>
        <w:t xml:space="preserve">Cerebrolysin Acute Stroke Treatment in Asia</w:t>
      </w:r>
      <w:r>
        <w:t xml:space="preserve"> </w:t>
      </w:r>
      <w:r>
        <w:t xml:space="preserve">se publicó previamente con su protocolo (Hong 2009, PMID 19765131) y está registrado en ClinicalTrials.gov (NCT00868283). 1070 personas con ictus agudo recibieron en un plazo de doce horas, durante diez días, cerebrolisina o solución salina, en ambos casos además de aspirina. El criterio de valoración principal fijado de antemano –una combinación de la escala de Rankin modificada (mRS, grado de discapacidad), el índice de Barthel (autonomía en la vida diaria) y la NIHSS (gravedad de los déficits neurológicos) a los 90 días–</w:t>
      </w:r>
      <w:r>
        <w:t xml:space="preserve"> </w:t>
      </w:r>
      <w:r>
        <w:rPr>
          <w:bCs/>
          <w:b/>
        </w:rPr>
        <w:t xml:space="preserve">no mostró ninguna diferencia</w:t>
      </w:r>
      <w:r>
        <w:t xml:space="preserve">. En un análisis a posteriori de las personas más gravemente afectadas (NIHSS superior a 12), la mortalidad a los 90 días fue del 10,5 % con cerebrolisina frente al 20,2 % con placebo (Heiss 2012, PMID 22282884). Los propios autores escriben que este hallazgo debería confirmarse en otro estudio. Hasta hoy no se ha publicado un estudio de confirmación de este tipo, grande y realizado específicamente en ictus graves.</w:t>
      </w:r>
    </w:p>
    <w:p>
      <w:pPr>
        <w:pStyle w:val="BodyText"/>
      </w:pPr>
      <w:r>
        <w:rPr>
          <w:bCs/>
          <w:b/>
        </w:rPr>
        <w:t xml:space="preserve">Junto con la trombólisis.</w:t>
      </w:r>
      <w:r>
        <w:t xml:space="preserve"> </w:t>
      </w:r>
      <w:r>
        <w:t xml:space="preserve">En un estudio con 119 personas, la cerebrolisina se inició una hora después de la trombólisis. Tras el tercer análisis intermedio no se observó ninguna ventaja en el criterio de valoración principal (mRS a los 90 días), y el estudio se terminó. En los primeros 30 días, más personas mejoraron claramente en la NIHSS con cerebrolisina (Lang 2013, PMID 23009193). Este patrón –mejoras precoces en escalas neurológicas, pero sin una diferencia clara en la discapacidad a los tres meses– se repite en varios estudios. El estudio CEREHETIS encontró en 341 personas menos hemorragias sintomáticas tras la trombólisis, pero tampoco diferencias en la mRS a los 90 días; era abierto, es decir, sin enmascaramiento (Khasanova 2023, PMID 36973684).</w:t>
      </w:r>
    </w:p>
    <w:p>
      <w:pPr>
        <w:pStyle w:val="BodyText"/>
      </w:pPr>
      <w:r>
        <w:rPr>
          <w:bCs/>
          <w:b/>
        </w:rPr>
        <w:t xml:space="preserve">Trombectomía.</w:t>
      </w:r>
      <w:r>
        <w:t xml:space="preserve"> </w:t>
      </w:r>
      <w:r>
        <w:t xml:space="preserve">Un estudio comparó a 50 personas que recibieron cerebrolisina tras el tratamiento con catéter con 50 personas tratadas anteriormente (controles históricos). A los 90 días, el 68 % frente al 44 % eran funcionalmente independientes (mRS 0–2), y las hemorragias cerebrales secundarias fueron menos frecuentes (Staszewski 2025, PMID 40325343). Sin aleatorización y con una comparación frente a pacientes anteriores, sin embargo, esto es solo un indicio; los propios autores reclaman estudios aleatorizados.</w:t>
      </w:r>
    </w:p>
    <w:bookmarkEnd w:id="624"/>
    <w:bookmarkStart w:id="625" w:name="Xd43a55d77c8182e2366613bcd101798c784a55d"/>
    <w:p>
      <w:pPr>
        <w:pStyle w:val="Heading4"/>
      </w:pPr>
      <w:r>
        <w:t xml:space="preserve">Rehabilitación tras el ictus: CARS y estudios posteriores</w:t>
      </w:r>
    </w:p>
    <w:p>
      <w:pPr>
        <w:pStyle w:val="FirstParagraph"/>
      </w:pPr>
      <w:r>
        <w:t xml:space="preserve">Un segundo enfoque no actúa en las primeras horas, sino en la rehabilitación precoz: la cerebrolisina debería hacer que el cerebro sea «más capaz de aprender» mientras se realiza al mismo tiempo fisioterapia.</w:t>
      </w:r>
    </w:p>
    <w:p>
      <w:pPr>
        <w:pStyle w:val="BodyText"/>
      </w:pPr>
      <w:r>
        <w:t xml:space="preserve">El</w:t>
      </w:r>
      <w:r>
        <w:t xml:space="preserve"> </w:t>
      </w:r>
      <w:r>
        <w:rPr>
          <w:bCs/>
          <w:b/>
        </w:rPr>
        <w:t xml:space="preserve">estudio CARS</w:t>
      </w:r>
      <w:r>
        <w:t xml:space="preserve"> </w:t>
      </w:r>
      <w:r>
        <w:t xml:space="preserve">(</w:t>
      </w:r>
      <w:r>
        <w:rPr>
          <w:iCs/>
          <w:i/>
        </w:rPr>
        <w:t xml:space="preserve">Cerebrolysin and Recovery After Stroke</w:t>
      </w:r>
      <w:r>
        <w:t xml:space="preserve">) trató a personas, entre 24 y 72 horas después del ictus, durante 21 días con cerebrolisina o placebo, además de un programa de rehabilitación estandarizado. En el criterio de valoración principal, el Action Research Arm Test (ARAT) para la función del brazo a los 90 días, se observó una gran ventaja (MW 0,71; intervalo de confianza del 95 % 0,63–0,79); en el conjunto de doce escalas, una ventaja pequeña a mediana (MW 0,62) (Muresanu 2016, PMID 26564102). Los autores califican expresamente el estudio de exploratorio con un tamaño muestral relativamente pequeño. Un análisis conjunto planificado de antemano con el estudio de diseño idéntico CARS-2 (442 personas en total) dio para el ARAT un MW de 0,62 (Guekht 2017, PMID 28707130).</w:t>
      </w:r>
    </w:p>
    <w:p>
      <w:pPr>
        <w:pStyle w:val="BodyText"/>
      </w:pPr>
      <w:r>
        <w:t xml:space="preserve">Otros estudios más pequeños muestran un panorama dispar:</w:t>
      </w:r>
    </w:p>
    <w:p>
      <w:pPr>
        <w:numPr>
          <w:ilvl w:val="0"/>
          <w:numId w:val="1203"/>
        </w:numPr>
        <w:pStyle w:val="Compact"/>
      </w:pPr>
      <w:r>
        <w:t xml:space="preserve">Un estudio con 60 personas encontró grandes ventajas en la NIHSS a los 10 y 30 días (Stan 2017, PMID 29362596).</w:t>
      </w:r>
    </w:p>
    <w:p>
      <w:pPr>
        <w:numPr>
          <w:ilvl w:val="0"/>
          <w:numId w:val="1203"/>
        </w:numPr>
        <w:pStyle w:val="Compact"/>
      </w:pPr>
      <w:r>
        <w:t xml:space="preserve">Un estudio con 70 personas</w:t>
      </w:r>
      <w:r>
        <w:t xml:space="preserve"> </w:t>
      </w:r>
      <w:r>
        <w:rPr>
          <w:bCs/>
          <w:b/>
        </w:rPr>
        <w:t xml:space="preserve">no</w:t>
      </w:r>
      <w:r>
        <w:t xml:space="preserve"> </w:t>
      </w:r>
      <w:r>
        <w:t xml:space="preserve">encontró diferencias en la motricidad en conjunto; solo en el subgrupo con parálisis grave obtuvo mejores resultados la cerebrolisina (Chang 2016, PMID 26934986).</w:t>
      </w:r>
    </w:p>
    <w:p>
      <w:pPr>
        <w:numPr>
          <w:ilvl w:val="0"/>
          <w:numId w:val="1203"/>
        </w:numPr>
        <w:pStyle w:val="Compact"/>
      </w:pPr>
      <w:r>
        <w:t xml:space="preserve">El estudio piloto rumano ESCAS sobre trastornos del lenguaje (afasia no fluente), con 132 personas, combinó cerebrolisina con logopedia. A los 90 días, la función del lenguaje en la Western Aphasia Battery mejoró unos 35,6 puntos frente a 20,8 puntos con placebo (Homberg 2025, PMID 39957612).</w:t>
      </w:r>
    </w:p>
    <w:p>
      <w:pPr>
        <w:pStyle w:val="FirstParagraph"/>
      </w:pPr>
      <w:r>
        <w:t xml:space="preserve">Una guía de la European Academy of Neurology y de la Federación Europea de Sociedades de Neurorrehabilitación recomendó en 2021, sobre la base de un metaanálisis, la cerebrolisina –junto con el antidepresivo citalopram– como apoyo a la rehabilitación motora precoz tras el ictus isquémico (Beghi 2021, PMID 34152062). Otras grandes guías, por ejemplo en EE. UU., no contienen tal recomendación.</w:t>
      </w:r>
    </w:p>
    <w:bookmarkEnd w:id="625"/>
    <w:bookmarkStart w:id="626" w:name="Xaa0fcd8fc67cade43afeeacb3cf468ccdfb36cb"/>
    <w:p>
      <w:pPr>
        <w:pStyle w:val="Heading4"/>
      </w:pPr>
      <w:r>
        <w:t xml:space="preserve">Los metaanálisis: dos lecturas de los mismos datos</w:t>
      </w:r>
    </w:p>
    <w:p>
      <w:pPr>
        <w:pStyle w:val="FirstParagraph"/>
      </w:pPr>
      <w:r>
        <w:t xml:space="preserve">En el caso de la cerebrolisina, las síntesis divergen según quién las haya redactado y qué criterios de valoración ocupen el centro.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Revisión</w:t>
            </w:r>
          </w:p>
        </w:tc>
        <w:tc>
          <w:tcPr/>
          <w:p>
            <w:pPr>
              <w:pStyle w:val="Compact"/>
              <w:jc w:val="left"/>
            </w:pPr>
            <w:r>
              <w:t xml:space="preserve">Datos incluidos</w:t>
            </w:r>
          </w:p>
        </w:tc>
        <w:tc>
          <w:tcPr/>
          <w:p>
            <w:pPr>
              <w:pStyle w:val="Compact"/>
              <w:jc w:val="left"/>
            </w:pPr>
            <w:r>
              <w:t xml:space="preserve">Mensaje principal</w:t>
            </w:r>
          </w:p>
        </w:tc>
      </w:tr>
      <w:tr>
        <w:tc>
          <w:tcPr/>
          <w:p>
            <w:pPr>
              <w:pStyle w:val="Compact"/>
              <w:jc w:val="left"/>
            </w:pPr>
            <w:r>
              <w:t xml:space="preserve">Cochrane (Ziganshina 2023), PMID 37818733</w:t>
            </w:r>
          </w:p>
        </w:tc>
        <w:tc>
          <w:tcPr/>
          <w:p>
            <w:pPr>
              <w:pStyle w:val="Compact"/>
              <w:jc w:val="left"/>
            </w:pPr>
            <w:r>
              <w:t xml:space="preserve">7 ECA, 1773 personas, inicio en 48 h</w:t>
            </w:r>
          </w:p>
        </w:tc>
        <w:tc>
          <w:tcPr/>
          <w:p>
            <w:pPr>
              <w:pStyle w:val="Compact"/>
              <w:jc w:val="left"/>
            </w:pPr>
            <w:r>
              <w:t xml:space="preserve">sin influencia en la mortalidad (RR 0,96); más efectos adversos graves no mortales (RR 2,39)</w:t>
            </w:r>
          </w:p>
        </w:tc>
      </w:tr>
      <w:tr>
        <w:tc>
          <w:tcPr/>
          <w:p>
            <w:pPr>
              <w:pStyle w:val="Compact"/>
              <w:jc w:val="left"/>
            </w:pPr>
            <w:r>
              <w:t xml:space="preserve">Bornstein 2018, PMID 29248999</w:t>
            </w:r>
          </w:p>
        </w:tc>
        <w:tc>
          <w:tcPr/>
          <w:p>
            <w:pPr>
              <w:pStyle w:val="Compact"/>
              <w:jc w:val="left"/>
            </w:pPr>
            <w:r>
              <w:t xml:space="preserve">9 ECA, 1879 personas</w:t>
            </w:r>
          </w:p>
        </w:tc>
        <w:tc>
          <w:tcPr/>
          <w:p>
            <w:pPr>
              <w:pStyle w:val="Compact"/>
              <w:jc w:val="left"/>
            </w:pPr>
            <w:r>
              <w:t xml:space="preserve">NIHSS a los 30 días mejor (MW 0,60); NNT 7,7 para una mejoría clínicamente relevante</w:t>
            </w:r>
          </w:p>
        </w:tc>
      </w:tr>
      <w:tr>
        <w:tc>
          <w:tcPr/>
          <w:p>
            <w:pPr>
              <w:pStyle w:val="Compact"/>
              <w:jc w:val="left"/>
            </w:pPr>
            <w:r>
              <w:t xml:space="preserve">Zhang 2017, PMID 28656143</w:t>
            </w:r>
          </w:p>
        </w:tc>
        <w:tc>
          <w:tcPr/>
          <w:p>
            <w:pPr>
              <w:pStyle w:val="Compact"/>
              <w:jc w:val="left"/>
            </w:pPr>
            <w:r>
              <w:t xml:space="preserve">7 ECA, 1779 personas</w:t>
            </w:r>
          </w:p>
        </w:tc>
        <w:tc>
          <w:tcPr/>
          <w:p>
            <w:pPr>
              <w:pStyle w:val="Compact"/>
              <w:jc w:val="left"/>
            </w:pPr>
            <w:r>
              <w:t xml:space="preserve">sin superioridad en la mRS ni en el índice de Barthel; seguridad neutra</w:t>
            </w:r>
          </w:p>
        </w:tc>
      </w:tr>
      <w:tr>
        <w:tc>
          <w:tcPr/>
          <w:p>
            <w:pPr>
              <w:pStyle w:val="Compact"/>
              <w:jc w:val="left"/>
            </w:pPr>
            <w:r>
              <w:t xml:space="preserve">Patel 2025, PMID 41018475</w:t>
            </w:r>
          </w:p>
        </w:tc>
        <w:tc>
          <w:tcPr/>
          <w:p>
            <w:pPr>
              <w:pStyle w:val="Compact"/>
              <w:jc w:val="left"/>
            </w:pPr>
            <w:r>
              <w:t xml:space="preserve">14 ECA, 2884 personas</w:t>
            </w:r>
          </w:p>
        </w:tc>
        <w:tc>
          <w:tcPr/>
          <w:p>
            <w:pPr>
              <w:pStyle w:val="Compact"/>
              <w:jc w:val="left"/>
            </w:pPr>
            <w:r>
              <w:t xml:space="preserve">mejoría en la NIHSS 1,39 puntos mayor; independencia funcional no significativa (RR 1,31)</w:t>
            </w:r>
          </w:p>
        </w:tc>
      </w:tr>
    </w:tbl>
    <w:p>
      <w:pPr>
        <w:pStyle w:val="BodyText"/>
      </w:pPr>
      <w:r>
        <w:t xml:space="preserve">La</w:t>
      </w:r>
      <w:r>
        <w:t xml:space="preserve"> </w:t>
      </w:r>
      <w:r>
        <w:rPr>
          <w:bCs/>
          <w:b/>
        </w:rPr>
        <w:t xml:space="preserve">revisión Cochrane</w:t>
      </w:r>
      <w:r>
        <w:t xml:space="preserve"> </w:t>
      </w:r>
      <w:r>
        <w:t xml:space="preserve">–una forma de síntesis independiente y metodológicamente rigurosa– se ha actualizado varias veces desde 2010. La versión de 2020 incluyó siete estudios aleatorizados con 1601 personas y no encontró ningún efecto sobre la mortalidad (RR 0,90; IC del 95 % 0,61–1,32). El número total de acontecimientos adversos graves no difirió de forma esencial, pero el número de personas con acontecimientos adversos graves</w:t>
      </w:r>
      <w:r>
        <w:t xml:space="preserve"> </w:t>
      </w:r>
      <w:r>
        <w:rPr>
          <w:bCs/>
          <w:b/>
        </w:rPr>
        <w:t xml:space="preserve">no mortales</w:t>
      </w:r>
      <w:r>
        <w:t xml:space="preserve"> </w:t>
      </w:r>
      <w:r>
        <w:t xml:space="preserve">fue mayor con cerebrolisina (RR 2,15; IC del 95 % 1,01–4,55) (Ziganshina 2020, PMID 32662068). La actualización de 2023 añadió un estudio con el preparado ruso de cerebro bovino Cortexin (1773 personas en total) y confirmó estas conclusiones: ningún efecto sobre la mortalidad (RR 0,96), más acontecimientos graves no mortales (RR 2,39; IC del 95 % 1,10–5,23), aún más marcados con una pauta de tratamiento de diez días (Ziganshina 2023, PMID 37818733). Las autoras y los autores Cochrane valoraron el riesgo de sesgo de muchos estudios como incierto o alto y señalaron que el fabricante había apoyado varios de los grandes estudios. Importante: ninguno de los estudios incluidos informó del criterio de valoración decisivo desde la perspectiva del paciente, «muerte o dependencia», en la forma prevista por la revisión.</w:t>
      </w:r>
    </w:p>
    <w:p>
      <w:pPr>
        <w:pStyle w:val="BodyText"/>
      </w:pPr>
      <w:r>
        <w:t xml:space="preserve">Los</w:t>
      </w:r>
      <w:r>
        <w:t xml:space="preserve"> </w:t>
      </w:r>
      <w:r>
        <w:rPr>
          <w:bCs/>
          <w:b/>
        </w:rPr>
        <w:t xml:space="preserve">metaanálisis cercanos al fabricante</w:t>
      </w:r>
      <w:r>
        <w:t xml:space="preserve">, en cambio, se fijan sobre todo en la mejoría neurológica precoz en la NIHSS y encuentran ahí una ventaja moderada (Bornstein 2018, PMID 29248999). Un metaanálisis de seguridad con doce estudios y 2202 personas no encontró diferencias significativas frente a placebo en los efectos adversos (Strilciuc 2021, PMID 34959697), a diferencia de la señal de Cochrane, que, no obstante, se basa en pocos acontecimientos.</w:t>
      </w:r>
    </w:p>
    <w:p>
      <w:pPr>
        <w:pStyle w:val="BodyText"/>
      </w:pPr>
      <w:r>
        <w:t xml:space="preserve">¿Cómo se puede conciliar todo esto? La respuesta honesta es: en varios estudios, la cerebrolisina mejora los valores de las escalas neurológicas en las primeras semanas. No está demostrado que de ello se deriven menos discapacidad permanente, menos dependencia o una vida más larga. Para la señal de efectos adversos graves no mortales falta una explicación concluyente; se basa en pocos acontecimientos y es, por tanto, incierta, pero se encontró en dos versiones de Cochrane.</w:t>
      </w:r>
    </w:p>
    <w:bookmarkEnd w:id="626"/>
    <w:bookmarkStart w:id="627" w:name="datos-de-registro-de-la-práctica-clínica"/>
    <w:p>
      <w:pPr>
        <w:pStyle w:val="Heading4"/>
      </w:pPr>
      <w:r>
        <w:t xml:space="preserve">Datos de registro de la práctica clínica</w:t>
      </w:r>
    </w:p>
    <w:p>
      <w:pPr>
        <w:pStyle w:val="FirstParagraph"/>
      </w:pPr>
      <w:r>
        <w:t xml:space="preserve">El fabricante ha financiado además grandes estudios observacionales. El estudio de registro C-REGS2 recogió en 16 países a 1865 personas con ictus moderado; se analizaron 1769 (1021 con cerebrolisina, 748 sin ella). A los 90 días, el grupo de cerebrolisina obtuvo mejores resultados en la escala de Rankin modificada (MW 0,6157) (Vosko 2025, PMID 40851188; NCT03480698). El estudio utiliza procedimientos estadísticos exigentes para hacer comparables los grupos. Pero sigue siendo un estudio observacional: quienes reciben cerebrolisina en la práctica habitual pueden diferir en el tratamiento, el hospital o el país de quienes no la reciben. No puede sustituir a una aleatorización.</w:t>
      </w:r>
    </w:p>
    <w:bookmarkEnd w:id="627"/>
    <w:bookmarkStart w:id="628" w:name="X4a880c27842d43f812ff335b8ef42f75c5e0ada"/>
    <w:p>
      <w:pPr>
        <w:pStyle w:val="Heading4"/>
      </w:pPr>
      <w:r>
        <w:t xml:space="preserve">Hemorragia cerebral y hemorragia subaracnoidea</w:t>
      </w:r>
    </w:p>
    <w:p>
      <w:pPr>
        <w:pStyle w:val="FirstParagraph"/>
      </w:pPr>
      <w:r>
        <w:t xml:space="preserve">En las hemorragias cerebrales, un estudio con 100 personas no encontró a los 21 días diferencias significativas, pero tampoco problemas de seguridad (Bajenaru 2010, PMID 20968198). En las hemorragias por una dilatación de un vaso cerebral (hemorragia subaracnoidea aneurismática), un estudio piloto doble ciego con 50 personas no mostró a los seis meses diferencias en el resultado funcional (Woo 2020, PMID 33143640; NCT01787123). Un estudio piloto sobre hemorragias en los lóbulos cerebrales (CLINCH) está previsto o en curso (Kobayashi 2025, PMID 41180520).</w:t>
      </w:r>
    </w:p>
    <w:bookmarkEnd w:id="628"/>
    <w:bookmarkStart w:id="629" w:name="traumatismo-craneoencefálico-captain"/>
    <w:p>
      <w:pPr>
        <w:pStyle w:val="Heading4"/>
      </w:pPr>
      <w:r>
        <w:t xml:space="preserve">Traumatismo craneoencefálico: CAPTAIN</w:t>
      </w:r>
    </w:p>
    <w:p>
      <w:pPr>
        <w:pStyle w:val="FirstParagraph"/>
      </w:pPr>
      <w:r>
        <w:t xml:space="preserve">En el traumatismo craneoencefálico moderado a grave, dos estudios evaluaron la cerebrolisina además del tratamiento estándar: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CAPTAIN I (Poon 2020), PMID 31494820</w:t>
            </w:r>
          </w:p>
        </w:tc>
        <w:tc>
          <w:tcPr/>
          <w:p>
            <w:pPr>
              <w:pStyle w:val="Compact"/>
              <w:jc w:val="left"/>
            </w:pPr>
            <w:r>
              <w:t xml:space="preserve">46 personas, doble ciego frente a placebo, varios centros</w:t>
            </w:r>
          </w:p>
        </w:tc>
        <w:tc>
          <w:tcPr/>
          <w:p>
            <w:pPr>
              <w:pStyle w:val="Compact"/>
              <w:jc w:val="left"/>
            </w:pPr>
            <w:r>
              <w:t xml:space="preserve">90 días</w:t>
            </w:r>
          </w:p>
        </w:tc>
        <w:tc>
          <w:tcPr/>
          <w:p>
            <w:pPr>
              <w:pStyle w:val="Compact"/>
              <w:jc w:val="left"/>
            </w:pPr>
            <w:r>
              <w:t xml:space="preserve">criterio principal no alcanzado por poco (ITT: MW 0,63); significativo en el análisis por protocolo</w:t>
            </w:r>
          </w:p>
        </w:tc>
      </w:tr>
      <w:tr>
        <w:tc>
          <w:tcPr/>
          <w:p>
            <w:pPr>
              <w:pStyle w:val="Compact"/>
              <w:jc w:val="left"/>
            </w:pPr>
            <w:r>
              <w:t xml:space="preserve">CAPTAIN II (Muresanu 2020), PMID 31897941</w:t>
            </w:r>
          </w:p>
        </w:tc>
        <w:tc>
          <w:tcPr/>
          <w:p>
            <w:pPr>
              <w:pStyle w:val="Compact"/>
              <w:jc w:val="left"/>
            </w:pPr>
            <w:r>
              <w:t xml:space="preserve">142 personas (139 analizadas), doble ciego, un centro</w:t>
            </w:r>
          </w:p>
        </w:tc>
        <w:tc>
          <w:tcPr/>
          <w:p>
            <w:pPr>
              <w:pStyle w:val="Compact"/>
              <w:jc w:val="left"/>
            </w:pPr>
            <w:r>
              <w:t xml:space="preserve">90 días</w:t>
            </w:r>
          </w:p>
        </w:tc>
        <w:tc>
          <w:tcPr/>
          <w:p>
            <w:pPr>
              <w:pStyle w:val="Compact"/>
              <w:jc w:val="left"/>
            </w:pPr>
            <w:r>
              <w:t xml:space="preserve">ventaja pequeña a mediana en el criterio combinado de 13 escalas (MW 0,59)</w:t>
            </w:r>
          </w:p>
        </w:tc>
      </w:tr>
      <w:tr>
        <w:tc>
          <w:tcPr/>
          <w:p>
            <w:pPr>
              <w:pStyle w:val="Compact"/>
              <w:jc w:val="left"/>
            </w:pPr>
            <w:r>
              <w:t xml:space="preserve">Metaanálisis CAPTAIN (Vester 2021), PMID 33620612</w:t>
            </w:r>
          </w:p>
        </w:tc>
        <w:tc>
          <w:tcPr/>
          <w:p>
            <w:pPr>
              <w:pStyle w:val="Compact"/>
              <w:jc w:val="left"/>
            </w:pPr>
            <w:r>
              <w:t xml:space="preserve">185 personas de ambos estudios</w:t>
            </w:r>
          </w:p>
        </w:tc>
        <w:tc>
          <w:tcPr/>
          <w:p>
            <w:pPr>
              <w:pStyle w:val="Compact"/>
              <w:jc w:val="left"/>
            </w:pPr>
            <w:r>
              <w:t xml:space="preserve">90 días</w:t>
            </w:r>
          </w:p>
        </w:tc>
        <w:tc>
          <w:tcPr/>
          <w:p>
            <w:pPr>
              <w:pStyle w:val="Compact"/>
              <w:jc w:val="left"/>
            </w:pPr>
            <w:r>
              <w:t xml:space="preserve">MW 0,60 a los 30 y 90 días</w:t>
            </w:r>
          </w:p>
        </w:tc>
      </w:tr>
    </w:tbl>
    <w:p>
      <w:pPr>
        <w:pStyle w:val="BodyText"/>
      </w:pPr>
      <w:r>
        <w:t xml:space="preserve">CAPTAIN I se terminó antes de tiempo con solo 46 participantes (NCT01606111, estado en el registro «interrumpido»). Otros metaanálisis sobre el traumatismo craneoencefálico se basan mayoritariamente en estudios observacionales y encontraron mejores valores en la Glasgow Outcome Scale, pero ninguna influencia en la mortalidad (Ghaffarpasand 2019, PMID 30643411; Jarosz 2023, PMID 36979317). En conjunto, los datos apuntan a una posible pequeña ventaja; el número de personas estudiadas de forma aleatorizada es demasiado bajo para una afirmación segura.</w:t>
      </w:r>
    </w:p>
    <w:bookmarkEnd w:id="629"/>
    <w:bookmarkStart w:id="630" w:name="demencia"/>
    <w:p>
      <w:pPr>
        <w:pStyle w:val="Heading4"/>
      </w:pPr>
      <w:r>
        <w:t xml:space="preserve">Demencia</w:t>
      </w:r>
    </w:p>
    <w:p>
      <w:pPr>
        <w:pStyle w:val="FirstParagraph"/>
      </w:pPr>
      <w:r>
        <w:rPr>
          <w:bCs/>
          <w:b/>
        </w:rPr>
        <w:t xml:space="preserve">Enfermedad de Alzheimer.</w:t>
      </w:r>
      <w:r>
        <w:t xml:space="preserve"> </w:t>
      </w:r>
      <w:r>
        <w:t xml:space="preserve">En las décadas de 1990 y 2000 se realizaron varios estudios controlados con placebo. En un estudio con 192 personas, la impresión clínica global (CIBIC+) a las doce semanas fue mejor con cerebrolisina (76 % frente a 57 % de «respondedores»); no obstante, los grupos diferían ya al inicio en edad y alucinaciones (Panisset 2002, PMID 12111446). En un estudio con 197 personas, la cerebrolisina fue tan eficaz en la impresión global como el medicamento autorizado para el alzhéimer donepezilo; en cognición, funcionalidad cotidiana y conducta no hubo diferencias significativas entre los grupos (Alvarez 2011, PMID 21679156). Un metaanálisis de seis estudios encontró una ventaja en la impresión clínica global a las cuatro semanas y a los seis meses, pero en la cognición solo a las cuatro semanas, no a los seis meses (Gauthier 2015, PMID 25832905). En este metaanálisis participaron investigadores que colaboran con el fabricante.</w:t>
      </w:r>
    </w:p>
    <w:p>
      <w:pPr>
        <w:pStyle w:val="BodyText"/>
      </w:pPr>
      <w:r>
        <w:rPr>
          <w:bCs/>
          <w:b/>
        </w:rPr>
        <w:t xml:space="preserve">Demencia vascular.</w:t>
      </w:r>
      <w:r>
        <w:t xml:space="preserve"> </w:t>
      </w:r>
      <w:r>
        <w:t xml:space="preserve">El estudio más grande, con 242 personas, informó a las 24 semanas de una mejoría en la ADAS-cog+ de 10,6 puntos frente a 4,4 puntos con placebo (Guekht 2011, PMID 20656516), un efecto inusualmente grande para estudios sobre demencia. La revisión Cochrane sobre la demencia vascular resumió seis estudios con 597 personas y encontró ventajas en la cognición y la impresión global, pero valoró la fiabilidad de la evidencia como «muy baja». Las autoras y los autores escriben que los posibles efectos podrían ser demasiado pequeños para ser clínicamente relevantes y que la base de evidencia es débil, a pesar de que la cerebrolisina se sigue promocionando (Cui 2019, PMID 31710397).</w:t>
      </w:r>
    </w:p>
    <w:bookmarkEnd w:id="630"/>
    <w:bookmarkStart w:id="631" w:name="otras-aplicaciones-3"/>
    <w:p>
      <w:pPr>
        <w:pStyle w:val="Heading4"/>
      </w:pPr>
      <w:r>
        <w:t xml:space="preserve">Otras aplicaciones</w:t>
      </w:r>
    </w:p>
    <w:p>
      <w:pPr>
        <w:pStyle w:val="FirstParagraph"/>
      </w:pPr>
      <w:r>
        <w:t xml:space="preserve">Hay estudios más pequeños sobre la ELA (20 personas, mejoría en la escala funcional de ELA al cabo de un mes; Firstenfeld 2023, PMID 38585517), sobre prematuros, niños con parálisis cerebral, la pérdida del olfato tras la COVID-19 y enfermedades psiquiátricas. En hombres sanos, la cerebrolisina modificó en un pequeño estudio con 48 participantes los patrones del EEG; en la memoria a corto plazo se observó con placebo una tendencia a un peor recuerdo de palabras en las primeras horas, pero no con cerebrolisina (Funke 1998, PMID 9700674). No hay pruebas para su uso como «nootrópico» en personas sanas.</w:t>
      </w:r>
    </w:p>
    <w:bookmarkEnd w:id="631"/>
    <w:bookmarkEnd w:id="632"/>
    <w:bookmarkStart w:id="633" w:name="estudios-en-animales-y-de-laboratorio-36"/>
    <w:p>
      <w:pPr>
        <w:pStyle w:val="Heading3"/>
      </w:pPr>
      <w:r>
        <w:t xml:space="preserve">Estudios en animales y de laboratorio</w:t>
      </w:r>
    </w:p>
    <w:p>
      <w:pPr>
        <w:numPr>
          <w:ilvl w:val="0"/>
          <w:numId w:val="1204"/>
        </w:numPr>
        <w:pStyle w:val="Compact"/>
      </w:pPr>
      <w:r>
        <w:t xml:space="preserve">En ratas con ictus provocado artificialmente, la cerebrolisina mejoró en un estudio aleatorizado y enmascarado en animales, de forma dependiente de la dosis, la recuperación neurológica a los 28 días (Zhang 2016, PMID 26763925).</w:t>
      </w:r>
    </w:p>
    <w:p>
      <w:pPr>
        <w:numPr>
          <w:ilvl w:val="0"/>
          <w:numId w:val="1204"/>
        </w:numPr>
        <w:pStyle w:val="Compact"/>
      </w:pPr>
      <w:r>
        <w:t xml:space="preserve">En ratas con lesión cerebral leve, la cerebrolisina redujo el daño axonal y favoreció la formación de nuevas neuronas en el hipocampo (Zhang 2019, PMID 30499355).</w:t>
      </w:r>
    </w:p>
    <w:p>
      <w:pPr>
        <w:numPr>
          <w:ilvl w:val="0"/>
          <w:numId w:val="1204"/>
        </w:numPr>
        <w:pStyle w:val="Compact"/>
      </w:pPr>
      <w:r>
        <w:t xml:space="preserve">En un modelo murino de la enfermedad hereditaria CADASIL, la cerebrolisina prolongó la esperanza de vida y mejoró la memoria espacial, sin influir en las alteraciones típicas de la sustancia blanca (Kastberger 2024, PMID 38062874).</w:t>
      </w:r>
    </w:p>
    <w:p>
      <w:pPr>
        <w:pStyle w:val="FirstParagraph"/>
      </w:pPr>
      <w:r>
        <w:t xml:space="preserve">Los estudios preclínicos proceden en una parte considerable de colaboraciones con el fabricante. Hasta ahora, los buenos resultados en animales rara vez se han traducido en un beneficio clínico en los medicamentos para el ictus.</w:t>
      </w:r>
    </w:p>
    <w:bookmarkEnd w:id="633"/>
    <w:bookmarkStart w:id="634" w:name="riesgos-y-efectos-adversos-36"/>
    <w:p>
      <w:pPr>
        <w:pStyle w:val="Heading3"/>
      </w:pPr>
      <w:r>
        <w:t xml:space="preserve">Riesgos y efectos adversos</w:t>
      </w:r>
    </w:p>
    <w:p>
      <w:pPr>
        <w:pStyle w:val="FirstParagraph"/>
      </w:pPr>
      <w:r>
        <w:rPr>
          <w:bCs/>
          <w:b/>
        </w:rPr>
        <w:t xml:space="preserve">Demostrado:</w:t>
      </w:r>
    </w:p>
    <w:p>
      <w:pPr>
        <w:numPr>
          <w:ilvl w:val="0"/>
          <w:numId w:val="1205"/>
        </w:numPr>
        <w:pStyle w:val="Compact"/>
      </w:pPr>
      <w:r>
        <w:t xml:space="preserve">En los estudios, los efectos adversos fueron en conjunto igual de frecuentes que con placebo. Se mencionan, entre otros, dolor de cabeza, mareo e inquietud (Panisset 2002, PMID 12111446).</w:t>
      </w:r>
    </w:p>
    <w:p>
      <w:pPr>
        <w:numPr>
          <w:ilvl w:val="0"/>
          <w:numId w:val="1205"/>
        </w:numPr>
        <w:pStyle w:val="Compact"/>
      </w:pPr>
      <w:r>
        <w:t xml:space="preserve">La revisión Cochrane sobre el ictus encontró más</w:t>
      </w:r>
      <w:r>
        <w:t xml:space="preserve"> </w:t>
      </w:r>
      <w:r>
        <w:rPr>
          <w:bCs/>
          <w:b/>
        </w:rPr>
        <w:t xml:space="preserve">acontecimientos adversos graves no mortales</w:t>
      </w:r>
      <w:r>
        <w:t xml:space="preserve"> </w:t>
      </w:r>
      <w:r>
        <w:t xml:space="preserve">con cerebrolisina (RR 2,39; Ziganshina 2023, PMID 37818733); el metaanálisis de seguridad cercano al fabricante, no (Strilciuc 2021, PMID 34959697).</w:t>
      </w:r>
    </w:p>
    <w:p>
      <w:pPr>
        <w:numPr>
          <w:ilvl w:val="0"/>
          <w:numId w:val="1205"/>
        </w:numPr>
        <w:pStyle w:val="Compact"/>
      </w:pPr>
      <w:r>
        <w:rPr>
          <w:bCs/>
          <w:b/>
        </w:rPr>
        <w:t xml:space="preserve">Reacciones alérgicas:</w:t>
      </w:r>
      <w:r>
        <w:t xml:space="preserve"> </w:t>
      </w:r>
      <w:r>
        <w:t xml:space="preserve">Un informe de caso documentado con detalle describe una reacción anafiláctica potencialmente mortal en un hombre de 85 años tras una infusión de cerebrolisina; los autores subrayan que estos casos son raros, pero relevantes en personas en estado crítico (Trimmel 2024, PMID 39055722).</w:t>
      </w:r>
    </w:p>
    <w:p>
      <w:pPr>
        <w:pStyle w:val="FirstParagraph"/>
      </w:pPr>
      <w:r>
        <w:rPr>
          <w:bCs/>
          <w:b/>
        </w:rPr>
        <w:t xml:space="preserve">Teórico:</w:t>
      </w:r>
      <w:r>
        <w:t xml:space="preserve"> </w:t>
      </w:r>
      <w:r>
        <w:t xml:space="preserve">Como preparado de tejido cerebral animal, la cerebrolisina está ligada en principio a cuestiones de pureza y transmisibilidad de agentes patógenos; los procedimientos de fabricación y las exigencias de las autoridades deberían minimizar este riesgo. En las fuentes analizadas aquí no se describen casos concretos de transmisión.</w:t>
      </w:r>
    </w:p>
    <w:p>
      <w:pPr>
        <w:pStyle w:val="BodyText"/>
      </w:pPr>
      <w:r>
        <w:rPr>
          <w:bCs/>
          <w:b/>
        </w:rPr>
        <w:t xml:space="preserve">Mercado gris:</w:t>
      </w:r>
      <w:r>
        <w:t xml:space="preserve"> </w:t>
      </w:r>
      <w:r>
        <w:t xml:space="preserve">En foros de nootrópicos, la cerebrolisina se discute como «potenciador cerebral» y se obtiene de países en los que está disponible. La autoadministración intravenosa sin supervisión médica conlleva el riesgo de reacciones alérgicas graves para las que no hay atención de urgencia disponible. Más sobre productos del mercado gris en la Parte I y la Parte IV.</w:t>
      </w:r>
    </w:p>
    <w:bookmarkEnd w:id="634"/>
    <w:bookmarkStart w:id="635" w:name="situación-legal-36"/>
    <w:p>
      <w:pPr>
        <w:pStyle w:val="Heading3"/>
      </w:pPr>
      <w:r>
        <w:t xml:space="preserve">Situación legal</w:t>
      </w:r>
    </w:p>
    <w:p>
      <w:pPr>
        <w:numPr>
          <w:ilvl w:val="0"/>
          <w:numId w:val="1206"/>
        </w:numPr>
        <w:pStyle w:val="Compact"/>
      </w:pPr>
      <w:r>
        <w:rPr>
          <w:bCs/>
          <w:b/>
        </w:rPr>
        <w:t xml:space="preserve">UE / Austria / Alemania:</w:t>
      </w:r>
      <w:r>
        <w:t xml:space="preserve"> </w:t>
      </w:r>
      <w:r>
        <w:t xml:space="preserve">sin autorización centralizada en la UE. En Austria, la cerebrolisina está autorizada a nivel nacional como medicamento con receta; las indicaciones y la financiación se rigen por la ficha técnica austriaca. Otros Estados de la UE tienen sus propias autorizaciones nacionales. En Alemania, según nuestros conocimientos, la cerebrolisina no se comercializa; su obtención solo sería posible, en su caso, como importación individual con prescripción médica (situación en 2026; compruebe la información actualizada).</w:t>
      </w:r>
    </w:p>
    <w:p>
      <w:pPr>
        <w:numPr>
          <w:ilvl w:val="0"/>
          <w:numId w:val="1206"/>
        </w:numPr>
        <w:pStyle w:val="Compact"/>
      </w:pPr>
      <w:r>
        <w:rPr>
          <w:bCs/>
          <w:b/>
        </w:rPr>
        <w:t xml:space="preserve">EE. UU.:</w:t>
      </w:r>
      <w:r>
        <w:t xml:space="preserve"> </w:t>
      </w:r>
      <w:r>
        <w:t xml:space="preserve">no autorizada.</w:t>
      </w:r>
    </w:p>
    <w:p>
      <w:pPr>
        <w:numPr>
          <w:ilvl w:val="0"/>
          <w:numId w:val="1206"/>
        </w:numPr>
        <w:pStyle w:val="Compact"/>
      </w:pPr>
      <w:r>
        <w:rPr>
          <w:bCs/>
          <w:b/>
        </w:rPr>
        <w:t xml:space="preserve">Deporte:</w:t>
      </w:r>
      <w:r>
        <w:t xml:space="preserve"> </w:t>
      </w:r>
      <w:r>
        <w:t xml:space="preserve">no figura en la lista de la WADA (situación en 2026; compruebe la información actualizada).</w:t>
      </w:r>
    </w:p>
    <w:p>
      <w:pPr>
        <w:numPr>
          <w:ilvl w:val="0"/>
          <w:numId w:val="1206"/>
        </w:numPr>
        <w:pStyle w:val="Compact"/>
      </w:pPr>
      <w:r>
        <w:t xml:space="preserve">En caso de uso autorizado: remisión a la ficha técnica y acompañamiento médico.</w:t>
      </w:r>
    </w:p>
    <w:bookmarkEnd w:id="635"/>
    <w:bookmarkStart w:id="636" w:name="estudios-en-curso-y-perspectivas-36"/>
    <w:p>
      <w:pPr>
        <w:pStyle w:val="Heading3"/>
      </w:pPr>
      <w:r>
        <w:t xml:space="preserve">Estudios en curso y perspectivas</w:t>
      </w:r>
    </w:p>
    <w:p>
      <w:pPr>
        <w:pStyle w:val="FirstParagraph"/>
      </w:pPr>
      <w:r>
        <w:rPr>
          <w:bCs/>
          <w:b/>
        </w:rPr>
        <w:t xml:space="preserve">Confirmado (estudios registrados, situación en octubre de 2026):</w:t>
      </w:r>
    </w:p>
    <w:p>
      <w:pPr>
        <w:numPr>
          <w:ilvl w:val="0"/>
          <w:numId w:val="1207"/>
        </w:numPr>
        <w:pStyle w:val="Compact"/>
      </w:pPr>
      <w:r>
        <w:rPr>
          <w:bCs/>
          <w:b/>
        </w:rPr>
        <w:t xml:space="preserve">CERebrolysin In CADASIL</w:t>
      </w:r>
      <w:r>
        <w:t xml:space="preserve"> </w:t>
      </w:r>
      <w:r>
        <w:t xml:space="preserve">(NCT05755997): estudio de fase 2 con 30 participantes en la enfermedad vascular hereditaria CADASIL, activo, reclutamiento concluido.</w:t>
      </w:r>
    </w:p>
    <w:p>
      <w:pPr>
        <w:numPr>
          <w:ilvl w:val="0"/>
          <w:numId w:val="1207"/>
        </w:numPr>
        <w:pStyle w:val="Compact"/>
      </w:pPr>
      <w:r>
        <w:rPr>
          <w:bCs/>
          <w:b/>
        </w:rPr>
        <w:t xml:space="preserve">Afasia tras el ictus</w:t>
      </w:r>
      <w:r>
        <w:t xml:space="preserve"> </w:t>
      </w:r>
      <w:r>
        <w:t xml:space="preserve">(NCT06897176): estudio aleatorizado y controlado con placebo con 40 participantes en Corea, en reclutamiento.</w:t>
      </w:r>
    </w:p>
    <w:p>
      <w:pPr>
        <w:numPr>
          <w:ilvl w:val="0"/>
          <w:numId w:val="1207"/>
        </w:numPr>
        <w:pStyle w:val="Compact"/>
      </w:pPr>
      <w:r>
        <w:rPr>
          <w:bCs/>
          <w:b/>
        </w:rPr>
        <w:t xml:space="preserve">Cerebrolisina tras trombectomía ampliada</w:t>
      </w:r>
      <w:r>
        <w:t xml:space="preserve"> </w:t>
      </w:r>
      <w:r>
        <w:t xml:space="preserve">(NCT06339411): estudio de fase 2 con 100 participantes previstos en Taiwán, inicio en 2026.</w:t>
      </w:r>
    </w:p>
    <w:p>
      <w:pPr>
        <w:numPr>
          <w:ilvl w:val="0"/>
          <w:numId w:val="1207"/>
        </w:numPr>
        <w:pStyle w:val="Compact"/>
      </w:pPr>
      <w:r>
        <w:t xml:space="preserve">Hay registrados otros estudios más pequeños sobre el delirio tras operaciones cardiacas y en la unidad de cuidados intensivos, sobre la hemorragia cerebral y sobre la rehabilitación precoz.</w:t>
      </w:r>
    </w:p>
    <w:p>
      <w:pPr>
        <w:pStyle w:val="FirstParagraph"/>
      </w:pPr>
      <w:r>
        <w:rPr>
          <w:bCs/>
          <w:b/>
        </w:rPr>
        <w:t xml:space="preserve">Valoración:</w:t>
      </w:r>
      <w:r>
        <w:t xml:space="preserve"> </w:t>
      </w:r>
      <w:r>
        <w:t xml:space="preserve">Ninguno de los estudios registrados es lo bastante grande para responder a la pregunta central abierta: ¿reduce la cerebrolisina la discapacidad permanente o la mortalidad tras el ictus? Para ello haría falta un estudio realizado de forma independiente, suficientemente grande, con un criterio de valoración principal claro y fijado de antemano, como la escala de Rankin modificada a los 90 días. Mientras falte, la valoración seguirá dividida entre «establecida en Europa del Este y en Asia» y «no suficientemente demostrada en Occidente».</w:t>
      </w:r>
    </w:p>
    <w:bookmarkEnd w:id="636"/>
    <w:bookmarkStart w:id="637" w:name="conclusión-36"/>
    <w:p>
      <w:pPr>
        <w:pStyle w:val="Heading3"/>
      </w:pPr>
      <w:r>
        <w:t xml:space="preserve">Conclusión</w:t>
      </w:r>
    </w:p>
    <w:p>
      <w:pPr>
        <w:pStyle w:val="FirstParagraph"/>
      </w:pPr>
      <w:r>
        <w:t xml:space="preserve">La cerebrolisina es una mezcla de péptidos obtenida de cerebro de cerdo que se utiliza en Austria y en muchos países de Europa del Este y de Asia en el ictus, el traumatismo craneoencefálico y la demencia. Numerosos estudios aleatorizados muestran mejoras precoces en escalas neurológicas; sin embargo, el estudio más grande (CASTA), con más de 1000 personas, no alcanzó su criterio de valoración principal. Las revisiones Cochrane independientes no encuentran influencia en la mortalidad, sí una señal de más efectos adversos graves no mortales en el ictus y solo ventajas muy inciertas en la demencia vascular. Los análisis cercanos al fabricante llegan a resultados claramente más positivos. Los datos no bastan para demostrar con seguridad un beneficio clínicamente relevante a largo plazo; como autotratamiento o «nootrópico», la cerebrolisina no es adecuada.</w:t>
      </w:r>
    </w:p>
    <w:bookmarkEnd w:id="637"/>
    <w:bookmarkEnd w:id="638"/>
    <w:bookmarkStart w:id="648" w:name="dihexa"/>
    <w:p>
      <w:pPr>
        <w:pStyle w:val="Heading2"/>
      </w:pPr>
      <w:r>
        <w:t xml:space="preserve">Dihexa</w:t>
      </w:r>
    </w:p>
    <w:bookmarkStart w:id="639" w:name="ficha-37"/>
    <w:p>
      <w:pPr>
        <w:pStyle w:val="Heading3"/>
      </w:pPr>
      <w:r>
        <w:t xml:space="preserve">Ficha</w:t>
      </w:r>
    </w:p>
    <w:p>
      <w:pPr>
        <w:numPr>
          <w:ilvl w:val="0"/>
          <w:numId w:val="1208"/>
        </w:numPr>
        <w:pStyle w:val="Compact"/>
      </w:pPr>
      <w:r>
        <w:rPr>
          <w:bCs/>
          <w:b/>
        </w:rPr>
        <w:t xml:space="preserve">Tipo y estructura:</w:t>
      </w:r>
      <w:r>
        <w:t xml:space="preserve"> </w:t>
      </w:r>
      <w:r>
        <w:t xml:space="preserve">minipéptido modificado químicamente, derivado de la angiotensina IV, un fragmento del sistema hormonal que regula la presión arterial. El núcleo consta de dos aminoácidos (tirosina e isoleucina), provistos en ambos extremos de cadenas de tipo ácido graso; nombre químico N-hexanoil-Tyr-Ile-(6)-amida del ácido aminohexanoico, código de investigación PNB-0408.</w:t>
      </w:r>
    </w:p>
    <w:p>
      <w:pPr>
        <w:numPr>
          <w:ilvl w:val="0"/>
          <w:numId w:val="1208"/>
        </w:numPr>
        <w:pStyle w:val="Compact"/>
      </w:pPr>
      <w:r>
        <w:rPr>
          <w:bCs/>
          <w:b/>
        </w:rPr>
        <w:t xml:space="preserve">Origen:</w:t>
      </w:r>
      <w:r>
        <w:t xml:space="preserve"> </w:t>
      </w:r>
      <w:r>
        <w:t xml:space="preserve">desarrollado hacia 2012 en la Universidad Estatal de Washington (EE. UU.).</w:t>
      </w:r>
    </w:p>
    <w:p>
      <w:pPr>
        <w:numPr>
          <w:ilvl w:val="0"/>
          <w:numId w:val="1208"/>
        </w:numPr>
        <w:pStyle w:val="Compact"/>
      </w:pPr>
      <w:r>
        <w:rPr>
          <w:bCs/>
          <w:b/>
        </w:rPr>
        <w:t xml:space="preserve">Mecanismo de acción:</w:t>
      </w:r>
      <w:r>
        <w:t xml:space="preserve"> </w:t>
      </w:r>
      <w:r>
        <w:t xml:space="preserve">debería reforzar el sistema de factores de crecimiento HGF/c-Met (HGF = factor de crecimiento de hepatocitos, c-Met = su receptor) y estimular así la formación de nuevas conexiones nerviosas (sinapsis).</w:t>
      </w:r>
    </w:p>
    <w:p>
      <w:pPr>
        <w:numPr>
          <w:ilvl w:val="0"/>
          <w:numId w:val="1208"/>
        </w:numPr>
        <w:pStyle w:val="Compact"/>
      </w:pPr>
      <w:r>
        <w:rPr>
          <w:bCs/>
          <w:b/>
        </w:rPr>
        <w:t xml:space="preserve">Autorización UE:</w:t>
      </w:r>
      <w:r>
        <w:t xml:space="preserve"> </w:t>
      </w:r>
      <w:r>
        <w:t xml:space="preserve">no.</w:t>
      </w:r>
    </w:p>
    <w:p>
      <w:pPr>
        <w:numPr>
          <w:ilvl w:val="0"/>
          <w:numId w:val="1208"/>
        </w:numPr>
        <w:pStyle w:val="Compact"/>
      </w:pPr>
      <w:r>
        <w:rPr>
          <w:bCs/>
          <w:b/>
        </w:rPr>
        <w:t xml:space="preserve">Autorización EE. UU.:</w:t>
      </w:r>
      <w:r>
        <w:t xml:space="preserve"> </w:t>
      </w:r>
      <w:r>
        <w:t xml:space="preserve">no. A partir de 2023, Dihexa figuró en la «categoría 2» de la FDA de sustancias para fórmulas magistrales con problemas de seguridad; en abril de 2026 se retiró de ella, y se ha anunciado una evaluación por el comité asesor PCAC en una sesión hasta febrero de 2027 (situación en octubre de 2026; compruebe la información actualizada).</w:t>
      </w:r>
    </w:p>
    <w:p>
      <w:pPr>
        <w:numPr>
          <w:ilvl w:val="0"/>
          <w:numId w:val="1208"/>
        </w:numPr>
        <w:pStyle w:val="Compact"/>
      </w:pPr>
      <w:r>
        <w:rPr>
          <w:bCs/>
          <w:b/>
        </w:rPr>
        <w:t xml:space="preserve">WADA:</w:t>
      </w:r>
      <w:r>
        <w:t xml:space="preserve"> </w:t>
      </w:r>
      <w:r>
        <w:t xml:space="preserve">no figura nominalmente; como sustancia no autorizada en ningún lugar, Dihexa entra, según nuestra valoración, en la categoría general S0 «sustancias no aprobadas» (situación en 2026; compruebe la información actualizada).</w:t>
      </w:r>
    </w:p>
    <w:p>
      <w:pPr>
        <w:numPr>
          <w:ilvl w:val="0"/>
          <w:numId w:val="1208"/>
        </w:numPr>
        <w:pStyle w:val="Compact"/>
      </w:pPr>
      <w:r>
        <w:rPr>
          <w:bCs/>
          <w:b/>
        </w:rPr>
        <w:t xml:space="preserve">Nivel de evidencia:</w:t>
      </w:r>
      <w:r>
        <w:t xml:space="preserve"> </w:t>
      </w:r>
      <w:r>
        <w:rPr>
          <w:bCs/>
          <w:b/>
        </w:rPr>
        <w:t xml:space="preserve">D</w:t>
      </w:r>
      <w:r>
        <w:t xml:space="preserve"> </w:t>
      </w:r>
      <w:r>
        <w:t xml:space="preserve">– ni un solo estudio publicado en humanos.</w:t>
      </w:r>
    </w:p>
    <w:bookmarkEnd w:id="639"/>
    <w:bookmarkStart w:id="640" w:name="cómo-se-supone-que-actúa-37"/>
    <w:p>
      <w:pPr>
        <w:pStyle w:val="Heading3"/>
      </w:pPr>
      <w:r>
        <w:t xml:space="preserve">Cómo se supone que actúa</w:t>
      </w:r>
    </w:p>
    <w:p>
      <w:pPr>
        <w:pStyle w:val="FirstParagraph"/>
      </w:pPr>
      <w:r>
        <w:t xml:space="preserve">La angiotensina IV es un péptido corto que se forma en el organismo a partir de la hormona de la presión arterial angiotensina II. Desde la década de 1990, los investigadores observaron que la angiotensina IV y moléculas relacionadas mejoran el aprendizaje y la memoria en ratas cuando se inyectan directamente en el cerebro. Para un medicamento esto era inservible: los péptidos se degradaban rápidamente y no pasaban ni del intestino a la sangre ni a través de la barrera hematoencefálica.</w:t>
      </w:r>
    </w:p>
    <w:p>
      <w:pPr>
        <w:pStyle w:val="BodyText"/>
      </w:pPr>
      <w:r>
        <w:t xml:space="preserve">Por eso, el grupo de trabajo de Joseph Harding y John Wright en Washington acortó la molécula a su núcleo activo y la dotó de grupos protectores químicos. El resultado fue Dihexa: estable frente a la degradación, activo por vía oral en ratas y capaz de llegar al cerebro. En ratas con un trastorno de memoria provocado farmacológicamente y en ratas viejas mejoró el rendimiento en el laberinto acuático y favoreció la formación de sinapsis en el hipocampo (McCoy 2013, PMID 23055539).</w:t>
      </w:r>
    </w:p>
    <w:p>
      <w:pPr>
        <w:pStyle w:val="BodyText"/>
      </w:pPr>
      <w:r>
        <w:t xml:space="preserve">Más tarde, el mismo grupo encontró el supuesto mecanismo de acción: Dihexa se une al factor de crecimiento HGF y refuerza su señal en el receptor c-Met. Cuando se bloqueaba el sistema HGF en el cerebro de ratas, desaparecía el efecto favorecedor de la memoria (Benoist 2014, PMID 25187433). Este trabajo fue retractado por la revista en 2025 (nota de retractación: PMID 40312093), al igual que otro trabajo fundamental del mismo grupo sobre derivados de la angiotensina IV como moduladores de HGF/c-Met (nota de retractación: PMID 40312092). Con ello, el mecanismo de acción descrito ya no está demostrado de forma sólida; las entradas de PubMed no indican los motivos de la retractación.</w:t>
      </w:r>
    </w:p>
    <w:p>
      <w:pPr>
        <w:pStyle w:val="BodyText"/>
      </w:pPr>
      <w:r>
        <w:t xml:space="preserve">En internet, Dihexa se describe a menudo como una sustancia muchas veces más potente que el factor de crecimiento nervioso BDNF. Estas comparaciones proceden de experimentos con cultivos celulares y no dicen nada sobre si Dihexa actúa en el ser humano ni cómo.</w:t>
      </w:r>
    </w:p>
    <w:bookmarkEnd w:id="640"/>
    <w:bookmarkStart w:id="642" w:name="estudios-en-humanos-37"/>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w:t>
      </w:r>
      <w:r>
        <w:t xml:space="preserve"> </w:t>
      </w:r>
      <w:r>
        <w:rPr>
          <w:bCs/>
          <w:b/>
        </w:rPr>
        <w:t xml:space="preserve">no</w:t>
      </w:r>
      <w:r>
        <w:t xml:space="preserve"> </w:t>
      </w:r>
      <w:r>
        <w:t xml:space="preserve">arrojó ningún estudio en humanos con Dihexa; en total, PubMed recoge solo 18 trabajos con el término de búsqueda, varios de ellos sin relación con el principio activo. En ClinicalTrials.gov no hay ningún estudio registrado. Tampoco una búsqueda específica adicional de informes de casos, intoxicaciones o análisis de productos del mercado gris dio resultado.</w:t>
      </w:r>
    </w:p>
    <w:p>
      <w:pPr>
        <w:pStyle w:val="BodyText"/>
      </w:pPr>
      <w:r>
        <w:t xml:space="preserve">Por tanto, no hay datos sobre la eficacia, la tolerabilidad, la duración del efecto ni las cantidades adecuadas en el ser humano. Todo lo que se cuenta sobre un efecto en personas procede de relatos de experiencias en foros.</w:t>
      </w:r>
    </w:p>
    <w:bookmarkStart w:id="641" w:name="un-pariente-en-la-clínica-fosgonimeton"/>
    <w:p>
      <w:pPr>
        <w:pStyle w:val="Heading4"/>
      </w:pPr>
      <w:r>
        <w:t xml:space="preserve">Un pariente en la clínica: fosgonimeton</w:t>
      </w:r>
    </w:p>
    <w:p>
      <w:pPr>
        <w:pStyle w:val="FirstParagraph"/>
      </w:pPr>
      <w:r>
        <w:t xml:space="preserve">Es revelador el destino de otro principio activo surgido del mismo enfoque de investigación, el refuerzo del sistema HGF/c-Met. La empresa Athira Pharma desarrolló el fosgonimeton (ATH-1017), una molécula químicamente distinta que también debería influir positivamente en HGF/c-Met. El fosgonimeton, a diferencia de Dihexa, se evaluó en estudios clínicos reglamentarios: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Fase 1 (Hua 2022), PMID 35180125</w:t>
            </w:r>
          </w:p>
        </w:tc>
        <w:tc>
          <w:tcPr/>
          <w:p>
            <w:pPr>
              <w:pStyle w:val="Compact"/>
              <w:jc w:val="left"/>
            </w:pPr>
            <w:r>
              <w:t xml:space="preserve">88 personas (sanas y 11 personas con alzhéimer), doble ciego frente a placebo</w:t>
            </w:r>
          </w:p>
        </w:tc>
        <w:tc>
          <w:tcPr/>
          <w:p>
            <w:pPr>
              <w:pStyle w:val="Compact"/>
              <w:jc w:val="left"/>
            </w:pPr>
            <w:r>
              <w:t xml:space="preserve">hasta 9 días</w:t>
            </w:r>
          </w:p>
        </w:tc>
        <w:tc>
          <w:tcPr/>
          <w:p>
            <w:pPr>
              <w:pStyle w:val="Compact"/>
              <w:jc w:val="left"/>
            </w:pPr>
            <w:r>
              <w:t xml:space="preserve">bien tolerado; cambios en el EEG como indicio de paso al cerebro</w:t>
            </w:r>
          </w:p>
        </w:tc>
      </w:tr>
      <w:tr>
        <w:tc>
          <w:tcPr/>
          <w:p>
            <w:pPr>
              <w:pStyle w:val="Compact"/>
              <w:jc w:val="left"/>
            </w:pPr>
            <w:r>
              <w:t xml:space="preserve">LIFT-AD (Porsteinsson 2025), PMID 41393340</w:t>
            </w:r>
          </w:p>
        </w:tc>
        <w:tc>
          <w:tcPr/>
          <w:p>
            <w:pPr>
              <w:pStyle w:val="Compact"/>
              <w:jc w:val="left"/>
            </w:pPr>
            <w:r>
              <w:t xml:space="preserve">287 personas con enfermedad de Alzheimer leve a moderada en el análisis principal, fase 2/3 frente a placebo</w:t>
            </w:r>
          </w:p>
        </w:tc>
        <w:tc>
          <w:tcPr/>
          <w:p>
            <w:pPr>
              <w:pStyle w:val="Compact"/>
              <w:jc w:val="left"/>
            </w:pPr>
            <w:r>
              <w:t xml:space="preserve">26 semanas</w:t>
            </w:r>
          </w:p>
        </w:tc>
        <w:tc>
          <w:tcPr/>
          <w:p>
            <w:pPr>
              <w:pStyle w:val="Compact"/>
              <w:jc w:val="left"/>
            </w:pPr>
            <w:r>
              <w:t xml:space="preserve">criterios de valoración principal y secundarios no alcanzados; más abandonos del tratamiento por efectos adversos (14,2 % frente a 4,6 %)</w:t>
            </w:r>
          </w:p>
        </w:tc>
      </w:tr>
    </w:tbl>
    <w:p>
      <w:pPr>
        <w:pStyle w:val="BodyText"/>
      </w:pPr>
      <w:r>
        <w:t xml:space="preserve">En LIFT-AD (NCT04488419), el fosgonimeton no se diferenció significativamente del placebo ni en el criterio de valoración principal combinado ni en las escalas de memoria o de actividades cotidianas. Los acontecimientos adversos graves estuvieron equilibrados (4,2 % frente a 6,9 %); los abandonos del tratamiento por efectos adversos –sobre todo reacciones en el lugar de inyección– fueron más frecuentes con fosgonimeton (Porsteinsson 2025, PMID 41393340). Un estudio en la demencia de la enfermedad de Parkinson y la demencia con cuerpos de Lewy se terminó antes de tiempo (NCT04831281).</w:t>
      </w:r>
    </w:p>
    <w:p>
      <w:pPr>
        <w:pStyle w:val="BodyText"/>
      </w:pPr>
      <w:r>
        <w:t xml:space="preserve">Esto no demuestra que Dihexa sea ineficaz: es otra sustancia. Pero muestra lo poco que las mejoras de memoria en ratas pueden trasladarse a personas con demencia.</w:t>
      </w:r>
    </w:p>
    <w:bookmarkEnd w:id="641"/>
    <w:bookmarkEnd w:id="642"/>
    <w:bookmarkStart w:id="643" w:name="estudios-en-animales-y-de-laboratorio-37"/>
    <w:p>
      <w:pPr>
        <w:pStyle w:val="Heading3"/>
      </w:pPr>
      <w:r>
        <w:t xml:space="preserve">Estudios en animales y de laboratorio</w:t>
      </w:r>
    </w:p>
    <w:p>
      <w:pPr>
        <w:numPr>
          <w:ilvl w:val="0"/>
          <w:numId w:val="1209"/>
        </w:numPr>
        <w:pStyle w:val="Compact"/>
      </w:pPr>
      <w:r>
        <w:t xml:space="preserve">En ratas con trastorno de memoria por escopolamina y en ratas viejas, Dihexa mejoró el aprendizaje espacial y favoreció la formación de sinapsis (McCoy 2013, PMID 23055539).</w:t>
      </w:r>
    </w:p>
    <w:p>
      <w:pPr>
        <w:numPr>
          <w:ilvl w:val="0"/>
          <w:numId w:val="1209"/>
        </w:numPr>
        <w:pStyle w:val="Compact"/>
      </w:pPr>
      <w:r>
        <w:t xml:space="preserve">En ratones modelo de alzhéimer (APP/PS1), Dihexa mejoró el aprendizaje en el laberinto acuático y redujo los signos de inflamación en el cerebro (Sun 2021, PMID 34827486).</w:t>
      </w:r>
    </w:p>
    <w:p>
      <w:pPr>
        <w:numPr>
          <w:ilvl w:val="0"/>
          <w:numId w:val="1209"/>
        </w:numPr>
        <w:pStyle w:val="Compact"/>
      </w:pPr>
      <w:r>
        <w:t xml:space="preserve">En un modelo de enfermedad de Huntington en ratas, Dihexa</w:t>
      </w:r>
      <w:r>
        <w:t xml:space="preserve"> </w:t>
      </w:r>
      <w:r>
        <w:rPr>
          <w:bCs/>
          <w:b/>
        </w:rPr>
        <w:t xml:space="preserve">no</w:t>
      </w:r>
      <w:r>
        <w:t xml:space="preserve"> </w:t>
      </w:r>
      <w:r>
        <w:t xml:space="preserve">protegió frente a los déficits (Wells 2024, PMID 38489193).</w:t>
      </w:r>
    </w:p>
    <w:p>
      <w:pPr>
        <w:numPr>
          <w:ilvl w:val="0"/>
          <w:numId w:val="1209"/>
        </w:numPr>
        <w:pStyle w:val="Compact"/>
      </w:pPr>
      <w:r>
        <w:t xml:space="preserve">En larvas de pez cebra, Dihexa protegió las células ciliadas sensoriales frente a los daños causados por determinados antibióticos (Uribe 2015, PMID 25674052).</w:t>
      </w:r>
    </w:p>
    <w:p>
      <w:pPr>
        <w:numPr>
          <w:ilvl w:val="0"/>
          <w:numId w:val="1209"/>
        </w:numPr>
        <w:pStyle w:val="Compact"/>
      </w:pPr>
      <w:r>
        <w:t xml:space="preserve">En la investigación con células madre, Dihexa se utiliza como sustituto barato de factores de crecimiento en la producción de células similares a los hepatocitos (Pan 2022, PMID 35410439), un indicio de lo amplio que es el efecto del sistema HGF en el organismo.</w:t>
      </w:r>
    </w:p>
    <w:p>
      <w:pPr>
        <w:pStyle w:val="FirstParagraph"/>
      </w:pPr>
      <w:r>
        <w:t xml:space="preserve">Una revisión sistemática sobre derivados de la angiotensina IV encontró efectos favorables en ocho de nueve estudios en animales sobre trastornos de memoria, pero subraya que las sustancias actuaban mejor cuando se administraban directamente en el cerebro (Ho 2018, PMID 29733881).</w:t>
      </w:r>
    </w:p>
    <w:bookmarkEnd w:id="643"/>
    <w:bookmarkStart w:id="644" w:name="riesgos-y-efectos-adversos-37"/>
    <w:p>
      <w:pPr>
        <w:pStyle w:val="Heading3"/>
      </w:pPr>
      <w:r>
        <w:t xml:space="preserve">Riesgos y efectos adversos</w:t>
      </w:r>
    </w:p>
    <w:p>
      <w:pPr>
        <w:pStyle w:val="FirstParagraph"/>
      </w:pPr>
      <w:r>
        <w:rPr>
          <w:bCs/>
          <w:b/>
        </w:rPr>
        <w:t xml:space="preserve">Demostrado:</w:t>
      </w:r>
      <w:r>
        <w:t xml:space="preserve"> </w:t>
      </w:r>
      <w:r>
        <w:t xml:space="preserve">No hay datos de seguridad publicados en humanos, ni de estudios ni de informes de casos.</w:t>
      </w:r>
    </w:p>
    <w:p>
      <w:pPr>
        <w:pStyle w:val="BodyText"/>
      </w:pPr>
      <w:r>
        <w:rPr>
          <w:bCs/>
          <w:b/>
        </w:rPr>
        <w:t xml:space="preserve">Teórico, y a tomar en serio:</w:t>
      </w:r>
      <w:r>
        <w:t xml:space="preserve"> </w:t>
      </w:r>
      <w:r>
        <w:t xml:space="preserve">El sistema HGF/c-Met no solo es importante para las neuronas. La activación de c-Met estimula la división celular, la migración celular y la remodelación tisular (Wright 2015, PMID 25649658). En la investigación oncológica, c-Met es conocido como impulsor del crecimiento y la diseminación de diversos tumores; varios medicamentos oncológicos autorizados bloquean precisamente este receptor. Una sustancia que refuerce esta señal de forma continuada podría, en teoría, favorecer el crecimiento de tumores no detectados. Nunca se ha estudiado si es el caso de Dihexa; no existen estudios de toxicidad a largo plazo accesibles públicamente. (Más sobre señales de crecimiento y riesgo de cáncer en la Parte IV.)</w:t>
      </w:r>
    </w:p>
    <w:p>
      <w:pPr>
        <w:pStyle w:val="BodyText"/>
      </w:pPr>
      <w:r>
        <w:rPr>
          <w:bCs/>
          <w:b/>
        </w:rPr>
        <w:t xml:space="preserve">Mercado gris:</w:t>
      </w:r>
      <w:r>
        <w:t xml:space="preserve"> </w:t>
      </w:r>
      <w:r>
        <w:t xml:space="preserve">Dihexa se vende en internet en polvo, cápsulas o solución, en parte para tomar por vía oral, en parte para aplicar sobre la piel. El contenido y la pureza no están comprobados.</w:t>
      </w:r>
    </w:p>
    <w:bookmarkEnd w:id="644"/>
    <w:bookmarkStart w:id="645" w:name="situación-legal-37"/>
    <w:p>
      <w:pPr>
        <w:pStyle w:val="Heading3"/>
      </w:pPr>
      <w:r>
        <w:t xml:space="preserve">Situación legal</w:t>
      </w:r>
    </w:p>
    <w:p>
      <w:pPr>
        <w:numPr>
          <w:ilvl w:val="0"/>
          <w:numId w:val="1210"/>
        </w:numPr>
        <w:pStyle w:val="Compact"/>
      </w:pPr>
      <w:r>
        <w:rPr>
          <w:bCs/>
          <w:b/>
        </w:rPr>
        <w:t xml:space="preserve">UE / Austria / Alemania:</w:t>
      </w:r>
      <w:r>
        <w:t xml:space="preserve"> </w:t>
      </w:r>
      <w:r>
        <w:t xml:space="preserve">no autorizado. Como sustancia con efecto farmacológico, Dihexa se considera medicamento; su venta para uso en humanos no está permitida. La etiqueta «solo para fines de investigación» no cambia nada (situación en 2026; compruebe la información actualizada).</w:t>
      </w:r>
    </w:p>
    <w:p>
      <w:pPr>
        <w:numPr>
          <w:ilvl w:val="0"/>
          <w:numId w:val="1210"/>
        </w:numPr>
        <w:pStyle w:val="Compact"/>
      </w:pPr>
      <w:r>
        <w:rPr>
          <w:bCs/>
          <w:b/>
        </w:rPr>
        <w:t xml:space="preserve">EE. UU.:</w:t>
      </w:r>
      <w:r>
        <w:t xml:space="preserve"> </w:t>
      </w:r>
      <w:r>
        <w:t xml:space="preserve">no autorizado. Desde abril de 2026 ya no figura en la «categoría 2» de la FDA; el comité asesor PCAC no había deliberado hasta octubre de 2026 sobre una posible inclusión en la lista de sustancias admisibles para fórmulas magistrales (situación en octubre de 2026; compruebe la información actualizada).</w:t>
      </w:r>
    </w:p>
    <w:p>
      <w:pPr>
        <w:numPr>
          <w:ilvl w:val="0"/>
          <w:numId w:val="1210"/>
        </w:numPr>
        <w:pStyle w:val="Compact"/>
      </w:pPr>
      <w:r>
        <w:rPr>
          <w:bCs/>
          <w:b/>
        </w:rPr>
        <w:t xml:space="preserve">Deporte:</w:t>
      </w:r>
      <w:r>
        <w:t xml:space="preserve"> </w:t>
      </w:r>
      <w:r>
        <w:t xml:space="preserve">como sustancia no autorizada entra, según nuestra valoración, en la categoría S0 de la WADA (situación en 2026; compruebe la información actualizada).</w:t>
      </w:r>
    </w:p>
    <w:bookmarkEnd w:id="645"/>
    <w:bookmarkStart w:id="646" w:name="estudios-en-curso-y-perspectivas-37"/>
    <w:p>
      <w:pPr>
        <w:pStyle w:val="Heading3"/>
      </w:pPr>
      <w:r>
        <w:t xml:space="preserve">Estudios en curso y perspectivas</w:t>
      </w:r>
    </w:p>
    <w:p>
      <w:pPr>
        <w:pStyle w:val="FirstParagraph"/>
      </w:pPr>
      <w:r>
        <w:rPr>
          <w:bCs/>
          <w:b/>
        </w:rPr>
        <w:t xml:space="preserve">Confirmado:</w:t>
      </w:r>
      <w:r>
        <w:t xml:space="preserve"> </w:t>
      </w:r>
      <w:r>
        <w:t xml:space="preserve">Para Dihexa no hay registrado ningún estudio clínico (consulta de octubre de 2026). El enfoque relacionado del fosgonimeton fracasó en el estudio de alzhéimer LIFT-AD.</w:t>
      </w:r>
    </w:p>
    <w:p>
      <w:pPr>
        <w:pStyle w:val="BodyText"/>
      </w:pPr>
      <w:r>
        <w:rPr>
          <w:bCs/>
          <w:b/>
        </w:rPr>
        <w:t xml:space="preserve">Valoración:</w:t>
      </w:r>
      <w:r>
        <w:t xml:space="preserve"> </w:t>
      </w:r>
      <w:r>
        <w:t xml:space="preserve">Sin datos de toxicidad y sin un primer estudio en humanos, Dihexa seguirá siendo un principio activo de laboratorio. Está por ver si la deliberación anunciada del PCAC en EE. UU. cambia algo al respecto; en todo caso afectaría a las fórmulas magistrales de farmacia, no a la falta de demostración de eficacia.</w:t>
      </w:r>
    </w:p>
    <w:bookmarkEnd w:id="646"/>
    <w:bookmarkStart w:id="647" w:name="conclusión-37"/>
    <w:p>
      <w:pPr>
        <w:pStyle w:val="Heading3"/>
      </w:pPr>
      <w:r>
        <w:t xml:space="preserve">Conclusión</w:t>
      </w:r>
    </w:p>
    <w:p>
      <w:pPr>
        <w:pStyle w:val="FirstParagraph"/>
      </w:pPr>
      <w:r>
        <w:t xml:space="preserve">Dihexa es un derivado químicamente estabilizado de la angiotensina IV que en ratas y ratones favoreció el aprendizaje y la formación de sinapsis, mediado por el sistema de factores de crecimiento HGF/c-Met. Nunca se ha estudiado en humanos; un principio activo relacionado (fosgonimeton) no alcanzó ninguno de los criterios de valoración en un estudio de alzhéimer con 287 personas. Como c-Met también impulsa el crecimiento tumoral, existe una preocupación plausible, pero no comprobada, en relación con el cáncer. Los datos no bastan para valorar ningún beneficio ni la seguridad en el ser humano.</w:t>
      </w:r>
    </w:p>
    <w:bookmarkEnd w:id="647"/>
    <w:bookmarkEnd w:id="648"/>
    <w:bookmarkStart w:id="660" w:name="dsip-péptido-inductor-del-sueño-delta"/>
    <w:p>
      <w:pPr>
        <w:pStyle w:val="Heading2"/>
      </w:pPr>
      <w:r>
        <w:t xml:space="preserve">DSIP (péptido inductor del sueño delta)</w:t>
      </w:r>
    </w:p>
    <w:bookmarkStart w:id="649" w:name="ficha-38"/>
    <w:p>
      <w:pPr>
        <w:pStyle w:val="Heading3"/>
      </w:pPr>
      <w:r>
        <w:t xml:space="preserve">Ficha</w:t>
      </w:r>
    </w:p>
    <w:p>
      <w:pPr>
        <w:numPr>
          <w:ilvl w:val="0"/>
          <w:numId w:val="1211"/>
        </w:numPr>
        <w:pStyle w:val="Compact"/>
      </w:pPr>
      <w:r>
        <w:rPr>
          <w:bCs/>
          <w:b/>
        </w:rPr>
        <w:t xml:space="preserve">Tipo y estructura:</w:t>
      </w:r>
      <w:r>
        <w:t xml:space="preserve"> </w:t>
      </w:r>
      <w:r>
        <w:t xml:space="preserve">nonapéptido de nueve aminoácidos (Trp-Ala-Gly-Gly-Asp-Ala-Ser-Gly-Glu); denominación internacional del principio activo emideltida.</w:t>
      </w:r>
    </w:p>
    <w:p>
      <w:pPr>
        <w:numPr>
          <w:ilvl w:val="0"/>
          <w:numId w:val="1211"/>
        </w:numPr>
        <w:pStyle w:val="Compact"/>
      </w:pPr>
      <w:r>
        <w:rPr>
          <w:bCs/>
          <w:b/>
        </w:rPr>
        <w:t xml:space="preserve">Origen:</w:t>
      </w:r>
      <w:r>
        <w:t xml:space="preserve"> </w:t>
      </w:r>
      <w:r>
        <w:t xml:space="preserve">aislado en 1977 por un grupo de trabajo de Basilea a partir de la sangre venosa cerebral de conejos a los que se había inducido un sueño profundo mediante estimulación eléctrica. Hasta hoy no se ha encontrado ningún gen, proteína precursora ni receptor para el DSIP.</w:t>
      </w:r>
    </w:p>
    <w:p>
      <w:pPr>
        <w:numPr>
          <w:ilvl w:val="0"/>
          <w:numId w:val="1211"/>
        </w:numPr>
        <w:pStyle w:val="Compact"/>
      </w:pPr>
      <w:r>
        <w:rPr>
          <w:bCs/>
          <w:b/>
        </w:rPr>
        <w:t xml:space="preserve">Mecanismo de acción:</w:t>
      </w:r>
      <w:r>
        <w:t xml:space="preserve"> </w:t>
      </w:r>
      <w:r>
        <w:t xml:space="preserve">como «sustancia del sueño» propia del organismo, debía favorecer el sueño profundo (sueño delta con ondas lentas en el EEG); más tarde se supusieron influencias sobre las hormonas del estrés, el dolor y los síntomas de abstinencia.</w:t>
      </w:r>
    </w:p>
    <w:p>
      <w:pPr>
        <w:numPr>
          <w:ilvl w:val="0"/>
          <w:numId w:val="1211"/>
        </w:numPr>
        <w:pStyle w:val="Compact"/>
      </w:pPr>
      <w:r>
        <w:rPr>
          <w:bCs/>
          <w:b/>
        </w:rPr>
        <w:t xml:space="preserve">Autorización UE:</w:t>
      </w:r>
      <w:r>
        <w:t xml:space="preserve"> </w:t>
      </w:r>
      <w:r>
        <w:t xml:space="preserve">no.</w:t>
      </w:r>
    </w:p>
    <w:p>
      <w:pPr>
        <w:numPr>
          <w:ilvl w:val="0"/>
          <w:numId w:val="1211"/>
        </w:numPr>
        <w:pStyle w:val="Compact"/>
      </w:pPr>
      <w:r>
        <w:rPr>
          <w:bCs/>
          <w:b/>
        </w:rPr>
        <w:t xml:space="preserve">Autorización EE. UU.:</w:t>
      </w:r>
      <w:r>
        <w:t xml:space="preserve"> </w:t>
      </w:r>
      <w:r>
        <w:t xml:space="preserve">no. En abril de 2026, la emideltida se retiró de la «categoría 2» de la FDA; el comité asesor PCAC votó en julio de 2026, por 6 votos contra 7,</w:t>
      </w:r>
      <w:r>
        <w:t xml:space="preserve"> </w:t>
      </w:r>
      <w:r>
        <w:rPr>
          <w:bCs/>
          <w:b/>
        </w:rPr>
        <w:t xml:space="preserve">en contra</w:t>
      </w:r>
      <w:r>
        <w:t xml:space="preserve"> </w:t>
      </w:r>
      <w:r>
        <w:t xml:space="preserve">de su inclusión en la lista de sustancias admisibles para fórmulas magistrales (situación en octubre de 2026; compruebe la información actualizada).</w:t>
      </w:r>
    </w:p>
    <w:p>
      <w:pPr>
        <w:numPr>
          <w:ilvl w:val="0"/>
          <w:numId w:val="1211"/>
        </w:numPr>
        <w:pStyle w:val="Compact"/>
      </w:pPr>
      <w:r>
        <w:rPr>
          <w:bCs/>
          <w:b/>
        </w:rPr>
        <w:t xml:space="preserve">Rusia y países vecinos:</w:t>
      </w:r>
      <w:r>
        <w:t xml:space="preserve"> </w:t>
      </w:r>
      <w:r>
        <w:t xml:space="preserve">allí se utilizaron preparados de DSIP (p. ej., Deltaran, Deltalicin) en estudios y en la práctica clínica.</w:t>
      </w:r>
    </w:p>
    <w:p>
      <w:pPr>
        <w:numPr>
          <w:ilvl w:val="0"/>
          <w:numId w:val="1211"/>
        </w:numPr>
        <w:pStyle w:val="Compact"/>
      </w:pPr>
      <w:r>
        <w:rPr>
          <w:bCs/>
          <w:b/>
        </w:rPr>
        <w:t xml:space="preserve">WADA:</w:t>
      </w:r>
      <w:r>
        <w:t xml:space="preserve"> </w:t>
      </w:r>
      <w:r>
        <w:t xml:space="preserve">no figura nominalmente (situación en 2026; compruebe la información actualizada).</w:t>
      </w:r>
    </w:p>
    <w:p>
      <w:pPr>
        <w:numPr>
          <w:ilvl w:val="0"/>
          <w:numId w:val="1211"/>
        </w:numPr>
        <w:pStyle w:val="Compact"/>
      </w:pPr>
      <w:r>
        <w:rPr>
          <w:bCs/>
          <w:b/>
        </w:rPr>
        <w:t xml:space="preserve">Nivel de evidencia:</w:t>
      </w:r>
      <w:r>
        <w:t xml:space="preserve"> </w:t>
      </w:r>
      <w:r>
        <w:rPr>
          <w:bCs/>
          <w:b/>
        </w:rPr>
        <w:t xml:space="preserve">C</w:t>
      </w:r>
      <w:r>
        <w:t xml:space="preserve"> </w:t>
      </w:r>
      <w:r>
        <w:t xml:space="preserve">– solo estudios muy pequeños, realizados mayoritariamente en la década de 1980; los mejores desde el punto de vista metodológico no encontraron ningún beneficio clínicamente relevante.</w:t>
      </w:r>
    </w:p>
    <w:bookmarkEnd w:id="649"/>
    <w:bookmarkStart w:id="650" w:name="cómo-se-supone-que-actúa-38"/>
    <w:p>
      <w:pPr>
        <w:pStyle w:val="Heading3"/>
      </w:pPr>
      <w:r>
        <w:t xml:space="preserve">Cómo se supone que actúa</w:t>
      </w:r>
    </w:p>
    <w:p>
      <w:pPr>
        <w:pStyle w:val="FirstParagraph"/>
      </w:pPr>
      <w:r>
        <w:t xml:space="preserve">La idea era sencilla y atractiva: si el cerebro libera a la sangre durante el sueño una sustancia que induce el sueño en otros animales, podría ser un somnífero natural, sin los inconvenientes de los tranquilizantes. Los investigadores de Basilea transfirieron sangre de conejos dormidos a animales despiertos y aislaron de ella el péptido que consideraban responsable del efecto (Monnier 1977, PMID 862769).</w:t>
      </w:r>
    </w:p>
    <w:p>
      <w:pPr>
        <w:pStyle w:val="BodyText"/>
      </w:pPr>
      <w:r>
        <w:t xml:space="preserve">La esperanza no se confirmó. Una revisión del año 2006 califica al DSIP de «enigma aún sin resolver»: su relación con el sueño estaría «extremadamente mal documentada», porque no se ha encontrado ni el gen correspondiente ni un receptor. En experimentos con animales, más que el propio DSIP, fueron determinadas modificaciones artificiales las que favorecieron el sueño profundo. Los autores suponen que un péptido similar al DSIP, hasta ahora desconocido, podría ser el responsable de los efectos observados (Kovalzon 2006, PMID 16539679).</w:t>
      </w:r>
    </w:p>
    <w:p>
      <w:pPr>
        <w:pStyle w:val="BodyText"/>
      </w:pPr>
      <w:r>
        <w:t xml:space="preserve">Otros efectos supuestos –sobre las hormonas del estrés, la percepción del dolor, el sistema opioide y las enzimas antioxidantes– proceden mayoritariamente de experimentos con animales. En ovejas, el DSIP marcado atravesó la barrera entre la sangre y el líquido cefalorraquídeo en una medida baja a moderada (Zlokovic 1988, PMID 3420012).</w:t>
      </w:r>
    </w:p>
    <w:bookmarkEnd w:id="650"/>
    <w:bookmarkStart w:id="654" w:name="estudios-en-humanos-38"/>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 18 publicaciones clasificadas como estudios en humanos; una de ellas, tras un examen más detallado, trata otro tema (cirugía de columna). Casi todas datan de los años 1981 a 1998 y tenían cada una entre 1 y 16 participantes en las partes controladas con placebo. En ClinicalTrials.gov, la búsqueda dio un resultado que no se refiere al DSIP; no existe ningún estudio registrado con DSIP.</w:t>
      </w:r>
    </w:p>
    <w:bookmarkStart w:id="651" w:name="trastornos-del-sueño"/>
    <w:p>
      <w:pPr>
        <w:pStyle w:val="Heading4"/>
      </w:pPr>
      <w:r>
        <w:t xml:space="preserve">Trastornos del sueño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Schneider-Helmert 1981, PMID 6895513</w:t>
            </w:r>
          </w:p>
        </w:tc>
        <w:tc>
          <w:tcPr/>
          <w:p>
            <w:pPr>
              <w:pStyle w:val="Compact"/>
              <w:jc w:val="left"/>
            </w:pPr>
            <w:r>
              <w:t xml:space="preserve">6 personas sanas, doble ciego, cruzado frente a placebo</w:t>
            </w:r>
          </w:p>
        </w:tc>
        <w:tc>
          <w:tcPr/>
          <w:p>
            <w:pPr>
              <w:pStyle w:val="Compact"/>
              <w:jc w:val="left"/>
            </w:pPr>
            <w:r>
              <w:t xml:space="preserve">infusión única</w:t>
            </w:r>
          </w:p>
        </w:tc>
        <w:tc>
          <w:tcPr/>
          <w:p>
            <w:pPr>
              <w:pStyle w:val="Compact"/>
              <w:jc w:val="left"/>
            </w:pPr>
            <w:r>
              <w:t xml:space="preserve">tiempo de sueño en 130 minutos un 59 % mayor; sin sedación clásica</w:t>
            </w:r>
          </w:p>
        </w:tc>
      </w:tr>
      <w:tr>
        <w:tc>
          <w:tcPr/>
          <w:p>
            <w:pPr>
              <w:pStyle w:val="Compact"/>
              <w:jc w:val="left"/>
            </w:pPr>
            <w:r>
              <w:t xml:space="preserve">Schneider-Helmert 1981, PMID 7028502</w:t>
            </w:r>
          </w:p>
        </w:tc>
        <w:tc>
          <w:tcPr/>
          <w:p>
            <w:pPr>
              <w:pStyle w:val="Compact"/>
              <w:jc w:val="left"/>
            </w:pPr>
            <w:r>
              <w:t xml:space="preserve">6 personas con insomnio crónico</w:t>
            </w:r>
          </w:p>
        </w:tc>
        <w:tc>
          <w:tcPr/>
          <w:p>
            <w:pPr>
              <w:pStyle w:val="Compact"/>
              <w:jc w:val="left"/>
            </w:pPr>
            <w:r>
              <w:t xml:space="preserve">administración única</w:t>
            </w:r>
          </w:p>
        </w:tc>
        <w:tc>
          <w:tcPr/>
          <w:p>
            <w:pPr>
              <w:pStyle w:val="Compact"/>
              <w:jc w:val="left"/>
            </w:pPr>
            <w:r>
              <w:t xml:space="preserve">sueño más largo y menos interrumpido</w:t>
            </w:r>
          </w:p>
        </w:tc>
      </w:tr>
      <w:tr>
        <w:tc>
          <w:tcPr/>
          <w:p>
            <w:pPr>
              <w:pStyle w:val="Compact"/>
              <w:jc w:val="left"/>
            </w:pPr>
            <w:r>
              <w:t xml:space="preserve">Schneider-Helmert 1987, PMID 3622582</w:t>
            </w:r>
          </w:p>
        </w:tc>
        <w:tc>
          <w:tcPr/>
          <w:p>
            <w:pPr>
              <w:pStyle w:val="Compact"/>
              <w:jc w:val="left"/>
            </w:pPr>
            <w:r>
              <w:t xml:space="preserve">14 personas con insomnio crónico grave, doble ciego frente a placebo</w:t>
            </w:r>
          </w:p>
        </w:tc>
        <w:tc>
          <w:tcPr/>
          <w:p>
            <w:pPr>
              <w:pStyle w:val="Compact"/>
              <w:jc w:val="left"/>
            </w:pPr>
            <w:r>
              <w:t xml:space="preserve">7 noches</w:t>
            </w:r>
          </w:p>
        </w:tc>
        <w:tc>
          <w:tcPr/>
          <w:p>
            <w:pPr>
              <w:pStyle w:val="Compact"/>
              <w:jc w:val="left"/>
            </w:pPr>
            <w:r>
              <w:t xml:space="preserve">eficiencia del sueño y rendimiento diurno, según los autores, al nivel de personas sanas</w:t>
            </w:r>
          </w:p>
        </w:tc>
      </w:tr>
      <w:tr>
        <w:tc>
          <w:tcPr/>
          <w:p>
            <w:pPr>
              <w:pStyle w:val="Compact"/>
              <w:jc w:val="left"/>
            </w:pPr>
            <w:r>
              <w:t xml:space="preserve">Monti 1987, PMID 3583493</w:t>
            </w:r>
          </w:p>
        </w:tc>
        <w:tc>
          <w:tcPr/>
          <w:p>
            <w:pPr>
              <w:pStyle w:val="Compact"/>
              <w:jc w:val="left"/>
            </w:pPr>
            <w:r>
              <w:t xml:space="preserve">personas con insomnio crónico, doble ciego, cruzado</w:t>
            </w:r>
          </w:p>
        </w:tc>
        <w:tc>
          <w:tcPr/>
          <w:p>
            <w:pPr>
              <w:pStyle w:val="Compact"/>
              <w:jc w:val="left"/>
            </w:pPr>
            <w:r>
              <w:t xml:space="preserve">4 noches</w:t>
            </w:r>
          </w:p>
        </w:tc>
        <w:tc>
          <w:tcPr/>
          <w:p>
            <w:pPr>
              <w:pStyle w:val="Compact"/>
              <w:jc w:val="left"/>
            </w:pPr>
            <w:r>
              <w:t xml:space="preserve">mejoras «de escasa relevancia clínica»; las diferencias ya existían antes del tratamiento</w:t>
            </w:r>
          </w:p>
        </w:tc>
      </w:tr>
      <w:tr>
        <w:tc>
          <w:tcPr/>
          <w:p>
            <w:pPr>
              <w:pStyle w:val="Compact"/>
              <w:jc w:val="left"/>
            </w:pPr>
            <w:r>
              <w:t xml:space="preserve">Bes 1992, PMID 1299794</w:t>
            </w:r>
          </w:p>
        </w:tc>
        <w:tc>
          <w:tcPr/>
          <w:p>
            <w:pPr>
              <w:pStyle w:val="Compact"/>
              <w:jc w:val="left"/>
            </w:pPr>
            <w:r>
              <w:t xml:space="preserve">16 personas con insomnio crónico, doble ciego frente a placebo</w:t>
            </w:r>
          </w:p>
        </w:tc>
        <w:tc>
          <w:tcPr/>
          <w:p>
            <w:pPr>
              <w:pStyle w:val="Compact"/>
              <w:jc w:val="left"/>
            </w:pPr>
            <w:r>
              <w:t xml:space="preserve">3 noches</w:t>
            </w:r>
          </w:p>
        </w:tc>
        <w:tc>
          <w:tcPr/>
          <w:p>
            <w:pPr>
              <w:pStyle w:val="Compact"/>
              <w:jc w:val="left"/>
            </w:pPr>
            <w:r>
              <w:t xml:space="preserve">efectos débiles, en parte explicables por fluctuaciones aleatorias; «sin mayor beneficio terapéutico»</w:t>
            </w:r>
          </w:p>
        </w:tc>
      </w:tr>
    </w:tbl>
    <w:p>
      <w:pPr>
        <w:pStyle w:val="BodyText"/>
      </w:pPr>
      <w:r>
        <w:t xml:space="preserve">Los primeros estudios procedían casi todos de un único grupo de investigación de Basilea y fueron todos positivos. En seis voluntarios sanos, una infusión matutina prolongó el tiempo de sueño en las dos horas largas siguientes en un 59 %, sin que los participantes parecieran sedados en el sentido clásico (Schneider-Helmert 1981, PMID 6895513). En 14 personas con insomnio grave, la eficiencia del sueño y el rendimiento diurno alcanzaron tras siete noches, según los autores, el nivel de personas de control sanas (Schneider-Helmert 1987, PMID 3622582).</w:t>
      </w:r>
    </w:p>
    <w:p>
      <w:pPr>
        <w:pStyle w:val="BodyText"/>
      </w:pPr>
      <w:r>
        <w:t xml:space="preserve">Grupos independientes no pudieron confirmarlo. Un estudio encontró ciertamente más sueño total y NREM, pero las diferencias significativas frente a placebo (sueño NREM y fase 2 del sueño) ya existían antes del tratamiento; los autores valoraron la mejora como poco relevante clínicamente (Monti 1987, PMID 3583493). Otro estudio con 16 personas encontró efectos estadísticamente significativos, pero débiles, en la eficiencia del sueño y la latencia de inicio del sueño, que en parte podían explicarse por un cambio aleatorio en el grupo placebo; la calidad subjetiva del sueño no cambió. Su conclusión: un tratamiento breve con DSIP probablemente no tenga un mayor beneficio terapéutico (Bes 1992, PMID 1299794).</w:t>
      </w:r>
    </w:p>
    <w:p>
      <w:pPr>
        <w:pStyle w:val="BodyText"/>
      </w:pPr>
      <w:r>
        <w:t xml:space="preserve">Este patrón –primeros informes entusiastas, repeticiones decepcionantes– es típico de sustancias cuyo efecto se basa en estudios muy pequeños.</w:t>
      </w:r>
    </w:p>
    <w:bookmarkEnd w:id="651"/>
    <w:bookmarkStart w:id="652" w:name="abstinencia-dolor-y-otras-aplicaciones"/>
    <w:p>
      <w:pPr>
        <w:pStyle w:val="Heading4"/>
      </w:pPr>
      <w:r>
        <w:t xml:space="preserve">Abstinencia, dolor y otras aplicaciones</w:t>
      </w:r>
    </w:p>
    <w:p>
      <w:pPr>
        <w:pStyle w:val="FirstParagraph"/>
      </w:pPr>
      <w:r>
        <w:t xml:space="preserve">En la década de 1980, el DSIP se utilizó en 107 personas hospitalizadas en abstinencia de alcohol u opiáceos; según la valoración médica, los síntomas de abstinencia desaparecieron o mejoraron claramente en el 97 % de las personas dependientes de opiáceos y en el 87 % de las dependientes del alcohol. No hubo grupo de control, y una parte de las personas no pudo ser evaluada (Dick 1984, PMID 6548969). Un estudio abierto posterior sobre la desintoxicación de opioides solo se publicó como comunicación breve sin resumen (Backmund 1998, PMID 9617990). Otros informes aislados se refieren a siete personas con dolor crónico (Larbig 1984, PMID 6548970) y a un hombre con narcolepsia (Schneider-Helmert 1984, PMID 6548968). Un estudio examinó un preparado de DSIP para administración nasal (Deltalicin) en la retinopatía diabética, en el que mejoraron las respuestas eléctricas de la retina a los estímulos (Kresiun 2014, PMID 25739189).</w:t>
      </w:r>
    </w:p>
    <w:bookmarkEnd w:id="652"/>
    <w:bookmarkStart w:id="653" w:name="hormonas-y-anestesia"/>
    <w:p>
      <w:pPr>
        <w:pStyle w:val="Heading4"/>
      </w:pPr>
      <w:r>
        <w:t xml:space="preserve">Hormonas y anestesia</w:t>
      </w:r>
    </w:p>
    <w:p>
      <w:pPr>
        <w:pStyle w:val="FirstParagraph"/>
      </w:pPr>
      <w:r>
        <w:t xml:space="preserve">Varios estudios pequeños en personas sanas examinaron si el DSIP influye en las hormonas del estrés. Un estudio con once hombres encontró tras una inyección menos ACTH en la sangre, pero valores de cortisol sin cambios (Bjartell 1989, PMID 2554357); otro con 20 hombres en total no encontró influencia sobre la ACTH ni el cortisol (Späth-Schwalbe 1995, PMID 7777652). En mujeres, el DSIP no influyó en la hormona del crecimiento ni en la prolactina (Giusti 1993, PMID 8475226).</w:t>
      </w:r>
    </w:p>
    <w:p>
      <w:pPr>
        <w:pStyle w:val="BodyText"/>
      </w:pPr>
      <w:r>
        <w:t xml:space="preserve">Es llamativo un estudio en 24 mujeres durante una anestesia: en lugar de profundizar la anestesia, como cabría esperar de una «sustancia natural del sueño», el DSIP aumentó la frecuencia cardiaca y, paradójicamente, redujo el ritmo delta en el EEG (Pomfrett 2009, PMID 19142086).</w:t>
      </w:r>
    </w:p>
    <w:bookmarkEnd w:id="653"/>
    <w:bookmarkEnd w:id="654"/>
    <w:bookmarkStart w:id="655" w:name="estudios-en-animales-y-de-laboratorio-38"/>
    <w:p>
      <w:pPr>
        <w:pStyle w:val="Heading3"/>
      </w:pPr>
      <w:r>
        <w:t xml:space="preserve">Estudios en animales y de laboratorio</w:t>
      </w:r>
    </w:p>
    <w:p>
      <w:pPr>
        <w:numPr>
          <w:ilvl w:val="0"/>
          <w:numId w:val="1212"/>
        </w:numPr>
        <w:pStyle w:val="Compact"/>
      </w:pPr>
      <w:r>
        <w:t xml:space="preserve">En conejos y ratas se describieron en los primeros estudios efectos favorecedores del sueño, que sin embargo no pudieron repetirse de forma sistemática (Kovalzon 2006, PMID 16539679).</w:t>
      </w:r>
    </w:p>
    <w:p>
      <w:pPr>
        <w:numPr>
          <w:ilvl w:val="0"/>
          <w:numId w:val="1212"/>
        </w:numPr>
        <w:pStyle w:val="Compact"/>
      </w:pPr>
      <w:r>
        <w:t xml:space="preserve">En ratones, el 10 % más longevo de los animales que recibieron de por vida un preparado ruso de DSIP vivió un 16 % más que los animales de control; los tumores espontáneos aparecieron con retraso (Voĭtenkov 2009, PMID 20405733). Este trabajo procede del entorno de la gerontología rusa, que también estudia Epitalon (véase allí).</w:t>
      </w:r>
    </w:p>
    <w:p>
      <w:pPr>
        <w:numPr>
          <w:ilvl w:val="0"/>
          <w:numId w:val="1212"/>
        </w:numPr>
        <w:pStyle w:val="Compact"/>
      </w:pPr>
      <w:r>
        <w:t xml:space="preserve">Otros estudios en animales describen efectos sobre la resistencia al estrés, la percepción del dolor y las enzimas antioxidantes.</w:t>
      </w:r>
    </w:p>
    <w:bookmarkEnd w:id="655"/>
    <w:bookmarkStart w:id="656" w:name="riesgos-y-efectos-adversos-38"/>
    <w:p>
      <w:pPr>
        <w:pStyle w:val="Heading3"/>
      </w:pPr>
      <w:r>
        <w:t xml:space="preserve">Riesgos y efectos adversos</w:t>
      </w:r>
    </w:p>
    <w:p>
      <w:pPr>
        <w:pStyle w:val="FirstParagraph"/>
      </w:pPr>
      <w:r>
        <w:rPr>
          <w:bCs/>
          <w:b/>
        </w:rPr>
        <w:t xml:space="preserve">Demostrado:</w:t>
      </w:r>
      <w:r>
        <w:t xml:space="preserve"> </w:t>
      </w:r>
      <w:r>
        <w:t xml:space="preserve">En los estudios pequeños, el DSIP se describió como bien tolerado; de forma aislada apareció dolor de cabeza (Dick 1984, PMID 6548969). Bajo anestesia aumentó la frecuencia cardiaca y redujo la variabilidad de la frecuencia cardiaca (Pomfrett 2009, PMID 19142086). No hay datos sistemáticos de seguridad de más de unos pocos días.</w:t>
      </w:r>
    </w:p>
    <w:p>
      <w:pPr>
        <w:pStyle w:val="BodyText"/>
      </w:pPr>
      <w:r>
        <w:rPr>
          <w:bCs/>
          <w:b/>
        </w:rPr>
        <w:t xml:space="preserve">Teórico:</w:t>
      </w:r>
      <w:r>
        <w:t xml:space="preserve"> </w:t>
      </w:r>
      <w:r>
        <w:t xml:space="preserve">Como no se han aclarado ni el receptor ni la función natural, apenas pueden predecirse sus efectos e interacciones, por ejemplo con somníferos, alcohol u opioides.</w:t>
      </w:r>
    </w:p>
    <w:p>
      <w:pPr>
        <w:pStyle w:val="BodyText"/>
      </w:pPr>
      <w:r>
        <w:rPr>
          <w:bCs/>
          <w:b/>
        </w:rPr>
        <w:t xml:space="preserve">Mercado gris:</w:t>
      </w:r>
      <w:r>
        <w:t xml:space="preserve"> </w:t>
      </w:r>
      <w:r>
        <w:t xml:space="preserve">El DSIP se vende en internet en polvo para inyección y se promociona como somnífero. Los preparados utilizados en los estudios se infundieron por vía intravenosa; faltan datos sobre la inyección subcutánea. La pureza y el contenido de los productos del mercado gris no están comprobados.</w:t>
      </w:r>
    </w:p>
    <w:p>
      <w:pPr>
        <w:pStyle w:val="BodyText"/>
      </w:pPr>
      <w:r>
        <w:rPr>
          <w:bCs/>
          <w:b/>
        </w:rPr>
        <w:t xml:space="preserve">Importante:</w:t>
      </w:r>
      <w:r>
        <w:t xml:space="preserve"> </w:t>
      </w:r>
      <w:r>
        <w:t xml:space="preserve">Para el insomnio crónico existen tratamientos eficaces y bien estudiados, ante todo la terapia cognitivo-conductual para el insomnio.</w:t>
      </w:r>
    </w:p>
    <w:bookmarkEnd w:id="656"/>
    <w:bookmarkStart w:id="657" w:name="situación-legal-38"/>
    <w:p>
      <w:pPr>
        <w:pStyle w:val="Heading3"/>
      </w:pPr>
      <w:r>
        <w:t xml:space="preserve">Situación legal</w:t>
      </w:r>
    </w:p>
    <w:p>
      <w:pPr>
        <w:numPr>
          <w:ilvl w:val="0"/>
          <w:numId w:val="1213"/>
        </w:numPr>
        <w:pStyle w:val="Compact"/>
      </w:pPr>
      <w:r>
        <w:rPr>
          <w:bCs/>
          <w:b/>
        </w:rPr>
        <w:t xml:space="preserve">UE / Austria / Alemania:</w:t>
      </w:r>
      <w:r>
        <w:t xml:space="preserve"> </w:t>
      </w:r>
      <w:r>
        <w:t xml:space="preserve">no autorizado; como sustancia con efecto farmacológico, el DSIP se considera medicamento, y su venta para uso en humanos no está permitida (situación en 2026; compruebe la información actualizada).</w:t>
      </w:r>
    </w:p>
    <w:p>
      <w:pPr>
        <w:numPr>
          <w:ilvl w:val="0"/>
          <w:numId w:val="1213"/>
        </w:numPr>
        <w:pStyle w:val="Compact"/>
      </w:pPr>
      <w:r>
        <w:rPr>
          <w:bCs/>
          <w:b/>
        </w:rPr>
        <w:t xml:space="preserve">EE. UU.:</w:t>
      </w:r>
      <w:r>
        <w:t xml:space="preserve"> </w:t>
      </w:r>
      <w:r>
        <w:t xml:space="preserve">no autorizado; el comité asesor PCAC se pronunció en julio de 2026, por estrecho margen, en contra de admitirlo para fórmulas magistrales de farmacia. La decisión definitiva de la FDA estaba pendiente al cierre de la redacción (situación en octubre de 2026; compruebe la información actualizada).</w:t>
      </w:r>
    </w:p>
    <w:p>
      <w:pPr>
        <w:numPr>
          <w:ilvl w:val="0"/>
          <w:numId w:val="1213"/>
        </w:numPr>
        <w:pStyle w:val="Compact"/>
      </w:pPr>
      <w:r>
        <w:rPr>
          <w:bCs/>
          <w:b/>
        </w:rPr>
        <w:t xml:space="preserve">Deporte:</w:t>
      </w:r>
      <w:r>
        <w:t xml:space="preserve"> </w:t>
      </w:r>
      <w:r>
        <w:t xml:space="preserve">no figura nominalmente en la lista de la WADA (situación en 2026; compruebe la información actualizada).</w:t>
      </w:r>
    </w:p>
    <w:bookmarkEnd w:id="657"/>
    <w:bookmarkStart w:id="658" w:name="estudios-en-curso-y-perspectivas-38"/>
    <w:p>
      <w:pPr>
        <w:pStyle w:val="Heading3"/>
      </w:pPr>
      <w:r>
        <w:t xml:space="preserve">Estudios en curso y perspectivas</w:t>
      </w:r>
    </w:p>
    <w:p>
      <w:pPr>
        <w:pStyle w:val="FirstParagraph"/>
      </w:pPr>
      <w:r>
        <w:rPr>
          <w:bCs/>
          <w:b/>
        </w:rPr>
        <w:t xml:space="preserve">Confirmado:</w:t>
      </w:r>
      <w:r>
        <w:t xml:space="preserve"> </w:t>
      </w:r>
      <w:r>
        <w:t xml:space="preserve">En ClinicalTrials.gov no hay registrado ningún estudio con DSIP (consulta de octubre de 2026). Desde la década de 1990 prácticamente no se han añadido nuevos datos clínicos.</w:t>
      </w:r>
    </w:p>
    <w:p>
      <w:pPr>
        <w:pStyle w:val="BodyText"/>
      </w:pPr>
      <w:r>
        <w:rPr>
          <w:bCs/>
          <w:b/>
        </w:rPr>
        <w:t xml:space="preserve">Valoración:</w:t>
      </w:r>
      <w:r>
        <w:t xml:space="preserve"> </w:t>
      </w:r>
      <w:r>
        <w:t xml:space="preserve">Sin claridad sobre el receptor y la función natural, y sin un estudio del sueño moderno y suficientemente grande, no cabe esperar que el DSIP vuelva como medicamento.</w:t>
      </w:r>
    </w:p>
    <w:bookmarkEnd w:id="658"/>
    <w:bookmarkStart w:id="659" w:name="conclusión-38"/>
    <w:p>
      <w:pPr>
        <w:pStyle w:val="Heading3"/>
      </w:pPr>
      <w:r>
        <w:t xml:space="preserve">Conclusión</w:t>
      </w:r>
    </w:p>
    <w:p>
      <w:pPr>
        <w:pStyle w:val="FirstParagraph"/>
      </w:pPr>
      <w:r>
        <w:t xml:space="preserve">El DSIP se descubrió en 1977 como posible «sustancia del sueño» propia del organismo, pero el gen, el receptor y la función natural siguen siendo desconocidos hasta hoy. Los primeros estudios de un grupo de Basilea, con entre seis y 14 personas cada uno, informaron de un mejor sueño; los estudios independientes controlados con placebo solo encontraron efectos débiles y poco relevantes clínicamente. Apenas hay datos más recientes en humanos. Los datos no bastan para considerar el DSIP un somnífero eficaz o seguro.</w:t>
      </w:r>
    </w:p>
    <w:bookmarkEnd w:id="659"/>
    <w:bookmarkEnd w:id="660"/>
    <w:bookmarkStart w:id="672" w:name="epitalon-epithalon"/>
    <w:p>
      <w:pPr>
        <w:pStyle w:val="Heading2"/>
      </w:pPr>
      <w:r>
        <w:t xml:space="preserve">Epitalon (Epithalon)</w:t>
      </w:r>
    </w:p>
    <w:bookmarkStart w:id="661" w:name="ficha-39"/>
    <w:p>
      <w:pPr>
        <w:pStyle w:val="Heading3"/>
      </w:pPr>
      <w:r>
        <w:t xml:space="preserve">Ficha</w:t>
      </w:r>
    </w:p>
    <w:p>
      <w:pPr>
        <w:numPr>
          <w:ilvl w:val="0"/>
          <w:numId w:val="1214"/>
        </w:numPr>
        <w:pStyle w:val="Compact"/>
      </w:pPr>
      <w:r>
        <w:rPr>
          <w:bCs/>
          <w:b/>
        </w:rPr>
        <w:t xml:space="preserve">Tipo y estructura:</w:t>
      </w:r>
      <w:r>
        <w:t xml:space="preserve"> </w:t>
      </w:r>
      <w:r>
        <w:t xml:space="preserve">tetrapéptido sintético de cuatro aminoácidos: Ala-Glu-Asp-Gly (abreviado AEDG). Grafías: Epitalon, Epithalon, Epithalone.</w:t>
      </w:r>
    </w:p>
    <w:p>
      <w:pPr>
        <w:numPr>
          <w:ilvl w:val="0"/>
          <w:numId w:val="1214"/>
        </w:numPr>
        <w:pStyle w:val="Compact"/>
      </w:pPr>
      <w:r>
        <w:rPr>
          <w:bCs/>
          <w:b/>
        </w:rPr>
        <w:t xml:space="preserve">Origen:</w:t>
      </w:r>
      <w:r>
        <w:t xml:space="preserve"> </w:t>
      </w:r>
      <w:r>
        <w:t xml:space="preserve">desarrollado en las décadas de 1980 y 1990 en el Instituto de Biorregulación y Gerontología de San Petersburgo bajo la dirección de Vladímir Jávinson (en artículos especializados: Khavinson). La secuencia de aminoácidos se derivó de la composición de la</w:t>
      </w:r>
      <w:r>
        <w:t xml:space="preserve"> </w:t>
      </w:r>
      <w:r>
        <w:rPr>
          <w:bCs/>
          <w:b/>
        </w:rPr>
        <w:t xml:space="preserve">epitalamina</w:t>
      </w:r>
      <w:r>
        <w:t xml:space="preserve">, un extracto de la glándula pineal (epífisis) de bovinos. Epitalon y epitalamina son sustancias químicamente distintas.</w:t>
      </w:r>
    </w:p>
    <w:p>
      <w:pPr>
        <w:numPr>
          <w:ilvl w:val="0"/>
          <w:numId w:val="1214"/>
        </w:numPr>
        <w:pStyle w:val="Compact"/>
      </w:pPr>
      <w:r>
        <w:rPr>
          <w:bCs/>
          <w:b/>
        </w:rPr>
        <w:t xml:space="preserve">Mecanismo de acción:</w:t>
      </w:r>
      <w:r>
        <w:t xml:space="preserve"> </w:t>
      </w:r>
      <w:r>
        <w:t xml:space="preserve">como «biorregulador peptídico», debería normalizar la función de la glándula pineal, favorecer la producción de melatonina en la vejez y activar la enzima telomerasa, que alarga los extremos de los cromosomas (telómeros).</w:t>
      </w:r>
    </w:p>
    <w:p>
      <w:pPr>
        <w:numPr>
          <w:ilvl w:val="0"/>
          <w:numId w:val="1214"/>
        </w:numPr>
        <w:pStyle w:val="Compact"/>
      </w:pPr>
      <w:r>
        <w:rPr>
          <w:bCs/>
          <w:b/>
        </w:rPr>
        <w:t xml:space="preserve">Autorización UE:</w:t>
      </w:r>
      <w:r>
        <w:t xml:space="preserve"> </w:t>
      </w:r>
      <w:r>
        <w:t xml:space="preserve">no.</w:t>
      </w:r>
    </w:p>
    <w:p>
      <w:pPr>
        <w:numPr>
          <w:ilvl w:val="0"/>
          <w:numId w:val="1214"/>
        </w:numPr>
        <w:pStyle w:val="Compact"/>
      </w:pPr>
      <w:r>
        <w:rPr>
          <w:bCs/>
          <w:b/>
        </w:rPr>
        <w:t xml:space="preserve">Autorización EE. UU.:</w:t>
      </w:r>
      <w:r>
        <w:t xml:space="preserve"> </w:t>
      </w:r>
      <w:r>
        <w:t xml:space="preserve">no. En abril de 2026 se retiró de la «categoría 2» de la FDA; el comité asesor PCAC votó en julio de 2026, por 7 votos contra 4, a favor de su inclusión en la lista de sustancias admisibles para fórmulas magistrales, en contra de la recomendación de los expertos de la FDA. Eso no equivale a una autorización como medicamento (situación en octubre de 2026; compruebe la información actualizada).</w:t>
      </w:r>
    </w:p>
    <w:p>
      <w:pPr>
        <w:numPr>
          <w:ilvl w:val="0"/>
          <w:numId w:val="1214"/>
        </w:numPr>
        <w:pStyle w:val="Compact"/>
      </w:pPr>
      <w:r>
        <w:rPr>
          <w:bCs/>
          <w:b/>
        </w:rPr>
        <w:t xml:space="preserve">WADA:</w:t>
      </w:r>
      <w:r>
        <w:t xml:space="preserve"> </w:t>
      </w:r>
      <w:r>
        <w:t xml:space="preserve">no figura nominalmente; como sustancia no autorizada como medicamento en ningún lugar, Epitalon entra, según nuestra valoración, en la categoría general S0 (situación en 2026; compruebe la información actualizada).</w:t>
      </w:r>
    </w:p>
    <w:p>
      <w:pPr>
        <w:numPr>
          <w:ilvl w:val="0"/>
          <w:numId w:val="1214"/>
        </w:numPr>
        <w:pStyle w:val="Compact"/>
      </w:pPr>
      <w:r>
        <w:rPr>
          <w:bCs/>
          <w:b/>
        </w:rPr>
        <w:t xml:space="preserve">Nivel de evidencia:</w:t>
      </w:r>
      <w:r>
        <w:t xml:space="preserve"> </w:t>
      </w:r>
      <w:r>
        <w:rPr>
          <w:bCs/>
          <w:b/>
        </w:rPr>
        <w:t xml:space="preserve">C</w:t>
      </w:r>
      <w:r>
        <w:t xml:space="preserve"> </w:t>
      </w:r>
      <w:r>
        <w:t xml:space="preserve">– solo un pequeño estudio controlado con el péptido sintético en humanos; el resto de los datos en humanos se refiere al extracto epitalamina o a células in vitro.</w:t>
      </w:r>
    </w:p>
    <w:bookmarkEnd w:id="661"/>
    <w:bookmarkStart w:id="662" w:name="cómo-se-supone-que-actúa-39"/>
    <w:p>
      <w:pPr>
        <w:pStyle w:val="Heading3"/>
      </w:pPr>
      <w:r>
        <w:t xml:space="preserve">Cómo se supone que actúa</w:t>
      </w:r>
    </w:p>
    <w:p>
      <w:pPr>
        <w:pStyle w:val="FirstParagraph"/>
      </w:pPr>
      <w:r>
        <w:t xml:space="preserve">La glándula pineal es un pequeño órgano del cerebro que produce por la noche la hormona melatonina y contribuye así a regular el ritmo día-noche. En la vejez, la producción de melatonina disminuye. El grupo de San Petersburgo partía de la base de que los péptidos cortos de los órganos pueden restablecer, como «biorreguladores», la función de esos mismos órganos: de la glándula pineal para la glándula pineal, del timo para el sistema inmunitario (véase también el capítulo Timalina en la Parte II · B).</w:t>
      </w:r>
    </w:p>
    <w:p>
      <w:pPr>
        <w:pStyle w:val="BodyText"/>
      </w:pPr>
      <w:r>
        <w:t xml:space="preserve">Para Epitalon se describen varios mecanismos, casi todos procedentes de experimentos de laboratorio y con animales del grupo desarrollador:</w:t>
      </w:r>
    </w:p>
    <w:p>
      <w:pPr>
        <w:numPr>
          <w:ilvl w:val="0"/>
          <w:numId w:val="1215"/>
        </w:numPr>
        <w:pStyle w:val="Compact"/>
      </w:pPr>
      <w:r>
        <w:rPr>
          <w:bCs/>
          <w:b/>
        </w:rPr>
        <w:t xml:space="preserve">Telomerasa y telómeros:</w:t>
      </w:r>
      <w:r>
        <w:t xml:space="preserve"> </w:t>
      </w:r>
      <w:r>
        <w:t xml:space="preserve">Los telómeros son segmentos terminales protectores de los cromosomas que se acortan un poco con cada división celular. La enzima telomerasa puede volver a alargarlos; en la mayoría de las células del organismo está desactivada. En cultivos de fibroblastos humanos (células del tejido conjuntivo) procedentes de fetos, Epitalon habría activado la telomerasa y alargado los telómeros (Khavinson 2003, PMID 12937682).</w:t>
      </w:r>
    </w:p>
    <w:p>
      <w:pPr>
        <w:numPr>
          <w:ilvl w:val="0"/>
          <w:numId w:val="1215"/>
        </w:numPr>
        <w:pStyle w:val="Compact"/>
      </w:pPr>
      <w:r>
        <w:rPr>
          <w:bCs/>
          <w:b/>
        </w:rPr>
        <w:t xml:space="preserve">Cromatina y genes:</w:t>
      </w:r>
      <w:r>
        <w:t xml:space="preserve"> </w:t>
      </w:r>
      <w:r>
        <w:t xml:space="preserve">En linfocitos de personas de 76 a 80 años, Epitalon habría vuelto a descompactar in vitro el material genético «condensado» y activado genes silenciados (Khavinson 2003, PMID 14647006). El grupo postula que los péptidos cortos se unen directamente al ADN.</w:t>
      </w:r>
    </w:p>
    <w:p>
      <w:pPr>
        <w:numPr>
          <w:ilvl w:val="0"/>
          <w:numId w:val="1215"/>
        </w:numPr>
        <w:pStyle w:val="Compact"/>
      </w:pPr>
      <w:r>
        <w:rPr>
          <w:bCs/>
          <w:b/>
        </w:rPr>
        <w:t xml:space="preserve">Melatonina:</w:t>
      </w:r>
      <w:r>
        <w:t xml:space="preserve"> </w:t>
      </w:r>
      <w:r>
        <w:t xml:space="preserve">En cultivos celulares y en animales, Epitalon influyó en la producción de melatonina.</w:t>
      </w:r>
    </w:p>
    <w:p>
      <w:pPr>
        <w:pStyle w:val="FirstParagraph"/>
      </w:pPr>
      <w:r>
        <w:t xml:space="preserve">Una revisión de 2025 resume que, a pesar de 25 años de investigación, sigue sin estar claro si estos mecanismos son los únicos, y que solo hay pocos estudios fisicoquímicos y estructurales básicos del péptido (Araj 2025, PMID 40141333).</w:t>
      </w:r>
    </w:p>
    <w:bookmarkEnd w:id="662"/>
    <w:bookmarkStart w:id="666" w:name="estudios-en-humanos-39"/>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 solo</w:t>
      </w:r>
      <w:r>
        <w:t xml:space="preserve"> </w:t>
      </w:r>
      <w:r>
        <w:rPr>
          <w:bCs/>
          <w:b/>
        </w:rPr>
        <w:t xml:space="preserve">una</w:t>
      </w:r>
      <w:r>
        <w:t xml:space="preserve"> </w:t>
      </w:r>
      <w:r>
        <w:t xml:space="preserve">publicación sobre Epitalon clasificada como estudio en humanos; en total, PubMed recoge unos 120 trabajos con los términos de búsqueda, en su inmensa mayoría estudios en animales y en células de San Petersburgo. En ClinicalTrials.gov hay un estudio registrado (véanse las perspectivas). Una revisión independiente reciente llega al mismo resultado: los datos en humanos sobre Epitalon sintético se limitan a pequeños estudios fisiológicos o de biomarcadores y a un estudio controlado antiguo en la retinosis pigmentaria; ningún estudio aleatorizado suficientemente grande ha demostrado una eficacia terapéutica (Jain 2026, PMID 42884164).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Sustancia estudiada y diseño</w:t>
            </w:r>
          </w:p>
        </w:tc>
        <w:tc>
          <w:tcPr/>
          <w:p>
            <w:pPr>
              <w:pStyle w:val="Compact"/>
              <w:jc w:val="left"/>
            </w:pPr>
            <w:r>
              <w:t xml:space="preserve">Participantes</w:t>
            </w:r>
          </w:p>
        </w:tc>
        <w:tc>
          <w:tcPr/>
          <w:p>
            <w:pPr>
              <w:pStyle w:val="Compact"/>
              <w:jc w:val="left"/>
            </w:pPr>
            <w:r>
              <w:t xml:space="preserve">Resultado</w:t>
            </w:r>
          </w:p>
        </w:tc>
      </w:tr>
      <w:tr>
        <w:tc>
          <w:tcPr/>
          <w:p>
            <w:pPr>
              <w:pStyle w:val="Compact"/>
              <w:jc w:val="left"/>
            </w:pPr>
            <w:r>
              <w:t xml:space="preserve">Khavinson 2002, PMID 12195242</w:t>
            </w:r>
          </w:p>
        </w:tc>
        <w:tc>
          <w:tcPr/>
          <w:p>
            <w:pPr>
              <w:pStyle w:val="Compact"/>
              <w:jc w:val="left"/>
            </w:pPr>
            <w:r>
              <w:t xml:space="preserve">Epitalon, estudio controlado en la degeneración retiniana hereditaria (retinosis pigmentaria)</w:t>
            </w:r>
          </w:p>
        </w:tc>
        <w:tc>
          <w:tcPr/>
          <w:p>
            <w:pPr>
              <w:pStyle w:val="Compact"/>
              <w:jc w:val="left"/>
            </w:pPr>
            <w:r>
              <w:t xml:space="preserve">no indicado en el resumen</w:t>
            </w:r>
          </w:p>
        </w:tc>
        <w:tc>
          <w:tcPr/>
          <w:p>
            <w:pPr>
              <w:pStyle w:val="Compact"/>
              <w:jc w:val="left"/>
            </w:pPr>
            <w:r>
              <w:t xml:space="preserve">«efecto clínico positivo en el 90 % de los casos»</w:t>
            </w:r>
          </w:p>
        </w:tc>
      </w:tr>
      <w:tr>
        <w:tc>
          <w:tcPr/>
          <w:p>
            <w:pPr>
              <w:pStyle w:val="Compact"/>
              <w:jc w:val="left"/>
            </w:pPr>
            <w:r>
              <w:t xml:space="preserve">Khavinson 2003, PMID 14523363</w:t>
            </w:r>
          </w:p>
        </w:tc>
        <w:tc>
          <w:tcPr/>
          <w:p>
            <w:pPr>
              <w:pStyle w:val="Compact"/>
              <w:jc w:val="left"/>
            </w:pPr>
            <w:r>
              <w:t xml:space="preserve">epitalamina (extracto) y timalina en personas mayores, grupo de control</w:t>
            </w:r>
          </w:p>
        </w:tc>
        <w:tc>
          <w:tcPr/>
          <w:p>
            <w:pPr>
              <w:pStyle w:val="Compact"/>
              <w:jc w:val="left"/>
            </w:pPr>
            <w:r>
              <w:t xml:space="preserve">266 personas, 6–8 años</w:t>
            </w:r>
          </w:p>
        </w:tc>
        <w:tc>
          <w:tcPr/>
          <w:p>
            <w:pPr>
              <w:pStyle w:val="Compact"/>
              <w:jc w:val="left"/>
            </w:pPr>
            <w:r>
              <w:t xml:space="preserve">según los autores, mortalidad entre 1,6 y 1,8 veces menor con epitalamina</w:t>
            </w:r>
          </w:p>
        </w:tc>
      </w:tr>
      <w:tr>
        <w:tc>
          <w:tcPr/>
          <w:p>
            <w:pPr>
              <w:pStyle w:val="Compact"/>
              <w:jc w:val="left"/>
            </w:pPr>
            <w:r>
              <w:t xml:space="preserve">Labunets 2004, PMID 15455130</w:t>
            </w:r>
          </w:p>
        </w:tc>
        <w:tc>
          <w:tcPr/>
          <w:p>
            <w:pPr>
              <w:pStyle w:val="Compact"/>
              <w:jc w:val="left"/>
            </w:pPr>
            <w:r>
              <w:t xml:space="preserve">epitalamina, ciclo en personas mayores</w:t>
            </w:r>
          </w:p>
        </w:tc>
        <w:tc>
          <w:tcPr/>
          <w:p>
            <w:pPr>
              <w:pStyle w:val="Compact"/>
              <w:jc w:val="left"/>
            </w:pPr>
            <w:r>
              <w:t xml:space="preserve">no indicado en el resumen</w:t>
            </w:r>
          </w:p>
        </w:tc>
        <w:tc>
          <w:tcPr/>
          <w:p>
            <w:pPr>
              <w:pStyle w:val="Compact"/>
              <w:jc w:val="left"/>
            </w:pPr>
            <w:r>
              <w:t xml:space="preserve">ritmo de melatonina y factor tímico «más jóvenes»</w:t>
            </w:r>
          </w:p>
        </w:tc>
      </w:tr>
      <w:tr>
        <w:tc>
          <w:tcPr/>
          <w:p>
            <w:pPr>
              <w:pStyle w:val="Compact"/>
              <w:jc w:val="left"/>
            </w:pPr>
            <w:r>
              <w:t xml:space="preserve">Khavinson 2019, PMID 31761987</w:t>
            </w:r>
          </w:p>
        </w:tc>
        <w:tc>
          <w:tcPr/>
          <w:p>
            <w:pPr>
              <w:pStyle w:val="Compact"/>
              <w:jc w:val="left"/>
            </w:pPr>
            <w:r>
              <w:t xml:space="preserve">AEDG in vitro en células sanguíneas</w:t>
            </w:r>
          </w:p>
        </w:tc>
        <w:tc>
          <w:tcPr/>
          <w:p>
            <w:pPr>
              <w:pStyle w:val="Compact"/>
              <w:jc w:val="left"/>
            </w:pPr>
            <w:r>
              <w:t xml:space="preserve">11 hombres (muestras celulares)</w:t>
            </w:r>
          </w:p>
        </w:tc>
        <w:tc>
          <w:tcPr/>
          <w:p>
            <w:pPr>
              <w:pStyle w:val="Compact"/>
              <w:jc w:val="left"/>
            </w:pPr>
            <w:r>
              <w:t xml:space="preserve">longitud telomérica mayor en 5 casos, menor en 2 casos</w:t>
            </w:r>
          </w:p>
        </w:tc>
      </w:tr>
    </w:tbl>
    <w:bookmarkStart w:id="663" w:name="el-único-estudio-con-epitalon"/>
    <w:p>
      <w:pPr>
        <w:pStyle w:val="Heading4"/>
      </w:pPr>
      <w:r>
        <w:t xml:space="preserve">El único estudio con Epitalon</w:t>
      </w:r>
    </w:p>
    <w:p>
      <w:pPr>
        <w:pStyle w:val="FirstParagraph"/>
      </w:pPr>
      <w:r>
        <w:t xml:space="preserve">En el único estudio clínico con Epitalon sintético se trató a personas con retinosis pigmentaria, una enfermedad hereditaria en la que la retina va muriendo progresivamente. El resumen informa de un «efecto clínico positivo en el 90 % de los casos», pero no indica ni el número de participantes ni el criterio de «positivo» ni los resultados del grupo de control (Khavinson 2002, PMID 12195242). El hallazgo no se ha confirmado de forma independiente; en el tratamiento de la retinosis pigmentaria, Epitalon no desempeña ningún papel.</w:t>
      </w:r>
    </w:p>
    <w:bookmarkEnd w:id="663"/>
    <w:bookmarkStart w:id="664" w:name="el-estudio-de-longevidad-con-epitalamina"/>
    <w:p>
      <w:pPr>
        <w:pStyle w:val="Heading4"/>
      </w:pPr>
      <w:r>
        <w:t xml:space="preserve">El estudio de longevidad con epitalamina</w:t>
      </w:r>
    </w:p>
    <w:p>
      <w:pPr>
        <w:pStyle w:val="FirstParagraph"/>
      </w:pPr>
      <w:r>
        <w:t xml:space="preserve">El estudio en humanos más citado en internet –«los péptidos de la glándula pineal prolongan la vida humana»– no se refiere a Epitalon, sino al extracto animal epitalamina. Investigadores de San Petersburgo y Kiev siguieron durante seis a ocho años a 266 personas mayores; en los primeros dos o tres años, partes del grupo recibieron timalina, epitalamina o ambas. Según el resumen, la mortalidad disminuyó entre 1,6 y 1,8 veces con epitalamina, 2,5 veces con la combinación y, con un tratamiento combinado anual durante seis años, incluso 4,1 veces (Khavinson 2003, PMID 14523363).</w:t>
      </w:r>
    </w:p>
    <w:p>
      <w:pPr>
        <w:pStyle w:val="BodyText"/>
      </w:pPr>
      <w:r>
        <w:t xml:space="preserve">Unos efectos así serían extraordinarios, mayores que los de casi cualquier medida de la medicina moderna. Por ello, sus límites son tanto más importantes:</w:t>
      </w:r>
    </w:p>
    <w:p>
      <w:pPr>
        <w:numPr>
          <w:ilvl w:val="0"/>
          <w:numId w:val="1216"/>
        </w:numPr>
        <w:pStyle w:val="Compact"/>
      </w:pPr>
      <w:r>
        <w:t xml:space="preserve">El resumen no describe ni asignación aleatoria ni enmascaramiento. No se aprecia cómo se seleccionó el grupo de control.</w:t>
      </w:r>
    </w:p>
    <w:p>
      <w:pPr>
        <w:numPr>
          <w:ilvl w:val="0"/>
          <w:numId w:val="1216"/>
        </w:numPr>
        <w:pStyle w:val="Compact"/>
      </w:pPr>
      <w:r>
        <w:t xml:space="preserve">No se indican el tamaño de los grupos de cada brazo ni las cifras absolutas de fallecimientos.</w:t>
      </w:r>
    </w:p>
    <w:p>
      <w:pPr>
        <w:numPr>
          <w:ilvl w:val="0"/>
          <w:numId w:val="1216"/>
        </w:numPr>
        <w:pStyle w:val="Compact"/>
      </w:pPr>
      <w:r>
        <w:t xml:space="preserve">El estudio nunca se registró y no existe una repetición independiente.</w:t>
      </w:r>
    </w:p>
    <w:p>
      <w:pPr>
        <w:numPr>
          <w:ilvl w:val="0"/>
          <w:numId w:val="1216"/>
        </w:numPr>
        <w:pStyle w:val="Compact"/>
      </w:pPr>
      <w:r>
        <w:t xml:space="preserve">Los resultados proceden de los desarrolladores de los preparados.</w:t>
      </w:r>
    </w:p>
    <w:p>
      <w:pPr>
        <w:pStyle w:val="FirstParagraph"/>
      </w:pPr>
      <w:r>
        <w:t xml:space="preserve">En observaciones no aleatorizadas, incluso pequeñas diferencias entre los grupos –por ejemplo, quién estaba más sano o mejor atendido– pueden generar grandes efectos aparentes sobre la mortalidad. De todos modos, de este estudio no puede deducirse nada para Epitalon, porque se estudió otra sustancia.</w:t>
      </w:r>
    </w:p>
    <w:bookmarkEnd w:id="664"/>
    <w:bookmarkStart w:id="665" w:name="X21c08104f29dca35b2ee6c7e0192cfb931c626f"/>
    <w:p>
      <w:pPr>
        <w:pStyle w:val="Heading4"/>
      </w:pPr>
      <w:r>
        <w:t xml:space="preserve">La afirmación sobre los telómeros, comprobada</w:t>
      </w:r>
    </w:p>
    <w:p>
      <w:pPr>
        <w:pStyle w:val="FirstParagraph"/>
      </w:pPr>
      <w:r>
        <w:t xml:space="preserve">En internet, Epitalon se promociona a menudo como sustancia que «alarga los telómeros» y con ello «hace retroceder el reloj biológico». ¿Qué está demostrado?</w:t>
      </w:r>
    </w:p>
    <w:p>
      <w:pPr>
        <w:numPr>
          <w:ilvl w:val="0"/>
          <w:numId w:val="1217"/>
        </w:numPr>
        <w:pStyle w:val="Compact"/>
      </w:pPr>
      <w:r>
        <w:rPr>
          <w:bCs/>
          <w:b/>
        </w:rPr>
        <w:t xml:space="preserve">Cultivo celular de San Petersburgo:</w:t>
      </w:r>
      <w:r>
        <w:t xml:space="preserve"> </w:t>
      </w:r>
      <w:r>
        <w:t xml:space="preserve">En fibroblastos fetales humanos, Epitalon provocó actividad de la telomerasa y alargamiento de los telómeros (Khavinson 2003, PMID 12937682); en un trabajo posterior, las células tratadas realizaron diez divisiones adicionales por encima de su límite habitual (Khavinson 2004, PMID 15455129). Ambos trabajos se publicaron de forma muy breve, sin métodos detallados en el resumen.</w:t>
      </w:r>
    </w:p>
    <w:p>
      <w:pPr>
        <w:numPr>
          <w:ilvl w:val="0"/>
          <w:numId w:val="1217"/>
        </w:numPr>
        <w:pStyle w:val="Compact"/>
      </w:pPr>
      <w:r>
        <w:rPr>
          <w:bCs/>
          <w:b/>
        </w:rPr>
        <w:t xml:space="preserve">Estudio celular independiente:</w:t>
      </w:r>
      <w:r>
        <w:t xml:space="preserve"> </w:t>
      </w:r>
      <w:r>
        <w:t xml:space="preserve">Un grupo de trabajo fuera de Rusia encontró en 2025 también telómeros más largos, de forma dependiente de la dosis, en células epiteliales y del tejido conjuntivo humanas normales. En líneas celulares de cáncer de mama, los telómeros también se alargaron, en ese caso mediante un mecanismo alternativo (ALT) típico de las células cancerosas (Al-Dulaimi 2025, PMID 40908429).</w:t>
      </w:r>
    </w:p>
    <w:p>
      <w:pPr>
        <w:numPr>
          <w:ilvl w:val="0"/>
          <w:numId w:val="1217"/>
        </w:numPr>
        <w:pStyle w:val="Compact"/>
      </w:pPr>
      <w:r>
        <w:rPr>
          <w:bCs/>
          <w:b/>
        </w:rPr>
        <w:t xml:space="preserve">Células sanguíneas humanas in vitro:</w:t>
      </w:r>
      <w:r>
        <w:t xml:space="preserve"> </w:t>
      </w:r>
      <w:r>
        <w:t xml:space="preserve">En células sanguíneas de once hombres, tras el contacto con el péptido, los telómeros se alargaron en cinco casos y se acortaron en dos; los autores lo interpretan como una «normalización» (Khavinson 2019, PMID 31761987).</w:t>
      </w:r>
    </w:p>
    <w:p>
      <w:pPr>
        <w:numPr>
          <w:ilvl w:val="0"/>
          <w:numId w:val="1217"/>
        </w:numPr>
        <w:pStyle w:val="Compact"/>
      </w:pPr>
      <w:r>
        <w:rPr>
          <w:bCs/>
          <w:b/>
        </w:rPr>
        <w:t xml:space="preserve">En el ser humano vivo:</w:t>
      </w:r>
      <w:r>
        <w:t xml:space="preserve"> </w:t>
      </w:r>
      <w:r>
        <w:t xml:space="preserve">No existe ningún estudio controlado publicado que haya mostrado que Epitalon modifique la longitud de los telómeros en la sangre o los tejidos humanos, y mucho menos uno que demuestre un beneficio para la salud de tal cambio.</w:t>
      </w:r>
    </w:p>
    <w:p>
      <w:pPr>
        <w:pStyle w:val="FirstParagraph"/>
      </w:pPr>
      <w:r>
        <w:t xml:space="preserve">A ello se suma que la longitud de los telómeros está relacionada con la edad, pero no es una medida fiable del «reloj biológico» de una persona concreta. Y una telomerasa activada de forma permanente es una característica de la inmensa mayoría de los tipos de cáncer. Por eso, la capacidad de alargar los telómeros no es automáticamente una ventaja (véanse los riesgos).</w:t>
      </w:r>
    </w:p>
    <w:bookmarkEnd w:id="665"/>
    <w:bookmarkEnd w:id="666"/>
    <w:bookmarkStart w:id="667" w:name="estudios-en-animales-y-de-laboratorio-39"/>
    <w:p>
      <w:pPr>
        <w:pStyle w:val="Heading3"/>
      </w:pPr>
      <w:r>
        <w:t xml:space="preserve">Estudios en animales y de laboratorio</w:t>
      </w:r>
    </w:p>
    <w:p>
      <w:pPr>
        <w:numPr>
          <w:ilvl w:val="0"/>
          <w:numId w:val="1218"/>
        </w:numPr>
        <w:pStyle w:val="Compact"/>
      </w:pPr>
      <w:r>
        <w:rPr>
          <w:bCs/>
          <w:b/>
        </w:rPr>
        <w:t xml:space="preserve">Esperanza de vida en ratones:</w:t>
      </w:r>
      <w:r>
        <w:t xml:space="preserve"> </w:t>
      </w:r>
      <w:r>
        <w:t xml:space="preserve">En el estudio en animales más importante, 54 ratones hembra por grupo recibieron de por vida, cada mes, Epitalon o solución salina. La</w:t>
      </w:r>
      <w:r>
        <w:t xml:space="preserve"> </w:t>
      </w:r>
      <w:r>
        <w:rPr>
          <w:bCs/>
          <w:b/>
        </w:rPr>
        <w:t xml:space="preserve">esperanza de vida media no</w:t>
      </w:r>
      <w:r>
        <w:t xml:space="preserve"> </w:t>
      </w:r>
      <w:r>
        <w:t xml:space="preserve">difirió; solo el último 10 % de los supervivientes vivió un 13,3 % más, y la esperanza de vida máxima fue un 12,3 % mayor. El número total de tumores espontáneos fue igual, y las leucemias fueron menos frecuentes (Anisimov 2003, PMID 14501183).</w:t>
      </w:r>
    </w:p>
    <w:p>
      <w:pPr>
        <w:numPr>
          <w:ilvl w:val="0"/>
          <w:numId w:val="1218"/>
        </w:numPr>
        <w:pStyle w:val="Compact"/>
      </w:pPr>
      <w:r>
        <w:rPr>
          <w:bCs/>
          <w:b/>
        </w:rPr>
        <w:t xml:space="preserve">Moscas de la fruta:</w:t>
      </w:r>
      <w:r>
        <w:t xml:space="preserve"> </w:t>
      </w:r>
      <w:r>
        <w:t xml:space="preserve">También en moscas del vinagre se informó de una mayor esperanza de vida (Khavinson 2000, PMID 11087911).</w:t>
      </w:r>
    </w:p>
    <w:p>
      <w:pPr>
        <w:numPr>
          <w:ilvl w:val="0"/>
          <w:numId w:val="1218"/>
        </w:numPr>
        <w:pStyle w:val="Compact"/>
      </w:pPr>
      <w:r>
        <w:rPr>
          <w:bCs/>
          <w:b/>
        </w:rPr>
        <w:t xml:space="preserve">Retina:</w:t>
      </w:r>
      <w:r>
        <w:t xml:space="preserve"> </w:t>
      </w:r>
      <w:r>
        <w:t xml:space="preserve">En ratas con degeneración retiniana hereditaria, la estructura de la retina se conservó mejor con Epitalon (Khavinson 2003, PMID 12910293).</w:t>
      </w:r>
    </w:p>
    <w:p>
      <w:pPr>
        <w:numPr>
          <w:ilvl w:val="0"/>
          <w:numId w:val="1218"/>
        </w:numPr>
        <w:pStyle w:val="Compact"/>
      </w:pPr>
      <w:r>
        <w:rPr>
          <w:bCs/>
          <w:b/>
        </w:rPr>
        <w:t xml:space="preserve">Óvulos:</w:t>
      </w:r>
      <w:r>
        <w:t xml:space="preserve"> </w:t>
      </w:r>
      <w:r>
        <w:t xml:space="preserve">En cultivos de óvulos envejecidos de ratón, Epitalon redujo los daños por estrés oxidativo (Yue 2022, PMID 35413689).</w:t>
      </w:r>
    </w:p>
    <w:p>
      <w:pPr>
        <w:pStyle w:val="FirstParagraph"/>
      </w:pPr>
      <w:r>
        <w:t xml:space="preserve">La mayoría de estos estudios procede del grupo de Jávinson y Anisimov, en general en revistas rusas o en revistas en las que el propio grupo publicaba con frecuencia. Las repeticiones independientes son escasas.</w:t>
      </w:r>
    </w:p>
    <w:bookmarkEnd w:id="667"/>
    <w:bookmarkStart w:id="668" w:name="riesgos-y-efectos-adversos-39"/>
    <w:p>
      <w:pPr>
        <w:pStyle w:val="Heading3"/>
      </w:pPr>
      <w:r>
        <w:t xml:space="preserve">Riesgos y efectos adversos</w:t>
      </w:r>
    </w:p>
    <w:p>
      <w:pPr>
        <w:pStyle w:val="FirstParagraph"/>
      </w:pPr>
      <w:r>
        <w:rPr>
          <w:bCs/>
          <w:b/>
        </w:rPr>
        <w:t xml:space="preserve">Demostrado:</w:t>
      </w:r>
      <w:r>
        <w:t xml:space="preserve"> </w:t>
      </w:r>
      <w:r>
        <w:t xml:space="preserve">No hay datos de seguridad recogidos de forma sistemática sobre Epitalon en humanos.</w:t>
      </w:r>
    </w:p>
    <w:p>
      <w:pPr>
        <w:pStyle w:val="BodyText"/>
      </w:pPr>
      <w:r>
        <w:rPr>
          <w:bCs/>
          <w:b/>
        </w:rPr>
        <w:t xml:space="preserve">Teórico:</w:t>
      </w:r>
    </w:p>
    <w:p>
      <w:pPr>
        <w:numPr>
          <w:ilvl w:val="0"/>
          <w:numId w:val="1219"/>
        </w:numPr>
        <w:pStyle w:val="Compact"/>
      </w:pPr>
      <w:r>
        <w:rPr>
          <w:bCs/>
          <w:b/>
        </w:rPr>
        <w:t xml:space="preserve">Cáncer:</w:t>
      </w:r>
      <w:r>
        <w:t xml:space="preserve"> </w:t>
      </w:r>
      <w:r>
        <w:t xml:space="preserve">La activación de la telomerasa es una característica central de las células cancerosas. Una sustancia que debería activar la telomerasa podría, en teoría, favorecer el crecimiento de células cancerosas ya existentes y no detectadas. En el estudio celular independiente se alargaron también los telómeros de células de cáncer de mama (Al-Dulaimi 2025, PMID 40908429). El estudio en ratones no encontró un aumento de los tumores espontáneos (Anisimov 2003, PMID 14501183), pero los datos en animales no pueden trasladarse a décadas de uso en humanos.</w:t>
      </w:r>
    </w:p>
    <w:p>
      <w:pPr>
        <w:numPr>
          <w:ilvl w:val="0"/>
          <w:numId w:val="1219"/>
        </w:numPr>
        <w:pStyle w:val="Compact"/>
      </w:pPr>
      <w:r>
        <w:rPr>
          <w:bCs/>
          <w:b/>
        </w:rPr>
        <w:t xml:space="preserve">Sistema hormonal:</w:t>
      </w:r>
      <w:r>
        <w:t xml:space="preserve"> </w:t>
      </w:r>
      <w:r>
        <w:t xml:space="preserve">Una influencia sobre la melatonina y la glándula pineal puede alterar el sueño y los ritmos hormonales; esto no se ha estudiado en humanos.</w:t>
      </w:r>
    </w:p>
    <w:p>
      <w:pPr>
        <w:pStyle w:val="FirstParagraph"/>
      </w:pPr>
      <w:r>
        <w:rPr>
          <w:bCs/>
          <w:b/>
        </w:rPr>
        <w:t xml:space="preserve">Mercado gris:</w:t>
      </w:r>
      <w:r>
        <w:t xml:space="preserve"> </w:t>
      </w:r>
      <w:r>
        <w:t xml:space="preserve">Epitalon es uno de los «péptidos de longevidad» más vendidos y se ofrece en polvo para inyección o como aerosol nasal. La pureza, el contenido y la esterilidad no están comprobados. Una revisión independiente menciona cuestiones no resueltas sobre la calidad del producto, las reacciones inmunitarias y el riesgo de cáncer (Jain 2026, PMID 42884164).</w:t>
      </w:r>
    </w:p>
    <w:bookmarkEnd w:id="668"/>
    <w:bookmarkStart w:id="669" w:name="situación-legal-39"/>
    <w:p>
      <w:pPr>
        <w:pStyle w:val="Heading3"/>
      </w:pPr>
      <w:r>
        <w:t xml:space="preserve">Situación legal</w:t>
      </w:r>
    </w:p>
    <w:p>
      <w:pPr>
        <w:numPr>
          <w:ilvl w:val="0"/>
          <w:numId w:val="1220"/>
        </w:numPr>
        <w:pStyle w:val="Compact"/>
      </w:pPr>
      <w:r>
        <w:rPr>
          <w:bCs/>
          <w:b/>
        </w:rPr>
        <w:t xml:space="preserve">UE / Austria / Alemania:</w:t>
      </w:r>
      <w:r>
        <w:t xml:space="preserve"> </w:t>
      </w:r>
      <w:r>
        <w:t xml:space="preserve">no autorizado; como sustancia con efecto farmacológico, Epitalon se considera medicamento, y su venta para uso en humanos no está permitida (situación en 2026; compruebe la información actualizada).</w:t>
      </w:r>
    </w:p>
    <w:p>
      <w:pPr>
        <w:numPr>
          <w:ilvl w:val="0"/>
          <w:numId w:val="1220"/>
        </w:numPr>
        <w:pStyle w:val="Compact"/>
      </w:pPr>
      <w:r>
        <w:rPr>
          <w:bCs/>
          <w:b/>
        </w:rPr>
        <w:t xml:space="preserve">EE. UU.:</w:t>
      </w:r>
      <w:r>
        <w:t xml:space="preserve"> </w:t>
      </w:r>
      <w:r>
        <w:t xml:space="preserve">no autorizado. Tras el voto del comité asesor PCAC en julio de 2026, Epitalon podría en el futuro utilizarse en fórmulas magistrales de farmacia si la FDA sigue esa recomendación; el procedimiento no había concluido al cierre de la redacción (situación en octubre de 2026; compruebe la información actualizada).</w:t>
      </w:r>
    </w:p>
    <w:p>
      <w:pPr>
        <w:numPr>
          <w:ilvl w:val="0"/>
          <w:numId w:val="1220"/>
        </w:numPr>
        <w:pStyle w:val="Compact"/>
      </w:pPr>
      <w:r>
        <w:rPr>
          <w:bCs/>
          <w:b/>
        </w:rPr>
        <w:t xml:space="preserve">Rusia:</w:t>
      </w:r>
      <w:r>
        <w:t xml:space="preserve"> </w:t>
      </w:r>
      <w:r>
        <w:t xml:space="preserve">En Rusia, los biorreguladores peptídicos se comercializan en parte como complementos alimenticios; Epitalon en sí, según nuestros conocimientos, no está registrado allí como medicamento (compruébese en su versión actual).</w:t>
      </w:r>
    </w:p>
    <w:p>
      <w:pPr>
        <w:numPr>
          <w:ilvl w:val="0"/>
          <w:numId w:val="1220"/>
        </w:numPr>
        <w:pStyle w:val="Compact"/>
      </w:pPr>
      <w:r>
        <w:rPr>
          <w:bCs/>
          <w:b/>
        </w:rPr>
        <w:t xml:space="preserve">Deporte:</w:t>
      </w:r>
      <w:r>
        <w:t xml:space="preserve"> </w:t>
      </w:r>
      <w:r>
        <w:t xml:space="preserve">según nuestra valoración, categoría S0 de la WADA (situación en 2026; compruebe la información actualizada).</w:t>
      </w:r>
    </w:p>
    <w:bookmarkEnd w:id="669"/>
    <w:bookmarkStart w:id="670" w:name="estudios-en-curso-y-perspectivas-39"/>
    <w:p>
      <w:pPr>
        <w:pStyle w:val="Heading3"/>
      </w:pPr>
      <w:r>
        <w:t xml:space="preserve">Estudios en curso y perspectivas</w:t>
      </w:r>
    </w:p>
    <w:p>
      <w:pPr>
        <w:pStyle w:val="FirstParagraph"/>
      </w:pPr>
      <w:r>
        <w:rPr>
          <w:bCs/>
          <w:b/>
        </w:rPr>
        <w:t xml:space="preserve">Confirmado:</w:t>
      </w:r>
      <w:r>
        <w:t xml:space="preserve"> </w:t>
      </w:r>
      <w:r>
        <w:t xml:space="preserve">En ClinicalTrials.gov hay registrado un estudio temprano en el que se pretende evaluar medidas de rejuvenecimiento «sistémicas y locales» con los llamados relojes del envejecimiento (procedimientos de medición epigenéticos); están previstos 48 participantes, con inicio en octubre de 2026 (NCT07888595). Según la entrada del registro, Epitalon es allí solo uno de cinco componentes de un sérum peptídico que se aplica sobre la piel; además se toman medicamentos y complementos alimenticios. El estudio tiene un solo grupo, sin enmascaramiento ni control con placebo. Por tanto, no puede aportar ninguna conclusión sobre el efecto del propio Epitalon.</w:t>
      </w:r>
    </w:p>
    <w:p>
      <w:pPr>
        <w:pStyle w:val="BodyText"/>
      </w:pPr>
      <w:r>
        <w:rPr>
          <w:bCs/>
          <w:b/>
        </w:rPr>
        <w:t xml:space="preserve">Valoración:</w:t>
      </w:r>
      <w:r>
        <w:t xml:space="preserve"> </w:t>
      </w:r>
      <w:r>
        <w:t xml:space="preserve">La inclusión en la lista estadounidense de fórmulas magistrales aumentaría su difusión sin mejorar los datos disponibles. Lo decisivo sería un estudio independiente y aleatorizado que midiera al menos la longitud de los telómeros, la melatonina y parámetros de seguridad en humanos durante un periodo prolongado.</w:t>
      </w:r>
    </w:p>
    <w:bookmarkEnd w:id="670"/>
    <w:bookmarkStart w:id="671" w:name="conclusión-39"/>
    <w:p>
      <w:pPr>
        <w:pStyle w:val="Heading3"/>
      </w:pPr>
      <w:r>
        <w:t xml:space="preserve">Conclusión</w:t>
      </w:r>
    </w:p>
    <w:p>
      <w:pPr>
        <w:pStyle w:val="FirstParagraph"/>
      </w:pPr>
      <w:r>
        <w:t xml:space="preserve">Epitalon es un tetrapéptido sintético de San Petersburgo que en cultivos celulares activó la telomerasa y en ratones prolongó la esperanza de vida máxima, pero no la media. El estudio sobre una vida más larga, citado con frecuencia, se refería al extracto bovino epitalamina, no fue aleatorizado y nunca se repitió de forma independiente. No está demostrado que Epitalon alargue los telómeros o ralentice el envejecimiento en el ser humano; la activación de la telomerasa plantea además una cuestión no aclarada sobre el cáncer. Los datos no bastan para valorar el beneficio ni la seguridad en el ser humano.</w:t>
      </w:r>
    </w:p>
    <w:bookmarkEnd w:id="671"/>
    <w:bookmarkEnd w:id="672"/>
    <w:bookmarkStart w:id="681" w:name="pinealon"/>
    <w:p>
      <w:pPr>
        <w:pStyle w:val="Heading2"/>
      </w:pPr>
      <w:r>
        <w:t xml:space="preserve">Pinealon</w:t>
      </w:r>
    </w:p>
    <w:bookmarkStart w:id="673" w:name="ficha-40"/>
    <w:p>
      <w:pPr>
        <w:pStyle w:val="Heading3"/>
      </w:pPr>
      <w:r>
        <w:t xml:space="preserve">Ficha</w:t>
      </w:r>
    </w:p>
    <w:p>
      <w:pPr>
        <w:numPr>
          <w:ilvl w:val="0"/>
          <w:numId w:val="1221"/>
        </w:numPr>
        <w:pStyle w:val="Compact"/>
      </w:pPr>
      <w:r>
        <w:rPr>
          <w:bCs/>
          <w:b/>
        </w:rPr>
        <w:t xml:space="preserve">Tipo y estructura:</w:t>
      </w:r>
      <w:r>
        <w:t xml:space="preserve"> </w:t>
      </w:r>
      <w:r>
        <w:t xml:space="preserve">tripéptido sintético de tres aminoácidos: Glu-Asp-Arg (abreviado EDR).</w:t>
      </w:r>
    </w:p>
    <w:p>
      <w:pPr>
        <w:numPr>
          <w:ilvl w:val="0"/>
          <w:numId w:val="1221"/>
        </w:numPr>
        <w:pStyle w:val="Compact"/>
      </w:pPr>
      <w:r>
        <w:rPr>
          <w:bCs/>
          <w:b/>
        </w:rPr>
        <w:t xml:space="preserve">Origen:</w:t>
      </w:r>
      <w:r>
        <w:t xml:space="preserve"> </w:t>
      </w:r>
      <w:r>
        <w:t xml:space="preserve">desarrollado en el Instituto de Biorregulación y Gerontología de San Petersburgo (grupo de Vladímir Jávinson, que también desarrolló Epitalon). El nombre hace referencia a la glándula pineal (glandula pinealis), aunque el péptido se describe sobre todo como sustancia protectora de las neuronas.</w:t>
      </w:r>
    </w:p>
    <w:p>
      <w:pPr>
        <w:numPr>
          <w:ilvl w:val="0"/>
          <w:numId w:val="1221"/>
        </w:numPr>
        <w:pStyle w:val="Compact"/>
      </w:pPr>
      <w:r>
        <w:rPr>
          <w:bCs/>
          <w:b/>
        </w:rPr>
        <w:t xml:space="preserve">Mecanismo de acción:</w:t>
      </w:r>
      <w:r>
        <w:t xml:space="preserve"> </w:t>
      </w:r>
      <w:r>
        <w:t xml:space="preserve">como «biorregulador peptídico corto», debería penetrar en las células y en los núcleos celulares, unirse al ADN o a las histonas y así influir en la actividad de genes que protegen a las neuronas del estrés oxidativo y de la muerte celular.</w:t>
      </w:r>
    </w:p>
    <w:p>
      <w:pPr>
        <w:numPr>
          <w:ilvl w:val="0"/>
          <w:numId w:val="1221"/>
        </w:numPr>
        <w:pStyle w:val="Compact"/>
      </w:pPr>
      <w:r>
        <w:rPr>
          <w:bCs/>
          <w:b/>
        </w:rPr>
        <w:t xml:space="preserve">Autorización UE:</w:t>
      </w:r>
      <w:r>
        <w:t xml:space="preserve"> </w:t>
      </w:r>
      <w:r>
        <w:t xml:space="preserve">no.</w:t>
      </w:r>
    </w:p>
    <w:p>
      <w:pPr>
        <w:numPr>
          <w:ilvl w:val="0"/>
          <w:numId w:val="1221"/>
        </w:numPr>
        <w:pStyle w:val="Compact"/>
      </w:pPr>
      <w:r>
        <w:rPr>
          <w:bCs/>
          <w:b/>
        </w:rPr>
        <w:t xml:space="preserve">Autorización EE. UU.:</w:t>
      </w:r>
      <w:r>
        <w:t xml:space="preserve"> </w:t>
      </w:r>
      <w:r>
        <w:t xml:space="preserve">no.</w:t>
      </w:r>
    </w:p>
    <w:p>
      <w:pPr>
        <w:numPr>
          <w:ilvl w:val="0"/>
          <w:numId w:val="1221"/>
        </w:numPr>
        <w:pStyle w:val="Compact"/>
      </w:pPr>
      <w:r>
        <w:rPr>
          <w:bCs/>
          <w:b/>
        </w:rPr>
        <w:t xml:space="preserve">Rusia:</w:t>
      </w:r>
      <w:r>
        <w:t xml:space="preserve"> </w:t>
      </w:r>
      <w:r>
        <w:t xml:space="preserve">comercializado como componente de los llamados «citógenos» en cápsulas, es decir, más bien como complemento alimenticio que como medicamento evaluado.</w:t>
      </w:r>
    </w:p>
    <w:p>
      <w:pPr>
        <w:numPr>
          <w:ilvl w:val="0"/>
          <w:numId w:val="1221"/>
        </w:numPr>
        <w:pStyle w:val="Compact"/>
      </w:pPr>
      <w:r>
        <w:rPr>
          <w:bCs/>
          <w:b/>
        </w:rPr>
        <w:t xml:space="preserve">WADA:</w:t>
      </w:r>
      <w:r>
        <w:t xml:space="preserve"> </w:t>
      </w:r>
      <w:r>
        <w:t xml:space="preserve">no figura nominalmente; un principio activo no autorizado como medicamento puede entrar en la categoría general S0 (situación en 2026; compruebe la información actualizada).</w:t>
      </w:r>
    </w:p>
    <w:p>
      <w:pPr>
        <w:numPr>
          <w:ilvl w:val="0"/>
          <w:numId w:val="1221"/>
        </w:numPr>
        <w:pStyle w:val="Compact"/>
      </w:pPr>
      <w:r>
        <w:rPr>
          <w:bCs/>
          <w:b/>
        </w:rPr>
        <w:t xml:space="preserve">Nivel de evidencia:</w:t>
      </w:r>
      <w:r>
        <w:t xml:space="preserve"> </w:t>
      </w:r>
      <w:r>
        <w:rPr>
          <w:bCs/>
          <w:b/>
        </w:rPr>
        <w:t xml:space="preserve">C</w:t>
      </w:r>
      <w:r>
        <w:t xml:space="preserve"> </w:t>
      </w:r>
      <w:r>
        <w:t xml:space="preserve">– algunos pequeños estudios observacionales rusos no aleatorizados con valores de medición sustitutivos como la «edad biológica».</w:t>
      </w:r>
    </w:p>
    <w:bookmarkEnd w:id="673"/>
    <w:bookmarkStart w:id="674" w:name="cómo-se-supone-que-actúa-40"/>
    <w:p>
      <w:pPr>
        <w:pStyle w:val="Heading3"/>
      </w:pPr>
      <w:r>
        <w:t xml:space="preserve">Cómo se supone que actúa</w:t>
      </w:r>
    </w:p>
    <w:p>
      <w:pPr>
        <w:pStyle w:val="FirstParagraph"/>
      </w:pPr>
      <w:r>
        <w:t xml:space="preserve">Pinealon pertenece a una familia de péptidos muy cortos (de dos a cuatro aminoácidos) que el grupo de San Petersburgo denomina «biorreguladores peptídicos». La hipótesis central es la siguiente: estos minipéptidos llegan hasta el núcleo celular, se unen allí a determinados segmentos de ADN y regulan de este modo los genes, de forma similar a los factores de transcripción, es decir, proteínas que activan y desactivan genes.</w:t>
      </w:r>
    </w:p>
    <w:p>
      <w:pPr>
        <w:pStyle w:val="BodyText"/>
      </w:pPr>
      <w:r>
        <w:t xml:space="preserve">Las pruebas al respecto proceden del laboratorio:</w:t>
      </w:r>
    </w:p>
    <w:p>
      <w:pPr>
        <w:numPr>
          <w:ilvl w:val="0"/>
          <w:numId w:val="1222"/>
        </w:numPr>
        <w:pStyle w:val="Compact"/>
      </w:pPr>
      <w:r>
        <w:t xml:space="preserve">En células cancerosas (HeLa), Pinealon, Epitalon y péptidos relacionados marcados con fluorescencia penetraron en el citoplasma, el núcleo celular y el nucléolo; in vitro modificaron la fluorescencia de fragmentos de ADN marcados según su secuencia (Fedoreyeva 2011, PMID 22117547).</w:t>
      </w:r>
    </w:p>
    <w:p>
      <w:pPr>
        <w:numPr>
          <w:ilvl w:val="0"/>
          <w:numId w:val="1222"/>
        </w:numPr>
        <w:pStyle w:val="Compact"/>
      </w:pPr>
      <w:r>
        <w:t xml:space="preserve">En neuronas del cerebelo de ratas y en otros cultivos celulares, Pinealon limitó la acumulación de especies reactivas de oxígeno y redujo la muerte celular (Khavinson 2011, PMID 21978084).</w:t>
      </w:r>
    </w:p>
    <w:p>
      <w:pPr>
        <w:pStyle w:val="FirstParagraph"/>
      </w:pPr>
      <w:r>
        <w:t xml:space="preserve">Una revisión de los desarrolladores resume que el péptido EDR influiría en experimentos con células y animales sobre genes y proteínas que desempeñan un papel en la enfermedad de Alzheimer, por ejemplo enzimas de la defensa antioxidante y señales de muerte celular (Khavinson 2020, PMID 33396470). Se trata de una hipótesis que otros grupos de investigación apenas han comprobado hasta ahora. Además, por la farmacología clásica se sabe que péptidos tan cortos se descomponen rápidamente en el tubo digestivo y en la sangre; no se ha estudiado cuánto Pinealon sin modificar llega a las neuronas tras tomar una cápsula.</w:t>
      </w:r>
    </w:p>
    <w:bookmarkEnd w:id="674"/>
    <w:bookmarkStart w:id="675" w:name="estudios-en-humanos-40"/>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w:t>
      </w:r>
      <w:r>
        <w:t xml:space="preserve"> </w:t>
      </w:r>
      <w:r>
        <w:rPr>
          <w:bCs/>
          <w:b/>
        </w:rPr>
        <w:t xml:space="preserve">una</w:t>
      </w:r>
      <w:r>
        <w:t xml:space="preserve"> </w:t>
      </w:r>
      <w:r>
        <w:t xml:space="preserve">publicación clasificada como estudio en humanos; en total, PubMed recoge solo 15 trabajos con «Pinealon» en el título o el resumen. En ClinicalTrials.gov no hay ningún estudio registrado. En una búsqueda adicional se encontraron otros tres pequeños trabajos rusos con personas, todos en la revista «Uspekhi Gerontologii» (Avances de Gerontología).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Bashkireva 2012, PMID 23734521</w:t>
            </w:r>
          </w:p>
        </w:tc>
        <w:tc>
          <w:tcPr/>
          <w:p>
            <w:pPr>
              <w:pStyle w:val="Compact"/>
              <w:jc w:val="left"/>
            </w:pPr>
            <w:r>
              <w:t xml:space="preserve">150 conductores de camión, 150 trabajadores del metal como comparación; péptidos en subgrupos</w:t>
            </w:r>
          </w:p>
        </w:tc>
        <w:tc>
          <w:tcPr/>
          <w:p>
            <w:pPr>
              <w:pStyle w:val="Compact"/>
              <w:jc w:val="left"/>
            </w:pPr>
            <w:r>
              <w:t xml:space="preserve">no indicada</w:t>
            </w:r>
          </w:p>
        </w:tc>
        <w:tc>
          <w:tcPr/>
          <w:p>
            <w:pPr>
              <w:pStyle w:val="Compact"/>
              <w:jc w:val="left"/>
            </w:pPr>
            <w:r>
              <w:t xml:space="preserve">según los autores, mejores valores psicoemocionales, mejor efecto con la combinación de dos péptidos</w:t>
            </w:r>
          </w:p>
        </w:tc>
      </w:tr>
      <w:tr>
        <w:tc>
          <w:tcPr/>
          <w:p>
            <w:pPr>
              <w:pStyle w:val="Compact"/>
              <w:jc w:val="left"/>
            </w:pPr>
            <w:r>
              <w:t xml:space="preserve">Nazimko 2012, PMID 22708445</w:t>
            </w:r>
          </w:p>
        </w:tc>
        <w:tc>
          <w:tcPr/>
          <w:p>
            <w:pPr>
              <w:pStyle w:val="Compact"/>
              <w:jc w:val="left"/>
            </w:pPr>
            <w:r>
              <w:t xml:space="preserve">equipos de maquinistas de tren, cápsulas de Pinealon</w:t>
            </w:r>
          </w:p>
        </w:tc>
        <w:tc>
          <w:tcPr/>
          <w:p>
            <w:pPr>
              <w:pStyle w:val="Compact"/>
              <w:jc w:val="left"/>
            </w:pPr>
            <w:r>
              <w:t xml:space="preserve">2 semanas</w:t>
            </w:r>
          </w:p>
        </w:tc>
        <w:tc>
          <w:tcPr/>
          <w:p>
            <w:pPr>
              <w:pStyle w:val="Compact"/>
              <w:jc w:val="left"/>
            </w:pPr>
            <w:r>
              <w:t xml:space="preserve">según los autores, mejor «edad biológica» y mejores reacciones de adaptación</w:t>
            </w:r>
          </w:p>
        </w:tc>
      </w:tr>
      <w:tr>
        <w:tc>
          <w:tcPr/>
          <w:p>
            <w:pPr>
              <w:pStyle w:val="Compact"/>
              <w:jc w:val="left"/>
            </w:pPr>
            <w:r>
              <w:t xml:space="preserve">Meshchaninov 2015, PMID 26390612</w:t>
            </w:r>
          </w:p>
        </w:tc>
        <w:tc>
          <w:tcPr/>
          <w:p>
            <w:pPr>
              <w:pStyle w:val="Compact"/>
              <w:jc w:val="left"/>
            </w:pPr>
            <w:r>
              <w:t xml:space="preserve">32 personas (41–83 años) con pluripatología y síndrome psicoorgánico</w:t>
            </w:r>
          </w:p>
        </w:tc>
        <w:tc>
          <w:tcPr/>
          <w:p>
            <w:pPr>
              <w:pStyle w:val="Compact"/>
              <w:jc w:val="left"/>
            </w:pPr>
            <w:r>
              <w:t xml:space="preserve">no indicada</w:t>
            </w:r>
          </w:p>
        </w:tc>
        <w:tc>
          <w:tcPr/>
          <w:p>
            <w:pPr>
              <w:pStyle w:val="Compact"/>
              <w:jc w:val="left"/>
            </w:pPr>
            <w:r>
              <w:t xml:space="preserve">efecto «anabólico»; indicios de acción oxidante e inhibición de la hematopoyesis</w:t>
            </w:r>
          </w:p>
        </w:tc>
      </w:tr>
      <w:tr>
        <w:tc>
          <w:tcPr/>
          <w:p>
            <w:pPr>
              <w:pStyle w:val="Compact"/>
              <w:jc w:val="left"/>
            </w:pPr>
            <w:r>
              <w:t xml:space="preserve">Myakotnykh 2016, PMID 28539017</w:t>
            </w:r>
          </w:p>
        </w:tc>
        <w:tc>
          <w:tcPr/>
          <w:p>
            <w:pPr>
              <w:pStyle w:val="Compact"/>
              <w:jc w:val="left"/>
            </w:pPr>
            <w:r>
              <w:t xml:space="preserve">110 personas, comparación de distintos métodos «antienvejecimiento»</w:t>
            </w:r>
          </w:p>
        </w:tc>
        <w:tc>
          <w:tcPr/>
          <w:p>
            <w:pPr>
              <w:pStyle w:val="Compact"/>
              <w:jc w:val="left"/>
            </w:pPr>
            <w:r>
              <w:t xml:space="preserve">no indicada</w:t>
            </w:r>
          </w:p>
        </w:tc>
        <w:tc>
          <w:tcPr/>
          <w:p>
            <w:pPr>
              <w:pStyle w:val="Compact"/>
              <w:jc w:val="left"/>
            </w:pPr>
            <w:r>
              <w:t xml:space="preserve">mayor efecto sobre la «edad biológica» con la combinación de dos péptidos</w:t>
            </w:r>
          </w:p>
        </w:tc>
      </w:tr>
    </w:tbl>
    <w:p>
      <w:pPr>
        <w:pStyle w:val="BodyText"/>
      </w:pPr>
      <w:r>
        <w:t xml:space="preserve">Los cuatro trabajos tienen debilidades comunes:</w:t>
      </w:r>
    </w:p>
    <w:p>
      <w:pPr>
        <w:numPr>
          <w:ilvl w:val="0"/>
          <w:numId w:val="1223"/>
        </w:numPr>
        <w:pStyle w:val="Compact"/>
      </w:pPr>
      <w:r>
        <w:rPr>
          <w:bCs/>
          <w:b/>
        </w:rPr>
        <w:t xml:space="preserve">Sin placebo, sin enmascaramiento, sin asignación aleatoria</w:t>
      </w:r>
      <w:r>
        <w:t xml:space="preserve"> </w:t>
      </w:r>
      <w:r>
        <w:t xml:space="preserve">apreciables. En los cuestionarios sobre el estado de ánimo y la carga de estrés, el efecto de expectativa es considerable.</w:t>
      </w:r>
    </w:p>
    <w:p>
      <w:pPr>
        <w:numPr>
          <w:ilvl w:val="0"/>
          <w:numId w:val="1223"/>
        </w:numPr>
        <w:pStyle w:val="Compact"/>
      </w:pPr>
      <w:r>
        <w:rPr>
          <w:bCs/>
          <w:b/>
        </w:rPr>
        <w:t xml:space="preserve">Valores sustitutivos en lugar de criterios de valoración clínicos:</w:t>
      </w:r>
      <w:r>
        <w:t xml:space="preserve"> </w:t>
      </w:r>
      <w:r>
        <w:t xml:space="preserve">La «edad biológica» se calcula en la gerontología rusa a partir de una combinación de mediciones como la presión arterial, la función pulmonar, el tiempo de reacción y la autoevaluación. No es una medida estandarizada internacionalmente, y una mejora no significa automáticamente más salud ni una vida más larga.</w:t>
      </w:r>
    </w:p>
    <w:p>
      <w:pPr>
        <w:numPr>
          <w:ilvl w:val="0"/>
          <w:numId w:val="1223"/>
        </w:numPr>
        <w:pStyle w:val="Compact"/>
      </w:pPr>
      <w:r>
        <w:rPr>
          <w:bCs/>
          <w:b/>
        </w:rPr>
        <w:t xml:space="preserve">Combinaciones:</w:t>
      </w:r>
      <w:r>
        <w:t xml:space="preserve"> </w:t>
      </w:r>
      <w:r>
        <w:t xml:space="preserve">En varios estudios, Pinealon se administró junto con el péptido Vesugen (Lys-Glu-Asp), de modo que el efecto no puede atribuirse a una sola sustancia.</w:t>
      </w:r>
    </w:p>
    <w:p>
      <w:pPr>
        <w:numPr>
          <w:ilvl w:val="0"/>
          <w:numId w:val="1223"/>
        </w:numPr>
        <w:pStyle w:val="Compact"/>
      </w:pPr>
      <w:r>
        <w:rPr>
          <w:bCs/>
          <w:b/>
        </w:rPr>
        <w:t xml:space="preserve">Cifras poco claras:</w:t>
      </w:r>
      <w:r>
        <w:t xml:space="preserve"> </w:t>
      </w:r>
      <w:r>
        <w:t xml:space="preserve">Los resúmenes apenas indican tamaños del efecto.</w:t>
      </w:r>
    </w:p>
    <w:p>
      <w:pPr>
        <w:pStyle w:val="FirstParagraph"/>
      </w:pPr>
      <w:r>
        <w:t xml:space="preserve">Es llamativo un hallazgo que no aparece en la publicidad: en el estudio con 32 personas mayores, los autores observaron con Pinealon y Vesugen una actividad</w:t>
      </w:r>
      <w:r>
        <w:t xml:space="preserve"> </w:t>
      </w:r>
      <w:r>
        <w:rPr>
          <w:bCs/>
          <w:b/>
        </w:rPr>
        <w:t xml:space="preserve">prooxidante</w:t>
      </w:r>
      <w:r>
        <w:t xml:space="preserve"> </w:t>
      </w:r>
      <w:r>
        <w:t xml:space="preserve">–es decir, lo contrario del efecto antioxidante que se afirma– y una disminución de las células madre hematopoyéticas (CD34+) en la sangre, que describen como una clara inhibición de la hematopoyesis. Aun así, recomiendan los péptidos para la práctica geriátrica (Meshchaninov 2015, PMID 26390612).</w:t>
      </w:r>
    </w:p>
    <w:bookmarkEnd w:id="675"/>
    <w:bookmarkStart w:id="676" w:name="estudios-en-animales-y-de-laboratorio-40"/>
    <w:p>
      <w:pPr>
        <w:pStyle w:val="Heading3"/>
      </w:pPr>
      <w:r>
        <w:t xml:space="preserve">Estudios en animales y de laboratorio</w:t>
      </w:r>
    </w:p>
    <w:p>
      <w:pPr>
        <w:numPr>
          <w:ilvl w:val="0"/>
          <w:numId w:val="1224"/>
        </w:numPr>
        <w:pStyle w:val="Compact"/>
      </w:pPr>
      <w:r>
        <w:t xml:space="preserve">En ratas cuyas madres tenían durante la gestación valores elevados de homocisteína por una dieta rica en metionina, Pinealon (administrado a las madres) mejoró la orientación y la capacidad de aprendizaje de las crías; sus neuronas del cerebelo eran más resistentes al estrés oxidativo (Arutjunyan 2012, PMID 22567179).</w:t>
      </w:r>
    </w:p>
    <w:p>
      <w:pPr>
        <w:numPr>
          <w:ilvl w:val="0"/>
          <w:numId w:val="1224"/>
        </w:numPr>
        <w:pStyle w:val="Compact"/>
      </w:pPr>
      <w:r>
        <w:t xml:space="preserve">En ratas de 18 meses, Pinealon y Cortexin (un preparado ruso de extracto cerebral) influyeron, bajo falta de oxígeno e hipotermia, en la conducta y en los mensajeros del cerebro; Cortexin actuó con más fuerza sobre los procesos radicalarios y las enzimas de muerte celular (Mendzheritsky 2015, PMID 28509493).</w:t>
      </w:r>
    </w:p>
    <w:p>
      <w:pPr>
        <w:numPr>
          <w:ilvl w:val="0"/>
          <w:numId w:val="1224"/>
        </w:numPr>
        <w:pStyle w:val="Compact"/>
      </w:pPr>
      <w:r>
        <w:t xml:space="preserve">En cultivos celulares, Pinealon protegió distintos tipos de células frente al estrés oxidativo (Khavinson 2011, PMID 21978084).</w:t>
      </w:r>
    </w:p>
    <w:p>
      <w:pPr>
        <w:pStyle w:val="FirstParagraph"/>
      </w:pPr>
      <w:r>
        <w:t xml:space="preserve">Casi todos los trabajos proceden del grupo desarrollador o de institutos rusos colaboradores.</w:t>
      </w:r>
    </w:p>
    <w:bookmarkEnd w:id="676"/>
    <w:bookmarkStart w:id="677" w:name="riesgos-y-efectos-adversos-40"/>
    <w:p>
      <w:pPr>
        <w:pStyle w:val="Heading3"/>
      </w:pPr>
      <w:r>
        <w:t xml:space="preserve">Riesgos y efectos adversos</w:t>
      </w:r>
    </w:p>
    <w:p>
      <w:pPr>
        <w:pStyle w:val="FirstParagraph"/>
      </w:pPr>
      <w:r>
        <w:rPr>
          <w:bCs/>
          <w:b/>
        </w:rPr>
        <w:t xml:space="preserve">Demostrado:</w:t>
      </w:r>
      <w:r>
        <w:t xml:space="preserve"> </w:t>
      </w:r>
      <w:r>
        <w:t xml:space="preserve">No hay datos sistemáticos de seguridad. El único estudio que informa con más detalle de valores de laboratorio describe una actividad prooxidante y una disminución de las células madre hematopoyéticas en la sangre (Meshchaninov 2015, PMID 26390612). No está claro qué significa esto, pero es una señal de alarma que no se ha seguido investigando.</w:t>
      </w:r>
    </w:p>
    <w:p>
      <w:pPr>
        <w:pStyle w:val="BodyText"/>
      </w:pPr>
      <w:r>
        <w:rPr>
          <w:bCs/>
          <w:b/>
        </w:rPr>
        <w:t xml:space="preserve">Teórico:</w:t>
      </w:r>
      <w:r>
        <w:t xml:space="preserve"> </w:t>
      </w:r>
      <w:r>
        <w:t xml:space="preserve">Si la hipótesis de los desarrolladores es correcta y Pinealon realmente se une al ADN y regula genes, también serían concebibles efectos genéticos indeseados. No hay estudios sobre daños en el material genético, riesgo de cáncer o efectos a largo plazo.</w:t>
      </w:r>
    </w:p>
    <w:p>
      <w:pPr>
        <w:pStyle w:val="BodyText"/>
      </w:pPr>
      <w:r>
        <w:rPr>
          <w:bCs/>
          <w:b/>
        </w:rPr>
        <w:t xml:space="preserve">Mercado gris:</w:t>
      </w:r>
      <w:r>
        <w:t xml:space="preserve"> </w:t>
      </w:r>
      <w:r>
        <w:t xml:space="preserve">Pinealon se ofrece en internet en cápsulas, aerosol nasal o polvo para inyección, en general con promesas sobre la memoria, el sueño y el «rejuvenecimiento cerebral». El contenido y la pureza no están comprobados.</w:t>
      </w:r>
    </w:p>
    <w:bookmarkEnd w:id="677"/>
    <w:bookmarkStart w:id="678" w:name="situación-legal-40"/>
    <w:p>
      <w:pPr>
        <w:pStyle w:val="Heading3"/>
      </w:pPr>
      <w:r>
        <w:t xml:space="preserve">Situación legal</w:t>
      </w:r>
    </w:p>
    <w:p>
      <w:pPr>
        <w:numPr>
          <w:ilvl w:val="0"/>
          <w:numId w:val="1225"/>
        </w:numPr>
        <w:pStyle w:val="Compact"/>
      </w:pPr>
      <w:r>
        <w:rPr>
          <w:bCs/>
          <w:b/>
        </w:rPr>
        <w:t xml:space="preserve">UE / Austria / Alemania:</w:t>
      </w:r>
      <w:r>
        <w:t xml:space="preserve"> </w:t>
      </w:r>
      <w:r>
        <w:t xml:space="preserve">no autorizado como medicamento. Su venta como complemento alimenticio solo sería admisible si la sustancia estuviera permitida según la legislación alimentaria; como sustancia sintética nueva con efecto farmacológico pretendido, según nuestra valoración no es el caso (situación en 2026; compruebe la información actualizada).</w:t>
      </w:r>
    </w:p>
    <w:p>
      <w:pPr>
        <w:numPr>
          <w:ilvl w:val="0"/>
          <w:numId w:val="1225"/>
        </w:numPr>
        <w:pStyle w:val="Compact"/>
      </w:pPr>
      <w:r>
        <w:rPr>
          <w:bCs/>
          <w:b/>
        </w:rPr>
        <w:t xml:space="preserve">EE. UU.:</w:t>
      </w:r>
      <w:r>
        <w:t xml:space="preserve"> </w:t>
      </w:r>
      <w:r>
        <w:t xml:space="preserve">no autorizado.</w:t>
      </w:r>
    </w:p>
    <w:p>
      <w:pPr>
        <w:numPr>
          <w:ilvl w:val="0"/>
          <w:numId w:val="1225"/>
        </w:numPr>
        <w:pStyle w:val="Compact"/>
      </w:pPr>
      <w:r>
        <w:rPr>
          <w:bCs/>
          <w:b/>
        </w:rPr>
        <w:t xml:space="preserve">Rusia:</w:t>
      </w:r>
      <w:r>
        <w:t xml:space="preserve"> </w:t>
      </w:r>
      <w:r>
        <w:t xml:space="preserve">comercializado como componente de preparados peptídicos que no han pasado por el procedimiento de autorización de medicamentos.</w:t>
      </w:r>
    </w:p>
    <w:p>
      <w:pPr>
        <w:numPr>
          <w:ilvl w:val="0"/>
          <w:numId w:val="1225"/>
        </w:numPr>
        <w:pStyle w:val="Compact"/>
      </w:pPr>
      <w:r>
        <w:rPr>
          <w:bCs/>
          <w:b/>
        </w:rPr>
        <w:t xml:space="preserve">Deporte:</w:t>
      </w:r>
      <w:r>
        <w:t xml:space="preserve"> </w:t>
      </w:r>
      <w:r>
        <w:t xml:space="preserve">no figura nominalmente; posible inclusión en la categoría S0 de la WADA (situación en 2026; compruebe la información actualizada).</w:t>
      </w:r>
    </w:p>
    <w:bookmarkEnd w:id="678"/>
    <w:bookmarkStart w:id="679" w:name="estudios-en-curso-y-perspectivas-40"/>
    <w:p>
      <w:pPr>
        <w:pStyle w:val="Heading3"/>
      </w:pPr>
      <w:r>
        <w:t xml:space="preserve">Estudios en curso y perspectivas</w:t>
      </w:r>
    </w:p>
    <w:p>
      <w:pPr>
        <w:pStyle w:val="FirstParagraph"/>
      </w:pPr>
      <w:r>
        <w:rPr>
          <w:bCs/>
          <w:b/>
        </w:rPr>
        <w:t xml:space="preserve">Confirmado:</w:t>
      </w:r>
      <w:r>
        <w:t xml:space="preserve"> </w:t>
      </w:r>
      <w:r>
        <w:t xml:space="preserve">Ningún estudio registrado (consulta de octubre de 2026).</w:t>
      </w:r>
    </w:p>
    <w:p>
      <w:pPr>
        <w:pStyle w:val="BodyText"/>
      </w:pPr>
      <w:r>
        <w:rPr>
          <w:bCs/>
          <w:b/>
        </w:rPr>
        <w:t xml:space="preserve">Valoración:</w:t>
      </w:r>
      <w:r>
        <w:t xml:space="preserve"> </w:t>
      </w:r>
      <w:r>
        <w:t xml:space="preserve">Mientras la investigación siga limitada a un círculo reducido de institutos rusos y no se realicen estudios aleatorizados y controlados con placebo con criterios de valoración clínicos, Pinealon seguirá siendo un concepto de laboratorio con un andamiaje de marketing.</w:t>
      </w:r>
    </w:p>
    <w:bookmarkEnd w:id="679"/>
    <w:bookmarkStart w:id="680" w:name="conclusión-40"/>
    <w:p>
      <w:pPr>
        <w:pStyle w:val="Heading3"/>
      </w:pPr>
      <w:r>
        <w:t xml:space="preserve">Conclusión</w:t>
      </w:r>
    </w:p>
    <w:p>
      <w:pPr>
        <w:pStyle w:val="FirstParagraph"/>
      </w:pPr>
      <w:r>
        <w:t xml:space="preserve">Pinealon es un tripéptido sintético de San Petersburgo que en cultivos celulares y en ratas protegió a las neuronas del estrés oxidativo; los desarrolladores suponen un efecto directo sobre los genes. Los pocos estudios en humanos son pequeños, no controlados y miden sobre todo una «edad biológica» no estandarizada. Uno de ellos encontró incluso indicios de un efecto prooxidante y de una inhibición de la hematopoyesis. Los datos no bastan para valorar un beneficio ni la seguridad en el ser humano.</w:t>
      </w:r>
    </w:p>
    <w:bookmarkEnd w:id="680"/>
    <w:bookmarkEnd w:id="681"/>
    <w:bookmarkStart w:id="692" w:name="mots-c"/>
    <w:p>
      <w:pPr>
        <w:pStyle w:val="Heading2"/>
      </w:pPr>
      <w:r>
        <w:t xml:space="preserve">MOTS-c</w:t>
      </w:r>
    </w:p>
    <w:bookmarkStart w:id="682" w:name="ficha-41"/>
    <w:p>
      <w:pPr>
        <w:pStyle w:val="Heading3"/>
      </w:pPr>
      <w:r>
        <w:t xml:space="preserve">Ficha</w:t>
      </w:r>
    </w:p>
    <w:p>
      <w:pPr>
        <w:numPr>
          <w:ilvl w:val="0"/>
          <w:numId w:val="1226"/>
        </w:numPr>
        <w:pStyle w:val="Compact"/>
      </w:pPr>
      <w:r>
        <w:rPr>
          <w:bCs/>
          <w:b/>
        </w:rPr>
        <w:t xml:space="preserve">Tipo y estructura:</w:t>
      </w:r>
      <w:r>
        <w:t xml:space="preserve"> </w:t>
      </w:r>
      <w:r>
        <w:t xml:space="preserve">péptido de 16 aminoácidos. El nombre significa</w:t>
      </w:r>
      <w:r>
        <w:t xml:space="preserve"> </w:t>
      </w:r>
      <w:r>
        <w:rPr>
          <w:iCs/>
          <w:i/>
        </w:rPr>
        <w:t xml:space="preserve">mitochondrial open reading frame of the 12S rRNA-c</w:t>
      </w:r>
      <w:r>
        <w:t xml:space="preserve">: no está codificado en el núcleo celular, sino en el material genético de las mitocondrias, las «centrales energéticas» de la célula.</w:t>
      </w:r>
    </w:p>
    <w:p>
      <w:pPr>
        <w:numPr>
          <w:ilvl w:val="0"/>
          <w:numId w:val="1226"/>
        </w:numPr>
        <w:pStyle w:val="Compact"/>
      </w:pPr>
      <w:r>
        <w:rPr>
          <w:bCs/>
          <w:b/>
        </w:rPr>
        <w:t xml:space="preserve">Origen:</w:t>
      </w:r>
      <w:r>
        <w:t xml:space="preserve"> </w:t>
      </w:r>
      <w:r>
        <w:t xml:space="preserve">descrito en 2015 por un grupo de trabajo dirigido por Pinchas Cohen en la University of Southern California. El organismo lo produce por sí mismo, sobre todo en el músculo esquelético.</w:t>
      </w:r>
    </w:p>
    <w:p>
      <w:pPr>
        <w:numPr>
          <w:ilvl w:val="0"/>
          <w:numId w:val="1226"/>
        </w:numPr>
        <w:pStyle w:val="Compact"/>
      </w:pPr>
      <w:r>
        <w:rPr>
          <w:bCs/>
          <w:b/>
        </w:rPr>
        <w:t xml:space="preserve">Mecanismo de acción:</w:t>
      </w:r>
      <w:r>
        <w:t xml:space="preserve"> </w:t>
      </w:r>
      <w:r>
        <w:t xml:space="preserve">se considera una «mitocina», una sustancia señalizadora de las mitocondrias. En ratones activó el sensor energético AMPK y mejoró la sensibilidad a la insulina y el rendimiento físico; por eso se discute como «imitador del ejercicio» (exercise mimetic).</w:t>
      </w:r>
    </w:p>
    <w:p>
      <w:pPr>
        <w:numPr>
          <w:ilvl w:val="0"/>
          <w:numId w:val="1226"/>
        </w:numPr>
        <w:pStyle w:val="Compact"/>
      </w:pPr>
      <w:r>
        <w:rPr>
          <w:bCs/>
          <w:b/>
        </w:rPr>
        <w:t xml:space="preserve">Autorización UE:</w:t>
      </w:r>
      <w:r>
        <w:t xml:space="preserve"> </w:t>
      </w:r>
      <w:r>
        <w:t xml:space="preserve">no.</w:t>
      </w:r>
    </w:p>
    <w:p>
      <w:pPr>
        <w:numPr>
          <w:ilvl w:val="0"/>
          <w:numId w:val="1226"/>
        </w:numPr>
        <w:pStyle w:val="Compact"/>
      </w:pPr>
      <w:r>
        <w:rPr>
          <w:bCs/>
          <w:b/>
        </w:rPr>
        <w:t xml:space="preserve">Autorización EE. UU.:</w:t>
      </w:r>
      <w:r>
        <w:t xml:space="preserve"> </w:t>
      </w:r>
      <w:r>
        <w:t xml:space="preserve">no. En abril de 2026 se retiró de la «categoría 2» de la FDA; el comité asesor PCAC votó en julio de 2026, por 7 votos contra 5, a favor de su inclusión en la lista de sustancias admisibles para fórmulas magistrales (situación en octubre de 2026; compruebe la información actualizada).</w:t>
      </w:r>
    </w:p>
    <w:p>
      <w:pPr>
        <w:numPr>
          <w:ilvl w:val="0"/>
          <w:numId w:val="1226"/>
        </w:numPr>
        <w:pStyle w:val="Compact"/>
      </w:pPr>
      <w:r>
        <w:rPr>
          <w:bCs/>
          <w:b/>
        </w:rPr>
        <w:t xml:space="preserve">WADA:</w:t>
      </w:r>
      <w:r>
        <w:t xml:space="preserve"> </w:t>
      </w:r>
      <w:r>
        <w:rPr>
          <w:bCs/>
          <w:b/>
        </w:rPr>
        <w:t xml:space="preserve">prohibido</w:t>
      </w:r>
      <w:r>
        <w:t xml:space="preserve">: se menciona expresamente en la categoría S4 (moduladores hormonales y metabólicos) como ejemplo de activador de la AMPK, en competición y fuera de ella (situación en 2026; compruebe la información actualizada).</w:t>
      </w:r>
    </w:p>
    <w:p>
      <w:pPr>
        <w:numPr>
          <w:ilvl w:val="0"/>
          <w:numId w:val="1226"/>
        </w:numPr>
        <w:pStyle w:val="Compact"/>
      </w:pPr>
      <w:r>
        <w:rPr>
          <w:bCs/>
          <w:b/>
        </w:rPr>
        <w:t xml:space="preserve">Nivel de evidencia:</w:t>
      </w:r>
      <w:r>
        <w:t xml:space="preserve"> </w:t>
      </w:r>
      <w:r>
        <w:rPr>
          <w:bCs/>
          <w:b/>
        </w:rPr>
        <w:t xml:space="preserve">D</w:t>
      </w:r>
      <w:r>
        <w:t xml:space="preserve"> </w:t>
      </w:r>
      <w:r>
        <w:t xml:space="preserve">para su administración como principio activo: no hay resultados publicados de estudios controlados en humanos; en el ser humano solo existen estudios observacionales sobre los niveles propios del organismo.</w:t>
      </w:r>
    </w:p>
    <w:bookmarkEnd w:id="682"/>
    <w:bookmarkStart w:id="683" w:name="cómo-se-supone-que-actúa-41"/>
    <w:p>
      <w:pPr>
        <w:pStyle w:val="Heading3"/>
      </w:pPr>
      <w:r>
        <w:t xml:space="preserve">Cómo se supone que actúa</w:t>
      </w:r>
    </w:p>
    <w:p>
      <w:pPr>
        <w:pStyle w:val="FirstParagraph"/>
      </w:pPr>
      <w:r>
        <w:t xml:space="preserve">Las mitocondrias poseen un material genético propio y pequeño. Durante mucho tiempo se consideró el «plano» de solo 13 proteínas de la obtención de energía. Desde principios de la década de 2000 se han descubierto en él, además, segmentos de lectura cortos que codifican pequeños péptidos señalizadores: primero la humanina (véase el capítulo siguiente), luego MOTS-c.</w:t>
      </w:r>
    </w:p>
    <w:p>
      <w:pPr>
        <w:pStyle w:val="BodyText"/>
      </w:pPr>
      <w:r>
        <w:t xml:space="preserve">La primera descripción mostró en ratones que MOTS-c actúa sobre todo sobre el músculo esquelético: inhibe una vía metabólica (ciclo del folato y síntesis de novo de purinas), con lo que se acumula el mensajero AICAR y se activa la enzima AMPK, el mismo sensor energético sobre el que actúan también el ejercicio y el antidiabético metformina. Los ratones a los que se inyectó MOTS-c desarrollaron, con una dieta rica en grasas, menos sobrepeso y menos resistencia a la insulina (Lee 2015, PMID 25738459). Bajo estrés metabólico, MOTS-c migró en cultivos celulares al núcleo celular e influyó allí en los genes (Kim 2018, PMID 29983246).</w:t>
      </w:r>
    </w:p>
    <w:p>
      <w:pPr>
        <w:pStyle w:val="BodyText"/>
      </w:pPr>
      <w:r>
        <w:t xml:space="preserve">En un segundo gran trabajo, MOTS-c aumentó el rendimiento físico de ratones jóvenes, de mediana edad y viejos; un tratamiento iniciado solo a edad avanzada mejoró el rendimiento y la «esperanza de vida saludable». En el ser humano, los niveles de MOTS-c en el músculo y la sangre aumentaron tras el esfuerzo físico (Reynolds 2021, PMID 33473109).</w:t>
      </w:r>
    </w:p>
    <w:p>
      <w:pPr>
        <w:pStyle w:val="BodyText"/>
      </w:pPr>
      <w:r>
        <w:t xml:space="preserve">De ahí surgió la imagen de MOTS-c como «deporte en jeringa». Pero el orden es importante: que el ejercicio aumente MOTS-c no significa que las inyecciones de MOTS-c reproduzcan los efectos del ejercicio en el ser humano.</w:t>
      </w:r>
    </w:p>
    <w:bookmarkEnd w:id="683"/>
    <w:bookmarkStart w:id="686" w:name="estudios-en-humanos-41"/>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 5 publicaciones clasificadas como estudios en humanos; ninguna de ellas administró MOTS-c. En total, PubMed recoge unos 260 trabajos con «MOTS-c», en su mayoría experimentos con animales y células, así como estudios observacionales sobre los niveles sanguíneos propios del organismo. En ClinicalTrials.gov, la búsqueda dio 5 entradas. Cuatro de ellas solo miden niveles o tratan otras cuestiones. La quinta, un supuesto estudio de fase 2 con MOTS-c en la prediabetes, procede de un promotor bajo cuyo nombre figuran al parecer entradas ficticias de ejemplo en el registro. Por eso no la valoramos como estudio real y no la contamos; con ello, no está documentado ningún estudio registrado con el propio MOTS-c como principio activo. A ello se suma un estudio concluido con el derivado de MOTS-c CB4211 (NCT03998514).</w:t>
      </w:r>
    </w:p>
    <w:p>
      <w:pPr>
        <w:pStyle w:val="BodyText"/>
      </w:pPr>
      <w:r>
        <w:t xml:space="preserve">Para entender este capítulo es fundamental una distinción:</w:t>
      </w:r>
    </w:p>
    <w:p>
      <w:pPr>
        <w:numPr>
          <w:ilvl w:val="0"/>
          <w:numId w:val="1227"/>
        </w:numPr>
        <w:pStyle w:val="Compact"/>
      </w:pPr>
      <w:r>
        <w:rPr>
          <w:bCs/>
          <w:b/>
        </w:rPr>
        <w:t xml:space="preserve">Estudios observacionales sobre los niveles propios del organismo:</w:t>
      </w:r>
      <w:r>
        <w:t xml:space="preserve"> </w:t>
      </w:r>
      <w:r>
        <w:t xml:space="preserve">En ellos se mide cuánto MOTS-c tienen las personas en la sangre y se relaciona con enfermedades o conductas.</w:t>
      </w:r>
    </w:p>
    <w:p>
      <w:pPr>
        <w:numPr>
          <w:ilvl w:val="0"/>
          <w:numId w:val="1227"/>
        </w:numPr>
        <w:pStyle w:val="Compact"/>
      </w:pPr>
      <w:r>
        <w:rPr>
          <w:bCs/>
          <w:b/>
        </w:rPr>
        <w:t xml:space="preserve">Estudios en los que se administra MOTS-c (o un derivado) como principio activo:</w:t>
      </w:r>
      <w:r>
        <w:t xml:space="preserve"> </w:t>
      </w:r>
      <w:r>
        <w:t xml:space="preserve">Solo ellos pueden mostrar si un aporte tiene algún efecto.</w:t>
      </w:r>
    </w:p>
    <w:p>
      <w:pPr>
        <w:pStyle w:val="FirstParagraph"/>
      </w:pPr>
      <w:r>
        <w:t xml:space="preserve">En internet, los resultados del primer tipo se presentan a menudo como si demostraran el efecto del segundo tipo. Es un razonamiento precipitado.</w:t>
      </w:r>
    </w:p>
    <w:bookmarkStart w:id="684" w:name="X397286af4e02b4f64cc4b08bc3fa733a1d7bd6b"/>
    <w:p>
      <w:pPr>
        <w:pStyle w:val="Heading4"/>
      </w:pPr>
      <w:r>
        <w:t xml:space="preserve">1. Niveles propios del organismo: observaciones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Du 2018, PMID 29691953</w:t>
            </w:r>
          </w:p>
        </w:tc>
        <w:tc>
          <w:tcPr/>
          <w:p>
            <w:pPr>
              <w:pStyle w:val="Compact"/>
              <w:jc w:val="left"/>
            </w:pPr>
            <w:r>
              <w:t xml:space="preserve">40 niños y adolescentes con sobrepeso, 57 controles, estudio de casos y controles</w:t>
            </w:r>
          </w:p>
        </w:tc>
        <w:tc>
          <w:tcPr/>
          <w:p>
            <w:pPr>
              <w:pStyle w:val="Compact"/>
              <w:jc w:val="left"/>
            </w:pPr>
            <w:r>
              <w:t xml:space="preserve">transversal</w:t>
            </w:r>
          </w:p>
        </w:tc>
        <w:tc>
          <w:tcPr/>
          <w:p>
            <w:pPr>
              <w:pStyle w:val="Compact"/>
              <w:jc w:val="left"/>
            </w:pPr>
            <w:r>
              <w:t xml:space="preserve">niveles más bajos en niños varones con sobrepeso, no en niñas</w:t>
            </w:r>
          </w:p>
        </w:tc>
      </w:tr>
      <w:tr>
        <w:tc>
          <w:tcPr/>
          <w:p>
            <w:pPr>
              <w:pStyle w:val="Compact"/>
              <w:jc w:val="left"/>
            </w:pPr>
            <w:r>
              <w:t xml:space="preserve">Kirik 2023, PMID 37750635</w:t>
            </w:r>
          </w:p>
        </w:tc>
        <w:tc>
          <w:tcPr/>
          <w:p>
            <w:pPr>
              <w:pStyle w:val="Compact"/>
              <w:jc w:val="left"/>
            </w:pPr>
            <w:r>
              <w:t xml:space="preserve">150 personas con hígado graso, 84 personas sanas</w:t>
            </w:r>
          </w:p>
        </w:tc>
        <w:tc>
          <w:tcPr/>
          <w:p>
            <w:pPr>
              <w:pStyle w:val="Compact"/>
              <w:jc w:val="left"/>
            </w:pPr>
            <w:r>
              <w:t xml:space="preserve">transversal</w:t>
            </w:r>
          </w:p>
        </w:tc>
        <w:tc>
          <w:tcPr/>
          <w:p>
            <w:pPr>
              <w:pStyle w:val="Compact"/>
              <w:jc w:val="left"/>
            </w:pPr>
            <w:r>
              <w:t xml:space="preserve">niveles más bajos en el hígado graso y el síndrome metabólico</w:t>
            </w:r>
          </w:p>
        </w:tc>
      </w:tr>
      <w:tr>
        <w:tc>
          <w:tcPr/>
          <w:p>
            <w:pPr>
              <w:pStyle w:val="Compact"/>
              <w:jc w:val="left"/>
            </w:pPr>
            <w:r>
              <w:t xml:space="preserve">Ikonomidis 2020, PMID 32052315</w:t>
            </w:r>
          </w:p>
        </w:tc>
        <w:tc>
          <w:tcPr/>
          <w:p>
            <w:pPr>
              <w:pStyle w:val="Compact"/>
              <w:jc w:val="left"/>
            </w:pPr>
            <w:r>
              <w:t xml:space="preserve">121 personas con diabetes de tipo 2 tras una intervención vascular</w:t>
            </w:r>
          </w:p>
        </w:tc>
        <w:tc>
          <w:tcPr/>
          <w:p>
            <w:pPr>
              <w:pStyle w:val="Compact"/>
              <w:jc w:val="left"/>
            </w:pPr>
            <w:r>
              <w:t xml:space="preserve">2 años</w:t>
            </w:r>
          </w:p>
        </w:tc>
        <w:tc>
          <w:tcPr/>
          <w:p>
            <w:pPr>
              <w:pStyle w:val="Compact"/>
              <w:jc w:val="left"/>
            </w:pPr>
            <w:r>
              <w:t xml:space="preserve">un MOTS-c bajo (inferior a 167 ng/ml) predijo eventos cardiovasculares (riesgo relativo 3,8)</w:t>
            </w:r>
          </w:p>
        </w:tc>
      </w:tr>
      <w:tr>
        <w:tc>
          <w:tcPr/>
          <w:p>
            <w:pPr>
              <w:pStyle w:val="Compact"/>
              <w:jc w:val="left"/>
            </w:pPr>
            <w:r>
              <w:t xml:space="preserve">von Walden 2021, PMID 34351816</w:t>
            </w:r>
          </w:p>
        </w:tc>
        <w:tc>
          <w:tcPr/>
          <w:p>
            <w:pPr>
              <w:pStyle w:val="Compact"/>
              <w:jc w:val="left"/>
            </w:pPr>
            <w:r>
              <w:t xml:space="preserve">30 personas, entrenamiento de resistencia o de fuerza o control, aleatorizado</w:t>
            </w:r>
          </w:p>
        </w:tc>
        <w:tc>
          <w:tcPr/>
          <w:p>
            <w:pPr>
              <w:pStyle w:val="Compact"/>
              <w:jc w:val="left"/>
            </w:pPr>
            <w:r>
              <w:t xml:space="preserve">esfuerzo único</w:t>
            </w:r>
          </w:p>
        </w:tc>
        <w:tc>
          <w:tcPr/>
          <w:p>
            <w:pPr>
              <w:pStyle w:val="Compact"/>
              <w:jc w:val="left"/>
            </w:pPr>
            <w:r>
              <w:t xml:space="preserve">la humanina aumentó tras el esfuerzo de resistencia; MOTS-c solo mostró una tendencia</w:t>
            </w:r>
          </w:p>
        </w:tc>
      </w:tr>
      <w:tr>
        <w:tc>
          <w:tcPr/>
          <w:p>
            <w:pPr>
              <w:pStyle w:val="Compact"/>
              <w:jc w:val="left"/>
            </w:pPr>
            <w:r>
              <w:t xml:space="preserve">Dieli-Conwright 2021, PMID 34413391</w:t>
            </w:r>
          </w:p>
        </w:tc>
        <w:tc>
          <w:tcPr/>
          <w:p>
            <w:pPr>
              <w:pStyle w:val="Compact"/>
              <w:jc w:val="left"/>
            </w:pPr>
            <w:r>
              <w:t xml:space="preserve">49 mujeres tras un cáncer de mama, entrenamiento o atención estándar, aleatorizado</w:t>
            </w:r>
          </w:p>
        </w:tc>
        <w:tc>
          <w:tcPr/>
          <w:p>
            <w:pPr>
              <w:pStyle w:val="Compact"/>
              <w:jc w:val="left"/>
            </w:pPr>
            <w:r>
              <w:t xml:space="preserve">16 semanas</w:t>
            </w:r>
          </w:p>
        </w:tc>
        <w:tc>
          <w:tcPr/>
          <w:p>
            <w:pPr>
              <w:pStyle w:val="Compact"/>
              <w:jc w:val="left"/>
            </w:pPr>
            <w:r>
              <w:t xml:space="preserve">aumento de MOTS-c en mujeres blancas no hispanas, no en mujeres hispanas</w:t>
            </w:r>
          </w:p>
        </w:tc>
      </w:tr>
      <w:tr>
        <w:tc>
          <w:tcPr/>
          <w:p>
            <w:pPr>
              <w:pStyle w:val="Compact"/>
              <w:jc w:val="left"/>
            </w:pPr>
            <w:r>
              <w:t xml:space="preserve">Elhusseiny 2025, PMID 40674654</w:t>
            </w:r>
          </w:p>
        </w:tc>
        <w:tc>
          <w:tcPr/>
          <w:p>
            <w:pPr>
              <w:pStyle w:val="Compact"/>
              <w:jc w:val="left"/>
            </w:pPr>
            <w:r>
              <w:t xml:space="preserve">19 hombres activos con la pierna inmovilizada, tratamiento con calor o simulado</w:t>
            </w:r>
          </w:p>
        </w:tc>
        <w:tc>
          <w:tcPr/>
          <w:p>
            <w:pPr>
              <w:pStyle w:val="Compact"/>
              <w:jc w:val="left"/>
            </w:pPr>
            <w:r>
              <w:t xml:space="preserve">2 semanas</w:t>
            </w:r>
          </w:p>
        </w:tc>
        <w:tc>
          <w:tcPr/>
          <w:p>
            <w:pPr>
              <w:pStyle w:val="Compact"/>
              <w:jc w:val="left"/>
            </w:pPr>
            <w:r>
              <w:t xml:space="preserve">el calor aumentó MOTS-c en la sangre</w:t>
            </w:r>
          </w:p>
        </w:tc>
      </w:tr>
    </w:tbl>
    <w:p>
      <w:pPr>
        <w:pStyle w:val="BodyText"/>
      </w:pPr>
      <w:r>
        <w:t xml:space="preserve">Estos estudios muestran que los niveles bajos de MOTS-c suelen ir acompañados de sobrepeso, resistencia a la insulina, hígado graso o problemas vasculares (Du 2018, PMID 29691953; Kirik 2023, PMID 37750635; Qin 2018, PMID 29242099) y que el ejercicio o el calor pueden aumentar los niveles. Lo que</w:t>
      </w:r>
      <w:r>
        <w:t xml:space="preserve"> </w:t>
      </w:r>
      <w:r>
        <w:rPr>
          <w:bCs/>
          <w:b/>
        </w:rPr>
        <w:t xml:space="preserve">no</w:t>
      </w:r>
      <w:r>
        <w:t xml:space="preserve"> </w:t>
      </w:r>
      <w:r>
        <w:t xml:space="preserve">muestran: que los niveles bajos causen las enfermedades, ni que el MOTS-c aportado las prevenga. Puede ser igualmente al revés: la enfermedad reduce el nivel.</w:t>
      </w:r>
    </w:p>
    <w:p>
      <w:pPr>
        <w:pStyle w:val="BodyText"/>
      </w:pPr>
      <w:r>
        <w:t xml:space="preserve">Otra dificultad es la propia medición. Los estudios utilizan distintos métodos de análisis (ELISA), cuyos resultados difieren mucho: en niños, los valores medios rondaban los 470 a 560 ng/ml (Du 2018, PMID 29691953), mientras que en el estudio sobre diabetes se consideraba bajo un valor inferior a 167 ng/ml (Ikonomidis 2020, PMID 32052315). En un estudio con pacientes con cáncer de mama, ni siquiera la metformina –que actúa sobre el mismo sensor energético– modificó los niveles medidos con una prueba comercial (Cuyàs 2022, PMID 36490309).</w:t>
      </w:r>
    </w:p>
    <w:p>
      <w:pPr>
        <w:pStyle w:val="BodyText"/>
      </w:pPr>
      <w:r>
        <w:rPr>
          <w:bCs/>
          <w:b/>
        </w:rPr>
        <w:t xml:space="preserve">Indicios genéticos:</w:t>
      </w:r>
      <w:r>
        <w:t xml:space="preserve"> </w:t>
      </w:r>
      <w:r>
        <w:t xml:space="preserve">Una variante del material genético mitocondrial que solo se da en Asia modifica un componente de MOTS-c (K14Q). En tres cohortes con 27.527 personas en total, los hombres con esta variante tenían con más frecuencia diabetes de tipo 2, sobre todo si eran poco activos físicamente. En ratones, la forma modificada de MOTS-c actuó con menos fuerza (Zempo 2021, PMID 33468709). Es un indicio interesante de que MOTS-c podría desempeñar un papel en el metabolismo humano, pero no una prueba del beneficio de un aporte.</w:t>
      </w:r>
    </w:p>
    <w:bookmarkEnd w:id="684"/>
    <w:bookmarkStart w:id="685" w:name="X98fe2116c3de65e7bc05badbb9839176c017584"/>
    <w:p>
      <w:pPr>
        <w:pStyle w:val="Heading4"/>
      </w:pPr>
      <w:r>
        <w:t xml:space="preserve">2. Administración como principio activo: CB4211</w:t>
      </w:r>
    </w:p>
    <w:p>
      <w:pPr>
        <w:pStyle w:val="FirstParagraph"/>
      </w:pPr>
      <w:r>
        <w:rPr>
          <w:bCs/>
          <w:b/>
        </w:rPr>
        <w:t xml:space="preserve">CB4211</w:t>
      </w:r>
      <w:r>
        <w:t xml:space="preserve"> </w:t>
      </w:r>
      <w:r>
        <w:t xml:space="preserve">es un derivado de MOTS-c desarrollado por la empresa CohBar. El estudio de fase 1a/1b (NCT03998514) fue aleatorizado, doble ciego y controlado con placebo e incluyó a 88 participantes: las personas sanas recibieron inyecciones subcutáneas únicas o diarias durante siete días, y las personas con obesidad e hígado graso durante 28 días. Los criterios de valoración principales eran la seguridad y la tolerabilidad; los objetivos secundarios incluían, entre otros, la grasa hepática y el peso corporal. El estudio concluyó en abril de 2021. En el registro no hay resultados depositados, y en nuestra búsqueda no pudo encontrarse ninguna publicación en una revista especializada. La empresa comunicó en 2021 mediante nota de prensa cambios favorables en algunos valores hepáticos y de glucosa con buena tolerabilidad; estas comunicaciones no están revisadas de forma independiente. No se conoce un desarrollo posterior en estudios más amplios.</w:t>
      </w:r>
    </w:p>
    <w:p>
      <w:pPr>
        <w:pStyle w:val="BodyText"/>
      </w:pPr>
      <w:r>
        <w:rPr>
          <w:bCs/>
          <w:b/>
        </w:rPr>
        <w:t xml:space="preserve">El propio MOTS-c</w:t>
      </w:r>
      <w:r>
        <w:t xml:space="preserve">, según nuestra búsqueda, no se ha administrado hasta ahora como principio activo en ningún estudio en humanos publicado o registrado de forma fiable. Una entrada del registro que describe un estudio de fase 2 de este tipo resultó dudosa (véase más arriba).</w:t>
      </w:r>
    </w:p>
    <w:p>
      <w:pPr>
        <w:pStyle w:val="BodyText"/>
      </w:pPr>
      <w:r>
        <w:t xml:space="preserve">Hasta entonces se cumple lo siguiente:</w:t>
      </w:r>
      <w:r>
        <w:t xml:space="preserve"> </w:t>
      </w:r>
      <w:r>
        <w:rPr>
          <w:bCs/>
          <w:b/>
        </w:rPr>
        <w:t xml:space="preserve">no hay datos publicados</w:t>
      </w:r>
      <w:r>
        <w:t xml:space="preserve"> </w:t>
      </w:r>
      <w:r>
        <w:t xml:space="preserve">sobre si las inyecciones de MOTS-c influyen en el metabolismo, el rendimiento o el envejecimiento en el ser humano.</w:t>
      </w:r>
    </w:p>
    <w:bookmarkEnd w:id="685"/>
    <w:bookmarkEnd w:id="686"/>
    <w:bookmarkStart w:id="687" w:name="estudios-en-animales-y-de-laboratorio-41"/>
    <w:p>
      <w:pPr>
        <w:pStyle w:val="Heading3"/>
      </w:pPr>
      <w:r>
        <w:t xml:space="preserve">Estudios en animales y de laboratorio</w:t>
      </w:r>
    </w:p>
    <w:p>
      <w:pPr>
        <w:pStyle w:val="FirstParagraph"/>
      </w:pPr>
      <w:r>
        <w:t xml:space="preserve">La investigación preclínica es amplia y crece rápidamente:</w:t>
      </w:r>
    </w:p>
    <w:p>
      <w:pPr>
        <w:numPr>
          <w:ilvl w:val="0"/>
          <w:numId w:val="1228"/>
        </w:numPr>
        <w:pStyle w:val="Compact"/>
      </w:pPr>
      <w:r>
        <w:rPr>
          <w:bCs/>
          <w:b/>
        </w:rPr>
        <w:t xml:space="preserve">Metabolismo:</w:t>
      </w:r>
      <w:r>
        <w:t xml:space="preserve"> </w:t>
      </w:r>
      <w:r>
        <w:t xml:space="preserve">En ratones, MOTS-c impidió el sobrepeso y la resistencia a la insulina de origen alimentario (Lee 2015, PMID 25738459).</w:t>
      </w:r>
    </w:p>
    <w:p>
      <w:pPr>
        <w:numPr>
          <w:ilvl w:val="0"/>
          <w:numId w:val="1228"/>
        </w:numPr>
        <w:pStyle w:val="Compact"/>
      </w:pPr>
      <w:r>
        <w:rPr>
          <w:bCs/>
          <w:b/>
        </w:rPr>
        <w:t xml:space="preserve">Músculo:</w:t>
      </w:r>
      <w:r>
        <w:t xml:space="preserve"> </w:t>
      </w:r>
      <w:r>
        <w:t xml:space="preserve">MOTS-c redujo en ratones con sobrepeso el mensajero de la degradación muscular miostatina; en el ser humano, los niveles en sangre de MOTS-c y de miostatina fueron inversos (Kumagai 2021, PMID 33554779).</w:t>
      </w:r>
    </w:p>
    <w:p>
      <w:pPr>
        <w:numPr>
          <w:ilvl w:val="0"/>
          <w:numId w:val="1228"/>
        </w:numPr>
        <w:pStyle w:val="Compact"/>
      </w:pPr>
      <w:r>
        <w:rPr>
          <w:bCs/>
          <w:b/>
        </w:rPr>
        <w:t xml:space="preserve">Rendimiento y edad:</w:t>
      </w:r>
      <w:r>
        <w:t xml:space="preserve"> </w:t>
      </w:r>
      <w:r>
        <w:t xml:space="preserve">MOTS-c aumentó el rendimiento físico de ratones de distintas edades (Reynolds 2021, PMID 33473109).</w:t>
      </w:r>
    </w:p>
    <w:p>
      <w:pPr>
        <w:numPr>
          <w:ilvl w:val="0"/>
          <w:numId w:val="1228"/>
        </w:numPr>
        <w:pStyle w:val="Compact"/>
      </w:pPr>
      <w:r>
        <w:rPr>
          <w:bCs/>
          <w:b/>
        </w:rPr>
        <w:t xml:space="preserve">Páncreas:</w:t>
      </w:r>
      <w:r>
        <w:t xml:space="preserve"> </w:t>
      </w:r>
      <w:r>
        <w:t xml:space="preserve">En ratones, MOTS-c retrasó el envejecimiento de las células productoras de insulina y el inicio de una diabetes (Kong 2025, PMID 40855115).</w:t>
      </w:r>
    </w:p>
    <w:p>
      <w:pPr>
        <w:numPr>
          <w:ilvl w:val="0"/>
          <w:numId w:val="1228"/>
        </w:numPr>
        <w:pStyle w:val="Compact"/>
      </w:pPr>
      <w:r>
        <w:t xml:space="preserve">Numerosos trabajos adicionales, sobre todo de China, describen efectos protectores en modelos de daño pulmonar, cardiaco, hepático, óseo y renal.</w:t>
      </w:r>
    </w:p>
    <w:p>
      <w:pPr>
        <w:pStyle w:val="FirstParagraph"/>
      </w:pPr>
      <w:r>
        <w:t xml:space="preserve">La abundancia de estudios positivos en animales es llamativa. Muestra que MOTS-c es biológicamente activo; sobre su efecto y su seguridad en el ser humano dice poco.</w:t>
      </w:r>
    </w:p>
    <w:bookmarkEnd w:id="687"/>
    <w:bookmarkStart w:id="688" w:name="riesgos-y-efectos-adversos-41"/>
    <w:p>
      <w:pPr>
        <w:pStyle w:val="Heading3"/>
      </w:pPr>
      <w:r>
        <w:t xml:space="preserve">Riesgos y efectos adversos</w:t>
      </w:r>
    </w:p>
    <w:p>
      <w:pPr>
        <w:pStyle w:val="FirstParagraph"/>
      </w:pPr>
      <w:r>
        <w:rPr>
          <w:bCs/>
          <w:b/>
        </w:rPr>
        <w:t xml:space="preserve">Demostrado:</w:t>
      </w:r>
      <w:r>
        <w:t xml:space="preserve"> </w:t>
      </w:r>
      <w:r>
        <w:t xml:space="preserve">No hay datos de seguridad publicados sobre la administración de MOTS-c en humanos.</w:t>
      </w:r>
    </w:p>
    <w:p>
      <w:pPr>
        <w:pStyle w:val="BodyText"/>
      </w:pPr>
      <w:r>
        <w:rPr>
          <w:bCs/>
          <w:b/>
        </w:rPr>
        <w:t xml:space="preserve">Teórico:</w:t>
      </w:r>
    </w:p>
    <w:p>
      <w:pPr>
        <w:numPr>
          <w:ilvl w:val="0"/>
          <w:numId w:val="1229"/>
        </w:numPr>
        <w:pStyle w:val="Compact"/>
      </w:pPr>
      <w:r>
        <w:rPr>
          <w:bCs/>
          <w:b/>
        </w:rPr>
        <w:t xml:space="preserve">Glucosa:</w:t>
      </w:r>
      <w:r>
        <w:t xml:space="preserve"> </w:t>
      </w:r>
      <w:r>
        <w:t xml:space="preserve">Una sustancia que aumenta la sensibilidad a la insulina podría favorecer hipoglucemias junto con medicamentos antidiabéticos.</w:t>
      </w:r>
    </w:p>
    <w:p>
      <w:pPr>
        <w:numPr>
          <w:ilvl w:val="0"/>
          <w:numId w:val="1229"/>
        </w:numPr>
        <w:pStyle w:val="Compact"/>
      </w:pPr>
      <w:r>
        <w:rPr>
          <w:bCs/>
          <w:b/>
        </w:rPr>
        <w:t xml:space="preserve">Cáncer:</w:t>
      </w:r>
      <w:r>
        <w:t xml:space="preserve"> </w:t>
      </w:r>
      <w:r>
        <w:t xml:space="preserve">En estudios de laboratorio, MOTS-c más bien frenó células cancerosas: inhibió el crecimiento de células de cáncer de ovario (Yin 2024, PMID 39321430) e hizo que células de cáncer de hígado bajo falta de oxígeno fueran más sensibles a la muerte celular programada (Shen 2025, PMID 39581216). No se ha estudiado si esto se cumple en el ser humano ni cómo afecta el aporte durante años de una sustancia señalizadora metabólicamente activa.</w:t>
      </w:r>
    </w:p>
    <w:p>
      <w:pPr>
        <w:numPr>
          <w:ilvl w:val="0"/>
          <w:numId w:val="1229"/>
        </w:numPr>
        <w:pStyle w:val="Compact"/>
      </w:pPr>
      <w:r>
        <w:rPr>
          <w:bCs/>
          <w:b/>
        </w:rPr>
        <w:t xml:space="preserve">Reacciones inmunitarias:</w:t>
      </w:r>
      <w:r>
        <w:t xml:space="preserve"> </w:t>
      </w:r>
      <w:r>
        <w:t xml:space="preserve">Con inyecciones repetidas de un péptido pueden formarse anticuerpos; esto no se ha estudiado para MOTS-c.</w:t>
      </w:r>
    </w:p>
    <w:p>
      <w:pPr>
        <w:pStyle w:val="FirstParagraph"/>
      </w:pPr>
      <w:r>
        <w:rPr>
          <w:bCs/>
          <w:b/>
        </w:rPr>
        <w:t xml:space="preserve">Mercado gris y deporte:</w:t>
      </w:r>
      <w:r>
        <w:t xml:space="preserve"> </w:t>
      </w:r>
      <w:r>
        <w:t xml:space="preserve">MOTS-c es uno de los péptidos de «longevidad» y fitness más populares en internet y se vende en polvo para inyección. La pureza y el contenido no están comprobados. Para deportistas, su uso está expresamente prohibido (WADA S4).</w:t>
      </w:r>
    </w:p>
    <w:bookmarkEnd w:id="688"/>
    <w:bookmarkStart w:id="689" w:name="situación-legal-41"/>
    <w:p>
      <w:pPr>
        <w:pStyle w:val="Heading3"/>
      </w:pPr>
      <w:r>
        <w:t xml:space="preserve">Situación legal</w:t>
      </w:r>
    </w:p>
    <w:p>
      <w:pPr>
        <w:numPr>
          <w:ilvl w:val="0"/>
          <w:numId w:val="1230"/>
        </w:numPr>
        <w:pStyle w:val="Compact"/>
      </w:pPr>
      <w:r>
        <w:rPr>
          <w:bCs/>
          <w:b/>
        </w:rPr>
        <w:t xml:space="preserve">UE / Austria / Alemania:</w:t>
      </w:r>
      <w:r>
        <w:t xml:space="preserve"> </w:t>
      </w:r>
      <w:r>
        <w:t xml:space="preserve">no autorizado; como sustancia con efecto farmacológico, MOTS-c se considera medicamento, y su venta para uso en humanos no está permitida (situación en 2026; compruebe la información actualizada).</w:t>
      </w:r>
    </w:p>
    <w:p>
      <w:pPr>
        <w:numPr>
          <w:ilvl w:val="0"/>
          <w:numId w:val="1230"/>
        </w:numPr>
        <w:pStyle w:val="Compact"/>
      </w:pPr>
      <w:r>
        <w:rPr>
          <w:bCs/>
          <w:b/>
        </w:rPr>
        <w:t xml:space="preserve">EE. UU.:</w:t>
      </w:r>
      <w:r>
        <w:t xml:space="preserve"> </w:t>
      </w:r>
      <w:r>
        <w:t xml:space="preserve">no autorizado. Tras el voto positivo del PCAC de julio de 2026, MOTS-c podría utilizarse en el futuro en fórmulas magistrales de farmacia si la FDA sigue esa recomendación; la decisión estaba pendiente al cierre de la redacción (situación en octubre de 2026; compruebe la información actualizada).</w:t>
      </w:r>
    </w:p>
    <w:p>
      <w:pPr>
        <w:numPr>
          <w:ilvl w:val="0"/>
          <w:numId w:val="1230"/>
        </w:numPr>
        <w:pStyle w:val="Compact"/>
      </w:pPr>
      <w:r>
        <w:rPr>
          <w:bCs/>
          <w:b/>
        </w:rPr>
        <w:t xml:space="preserve">Deporte:</w:t>
      </w:r>
      <w:r>
        <w:t xml:space="preserve"> </w:t>
      </w:r>
      <w:r>
        <w:t xml:space="preserve">prohibido según la lista de la WADA, categoría S4 (situación en 2026; compruebe la información actualizada).</w:t>
      </w:r>
    </w:p>
    <w:bookmarkEnd w:id="689"/>
    <w:bookmarkStart w:id="690" w:name="estudios-en-curso-y-perspectivas-41"/>
    <w:p>
      <w:pPr>
        <w:pStyle w:val="Heading3"/>
      </w:pPr>
      <w:r>
        <w:t xml:space="preserve">Estudios en curso y perspectivas</w:t>
      </w:r>
    </w:p>
    <w:p>
      <w:pPr>
        <w:pStyle w:val="FirstParagraph"/>
      </w:pPr>
      <w:r>
        <w:rPr>
          <w:bCs/>
          <w:b/>
        </w:rPr>
        <w:t xml:space="preserve">Confirmado (estudios registrados, situación en octubre de 2026):</w:t>
      </w:r>
    </w:p>
    <w:p>
      <w:pPr>
        <w:numPr>
          <w:ilvl w:val="0"/>
          <w:numId w:val="1231"/>
        </w:numPr>
        <w:pStyle w:val="Compact"/>
      </w:pPr>
      <w:r>
        <w:t xml:space="preserve">No existe ningún estudio registrado de forma fiable en el que se administre MOTS-c como principio activo.</w:t>
      </w:r>
    </w:p>
    <w:p>
      <w:pPr>
        <w:numPr>
          <w:ilvl w:val="0"/>
          <w:numId w:val="1231"/>
        </w:numPr>
        <w:pStyle w:val="Compact"/>
      </w:pPr>
      <w:r>
        <w:t xml:space="preserve">Varios estudios observacionales miden los niveles de MOTS-c, por ejemplo en el trasplante renal (NCT07678073) o en la diabetes con distintos medicamentos (NCT03878706).</w:t>
      </w:r>
    </w:p>
    <w:p>
      <w:pPr>
        <w:pStyle w:val="FirstParagraph"/>
      </w:pPr>
      <w:r>
        <w:rPr>
          <w:bCs/>
          <w:b/>
        </w:rPr>
        <w:t xml:space="preserve">Valoración:</w:t>
      </w:r>
      <w:r>
        <w:t xml:space="preserve"> </w:t>
      </w:r>
      <w:r>
        <w:t xml:space="preserve">La pregunta central –¿mejora el MOTS-c aportado la sensibilidad a la insulina en el ser humano?– no ha sido examinada hasta ahora por nadie en un estudio publicado. Para ello haría falta, en primer lugar, un estudio controlado de fase 1/2 con resultados publicados. Hasta entonces, cualquier afirmación sobre un efecto en el ser humano se basa en experimentos con animales y en mediciones de niveles.</w:t>
      </w:r>
    </w:p>
    <w:bookmarkEnd w:id="690"/>
    <w:bookmarkStart w:id="691" w:name="conclusión-41"/>
    <w:p>
      <w:pPr>
        <w:pStyle w:val="Heading3"/>
      </w:pPr>
      <w:r>
        <w:t xml:space="preserve">Conclusión</w:t>
      </w:r>
    </w:p>
    <w:p>
      <w:pPr>
        <w:pStyle w:val="FirstParagraph"/>
      </w:pPr>
      <w:r>
        <w:t xml:space="preserve">MOTS-c es un péptido propio del organismo, codificado en el material genético mitocondrial, que en ratones mejoró el metabolismo y el rendimiento y que en el ser humano aumenta tras el ejercicio. Los estudios observacionales muestran niveles más bajos en el sobrepeso, el hígado graso y las enfermedades vasculares, pero no demuestran ni una causa ni un beneficio de su aporte. El único estudio concluido con un derivado de MOTS-c (CB4211) no se ha publicado en una revista especializada, y con el propio MOTS-c no existe ningún estudio publicado en humanos. Los datos no bastan para valorar el beneficio ni la seguridad en el ser humano; en el deporte, MOTS-c está prohibido.</w:t>
      </w:r>
    </w:p>
    <w:bookmarkEnd w:id="691"/>
    <w:bookmarkEnd w:id="692"/>
    <w:bookmarkStart w:id="703" w:name="humanina"/>
    <w:p>
      <w:pPr>
        <w:pStyle w:val="Heading2"/>
      </w:pPr>
      <w:r>
        <w:t xml:space="preserve">Humanina</w:t>
      </w:r>
    </w:p>
    <w:bookmarkStart w:id="693" w:name="ficha-42"/>
    <w:p>
      <w:pPr>
        <w:pStyle w:val="Heading3"/>
      </w:pPr>
      <w:r>
        <w:t xml:space="preserve">Ficha</w:t>
      </w:r>
    </w:p>
    <w:p>
      <w:pPr>
        <w:numPr>
          <w:ilvl w:val="0"/>
          <w:numId w:val="1232"/>
        </w:numPr>
        <w:pStyle w:val="Compact"/>
      </w:pPr>
      <w:r>
        <w:rPr>
          <w:bCs/>
          <w:b/>
        </w:rPr>
        <w:t xml:space="preserve">Tipo y estructura:</w:t>
      </w:r>
      <w:r>
        <w:t xml:space="preserve"> </w:t>
      </w:r>
      <w:r>
        <w:t xml:space="preserve">péptido propio del organismo de 24 aminoácidos. En el mercado gris y en la investigación se utiliza sobre todo la forma modificada</w:t>
      </w:r>
      <w:r>
        <w:t xml:space="preserve"> </w:t>
      </w:r>
      <w:r>
        <w:rPr>
          <w:bCs/>
          <w:b/>
        </w:rPr>
        <w:t xml:space="preserve">HNG</w:t>
      </w:r>
      <w:r>
        <w:t xml:space="preserve"> </w:t>
      </w:r>
      <w:r>
        <w:t xml:space="preserve">(humanina-G, también S14G-humanina), en la que la serina de la posición 14 se ha sustituido por glicina; en experimentos de laboratorio actúa con mucha más fuerza.</w:t>
      </w:r>
    </w:p>
    <w:p>
      <w:pPr>
        <w:numPr>
          <w:ilvl w:val="0"/>
          <w:numId w:val="1232"/>
        </w:numPr>
        <w:pStyle w:val="Compact"/>
      </w:pPr>
      <w:r>
        <w:rPr>
          <w:bCs/>
          <w:b/>
        </w:rPr>
        <w:t xml:space="preserve">Origen:</w:t>
      </w:r>
      <w:r>
        <w:t xml:space="preserve"> </w:t>
      </w:r>
      <w:r>
        <w:t xml:space="preserve">descubierta en 2001 por investigadores japoneses cuando buscaban, en tejido cerebral de una persona con enfermedad de Alzheimer, factores que protegieran a las neuronas de la muerte; de ahí su nombre. Está codificada en el material genético de las mitocondrias; también existen segmentos similares en el material genético del núcleo celular.</w:t>
      </w:r>
    </w:p>
    <w:p>
      <w:pPr>
        <w:numPr>
          <w:ilvl w:val="0"/>
          <w:numId w:val="1232"/>
        </w:numPr>
        <w:pStyle w:val="Compact"/>
      </w:pPr>
      <w:r>
        <w:rPr>
          <w:bCs/>
          <w:b/>
        </w:rPr>
        <w:t xml:space="preserve">Mecanismo de acción:</w:t>
      </w:r>
      <w:r>
        <w:t xml:space="preserve"> </w:t>
      </w:r>
      <w:r>
        <w:t xml:space="preserve">«mitocina» (sustancia señalizadora de las mitocondrias) que debería proteger a las células de la muerte celular programada. Se une, entre otros, a un complejo receptor formado por el receptor de CNTF, WSX-1 y gp130 en la superficie celular.</w:t>
      </w:r>
    </w:p>
    <w:p>
      <w:pPr>
        <w:numPr>
          <w:ilvl w:val="0"/>
          <w:numId w:val="1232"/>
        </w:numPr>
        <w:pStyle w:val="Compact"/>
      </w:pPr>
      <w:r>
        <w:rPr>
          <w:bCs/>
          <w:b/>
        </w:rPr>
        <w:t xml:space="preserve">Autorización UE:</w:t>
      </w:r>
      <w:r>
        <w:t xml:space="preserve"> </w:t>
      </w:r>
      <w:r>
        <w:t xml:space="preserve">no.</w:t>
      </w:r>
    </w:p>
    <w:p>
      <w:pPr>
        <w:numPr>
          <w:ilvl w:val="0"/>
          <w:numId w:val="1232"/>
        </w:numPr>
        <w:pStyle w:val="Compact"/>
      </w:pPr>
      <w:r>
        <w:rPr>
          <w:bCs/>
          <w:b/>
        </w:rPr>
        <w:t xml:space="preserve">Autorización EE. UU.:</w:t>
      </w:r>
      <w:r>
        <w:t xml:space="preserve"> </w:t>
      </w:r>
      <w:r>
        <w:t xml:space="preserve">no.</w:t>
      </w:r>
    </w:p>
    <w:p>
      <w:pPr>
        <w:numPr>
          <w:ilvl w:val="0"/>
          <w:numId w:val="1232"/>
        </w:numPr>
        <w:pStyle w:val="Compact"/>
      </w:pPr>
      <w:r>
        <w:rPr>
          <w:bCs/>
          <w:b/>
        </w:rPr>
        <w:t xml:space="preserve">WADA:</w:t>
      </w:r>
      <w:r>
        <w:t xml:space="preserve"> </w:t>
      </w:r>
      <w:r>
        <w:t xml:space="preserve">no figura nominalmente; como sustancia no autorizada en ningún lugar, la humanina o la HNG entran, según nuestra valoración, en la categoría general S0 (situación en 2026; compruebe la información actualizada).</w:t>
      </w:r>
    </w:p>
    <w:p>
      <w:pPr>
        <w:numPr>
          <w:ilvl w:val="0"/>
          <w:numId w:val="1232"/>
        </w:numPr>
        <w:pStyle w:val="Compact"/>
      </w:pPr>
      <w:r>
        <w:rPr>
          <w:bCs/>
          <w:b/>
        </w:rPr>
        <w:t xml:space="preserve">Nivel de evidencia:</w:t>
      </w:r>
      <w:r>
        <w:t xml:space="preserve"> </w:t>
      </w:r>
      <w:r>
        <w:rPr>
          <w:bCs/>
          <w:b/>
        </w:rPr>
        <w:t xml:space="preserve">D</w:t>
      </w:r>
      <w:r>
        <w:t xml:space="preserve"> </w:t>
      </w:r>
      <w:r>
        <w:t xml:space="preserve">para su administración como principio activo: ni un solo estudio en el que personas recibieran humanina o HNG; en el ser humano solo hay mediciones de los niveles propios del organismo.</w:t>
      </w:r>
    </w:p>
    <w:bookmarkEnd w:id="693"/>
    <w:bookmarkStart w:id="694" w:name="cómo-se-supone-que-actúa-42"/>
    <w:p>
      <w:pPr>
        <w:pStyle w:val="Heading3"/>
      </w:pPr>
      <w:r>
        <w:t xml:space="preserve">Cómo se supone que actúa</w:t>
      </w:r>
    </w:p>
    <w:p>
      <w:pPr>
        <w:pStyle w:val="FirstParagraph"/>
      </w:pPr>
      <w:r>
        <w:t xml:space="preserve">En 2001, los descubridores buscaron en una genoteca de tejido cerebral segmentos que protegieran a las neuronas de los efectos tóxicos de los genes del alzhéimer. Encontraron un péptido corto que, en cultivos celulares, preservó a las neuronas de numerosas lesiones típicas del alzhéimer –frente al beta-amiloide y frente al efecto de varias mutaciones hereditarias del alzhéimer–, pero no frente a otras sustancias tóxicas como el glutamato o fragmentos de priones (Hashimoto 2001, PMID 11717357). La variante HNG fue en ese contexto más eficaz que otros factores protectores probados.</w:t>
      </w:r>
    </w:p>
    <w:p>
      <w:pPr>
        <w:pStyle w:val="BodyText"/>
      </w:pPr>
      <w:r>
        <w:t xml:space="preserve">Más tarde, el mismo grupo mostró que la humanina se une a un complejo receptor perteneciente a la familia de los receptores de citocinas (receptor de CNTF, WSX-1 y gp130) y actúa a través de la molécula señalizadora STAT3 (Hashimoto 2009, PMID 19386761). Además, estudios de laboratorio describen uniones a proteínas que regulan la muerte celular y al compañero de unión de factores de crecimiento IGFBP-3.</w:t>
      </w:r>
    </w:p>
    <w:p>
      <w:pPr>
        <w:pStyle w:val="BodyText"/>
      </w:pPr>
      <w:r>
        <w:t xml:space="preserve">Una particularidad: la humanina, como MOTS-c (véase el capítulo anterior), está codificada en el material genético de las mitocondrias. Estos «péptidos mitocondriales» se consideran un nuevo nivel de señalización a través del cual las mitocondrias se comunican con el resto del organismo (Miller 2022, PMID 35499074).</w:t>
      </w:r>
    </w:p>
    <w:bookmarkEnd w:id="694"/>
    <w:bookmarkStart w:id="697" w:name="estudios-en-humanos-42"/>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 8 publicaciones clasificadas como estudios en humanos; en ninguna de ellas se administró humanina. Examinan cómo cambian los niveles propios del organismo con el entrenamiento, la oxigenoterapia o los complementos alimenticios, o se refieren a células de pacientes en el laboratorio. En total, PubMed recoge unos 550 trabajos sobre la humanina. En ClinicalTrials.gov hay registrados 3 estudios, todos ellos estudios observacionales sobre los niveles de humanina (en operaciones cardiacas, insuficiencia renal aguda y trasplante renal).</w:t>
      </w:r>
    </w:p>
    <w:bookmarkStart w:id="695" w:name="niveles-y-edad"/>
    <w:p>
      <w:pPr>
        <w:pStyle w:val="Heading4"/>
      </w:pPr>
      <w:r>
        <w:t xml:space="preserve">Niveles y edad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Lee 2014, PMID 25040290</w:t>
            </w:r>
          </w:p>
        </w:tc>
        <w:tc>
          <w:tcPr/>
          <w:p>
            <w:pPr>
              <w:pStyle w:val="Compact"/>
              <w:jc w:val="left"/>
            </w:pPr>
            <w:r>
              <w:t xml:space="preserve">ratones y personas, observación y administración de hormonas</w:t>
            </w:r>
          </w:p>
        </w:tc>
        <w:tc>
          <w:tcPr/>
          <w:p>
            <w:pPr>
              <w:pStyle w:val="Compact"/>
              <w:jc w:val="left"/>
            </w:pPr>
            <w:r>
              <w:t xml:space="preserve">–</w:t>
            </w:r>
          </w:p>
        </w:tc>
        <w:tc>
          <w:tcPr/>
          <w:p>
            <w:pPr>
              <w:pStyle w:val="Compact"/>
              <w:jc w:val="left"/>
            </w:pPr>
            <w:r>
              <w:t xml:space="preserve">los niveles de humanina disminuyen con la edad; la hormona del crecimiento y el IGF-1 los redujeron en ratones y personas</w:t>
            </w:r>
          </w:p>
        </w:tc>
      </w:tr>
      <w:tr>
        <w:tc>
          <w:tcPr/>
          <w:p>
            <w:pPr>
              <w:pStyle w:val="Compact"/>
              <w:jc w:val="left"/>
            </w:pPr>
            <w:r>
              <w:t xml:space="preserve">Yen 2020, PMID 32575074</w:t>
            </w:r>
          </w:p>
        </w:tc>
        <w:tc>
          <w:tcPr/>
          <w:p>
            <w:pPr>
              <w:pStyle w:val="Compact"/>
              <w:jc w:val="left"/>
            </w:pPr>
            <w:r>
              <w:t xml:space="preserve">hijos de centenarios y personas de comparación; modelos animales</w:t>
            </w:r>
          </w:p>
        </w:tc>
        <w:tc>
          <w:tcPr/>
          <w:p>
            <w:pPr>
              <w:pStyle w:val="Compact"/>
              <w:jc w:val="left"/>
            </w:pPr>
            <w:r>
              <w:t xml:space="preserve">transversal</w:t>
            </w:r>
          </w:p>
        </w:tc>
        <w:tc>
          <w:tcPr/>
          <w:p>
            <w:pPr>
              <w:pStyle w:val="Compact"/>
              <w:jc w:val="left"/>
            </w:pPr>
            <w:r>
              <w:t xml:space="preserve">niveles claramente más altos en hijos de centenarios; más bajos en el alzhéimer y el MELAS</w:t>
            </w:r>
          </w:p>
        </w:tc>
      </w:tr>
      <w:tr>
        <w:tc>
          <w:tcPr/>
          <w:p>
            <w:pPr>
              <w:pStyle w:val="Compact"/>
              <w:jc w:val="left"/>
            </w:pPr>
            <w:r>
              <w:t xml:space="preserve">Miller 2024, PMID 38520065</w:t>
            </w:r>
          </w:p>
        </w:tc>
        <w:tc>
          <w:tcPr/>
          <w:p>
            <w:pPr>
              <w:pStyle w:val="Compact"/>
              <w:jc w:val="left"/>
            </w:pPr>
            <w:r>
              <w:t xml:space="preserve">centenarios portadores del gen de riesgo de alzhéimer APOE4; modelo murino</w:t>
            </w:r>
          </w:p>
        </w:tc>
        <w:tc>
          <w:tcPr/>
          <w:p>
            <w:pPr>
              <w:pStyle w:val="Compact"/>
              <w:jc w:val="left"/>
            </w:pPr>
            <w:r>
              <w:t xml:space="preserve">análisis genético</w:t>
            </w:r>
          </w:p>
        </w:tc>
        <w:tc>
          <w:tcPr/>
          <w:p>
            <w:pPr>
              <w:pStyle w:val="Compact"/>
              <w:jc w:val="left"/>
            </w:pPr>
            <w:r>
              <w:t xml:space="preserve">variante poco frecuente de humanina P3S acumulada en portadores longevos de APOE4</w:t>
            </w:r>
          </w:p>
        </w:tc>
      </w:tr>
      <w:tr>
        <w:tc>
          <w:tcPr/>
          <w:p>
            <w:pPr>
              <w:pStyle w:val="Compact"/>
              <w:jc w:val="left"/>
            </w:pPr>
            <w:r>
              <w:t xml:space="preserve">Gidlund 2016, PMID 27923980</w:t>
            </w:r>
          </w:p>
        </w:tc>
        <w:tc>
          <w:tcPr/>
          <w:p>
            <w:pPr>
              <w:pStyle w:val="Compact"/>
              <w:jc w:val="left"/>
            </w:pPr>
            <w:r>
              <w:t xml:space="preserve">55 hombres con alteración del metabolismo de la glucosa, entrenamiento de fuerza, marcha nórdica o control, aleatorizado</w:t>
            </w:r>
          </w:p>
        </w:tc>
        <w:tc>
          <w:tcPr/>
          <w:p>
            <w:pPr>
              <w:pStyle w:val="Compact"/>
              <w:jc w:val="left"/>
            </w:pPr>
            <w:r>
              <w:t xml:space="preserve">12 semanas</w:t>
            </w:r>
          </w:p>
        </w:tc>
        <w:tc>
          <w:tcPr/>
          <w:p>
            <w:pPr>
              <w:pStyle w:val="Compact"/>
              <w:jc w:val="left"/>
            </w:pPr>
            <w:r>
              <w:t xml:space="preserve">humanina en el músculo un 35 % más alta tras el entrenamiento de fuerza, sin cambios en la sangre</w:t>
            </w:r>
          </w:p>
        </w:tc>
      </w:tr>
      <w:tr>
        <w:tc>
          <w:tcPr/>
          <w:p>
            <w:pPr>
              <w:pStyle w:val="Compact"/>
              <w:jc w:val="left"/>
            </w:pPr>
            <w:r>
              <w:t xml:space="preserve">von Walden 2021, PMID 34351816</w:t>
            </w:r>
          </w:p>
        </w:tc>
        <w:tc>
          <w:tcPr/>
          <w:p>
            <w:pPr>
              <w:pStyle w:val="Compact"/>
              <w:jc w:val="left"/>
            </w:pPr>
            <w:r>
              <w:t xml:space="preserve">30 personas, una sesión de resistencia o de fuerza o control, aleatorizado</w:t>
            </w:r>
          </w:p>
        </w:tc>
        <w:tc>
          <w:tcPr/>
          <w:p>
            <w:pPr>
              <w:pStyle w:val="Compact"/>
              <w:jc w:val="left"/>
            </w:pPr>
            <w:r>
              <w:t xml:space="preserve">única</w:t>
            </w:r>
          </w:p>
        </w:tc>
        <w:tc>
          <w:tcPr/>
          <w:p>
            <w:pPr>
              <w:pStyle w:val="Compact"/>
              <w:jc w:val="left"/>
            </w:pPr>
            <w:r>
              <w:t xml:space="preserve">humanina en sangre elevada tras el esfuerzo de resistencia</w:t>
            </w:r>
          </w:p>
        </w:tc>
      </w:tr>
      <w:tr>
        <w:tc>
          <w:tcPr/>
          <w:p>
            <w:pPr>
              <w:pStyle w:val="Compact"/>
              <w:jc w:val="left"/>
            </w:pPr>
            <w:r>
              <w:t xml:space="preserve">Xu 2019, PMID 31134827</w:t>
            </w:r>
          </w:p>
        </w:tc>
        <w:tc>
          <w:tcPr/>
          <w:p>
            <w:pPr>
              <w:pStyle w:val="Compact"/>
              <w:jc w:val="left"/>
            </w:pPr>
            <w:r>
              <w:t xml:space="preserve">158 personas con demencia vascular, oxigenoterapia hiperbárica o estándar</w:t>
            </w:r>
          </w:p>
        </w:tc>
        <w:tc>
          <w:tcPr/>
          <w:p>
            <w:pPr>
              <w:pStyle w:val="Compact"/>
              <w:jc w:val="left"/>
            </w:pPr>
            <w:r>
              <w:t xml:space="preserve">12 semanas</w:t>
            </w:r>
          </w:p>
        </w:tc>
        <w:tc>
          <w:tcPr/>
          <w:p>
            <w:pPr>
              <w:pStyle w:val="Compact"/>
              <w:jc w:val="left"/>
            </w:pPr>
            <w:r>
              <w:t xml:space="preserve">niveles de humanina y valores del MMSE más altos con la terapia hiperbárica</w:t>
            </w:r>
          </w:p>
        </w:tc>
      </w:tr>
    </w:tbl>
    <w:p>
      <w:pPr>
        <w:pStyle w:val="BodyText"/>
      </w:pPr>
      <w:r>
        <w:t xml:space="preserve">Las observaciones forman un cuadro coherente: los niveles de humanina disminuyen con la edad, son más altos en los hijos de personas muy longevas, más bajos en algunas enfermedades y aumentan con el ejercicio. Es interesante la relación con el sistema de la hormona del crecimiento: la hormona del crecimiento y el IGF-1 redujeron los niveles de humanina en ratones y en personas, y los ratones longevos con déficit de hormona del crecimiento tenían niveles elevados (Lee 2014, PMID 25040290). Esto es llamativo, porque en el mismo mercado gris se ofrecen a menudo liberadores de hormona del crecimiento (véase la Parte II · C).</w:t>
      </w:r>
    </w:p>
    <w:p>
      <w:pPr>
        <w:pStyle w:val="BodyText"/>
      </w:pPr>
      <w:r>
        <w:t xml:space="preserve">Pero también aquí se cumple: un nivel que va unido a la salud no demuestra que un aporte haga más sano. La humanina puede ser igualmente un signo acompañante de unas mitocondrias sanas sin ser ella misma la causa.</w:t>
      </w:r>
    </w:p>
    <w:bookmarkEnd w:id="695"/>
    <w:bookmarkStart w:id="696" w:name="administración-como-principio-activo"/>
    <w:p>
      <w:pPr>
        <w:pStyle w:val="Heading4"/>
      </w:pPr>
      <w:r>
        <w:t xml:space="preserve">Administración como principio activo</w:t>
      </w:r>
    </w:p>
    <w:p>
      <w:pPr>
        <w:pStyle w:val="FirstParagraph"/>
      </w:pPr>
      <w:r>
        <w:t xml:space="preserve">No existe ningún estudio publicado ni ninguna entrada de registro en los que personas hayan recibido humanina o HNG (consulta de octubre de 2026). Tampoco se encontraron informes de casos sobre efectos adversos tras la autoadministración.</w:t>
      </w:r>
    </w:p>
    <w:bookmarkEnd w:id="696"/>
    <w:bookmarkEnd w:id="697"/>
    <w:bookmarkStart w:id="698" w:name="estudios-en-animales-y-de-laboratorio-42"/>
    <w:p>
      <w:pPr>
        <w:pStyle w:val="Heading3"/>
      </w:pPr>
      <w:r>
        <w:t xml:space="preserve">Estudios en animales y de laboratorio</w:t>
      </w:r>
    </w:p>
    <w:p>
      <w:pPr>
        <w:pStyle w:val="FirstParagraph"/>
      </w:pPr>
      <w:r>
        <w:t xml:space="preserve">La literatura preclínica es amplia:</w:t>
      </w:r>
    </w:p>
    <w:p>
      <w:pPr>
        <w:numPr>
          <w:ilvl w:val="0"/>
          <w:numId w:val="1233"/>
        </w:numPr>
        <w:pStyle w:val="Compact"/>
      </w:pPr>
      <w:r>
        <w:rPr>
          <w:bCs/>
          <w:b/>
        </w:rPr>
        <w:t xml:space="preserve">Esperanza de vida:</w:t>
      </w:r>
      <w:r>
        <w:t xml:space="preserve"> </w:t>
      </w:r>
      <w:r>
        <w:t xml:space="preserve">En nematodos, una mayor producción de humanina prolongó la esperanza de vida; en ratones de mediana edad, la HNG mejoró los valores metabólicos y redujo los marcadores de inflamación (Yen 2020, PMID 32575074).</w:t>
      </w:r>
    </w:p>
    <w:p>
      <w:pPr>
        <w:numPr>
          <w:ilvl w:val="0"/>
          <w:numId w:val="1233"/>
        </w:numPr>
        <w:pStyle w:val="Compact"/>
      </w:pPr>
      <w:r>
        <w:rPr>
          <w:bCs/>
          <w:b/>
        </w:rPr>
        <w:t xml:space="preserve">Corazón:</w:t>
      </w:r>
      <w:r>
        <w:t xml:space="preserve"> </w:t>
      </w:r>
      <w:r>
        <w:t xml:space="preserve">En ratones, la HNG redujo el tamaño del infarto tras un infarto provocado artificialmente (Muzumdar 2010, PMID 20651283); un tratamiento de 14 meses en ratones viejos redujo la cicatrización del músculo cardiaco asociada a la edad (Qin 2018, PMID 30004252).</w:t>
      </w:r>
    </w:p>
    <w:p>
      <w:pPr>
        <w:numPr>
          <w:ilvl w:val="0"/>
          <w:numId w:val="1233"/>
        </w:numPr>
        <w:pStyle w:val="Compact"/>
      </w:pPr>
      <w:r>
        <w:rPr>
          <w:bCs/>
          <w:b/>
        </w:rPr>
        <w:t xml:space="preserve">Modelos de alzhéimer:</w:t>
      </w:r>
      <w:r>
        <w:t xml:space="preserve"> </w:t>
      </w:r>
      <w:r>
        <w:t xml:space="preserve">La variante poco frecuente P3S redujo en ratones con APOE4 los depósitos de amiloide más que la humanina normal (Miller 2024, PMID 38520065).</w:t>
      </w:r>
    </w:p>
    <w:p>
      <w:pPr>
        <w:numPr>
          <w:ilvl w:val="0"/>
          <w:numId w:val="1233"/>
        </w:numPr>
        <w:pStyle w:val="Compact"/>
      </w:pPr>
      <w:r>
        <w:rPr>
          <w:bCs/>
          <w:b/>
        </w:rPr>
        <w:t xml:space="preserve">Retina:</w:t>
      </w:r>
      <w:r>
        <w:t xml:space="preserve"> </w:t>
      </w:r>
      <w:r>
        <w:t xml:space="preserve">En modelos celulares con mitocondrias de personas con degeneración macular asociada a la edad, la HNG protegió frente al daño celular (Nashine 2017, PMID 28726777).</w:t>
      </w:r>
    </w:p>
    <w:bookmarkEnd w:id="698"/>
    <w:bookmarkStart w:id="699" w:name="riesgos-y-efectos-adversos-42"/>
    <w:p>
      <w:pPr>
        <w:pStyle w:val="Heading3"/>
      </w:pPr>
      <w:r>
        <w:t xml:space="preserve">Riesgos y efectos adversos</w:t>
      </w:r>
    </w:p>
    <w:p>
      <w:pPr>
        <w:pStyle w:val="FirstParagraph"/>
      </w:pPr>
      <w:r>
        <w:rPr>
          <w:bCs/>
          <w:b/>
        </w:rPr>
        <w:t xml:space="preserve">Demostrado:</w:t>
      </w:r>
      <w:r>
        <w:t xml:space="preserve"> </w:t>
      </w:r>
      <w:r>
        <w:t xml:space="preserve">No hay datos de seguridad sobre su administración en humanos.</w:t>
      </w:r>
    </w:p>
    <w:p>
      <w:pPr>
        <w:pStyle w:val="BodyText"/>
      </w:pPr>
      <w:r>
        <w:rPr>
          <w:bCs/>
          <w:b/>
        </w:rPr>
        <w:t xml:space="preserve">Teórico, con señales de alarma concretas del laboratorio:</w:t>
      </w:r>
    </w:p>
    <w:p>
      <w:pPr>
        <w:numPr>
          <w:ilvl w:val="0"/>
          <w:numId w:val="1234"/>
        </w:numPr>
        <w:pStyle w:val="Compact"/>
      </w:pPr>
      <w:r>
        <w:rPr>
          <w:bCs/>
          <w:b/>
        </w:rPr>
        <w:t xml:space="preserve">Cáncer:</w:t>
      </w:r>
      <w:r>
        <w:t xml:space="preserve"> </w:t>
      </w:r>
      <w:r>
        <w:t xml:space="preserve">La humanina protege a las células de la muerte celular programada, y eso vale también para las células cancerosas. En ratones con cáncer de mama triple negativo, la humanina aportada redujo la muerte celular en el tumor, atenuó el efecto de la quimioterapia y aceleró el crecimiento tumoral y las metástasis pulmonares. En biopsias de este tipo de cáncer de mama, la humanina era detectable en mayor cantidad. Los autores aconsejan expresamente precaución en el uso de la humanina contra enfermedades degenerativas (Moreno Ayala 2020, PMID 32444831).</w:t>
      </w:r>
    </w:p>
    <w:p>
      <w:pPr>
        <w:numPr>
          <w:ilvl w:val="0"/>
          <w:numId w:val="1234"/>
        </w:numPr>
        <w:pStyle w:val="Compact"/>
      </w:pPr>
      <w:r>
        <w:rPr>
          <w:bCs/>
          <w:b/>
        </w:rPr>
        <w:t xml:space="preserve">Inflamación en células envejecidas:</w:t>
      </w:r>
      <w:r>
        <w:t xml:space="preserve"> </w:t>
      </w:r>
      <w:r>
        <w:t xml:space="preserve">En experimentos celulares, la humanina y MOTS-c aumentaron la liberación de mensajeros inflamatorios por células envejecidas («senescentes») (Mendelsohn 2018, PMID 30058454).</w:t>
      </w:r>
    </w:p>
    <w:p>
      <w:pPr>
        <w:numPr>
          <w:ilvl w:val="0"/>
          <w:numId w:val="1234"/>
        </w:numPr>
        <w:pStyle w:val="Compact"/>
      </w:pPr>
      <w:r>
        <w:rPr>
          <w:bCs/>
          <w:b/>
        </w:rPr>
        <w:t xml:space="preserve">Reacciones inmunitarias:</w:t>
      </w:r>
      <w:r>
        <w:t xml:space="preserve"> </w:t>
      </w:r>
      <w:r>
        <w:t xml:space="preserve">Con la inyección repetida de un péptido pueden formarse anticuerpos; no se ha estudiado.</w:t>
      </w:r>
    </w:p>
    <w:p>
      <w:pPr>
        <w:pStyle w:val="FirstParagraph"/>
      </w:pPr>
      <w:r>
        <w:rPr>
          <w:bCs/>
          <w:b/>
        </w:rPr>
        <w:t xml:space="preserve">Mercado gris:</w:t>
      </w:r>
      <w:r>
        <w:t xml:space="preserve"> </w:t>
      </w:r>
      <w:r>
        <w:t xml:space="preserve">La humanina y la HNG se ofrecen como «péptidos de longevidad» para inyección. El contenido, la pureza y la esterilidad no están comprobados.</w:t>
      </w:r>
    </w:p>
    <w:bookmarkEnd w:id="699"/>
    <w:bookmarkStart w:id="700" w:name="situación-legal-42"/>
    <w:p>
      <w:pPr>
        <w:pStyle w:val="Heading3"/>
      </w:pPr>
      <w:r>
        <w:t xml:space="preserve">Situación legal</w:t>
      </w:r>
    </w:p>
    <w:p>
      <w:pPr>
        <w:numPr>
          <w:ilvl w:val="0"/>
          <w:numId w:val="1235"/>
        </w:numPr>
        <w:pStyle w:val="Compact"/>
      </w:pPr>
      <w:r>
        <w:rPr>
          <w:bCs/>
          <w:b/>
        </w:rPr>
        <w:t xml:space="preserve">UE / Austria / Alemania:</w:t>
      </w:r>
      <w:r>
        <w:t xml:space="preserve"> </w:t>
      </w:r>
      <w:r>
        <w:t xml:space="preserve">no autorizada; como sustancia con efecto farmacológico, la humanina se considera medicamento, y su venta para uso en humanos no está permitida (situación en 2026; compruebe la información actualizada).</w:t>
      </w:r>
    </w:p>
    <w:p>
      <w:pPr>
        <w:numPr>
          <w:ilvl w:val="0"/>
          <w:numId w:val="1235"/>
        </w:numPr>
        <w:pStyle w:val="Compact"/>
      </w:pPr>
      <w:r>
        <w:rPr>
          <w:bCs/>
          <w:b/>
        </w:rPr>
        <w:t xml:space="preserve">EE. UU.:</w:t>
      </w:r>
      <w:r>
        <w:t xml:space="preserve"> </w:t>
      </w:r>
      <w:r>
        <w:t xml:space="preserve">no autorizada.</w:t>
      </w:r>
    </w:p>
    <w:p>
      <w:pPr>
        <w:numPr>
          <w:ilvl w:val="0"/>
          <w:numId w:val="1235"/>
        </w:numPr>
        <w:pStyle w:val="Compact"/>
      </w:pPr>
      <w:r>
        <w:rPr>
          <w:bCs/>
          <w:b/>
        </w:rPr>
        <w:t xml:space="preserve">Deporte:</w:t>
      </w:r>
      <w:r>
        <w:t xml:space="preserve"> </w:t>
      </w:r>
      <w:r>
        <w:t xml:space="preserve">según nuestra valoración, categoría S0 de la WADA (situación en 2026; compruebe la información actualizada).</w:t>
      </w:r>
    </w:p>
    <w:bookmarkEnd w:id="700"/>
    <w:bookmarkStart w:id="701" w:name="estudios-en-curso-y-perspectivas-42"/>
    <w:p>
      <w:pPr>
        <w:pStyle w:val="Heading3"/>
      </w:pPr>
      <w:r>
        <w:t xml:space="preserve">Estudios en curso y perspectivas</w:t>
      </w:r>
    </w:p>
    <w:p>
      <w:pPr>
        <w:pStyle w:val="FirstParagraph"/>
      </w:pPr>
      <w:r>
        <w:rPr>
          <w:bCs/>
          <w:b/>
        </w:rPr>
        <w:t xml:space="preserve">Confirmado:</w:t>
      </w:r>
      <w:r>
        <w:t xml:space="preserve"> </w:t>
      </w:r>
      <w:r>
        <w:t xml:space="preserve">Solo hay registrados estudios observacionales sobre los niveles de humanina, por ejemplo tras operaciones cardiacas (NCT03431844, 106 participantes, concluido) y en el trasplante renal (NCT07678073). No existe ningún estudio sobre la administración de humanina.</w:t>
      </w:r>
    </w:p>
    <w:p>
      <w:pPr>
        <w:pStyle w:val="BodyText"/>
      </w:pPr>
      <w:r>
        <w:rPr>
          <w:bCs/>
          <w:b/>
        </w:rPr>
        <w:t xml:space="preserve">Valoración:</w:t>
      </w:r>
      <w:r>
        <w:t xml:space="preserve"> </w:t>
      </w:r>
      <w:r>
        <w:t xml:space="preserve">La humanina es un péptido señalizador científicamente apasionante y un posible biomarcador del envejecimiento. Está por ver si algún día se evaluará como medicamento; los hallazgos sobre el cáncer en el modelo animal tendrían que aclararse cuidadosamente antes de cualquier uso en humanos.</w:t>
      </w:r>
    </w:p>
    <w:bookmarkEnd w:id="701"/>
    <w:bookmarkStart w:id="702" w:name="conclusión-42"/>
    <w:p>
      <w:pPr>
        <w:pStyle w:val="Heading3"/>
      </w:pPr>
      <w:r>
        <w:t xml:space="preserve">Conclusión</w:t>
      </w:r>
    </w:p>
    <w:p>
      <w:pPr>
        <w:pStyle w:val="FirstParagraph"/>
      </w:pPr>
      <w:r>
        <w:t xml:space="preserve">La humanina es un péptido mitocondrial propio del organismo que se descubrió en 2001 como factor protector de las neuronas. Sus niveles disminuyen con la edad, son más altos en los hijos de centenarios y aumentan con el ejercicio; en experimentos con animales, la variante HNG protegió el corazón, el cerebro y el metabolismo. En humanos nunca se ha administrado como principio activo, y en ratones favoreció el crecimiento del cáncer de mama. Los datos no bastan para valorar el beneficio ni la seguridad de un aporte.</w:t>
      </w:r>
    </w:p>
    <w:bookmarkEnd w:id="702"/>
    <w:bookmarkEnd w:id="703"/>
    <w:bookmarkStart w:id="715" w:name="ss-31-elamipretida"/>
    <w:p>
      <w:pPr>
        <w:pStyle w:val="Heading2"/>
      </w:pPr>
      <w:r>
        <w:t xml:space="preserve">SS-31 (elamipretida)</w:t>
      </w:r>
    </w:p>
    <w:bookmarkStart w:id="704" w:name="ficha-43"/>
    <w:p>
      <w:pPr>
        <w:pStyle w:val="Heading3"/>
      </w:pPr>
      <w:r>
        <w:t xml:space="preserve">Ficha</w:t>
      </w:r>
    </w:p>
    <w:p>
      <w:pPr>
        <w:numPr>
          <w:ilvl w:val="0"/>
          <w:numId w:val="1236"/>
        </w:numPr>
        <w:pStyle w:val="Compact"/>
      </w:pPr>
      <w:r>
        <w:rPr>
          <w:bCs/>
          <w:b/>
        </w:rPr>
        <w:t xml:space="preserve">Tipo y estructura:</w:t>
      </w:r>
      <w:r>
        <w:t xml:space="preserve"> </w:t>
      </w:r>
      <w:r>
        <w:t xml:space="preserve">tetrapéptido sintético de cuatro componentes (D-arginina, dimetiltirosina, lisina, fenilalanina) que atraviesa las membranas celulares gracias a una secuencia inusual de aminoácidos con carga positiva y con estructura de anillo. Denominaciones de investigación SS-31, MTP-131 y Bendavia; nombre del principio activo elamipretida; nombre comercial Forzinity.</w:t>
      </w:r>
    </w:p>
    <w:p>
      <w:pPr>
        <w:numPr>
          <w:ilvl w:val="0"/>
          <w:numId w:val="1236"/>
        </w:numPr>
        <w:pStyle w:val="Compact"/>
      </w:pPr>
      <w:r>
        <w:rPr>
          <w:bCs/>
          <w:b/>
        </w:rPr>
        <w:t xml:space="preserve">Origen:</w:t>
      </w:r>
      <w:r>
        <w:t xml:space="preserve"> </w:t>
      </w:r>
      <w:r>
        <w:t xml:space="preserve">desarrollado por Hazel Szeto y Peter Schiller (de ahí los péptidos «SS») y desarrollado clínicamente por la empresa estadounidense Stealth BioTherapeutics.</w:t>
      </w:r>
    </w:p>
    <w:p>
      <w:pPr>
        <w:numPr>
          <w:ilvl w:val="0"/>
          <w:numId w:val="1236"/>
        </w:numPr>
        <w:pStyle w:val="Compact"/>
      </w:pPr>
      <w:r>
        <w:rPr>
          <w:bCs/>
          <w:b/>
        </w:rPr>
        <w:t xml:space="preserve">Mecanismo de acción:</w:t>
      </w:r>
      <w:r>
        <w:t xml:space="preserve"> </w:t>
      </w:r>
      <w:r>
        <w:t xml:space="preserve">se acumula en la membrana interna de las mitocondrias y se une allí a la cardiolipina, un lípido imprescindible para la obtención de energía. Debería estabilizar la cadena respiratoria y limitar la oxidación nociva.</w:t>
      </w:r>
    </w:p>
    <w:p>
      <w:pPr>
        <w:numPr>
          <w:ilvl w:val="0"/>
          <w:numId w:val="1236"/>
        </w:numPr>
        <w:pStyle w:val="Compact"/>
      </w:pPr>
      <w:r>
        <w:rPr>
          <w:bCs/>
          <w:b/>
        </w:rPr>
        <w:t xml:space="preserve">Autorización UE:</w:t>
      </w:r>
      <w:r>
        <w:t xml:space="preserve"> </w:t>
      </w:r>
      <w:r>
        <w:t xml:space="preserve">no (situación en 2026; compruebe la información actualizada).</w:t>
      </w:r>
    </w:p>
    <w:p>
      <w:pPr>
        <w:numPr>
          <w:ilvl w:val="0"/>
          <w:numId w:val="1236"/>
        </w:numPr>
        <w:pStyle w:val="Compact"/>
      </w:pPr>
      <w:r>
        <w:rPr>
          <w:bCs/>
          <w:b/>
        </w:rPr>
        <w:t xml:space="preserve">Autorización EE. UU.:</w:t>
      </w:r>
      <w:r>
        <w:t xml:space="preserve"> </w:t>
      </w:r>
      <w:r>
        <w:t xml:space="preserve">sí; en septiembre de 2025,</w:t>
      </w:r>
      <w:r>
        <w:t xml:space="preserve"> </w:t>
      </w:r>
      <w:r>
        <w:rPr>
          <w:bCs/>
          <w:b/>
        </w:rPr>
        <w:t xml:space="preserve">autorización acelerada</w:t>
      </w:r>
      <w:r>
        <w:t xml:space="preserve"> </w:t>
      </w:r>
      <w:r>
        <w:t xml:space="preserve">(accelerated approval) como Forzinity para mejorar la fuerza muscular en el síndrome de Barth en adultos y niños a partir de 30 kg de peso corporal. La autorización está vinculada a un estudio de confirmación.</w:t>
      </w:r>
    </w:p>
    <w:p>
      <w:pPr>
        <w:numPr>
          <w:ilvl w:val="0"/>
          <w:numId w:val="1236"/>
        </w:numPr>
        <w:pStyle w:val="Compact"/>
      </w:pPr>
      <w:r>
        <w:rPr>
          <w:bCs/>
          <w:b/>
        </w:rPr>
        <w:t xml:space="preserve">WADA:</w:t>
      </w:r>
      <w:r>
        <w:t xml:space="preserve"> </w:t>
      </w:r>
      <w:r>
        <w:t xml:space="preserve">no figura nominalmente (situación en 2026; compruebe la información actualizada).</w:t>
      </w:r>
    </w:p>
    <w:p>
      <w:pPr>
        <w:numPr>
          <w:ilvl w:val="0"/>
          <w:numId w:val="1236"/>
        </w:numPr>
        <w:pStyle w:val="Compact"/>
      </w:pPr>
      <w:r>
        <w:rPr>
          <w:bCs/>
          <w:b/>
        </w:rPr>
        <w:t xml:space="preserve">Nivel de evidencia:</w:t>
      </w:r>
      <w:r>
        <w:t xml:space="preserve"> </w:t>
      </w:r>
      <w:r>
        <w:rPr>
          <w:bCs/>
          <w:b/>
        </w:rPr>
        <w:t xml:space="preserve">B</w:t>
      </w:r>
      <w:r>
        <w:t xml:space="preserve"> </w:t>
      </w:r>
      <w:r>
        <w:t xml:space="preserve">– numerosos estudios aleatorizados, entre ellos un estudio de fase 3 con 218 participantes; sin embargo, la mayoría de los grandes estudios no alcanzaron su criterio de valoración principal, y la autorización se basa en un estudio muy pequeño en una enfermedad extremadamente rara.</w:t>
      </w:r>
    </w:p>
    <w:bookmarkEnd w:id="704"/>
    <w:bookmarkStart w:id="705" w:name="cómo-se-supone-que-actúa-43"/>
    <w:p>
      <w:pPr>
        <w:pStyle w:val="Heading3"/>
      </w:pPr>
      <w:r>
        <w:t xml:space="preserve">Cómo se supone que actúa</w:t>
      </w:r>
    </w:p>
    <w:p>
      <w:pPr>
        <w:pStyle w:val="FirstParagraph"/>
      </w:pPr>
      <w:r>
        <w:t xml:space="preserve">Las mitocondrias obtienen energía a través de una cadena de complejos proteicos en su membrana interna. Para que estos complejos colaboren correctamente se necesita cardiolipina, un lípido especial que solo existe en esta membrana. Si la cardiolipina se daña o falta, la cadena respiratoria funciona peor, y la proteína citocromo c puede pasar de ser un transportador de electrones a convertirse en una enzima nociva (una peroxidasa).</w:t>
      </w:r>
    </w:p>
    <w:p>
      <w:pPr>
        <w:pStyle w:val="BodyText"/>
      </w:pPr>
      <w:r>
        <w:t xml:space="preserve">Según su desarrolladora, SS-31 se une de forma selectiva a la cardiolipina mediante fuerzas eléctricas e hidrófobas, impide esta transformación del citocromo c y protege así la estructura de las mitocondrias (Szeto 2014, PMID 24117165). El principio se ha estudiado en muchos modelos animales de enfermedades cardiacas, renales, musculares y oculares.</w:t>
      </w:r>
    </w:p>
    <w:p>
      <w:pPr>
        <w:pStyle w:val="BodyText"/>
      </w:pPr>
      <w:r>
        <w:t xml:space="preserve">La relación es más clara en el</w:t>
      </w:r>
      <w:r>
        <w:t xml:space="preserve"> </w:t>
      </w:r>
      <w:r>
        <w:rPr>
          <w:bCs/>
          <w:b/>
        </w:rPr>
        <w:t xml:space="preserve">síndrome de Barth</w:t>
      </w:r>
      <w:r>
        <w:t xml:space="preserve">: en esta enfermedad muy poco frecuente, de herencia ligada al cromosoma X, que afecta casi exclusivamente a niños y hombres, está defectuoso el gen</w:t>
      </w:r>
      <w:r>
        <w:t xml:space="preserve"> </w:t>
      </w:r>
      <w:r>
        <w:rPr>
          <w:iCs/>
          <w:i/>
        </w:rPr>
        <w:t xml:space="preserve">TAZ</w:t>
      </w:r>
      <w:r>
        <w:t xml:space="preserve">, necesario para la remodelación de la cardiolipina. Las personas afectadas presentan debilidad del músculo cardiaco, debilidad muscular, gran fatigabilidad y un número reducido de determinados glóbulos blancos. Un principio activo que actúa de forma selectiva sobre la cardiolipina resulta aquí biológicamente especialmente lógico.</w:t>
      </w:r>
    </w:p>
    <w:bookmarkEnd w:id="705"/>
    <w:bookmarkStart w:id="709" w:name="estudios-en-humanos-43"/>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 19 publicaciones clasificadas como estudios en humanos; cuatro de ellas, tras un examen más detallado, se refieren a otros principios activos (la abreviatura «SS-31» aparece también en otros contextos). En ClinicalTrials.gov había registrados 21 estudios, casi todos del fabricante, sobre el síndrome de Barth, las miopatías mitocondriales, la insuficiencia cardiaca, el infarto de miocardio, la estenosis de la arteria renal, la degeneración macular seca y enfermedades oculares. La elamipretida es, por tanto, el péptido mejor estudiado de esta parte.</w:t>
      </w:r>
    </w:p>
    <w:bookmarkStart w:id="706" w:name="Xa40c3d83755550e4f294e15242ce6ca1c13328d"/>
    <w:p>
      <w:pPr>
        <w:pStyle w:val="Heading4"/>
      </w:pPr>
      <w:r>
        <w:t xml:space="preserve">Síndrome de Barth: TAZPOWER y la autorización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TAZPOWER parte 1 (Reid Thompson 2021), PMID 33077895</w:t>
            </w:r>
          </w:p>
        </w:tc>
        <w:tc>
          <w:tcPr/>
          <w:p>
            <w:pPr>
              <w:pStyle w:val="Compact"/>
              <w:jc w:val="left"/>
            </w:pPr>
            <w:r>
              <w:t xml:space="preserve">12 personas, doble ciego, cruzado frente a placebo</w:t>
            </w:r>
          </w:p>
        </w:tc>
        <w:tc>
          <w:tcPr/>
          <w:p>
            <w:pPr>
              <w:pStyle w:val="Compact"/>
              <w:jc w:val="left"/>
            </w:pPr>
            <w:r>
              <w:t xml:space="preserve">12 semanas cada fase</w:t>
            </w:r>
          </w:p>
        </w:tc>
        <w:tc>
          <w:tcPr/>
          <w:p>
            <w:pPr>
              <w:pStyle w:val="Compact"/>
              <w:jc w:val="left"/>
            </w:pPr>
            <w:r>
              <w:t xml:space="preserve">ambos criterios principales (prueba de marcha de 6 minutos, escala de síntomas) no alcanzados</w:t>
            </w:r>
          </w:p>
        </w:tc>
      </w:tr>
      <w:tr>
        <w:tc>
          <w:tcPr/>
          <w:p>
            <w:pPr>
              <w:pStyle w:val="Compact"/>
              <w:jc w:val="left"/>
            </w:pPr>
            <w:r>
              <w:t xml:space="preserve">TAZPOWER, extensión abierta, PMID 33077895</w:t>
            </w:r>
          </w:p>
        </w:tc>
        <w:tc>
          <w:tcPr/>
          <w:p>
            <w:pPr>
              <w:pStyle w:val="Compact"/>
              <w:jc w:val="left"/>
            </w:pPr>
            <w:r>
              <w:t xml:space="preserve">10 personas, todas con elamipretida</w:t>
            </w:r>
          </w:p>
        </w:tc>
        <w:tc>
          <w:tcPr/>
          <w:p>
            <w:pPr>
              <w:pStyle w:val="Compact"/>
              <w:jc w:val="left"/>
            </w:pPr>
            <w:r>
              <w:t xml:space="preserve">36 semanas</w:t>
            </w:r>
          </w:p>
        </w:tc>
        <w:tc>
          <w:tcPr/>
          <w:p>
            <w:pPr>
              <w:pStyle w:val="Compact"/>
              <w:jc w:val="left"/>
            </w:pPr>
            <w:r>
              <w:t xml:space="preserve">distancia de marcha +95,9 m, escala de síntomas −2,1 puntos</w:t>
            </w:r>
          </w:p>
        </w:tc>
      </w:tr>
      <w:tr>
        <w:tc>
          <w:tcPr/>
          <w:p>
            <w:pPr>
              <w:pStyle w:val="Compact"/>
              <w:jc w:val="left"/>
            </w:pPr>
            <w:r>
              <w:t xml:space="preserve">Extensión hasta 168 semanas (Thompson 2024), PMID 38602181</w:t>
            </w:r>
          </w:p>
        </w:tc>
        <w:tc>
          <w:tcPr/>
          <w:p>
            <w:pPr>
              <w:pStyle w:val="Compact"/>
              <w:jc w:val="left"/>
            </w:pPr>
            <w:r>
              <w:t xml:space="preserve">10 incluidas, 8 hasta la semana 168</w:t>
            </w:r>
          </w:p>
        </w:tc>
        <w:tc>
          <w:tcPr/>
          <w:p>
            <w:pPr>
              <w:pStyle w:val="Compact"/>
              <w:jc w:val="left"/>
            </w:pPr>
            <w:r>
              <w:t xml:space="preserve">168 semanas</w:t>
            </w:r>
          </w:p>
        </w:tc>
        <w:tc>
          <w:tcPr/>
          <w:p>
            <w:pPr>
              <w:pStyle w:val="Compact"/>
              <w:jc w:val="left"/>
            </w:pPr>
            <w:r>
              <w:t xml:space="preserve">distancia de marcha acumulada +96,1 m; volúmenes cardiacos mejorados</w:t>
            </w:r>
          </w:p>
        </w:tc>
      </w:tr>
      <w:tr>
        <w:tc>
          <w:tcPr/>
          <w:p>
            <w:pPr>
              <w:pStyle w:val="Compact"/>
              <w:jc w:val="left"/>
            </w:pPr>
            <w:r>
              <w:t xml:space="preserve">Comparación con la evolución natural (Hornby 2022), PMID 36056411</w:t>
            </w:r>
          </w:p>
        </w:tc>
        <w:tc>
          <w:tcPr/>
          <w:p>
            <w:pPr>
              <w:pStyle w:val="Compact"/>
              <w:jc w:val="left"/>
            </w:pPr>
            <w:r>
              <w:t xml:space="preserve">8 personas tratadas frente a 19 no tratadas de un registro de la enfermedad</w:t>
            </w:r>
          </w:p>
        </w:tc>
        <w:tc>
          <w:tcPr/>
          <w:p>
            <w:pPr>
              <w:pStyle w:val="Compact"/>
              <w:jc w:val="left"/>
            </w:pPr>
            <w:r>
              <w:t xml:space="preserve">64–76 semanas</w:t>
            </w:r>
          </w:p>
        </w:tc>
        <w:tc>
          <w:tcPr/>
          <w:p>
            <w:pPr>
              <w:pStyle w:val="Compact"/>
              <w:jc w:val="left"/>
            </w:pPr>
            <w:r>
              <w:t xml:space="preserve">diferencia en la prueba de marcha de 79,7 y 91,0 m a favor de la elamipretida</w:t>
            </w:r>
          </w:p>
        </w:tc>
      </w:tr>
    </w:tbl>
    <w:p>
      <w:pPr>
        <w:pStyle w:val="BodyText"/>
      </w:pPr>
      <w:r>
        <w:t xml:space="preserve">La historia de la autorización muestra de forma ejemplar cómo se decide en enfermedades extremadamente raras:</w:t>
      </w:r>
    </w:p>
    <w:p>
      <w:pPr>
        <w:pStyle w:val="BodyText"/>
      </w:pPr>
      <w:r>
        <w:rPr>
          <w:bCs/>
          <w:b/>
        </w:rPr>
        <w:t xml:space="preserve">La parte controlada fracasó.</w:t>
      </w:r>
      <w:r>
        <w:t xml:space="preserve"> </w:t>
      </w:r>
      <w:r>
        <w:t xml:space="preserve">En TAZPOWER (NCT03098797), doce personas con síndrome de Barth recibieron durante doce semanas elamipretida subcutánea diaria o placebo y después, en cada caso, el otro. En esta parte enmascarada no se alcanzó una diferencia significativa ni en la prueba de marcha de 6 minutos ni en la escala de síntomas (Reid Thompson 2021, PMID 33077895).</w:t>
      </w:r>
    </w:p>
    <w:p>
      <w:pPr>
        <w:pStyle w:val="BodyText"/>
      </w:pPr>
      <w:r>
        <w:rPr>
          <w:bCs/>
          <w:b/>
        </w:rPr>
        <w:t xml:space="preserve">La extensión abierta fue positiva.</w:t>
      </w:r>
      <w:r>
        <w:t xml:space="preserve"> </w:t>
      </w:r>
      <w:r>
        <w:t xml:space="preserve">Diez personas continuaron el tratamiento de forma abierta. A las 36 semanas caminaban en promedio 95,9 m más que al principio, y también mejoraron la fuerza de extensión de la rodilla y algunos parámetros cardiacos (Reid Thompson 2021, PMID 33077895). La mejora se mantuvo hasta la semana 168; ocho personas llegaron a ese momento (Thompson 2024, PMID 38602181). Sin grupo de control, sin embargo, no puede separarse qué parte corresponde al medicamento y qué parte a la familiarización con la prueba, la motivación o el azar.</w:t>
      </w:r>
    </w:p>
    <w:p>
      <w:pPr>
        <w:pStyle w:val="BodyText"/>
      </w:pPr>
      <w:r>
        <w:rPr>
          <w:bCs/>
          <w:b/>
        </w:rPr>
        <w:t xml:space="preserve">Comparación con un control de registro.</w:t>
      </w:r>
      <w:r>
        <w:t xml:space="preserve"> </w:t>
      </w:r>
      <w:r>
        <w:t xml:space="preserve">Para aclararlo, otro estudio comparó a ocho personas tratadas con 19 no tratadas de una observación de la evolución. La ventaja en la prueba de marcha fue de 79,7 m a las 64 semanas (Hornby 2022, PMID 36056411). Estos «controles históricos» son a menudo la única posibilidad en las enfermedades raras, pero se consideran claramente más débiles que una aleatorización.</w:t>
      </w:r>
    </w:p>
    <w:p>
      <w:pPr>
        <w:pStyle w:val="BodyText"/>
      </w:pPr>
      <w:r>
        <w:rPr>
          <w:bCs/>
          <w:b/>
        </w:rPr>
        <w:t xml:space="preserve">La decisión de la FDA en 2025.</w:t>
      </w:r>
      <w:r>
        <w:t xml:space="preserve"> </w:t>
      </w:r>
      <w:r>
        <w:t xml:space="preserve">La agencia estadounidense del medicamento rechazó inicialmente la solicitud en mayo de 2025 (Complete Response Letter). En septiembre de 2025 concedió después una</w:t>
      </w:r>
      <w:r>
        <w:t xml:space="preserve"> </w:t>
      </w:r>
      <w:r>
        <w:rPr>
          <w:bCs/>
          <w:b/>
        </w:rPr>
        <w:t xml:space="preserve">autorización acelerada</w:t>
      </w:r>
      <w:r>
        <w:t xml:space="preserve"> </w:t>
      </w:r>
      <w:r>
        <w:t xml:space="preserve">para la elamipretida (Forzinity) para mejorar la fuerza muscular en el síndrome de Barth en pacientes a partir de 30 kg, como primer tratamiento específico de esta enfermedad (Shirley 2026, PMID 41335372). La base fue la mejora de la fuerza de extensión de la rodilla, que la agencia considera un valor sustitutivo que hace «razonablemente probable» un beneficio clínico. Una autorización acelerada obliga al fabricante a realizar un estudio de confirmación; si allí no se demuestra el beneficio, la autorización puede retirarse. Un estudio correspondiente con 48 participantes previstos recluta desde julio de 2026 (NCT07531251).</w:t>
      </w:r>
    </w:p>
    <w:bookmarkEnd w:id="706"/>
    <w:bookmarkStart w:id="707" w:name="miopatía-mitocondrial-primaria-mmpower-3"/>
    <w:p>
      <w:pPr>
        <w:pStyle w:val="Heading4"/>
      </w:pPr>
      <w:r>
        <w:t xml:space="preserve">Miopatía mitocondrial primaria: MMPOWER-3</w:t>
      </w:r>
    </w:p>
    <w:p>
      <w:pPr>
        <w:pStyle w:val="FirstParagraph"/>
      </w:pPr>
      <w:r>
        <w:t xml:space="preserve">Las miopatías mitocondriales son enfermedades hereditarias en las que está alterada la obtención de energía en los músculos; las personas afectadas sufren debilidad muscular y gran fatigabilidad.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MMPOWER (Karaa 2018), PMID 29500292</w:t>
            </w:r>
          </w:p>
        </w:tc>
        <w:tc>
          <w:tcPr/>
          <w:p>
            <w:pPr>
              <w:pStyle w:val="Compact"/>
              <w:jc w:val="left"/>
            </w:pPr>
            <w:r>
              <w:t xml:space="preserve">36 personas, infusión en dosis crecientes frente a placebo</w:t>
            </w:r>
          </w:p>
        </w:tc>
        <w:tc>
          <w:tcPr/>
          <w:p>
            <w:pPr>
              <w:pStyle w:val="Compact"/>
              <w:jc w:val="left"/>
            </w:pPr>
            <w:r>
              <w:t xml:space="preserve">5 días</w:t>
            </w:r>
          </w:p>
        </w:tc>
        <w:tc>
          <w:tcPr/>
          <w:p>
            <w:pPr>
              <w:pStyle w:val="Compact"/>
              <w:jc w:val="left"/>
            </w:pPr>
            <w:r>
              <w:t xml:space="preserve">dosis más alta +64,5 m en la prueba de marcha frente a +20,4 m (p = 0,053)</w:t>
            </w:r>
          </w:p>
        </w:tc>
      </w:tr>
      <w:tr>
        <w:tc>
          <w:tcPr/>
          <w:p>
            <w:pPr>
              <w:pStyle w:val="Compact"/>
              <w:jc w:val="left"/>
            </w:pPr>
            <w:r>
              <w:t xml:space="preserve">MMPOWER-2 (Karaa 2020), PMID 32096613</w:t>
            </w:r>
          </w:p>
        </w:tc>
        <w:tc>
          <w:tcPr/>
          <w:p>
            <w:pPr>
              <w:pStyle w:val="Compact"/>
              <w:jc w:val="left"/>
            </w:pPr>
            <w:r>
              <w:t xml:space="preserve">30 personas, cruzado frente a placebo</w:t>
            </w:r>
          </w:p>
        </w:tc>
        <w:tc>
          <w:tcPr/>
          <w:p>
            <w:pPr>
              <w:pStyle w:val="Compact"/>
              <w:jc w:val="left"/>
            </w:pPr>
            <w:r>
              <w:t xml:space="preserve">4 semanas cada fase</w:t>
            </w:r>
          </w:p>
        </w:tc>
        <w:tc>
          <w:tcPr/>
          <w:p>
            <w:pPr>
              <w:pStyle w:val="Compact"/>
              <w:jc w:val="left"/>
            </w:pPr>
            <w:r>
              <w:t xml:space="preserve">prueba de marcha +19,8 m (no significativo); menos fatiga</w:t>
            </w:r>
          </w:p>
        </w:tc>
      </w:tr>
      <w:tr>
        <w:tc>
          <w:tcPr/>
          <w:p>
            <w:pPr>
              <w:pStyle w:val="Compact"/>
              <w:jc w:val="left"/>
            </w:pPr>
            <w:r>
              <w:t xml:space="preserve">MMPOWER-3 (Karaa 2023), PMID 37268435</w:t>
            </w:r>
          </w:p>
        </w:tc>
        <w:tc>
          <w:tcPr/>
          <w:p>
            <w:pPr>
              <w:pStyle w:val="Compact"/>
              <w:jc w:val="left"/>
            </w:pPr>
            <w:r>
              <w:t xml:space="preserve">218 personas, fase 3 frente a placebo</w:t>
            </w:r>
          </w:p>
        </w:tc>
        <w:tc>
          <w:tcPr/>
          <w:p>
            <w:pPr>
              <w:pStyle w:val="Compact"/>
              <w:jc w:val="left"/>
            </w:pPr>
            <w:r>
              <w:t xml:space="preserve">24 semanas</w:t>
            </w:r>
          </w:p>
        </w:tc>
        <w:tc>
          <w:tcPr/>
          <w:p>
            <w:pPr>
              <w:pStyle w:val="Compact"/>
              <w:jc w:val="left"/>
            </w:pPr>
            <w:r>
              <w:t xml:space="preserve">ambos criterios principales no alcanzados; diferencia en la prueba de marcha −3,2 m</w:t>
            </w:r>
          </w:p>
        </w:tc>
      </w:tr>
    </w:tbl>
    <w:p>
      <w:pPr>
        <w:pStyle w:val="BodyText"/>
      </w:pPr>
      <w:r>
        <w:t xml:space="preserve">Tras estudios pequeños alentadores,</w:t>
      </w:r>
      <w:r>
        <w:t xml:space="preserve"> </w:t>
      </w:r>
      <w:r>
        <w:rPr>
          <w:bCs/>
          <w:b/>
        </w:rPr>
        <w:t xml:space="preserve">MMPOWER-3</w:t>
      </w:r>
      <w:r>
        <w:t xml:space="preserve"> </w:t>
      </w:r>
      <w:r>
        <w:t xml:space="preserve">(NCT03323749) debía demostrar la eficacia. 218 adultos con miopatía mitocondrial confirmada genéticamente recibieron durante 24 semanas elamipretida o placebo. El estudio no alcanzó ninguno de los dos criterios principales: en la prueba de marcha de 6 minutos, la diferencia fue de −3,2 m (IC del 95 % −18,7 a 12,3), y en la escala de fatiga tampoco hubo diferencia. La tolerabilidad fue buena (Karaa 2023, PMID 37268435). Las autoras y los autores lo clasifican como evidencia de la máxima clase de que la elamipretida no mejora la distancia de marcha ni la fatiga en este grupo.</w:t>
      </w:r>
    </w:p>
    <w:p>
      <w:pPr>
        <w:pStyle w:val="BodyText"/>
      </w:pPr>
      <w:r>
        <w:t xml:space="preserve">Un análisis a posteriori encontró indicios de un beneficio en un subgrupo: las personas con defectos en genes del núcleo celular necesarios para la replicación del ADN mitocondrial (por ejemplo</w:t>
      </w:r>
      <w:r>
        <w:t xml:space="preserve"> </w:t>
      </w:r>
      <w:r>
        <w:rPr>
          <w:iCs/>
          <w:i/>
        </w:rPr>
        <w:t xml:space="preserve">POLG</w:t>
      </w:r>
      <w:r>
        <w:t xml:space="preserve"> </w:t>
      </w:r>
      <w:r>
        <w:t xml:space="preserve">y</w:t>
      </w:r>
      <w:r>
        <w:t xml:space="preserve"> </w:t>
      </w:r>
      <w:r>
        <w:rPr>
          <w:iCs/>
          <w:i/>
        </w:rPr>
        <w:t xml:space="preserve">TWNK</w:t>
      </w:r>
      <w:r>
        <w:t xml:space="preserve">) caminaron con elamipretida 25,2 m más, frente a 2,0 m con placebo (p = 0,06) (Karaa 2024, PMID 39574155). Los análisis de subgrupos a posteriori generan hipótesis, no pruebas. Sobre esta base se realizó el estudio de fase 3 NuPOWER (NCT05162768) con 102 participantes; según el registro, concluyó en diciembre de 2024, y en nuestra búsqueda los resultados no estaban publicados.</w:t>
      </w:r>
    </w:p>
    <w:bookmarkEnd w:id="707"/>
    <w:bookmarkStart w:id="708" w:name="corazón-riñón-ojo-y-vejez"/>
    <w:p>
      <w:pPr>
        <w:pStyle w:val="Heading4"/>
      </w:pPr>
      <w:r>
        <w:t xml:space="preserve">Corazón, riñón, ojo y vejez</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EMBRACE STEMI (Gibson 2016), PMID 26586786</w:t>
            </w:r>
          </w:p>
        </w:tc>
        <w:tc>
          <w:tcPr/>
          <w:p>
            <w:pPr>
              <w:pStyle w:val="Compact"/>
              <w:jc w:val="left"/>
            </w:pPr>
            <w:r>
              <w:t xml:space="preserve">personas con un primer infarto de cara anterior, infusión durante el cateterismo, doble ciego</w:t>
            </w:r>
          </w:p>
        </w:tc>
        <w:tc>
          <w:tcPr/>
          <w:p>
            <w:pPr>
              <w:pStyle w:val="Compact"/>
              <w:jc w:val="left"/>
            </w:pPr>
            <w:r>
              <w:t xml:space="preserve">72 horas</w:t>
            </w:r>
          </w:p>
        </w:tc>
        <w:tc>
          <w:tcPr/>
          <w:p>
            <w:pPr>
              <w:pStyle w:val="Compact"/>
              <w:jc w:val="left"/>
            </w:pPr>
            <w:r>
              <w:t xml:space="preserve">tamaño del infarto no reducido</w:t>
            </w:r>
          </w:p>
        </w:tc>
      </w:tr>
      <w:tr>
        <w:tc>
          <w:tcPr/>
          <w:p>
            <w:pPr>
              <w:pStyle w:val="Compact"/>
              <w:jc w:val="left"/>
            </w:pPr>
            <w:r>
              <w:t xml:space="preserve">PROGRESS-HF (Butler 2020), PMID 32068002</w:t>
            </w:r>
          </w:p>
        </w:tc>
        <w:tc>
          <w:tcPr/>
          <w:p>
            <w:pPr>
              <w:pStyle w:val="Compact"/>
              <w:jc w:val="left"/>
            </w:pPr>
            <w:r>
              <w:t xml:space="preserve">71 personas con insuficiencia cardiaca (ICFEr), frente a placebo</w:t>
            </w:r>
          </w:p>
        </w:tc>
        <w:tc>
          <w:tcPr/>
          <w:p>
            <w:pPr>
              <w:pStyle w:val="Compact"/>
              <w:jc w:val="left"/>
            </w:pPr>
            <w:r>
              <w:t xml:space="preserve">4 semanas</w:t>
            </w:r>
          </w:p>
        </w:tc>
        <w:tc>
          <w:tcPr/>
          <w:p>
            <w:pPr>
              <w:pStyle w:val="Compact"/>
              <w:jc w:val="left"/>
            </w:pPr>
            <w:r>
              <w:t xml:space="preserve">sin mejora de los volúmenes cardiacos</w:t>
            </w:r>
          </w:p>
        </w:tc>
      </w:tr>
      <w:tr>
        <w:tc>
          <w:tcPr/>
          <w:p>
            <w:pPr>
              <w:pStyle w:val="Compact"/>
              <w:jc w:val="left"/>
            </w:pPr>
            <w:r>
              <w:t xml:space="preserve">Daubert 2017, PMID 29217757</w:t>
            </w:r>
          </w:p>
        </w:tc>
        <w:tc>
          <w:tcPr/>
          <w:p>
            <w:pPr>
              <w:pStyle w:val="Compact"/>
              <w:jc w:val="left"/>
            </w:pPr>
            <w:r>
              <w:t xml:space="preserve">36 personas con insuficiencia cardiaca, infusión única</w:t>
            </w:r>
          </w:p>
        </w:tc>
        <w:tc>
          <w:tcPr/>
          <w:p>
            <w:pPr>
              <w:pStyle w:val="Compact"/>
              <w:jc w:val="left"/>
            </w:pPr>
            <w:r>
              <w:t xml:space="preserve">24 horas</w:t>
            </w:r>
          </w:p>
        </w:tc>
        <w:tc>
          <w:tcPr/>
          <w:p>
            <w:pPr>
              <w:pStyle w:val="Compact"/>
              <w:jc w:val="left"/>
            </w:pPr>
            <w:r>
              <w:t xml:space="preserve">volúmenes cardiacos transitoriamente menores con la dosis más alta</w:t>
            </w:r>
          </w:p>
        </w:tc>
      </w:tr>
      <w:tr>
        <w:tc>
          <w:tcPr/>
          <w:p>
            <w:pPr>
              <w:pStyle w:val="Compact"/>
              <w:jc w:val="left"/>
            </w:pPr>
            <w:r>
              <w:t xml:space="preserve">Saad 2017, PMID 28916603</w:t>
            </w:r>
          </w:p>
        </w:tc>
        <w:tc>
          <w:tcPr/>
          <w:p>
            <w:pPr>
              <w:pStyle w:val="Compact"/>
              <w:jc w:val="left"/>
            </w:pPr>
            <w:r>
              <w:t xml:space="preserve">14 personas con estenosis de la arteria renal durante la colocación de un stent</w:t>
            </w:r>
          </w:p>
        </w:tc>
        <w:tc>
          <w:tcPr/>
          <w:p>
            <w:pPr>
              <w:pStyle w:val="Compact"/>
              <w:jc w:val="left"/>
            </w:pPr>
            <w:r>
              <w:t xml:space="preserve">3 meses</w:t>
            </w:r>
          </w:p>
        </w:tc>
        <w:tc>
          <w:tcPr/>
          <w:p>
            <w:pPr>
              <w:pStyle w:val="Compact"/>
              <w:jc w:val="left"/>
            </w:pPr>
            <w:r>
              <w:t xml:space="preserve">menos falta de oxígeno, mejor riego renal (estudio piloto)</w:t>
            </w:r>
          </w:p>
        </w:tc>
      </w:tr>
      <w:tr>
        <w:tc>
          <w:tcPr/>
          <w:p>
            <w:pPr>
              <w:pStyle w:val="Compact"/>
              <w:jc w:val="left"/>
            </w:pPr>
            <w:r>
              <w:t xml:space="preserve">ReCLAIM-2 (Ehlers 2025), PMID 39605874</w:t>
            </w:r>
          </w:p>
        </w:tc>
        <w:tc>
          <w:tcPr/>
          <w:p>
            <w:pPr>
              <w:pStyle w:val="Compact"/>
              <w:jc w:val="left"/>
            </w:pPr>
            <w:r>
              <w:t xml:space="preserve">176 personas con degeneración macular seca, frente a placebo</w:t>
            </w:r>
          </w:p>
        </w:tc>
        <w:tc>
          <w:tcPr/>
          <w:p>
            <w:pPr>
              <w:pStyle w:val="Compact"/>
              <w:jc w:val="left"/>
            </w:pPr>
            <w:r>
              <w:t xml:space="preserve">48 semanas</w:t>
            </w:r>
          </w:p>
        </w:tc>
        <w:tc>
          <w:tcPr/>
          <w:p>
            <w:pPr>
              <w:pStyle w:val="Compact"/>
              <w:jc w:val="left"/>
            </w:pPr>
            <w:r>
              <w:t xml:space="preserve">criterios principales no alcanzados; pérdida más lenta de estructuras fotorreceptoras (criterio secundario)</w:t>
            </w:r>
          </w:p>
        </w:tc>
      </w:tr>
      <w:tr>
        <w:tc>
          <w:tcPr/>
          <w:p>
            <w:pPr>
              <w:pStyle w:val="Compact"/>
              <w:jc w:val="left"/>
            </w:pPr>
            <w:r>
              <w:t xml:space="preserve">Roshanravan 2021, PMID 34264994</w:t>
            </w:r>
          </w:p>
        </w:tc>
        <w:tc>
          <w:tcPr/>
          <w:p>
            <w:pPr>
              <w:pStyle w:val="Compact"/>
              <w:jc w:val="left"/>
            </w:pPr>
            <w:r>
              <w:t xml:space="preserve">39 personas mayores sanas, infusión única frente a placebo</w:t>
            </w:r>
          </w:p>
        </w:tc>
        <w:tc>
          <w:tcPr/>
          <w:p>
            <w:pPr>
              <w:pStyle w:val="Compact"/>
              <w:jc w:val="left"/>
            </w:pPr>
            <w:r>
              <w:t xml:space="preserve">7 días</w:t>
            </w:r>
          </w:p>
        </w:tc>
        <w:tc>
          <w:tcPr/>
          <w:p>
            <w:pPr>
              <w:pStyle w:val="Compact"/>
              <w:jc w:val="left"/>
            </w:pPr>
            <w:r>
              <w:t xml:space="preserve">capacidad energética del músculo de la mano transitoriamente mayor, pero sin mejor resistencia a la fatiga</w:t>
            </w:r>
          </w:p>
        </w:tc>
      </w:tr>
    </w:tbl>
    <w:p>
      <w:pPr>
        <w:pStyle w:val="BodyText"/>
      </w:pPr>
      <w:r>
        <w:t xml:space="preserve">El patrón es llamativo: en el</w:t>
      </w:r>
      <w:r>
        <w:t xml:space="preserve"> </w:t>
      </w:r>
      <w:r>
        <w:rPr>
          <w:bCs/>
          <w:b/>
        </w:rPr>
        <w:t xml:space="preserve">infarto de miocardio</w:t>
      </w:r>
      <w:r>
        <w:t xml:space="preserve"> </w:t>
      </w:r>
      <w:r>
        <w:t xml:space="preserve">y la</w:t>
      </w:r>
      <w:r>
        <w:t xml:space="preserve"> </w:t>
      </w:r>
      <w:r>
        <w:rPr>
          <w:bCs/>
          <w:b/>
        </w:rPr>
        <w:t xml:space="preserve">insuficiencia cardiaca</w:t>
      </w:r>
      <w:r>
        <w:t xml:space="preserve">, los estudios controlados de mayor tamaño no mostraron ningún beneficio (Gibson 2016, PMID 26586786; Butler 2020, PMID 32068002). En la</w:t>
      </w:r>
      <w:r>
        <w:t xml:space="preserve"> </w:t>
      </w:r>
      <w:r>
        <w:rPr>
          <w:bCs/>
          <w:b/>
        </w:rPr>
        <w:t xml:space="preserve">degeneración macular seca</w:t>
      </w:r>
      <w:r>
        <w:t xml:space="preserve">, una causa frecuente de pérdida de visión en la vejez, ReCLAIM-2 no alcanzó ninguno de los dos criterios principales (agudeza visual con poca luz y crecimiento de la superficie retiniana dañada); un criterio secundario fijado de antemano –la pérdida de la capa de fotorreceptores– progresó más lentamente con elamipretida (Ehlers 2025, PMID 39605874). Este valor sirve ahora como criterio principal del estudio de fase 3 en curso ReNEW (NCT06373731).</w:t>
      </w:r>
    </w:p>
    <w:p>
      <w:pPr>
        <w:pStyle w:val="BodyText"/>
      </w:pPr>
      <w:r>
        <w:t xml:space="preserve">Para el mundo de la longevidad resulta interesante el estudio en personas mayores: una única infusión aumentó inmediatamente después la capacidad energética de un músculo de la mano; a los siete días el efecto había desaparecido, y la resistencia muscular no mejoró (Roshanravan 2021, PMID 34264994). De ello no puede deducirse ningún beneficio «antienvejecimiento».</w:t>
      </w:r>
    </w:p>
    <w:bookmarkEnd w:id="708"/>
    <w:bookmarkEnd w:id="709"/>
    <w:bookmarkStart w:id="710" w:name="estudios-en-animales-y-de-laboratorio-43"/>
    <w:p>
      <w:pPr>
        <w:pStyle w:val="Heading3"/>
      </w:pPr>
      <w:r>
        <w:t xml:space="preserve">Estudios en animales y de laboratorio</w:t>
      </w:r>
    </w:p>
    <w:p>
      <w:pPr>
        <w:pStyle w:val="FirstParagraph"/>
      </w:pPr>
      <w:r>
        <w:t xml:space="preserve">En modelos animales se describieron efectos favorables en la insuficiencia cardiaca, el daño renal, la debilidad muscular y enfermedades oculares y nerviosas (Szeto 2014, PMID 24117165). En perros con insuficiencia cardiaca avanzada, un tratamiento continuado mejoró la función de bombeo y la función mitocondrial (Sabbah 2016, PMID 26839394). En un modelo de rata de insuficiencia cardiaca con función de bombeo conservada, la elamipretida mejoró ciertamente el metabolismo energético del músculo cardiaco, pero no la función cardiaca (Schauer 2026, PMID 41596703). Esta discrepancia entre un mejor metabolismo energético y la falta de beneficio clínico se refleja en los estudios en humanos.</w:t>
      </w:r>
    </w:p>
    <w:bookmarkEnd w:id="710"/>
    <w:bookmarkStart w:id="711" w:name="riesgos-y-efectos-adversos-43"/>
    <w:p>
      <w:pPr>
        <w:pStyle w:val="Heading3"/>
      </w:pPr>
      <w:r>
        <w:t xml:space="preserve">Riesgos y efectos adversos</w:t>
      </w:r>
    </w:p>
    <w:p>
      <w:pPr>
        <w:pStyle w:val="FirstParagraph"/>
      </w:pPr>
      <w:r>
        <w:rPr>
          <w:bCs/>
          <w:b/>
        </w:rPr>
        <w:t xml:space="preserve">Demostrado:</w:t>
      </w:r>
    </w:p>
    <w:p>
      <w:pPr>
        <w:numPr>
          <w:ilvl w:val="0"/>
          <w:numId w:val="1237"/>
        </w:numPr>
        <w:pStyle w:val="Compact"/>
      </w:pPr>
      <w:r>
        <w:t xml:space="preserve">Los efectos adversos más frecuentes son las</w:t>
      </w:r>
      <w:r>
        <w:t xml:space="preserve"> </w:t>
      </w:r>
      <w:r>
        <w:rPr>
          <w:bCs/>
          <w:b/>
        </w:rPr>
        <w:t xml:space="preserve">reacciones en el lugar de inyección</w:t>
      </w:r>
      <w:r>
        <w:t xml:space="preserve"> </w:t>
      </w:r>
      <w:r>
        <w:t xml:space="preserve">(picor, dolor, hematomas, enrojecimiento). En MMPOWER-2 aparecieron en el 80 % de las personas tratadas, en general leves (Karaa 2020, PMID 32096613). En ReCLAIM-2, el 86 % con elamipretida y el 71 % con placebo comunicaron algún acontecimiento adverso (Ehlers 2025, PMID 39605874).</w:t>
      </w:r>
    </w:p>
    <w:p>
      <w:pPr>
        <w:numPr>
          <w:ilvl w:val="0"/>
          <w:numId w:val="1237"/>
        </w:numPr>
        <w:pStyle w:val="Compact"/>
      </w:pPr>
      <w:r>
        <w:t xml:space="preserve">Los efectos adversos graves no fueron más frecuentes en los estudios; en MMPOWER-3, los acontecimientos fueron mayoritariamente leves a moderados (Karaa 2023, PMID 37268435).</w:t>
      </w:r>
    </w:p>
    <w:p>
      <w:pPr>
        <w:numPr>
          <w:ilvl w:val="0"/>
          <w:numId w:val="1237"/>
        </w:numPr>
        <w:pStyle w:val="Compact"/>
      </w:pPr>
      <w:r>
        <w:t xml:space="preserve">Solo hay datos a largo plazo de pocas personas con síndrome de Barth durante algo más de tres años (Thompson 2024, PMID 38602181).</w:t>
      </w:r>
    </w:p>
    <w:p>
      <w:pPr>
        <w:pStyle w:val="FirstParagraph"/>
      </w:pPr>
      <w:r>
        <w:rPr>
          <w:bCs/>
          <w:b/>
        </w:rPr>
        <w:t xml:space="preserve">Teórico:</w:t>
      </w:r>
      <w:r>
        <w:t xml:space="preserve"> </w:t>
      </w:r>
      <w:r>
        <w:t xml:space="preserve">Un principio activo que interviene de forma continuada en las mitocondrias de todas las células del organismo podría tener efectos desconocidos en personas sanas con un uso durante años; no hay datos al respecto.</w:t>
      </w:r>
    </w:p>
    <w:p>
      <w:pPr>
        <w:pStyle w:val="BodyText"/>
      </w:pPr>
      <w:r>
        <w:rPr>
          <w:bCs/>
          <w:b/>
        </w:rPr>
        <w:t xml:space="preserve">Mercado gris:</w:t>
      </w:r>
      <w:r>
        <w:t xml:space="preserve"> </w:t>
      </w:r>
      <w:r>
        <w:t xml:space="preserve">«SS-31» se vende en internet en polvo para inyección para el «rejuvenecimiento mitocondrial». Estos productos no son el medicamento autorizado; el contenido y la pureza no están comprobados. Para personas sanas no hay ningún beneficio demostrado.</w:t>
      </w:r>
    </w:p>
    <w:bookmarkEnd w:id="711"/>
    <w:bookmarkStart w:id="712" w:name="situación-legal-43"/>
    <w:p>
      <w:pPr>
        <w:pStyle w:val="Heading3"/>
      </w:pPr>
      <w:r>
        <w:t xml:space="preserve">Situación legal</w:t>
      </w:r>
    </w:p>
    <w:p>
      <w:pPr>
        <w:numPr>
          <w:ilvl w:val="0"/>
          <w:numId w:val="1238"/>
        </w:numPr>
        <w:pStyle w:val="Compact"/>
      </w:pPr>
      <w:r>
        <w:rPr>
          <w:bCs/>
          <w:b/>
        </w:rPr>
        <w:t xml:space="preserve">UE / Austria / Alemania:</w:t>
      </w:r>
      <w:r>
        <w:t xml:space="preserve"> </w:t>
      </w:r>
      <w:r>
        <w:t xml:space="preserve">no autorizada. La elamipretida es un medicamento; su uso solo es posible en el marco de estudios o de programas de uso compasivo (situación en 2026; compruebe la información actualizada).</w:t>
      </w:r>
    </w:p>
    <w:p>
      <w:pPr>
        <w:numPr>
          <w:ilvl w:val="0"/>
          <w:numId w:val="1238"/>
        </w:numPr>
        <w:pStyle w:val="Compact"/>
      </w:pPr>
      <w:r>
        <w:rPr>
          <w:bCs/>
          <w:b/>
        </w:rPr>
        <w:t xml:space="preserve">EE. UU.:</w:t>
      </w:r>
      <w:r>
        <w:t xml:space="preserve"> </w:t>
      </w:r>
      <w:r>
        <w:t xml:space="preserve">autorización acelerada (Forzinity, septiembre de 2025) solo para el síndrome de Barth a partir de 30 kg de peso corporal; remisión a la ficha técnica y acompañamiento médico. Para otras enfermedades existe un programa de uso compasivo (NCT04689360).</w:t>
      </w:r>
    </w:p>
    <w:p>
      <w:pPr>
        <w:numPr>
          <w:ilvl w:val="0"/>
          <w:numId w:val="1238"/>
        </w:numPr>
        <w:pStyle w:val="Compact"/>
      </w:pPr>
      <w:r>
        <w:rPr>
          <w:bCs/>
          <w:b/>
        </w:rPr>
        <w:t xml:space="preserve">Deporte:</w:t>
      </w:r>
      <w:r>
        <w:t xml:space="preserve"> </w:t>
      </w:r>
      <w:r>
        <w:t xml:space="preserve">no figura nominalmente en la lista de la WADA (situación en 2026; compruebe la información actualizada).</w:t>
      </w:r>
    </w:p>
    <w:bookmarkEnd w:id="712"/>
    <w:bookmarkStart w:id="713" w:name="estudios-en-curso-y-perspectivas-43"/>
    <w:p>
      <w:pPr>
        <w:pStyle w:val="Heading3"/>
      </w:pPr>
      <w:r>
        <w:t xml:space="preserve">Estudios en curso y perspectivas</w:t>
      </w:r>
    </w:p>
    <w:p>
      <w:pPr>
        <w:pStyle w:val="FirstParagraph"/>
      </w:pPr>
      <w:r>
        <w:rPr>
          <w:bCs/>
          <w:b/>
        </w:rPr>
        <w:t xml:space="preserve">Confirmado (estudios registrados, situación en octubre de 2026):</w:t>
      </w:r>
    </w:p>
    <w:p>
      <w:pPr>
        <w:numPr>
          <w:ilvl w:val="0"/>
          <w:numId w:val="1239"/>
        </w:numPr>
        <w:pStyle w:val="Compact"/>
      </w:pPr>
      <w:r>
        <w:rPr>
          <w:bCs/>
          <w:b/>
        </w:rPr>
        <w:t xml:space="preserve">ReNEW</w:t>
      </w:r>
      <w:r>
        <w:t xml:space="preserve"> </w:t>
      </w:r>
      <w:r>
        <w:t xml:space="preserve">(NCT06373731): fase 3 en la degeneración macular seca, 313 participantes, reclutamiento concluido, fin previsto en 2027.</w:t>
      </w:r>
    </w:p>
    <w:p>
      <w:pPr>
        <w:numPr>
          <w:ilvl w:val="0"/>
          <w:numId w:val="1239"/>
        </w:numPr>
        <w:pStyle w:val="Compact"/>
      </w:pPr>
      <w:r>
        <w:rPr>
          <w:bCs/>
          <w:b/>
        </w:rPr>
        <w:t xml:space="preserve">4TAZPower</w:t>
      </w:r>
      <w:r>
        <w:t xml:space="preserve"> </w:t>
      </w:r>
      <w:r>
        <w:t xml:space="preserve">(NCT07531251): estudio de confirmación en el síndrome de Barth con 48 participantes previstos, en reclutamiento.</w:t>
      </w:r>
    </w:p>
    <w:p>
      <w:pPr>
        <w:numPr>
          <w:ilvl w:val="0"/>
          <w:numId w:val="1239"/>
        </w:numPr>
        <w:pStyle w:val="Compact"/>
      </w:pPr>
      <w:r>
        <w:rPr>
          <w:bCs/>
          <w:b/>
        </w:rPr>
        <w:t xml:space="preserve">NuPOWER</w:t>
      </w:r>
      <w:r>
        <w:t xml:space="preserve"> </w:t>
      </w:r>
      <w:r>
        <w:t xml:space="preserve">(NCT05162768): fase 3 en la enfermedad mitocondrial por mutaciones del ADN nuclear, 102 participantes, concluido; resultados pendientes.</w:t>
      </w:r>
    </w:p>
    <w:p>
      <w:pPr>
        <w:numPr>
          <w:ilvl w:val="0"/>
          <w:numId w:val="1239"/>
        </w:numPr>
        <w:pStyle w:val="Compact"/>
      </w:pPr>
      <w:r>
        <w:t xml:space="preserve">Un pequeño estudio de fase 2 en personas mayores sanas examina la función física (NCT07275424).</w:t>
      </w:r>
    </w:p>
    <w:p>
      <w:pPr>
        <w:pStyle w:val="FirstParagraph"/>
      </w:pPr>
      <w:r>
        <w:rPr>
          <w:bCs/>
          <w:b/>
        </w:rPr>
        <w:t xml:space="preserve">Valoración:</w:t>
      </w:r>
      <w:r>
        <w:t xml:space="preserve"> </w:t>
      </w:r>
      <w:r>
        <w:t xml:space="preserve">Si la elamipretida encuentra un lugar más allá del síndrome de Barth lo decidirán ReNEW y NuPOWER. La experiencia de MMPOWER-3, EMBRACE y PROGRESS-HF aconseja prudencia: un mecanismo convincente no garantiza un beneficio clínico.</w:t>
      </w:r>
    </w:p>
    <w:bookmarkEnd w:id="713"/>
    <w:bookmarkStart w:id="714" w:name="conclusión-43"/>
    <w:p>
      <w:pPr>
        <w:pStyle w:val="Heading3"/>
      </w:pPr>
      <w:r>
        <w:t xml:space="preserve">Conclusión</w:t>
      </w:r>
    </w:p>
    <w:p>
      <w:pPr>
        <w:pStyle w:val="FirstParagraph"/>
      </w:pPr>
      <w:r>
        <w:t xml:space="preserve">La elamipretida (SS-31) es un tetrapéptido que se une a la cardiolipina de las mitocondrias y que, como primer medicamento mitocondrial, recibió en 2025 en EE. UU. una autorización acelerada para el síndrome de Barth, muy poco frecuente, sobre la base de un estudio con doce personas cuya parte controlada no alcanzó sus criterios principales y de datos abiertos a largo plazo. En estudios aleatorizados de mayor tamaño en la miopatía mitocondrial, el infarto de miocardio, la insuficiencia cardiaca y la degeneración macular no se alcanzaron los criterios de valoración principales. El medicamento se tolera bien; son frecuentes sobre todo las reacciones en el lugar de inyección. Para personas sanas o como remedio «antienvejecimiento» no hay ningún beneficio demostrado.</w:t>
      </w:r>
    </w:p>
    <w:bookmarkEnd w:id="714"/>
    <w:bookmarkEnd w:id="715"/>
    <w:bookmarkStart w:id="725" w:name="foxo4-dri"/>
    <w:p>
      <w:pPr>
        <w:pStyle w:val="Heading2"/>
      </w:pPr>
      <w:r>
        <w:t xml:space="preserve">FOXO4-DRI</w:t>
      </w:r>
    </w:p>
    <w:bookmarkStart w:id="716" w:name="ficha-44"/>
    <w:p>
      <w:pPr>
        <w:pStyle w:val="Heading3"/>
      </w:pPr>
      <w:r>
        <w:t xml:space="preserve">Ficha</w:t>
      </w:r>
    </w:p>
    <w:p>
      <w:pPr>
        <w:numPr>
          <w:ilvl w:val="0"/>
          <w:numId w:val="1240"/>
        </w:numPr>
        <w:pStyle w:val="Compact"/>
      </w:pPr>
      <w:r>
        <w:rPr>
          <w:bCs/>
          <w:b/>
        </w:rPr>
        <w:t xml:space="preserve">Tipo y estructura:</w:t>
      </w:r>
      <w:r>
        <w:t xml:space="preserve"> </w:t>
      </w:r>
      <w:r>
        <w:t xml:space="preserve">péptido sintético comparativamente largo, derivado de un segmento de la proteína FOXO4. «DRI» significa</w:t>
      </w:r>
      <w:r>
        <w:t xml:space="preserve"> </w:t>
      </w:r>
      <w:r>
        <w:rPr>
          <w:iCs/>
          <w:i/>
        </w:rPr>
        <w:t xml:space="preserve">D-retro-inverso</w:t>
      </w:r>
      <w:r>
        <w:t xml:space="preserve">: el péptido está formado por D-aminoácidos especulares en orden inverso. Por ello, las enzimas del organismo apenas lo degradan. Un segmento añadido con carga positiva (derivado de una proteína vírica) debería introducirlo en las células.</w:t>
      </w:r>
    </w:p>
    <w:p>
      <w:pPr>
        <w:numPr>
          <w:ilvl w:val="0"/>
          <w:numId w:val="1240"/>
        </w:numPr>
        <w:pStyle w:val="Compact"/>
      </w:pPr>
      <w:r>
        <w:rPr>
          <w:bCs/>
          <w:b/>
        </w:rPr>
        <w:t xml:space="preserve">Origen:</w:t>
      </w:r>
      <w:r>
        <w:t xml:space="preserve"> </w:t>
      </w:r>
      <w:r>
        <w:t xml:space="preserve">presentado en 2017 por un grupo de trabajo neerlandés dirigido por Peter de Keizer (Erasmus MC, Róterdam).</w:t>
      </w:r>
    </w:p>
    <w:p>
      <w:pPr>
        <w:numPr>
          <w:ilvl w:val="0"/>
          <w:numId w:val="1240"/>
        </w:numPr>
        <w:pStyle w:val="Compact"/>
      </w:pPr>
      <w:r>
        <w:rPr>
          <w:bCs/>
          <w:b/>
        </w:rPr>
        <w:t xml:space="preserve">Mecanismo de acción:</w:t>
      </w:r>
      <w:r>
        <w:t xml:space="preserve"> </w:t>
      </w:r>
      <w:r>
        <w:rPr>
          <w:bCs/>
          <w:b/>
        </w:rPr>
        <w:t xml:space="preserve">senolítico</w:t>
      </w:r>
      <w:r>
        <w:t xml:space="preserve">: una sustancia que debería empujar de forma selectiva a las células envejecidas, llamadas senescentes, hacia la muerte celular programada, alterando la unión entre FOXO4 y la proteína protectora p53.</w:t>
      </w:r>
    </w:p>
    <w:p>
      <w:pPr>
        <w:numPr>
          <w:ilvl w:val="0"/>
          <w:numId w:val="1240"/>
        </w:numPr>
        <w:pStyle w:val="Compact"/>
      </w:pPr>
      <w:r>
        <w:rPr>
          <w:bCs/>
          <w:b/>
        </w:rPr>
        <w:t xml:space="preserve">Autorización UE:</w:t>
      </w:r>
      <w:r>
        <w:t xml:space="preserve"> </w:t>
      </w:r>
      <w:r>
        <w:t xml:space="preserve">no.</w:t>
      </w:r>
    </w:p>
    <w:p>
      <w:pPr>
        <w:numPr>
          <w:ilvl w:val="0"/>
          <w:numId w:val="1240"/>
        </w:numPr>
        <w:pStyle w:val="Compact"/>
      </w:pPr>
      <w:r>
        <w:rPr>
          <w:bCs/>
          <w:b/>
        </w:rPr>
        <w:t xml:space="preserve">Autorización EE. UU.:</w:t>
      </w:r>
      <w:r>
        <w:t xml:space="preserve"> </w:t>
      </w:r>
      <w:r>
        <w:t xml:space="preserve">no.</w:t>
      </w:r>
    </w:p>
    <w:p>
      <w:pPr>
        <w:numPr>
          <w:ilvl w:val="0"/>
          <w:numId w:val="1240"/>
        </w:numPr>
        <w:pStyle w:val="Compact"/>
      </w:pPr>
      <w:r>
        <w:rPr>
          <w:bCs/>
          <w:b/>
        </w:rPr>
        <w:t xml:space="preserve">WADA:</w:t>
      </w:r>
      <w:r>
        <w:t xml:space="preserve"> </w:t>
      </w:r>
      <w:r>
        <w:t xml:space="preserve">no figura nominalmente; como sustancia no autorizada en ningún lugar, FOXO4-DRI entra, según nuestra valoración, en la categoría general S0 (situación en 2026; compruebe la información actualizada).</w:t>
      </w:r>
    </w:p>
    <w:p>
      <w:pPr>
        <w:numPr>
          <w:ilvl w:val="0"/>
          <w:numId w:val="1240"/>
        </w:numPr>
        <w:pStyle w:val="Compact"/>
      </w:pPr>
      <w:r>
        <w:rPr>
          <w:bCs/>
          <w:b/>
        </w:rPr>
        <w:t xml:space="preserve">Nivel de evidencia:</w:t>
      </w:r>
      <w:r>
        <w:t xml:space="preserve"> </w:t>
      </w:r>
      <w:r>
        <w:rPr>
          <w:bCs/>
          <w:b/>
        </w:rPr>
        <w:t xml:space="preserve">D</w:t>
      </w:r>
      <w:r>
        <w:t xml:space="preserve"> </w:t>
      </w:r>
      <w:r>
        <w:t xml:space="preserve">– exclusivamente estudios en animales y de laboratorio.</w:t>
      </w:r>
    </w:p>
    <w:bookmarkEnd w:id="716"/>
    <w:bookmarkStart w:id="718" w:name="cómo-se-supone-que-actúa-44"/>
    <w:p>
      <w:pPr>
        <w:pStyle w:val="Heading3"/>
      </w:pPr>
      <w:r>
        <w:t xml:space="preserve">Cómo se supone que actúa</w:t>
      </w:r>
    </w:p>
    <w:p>
      <w:pPr>
        <w:pStyle w:val="FirstParagraph"/>
      </w:pPr>
      <w:r>
        <w:t xml:space="preserve">Las</w:t>
      </w:r>
      <w:r>
        <w:t xml:space="preserve"> </w:t>
      </w:r>
      <w:r>
        <w:rPr>
          <w:bCs/>
          <w:b/>
        </w:rPr>
        <w:t xml:space="preserve">células senescentes</w:t>
      </w:r>
      <w:r>
        <w:t xml:space="preserve"> </w:t>
      </w:r>
      <w:r>
        <w:t xml:space="preserve">son células que, tras sufrir daños –por ejemplo por radiación, quimioterapia, estrés oxidativo o simplemente por muchas divisiones–, ya no se dividen, pero tampoco mueren. Permanecen en el tejido y liberan una mezcla de mensajeros inflamatorios y enzimas que degradan el tejido, denominada SASP (</w:t>
      </w:r>
      <w:r>
        <w:rPr>
          <w:iCs/>
          <w:i/>
        </w:rPr>
        <w:t xml:space="preserve">senescence-associated secretory phenotype</w:t>
      </w:r>
      <w:r>
        <w:t xml:space="preserve">). Con la edad aumentan en muchos órganos. En ratones en los que estas células se eliminaron de forma genética selectiva, se retrasaron diversos signos del envejecimiento. De ahí surgió la idea de los</w:t>
      </w:r>
      <w:r>
        <w:t xml:space="preserve"> </w:t>
      </w:r>
      <w:r>
        <w:rPr>
          <w:bCs/>
          <w:b/>
        </w:rPr>
        <w:t xml:space="preserve">senolíticos</w:t>
      </w:r>
      <w:r>
        <w:t xml:space="preserve">: medicamentos que eliminan las células senescentes.</w:t>
      </w:r>
    </w:p>
    <w:p>
      <w:pPr>
        <w:pStyle w:val="BodyText"/>
      </w:pPr>
      <w:r>
        <w:t xml:space="preserve">Las células senescentes sobreviven, entre otras cosas, porque suprimen programas de autodestrucción. El grupo de Róterdam descubrió que la proteína FOXO4 desempeña en ello un papel clave: retiene en el núcleo celular a la proteína p53, que de otro modo desencadenaría la muerte celular. El péptido FOXO4-DRI altera esta unión; p53 es desplazada del núcleo y la célula senescente muere. Las células sanas que se dividen con normalidad deberían quedar en gran medida a salvo (Baar 2017, PMID 28340339). Estudios estructurales de 2025 confirmaron que FOXO4-DRI se une a un segmento desordenado de p53, y que en la unión participa también el segmento del péptido que lo introduce en las células (Bourgeois 2025, PMID 40593617).</w:t>
      </w:r>
    </w:p>
    <w:bookmarkStart w:id="717" w:name="senolíticos-en-el-ser-humano-el-contexto"/>
    <w:p>
      <w:pPr>
        <w:pStyle w:val="Heading4"/>
      </w:pPr>
      <w:r>
        <w:t xml:space="preserve">Senolíticos en el ser humano: el contexto</w:t>
      </w:r>
    </w:p>
    <w:p>
      <w:pPr>
        <w:pStyle w:val="FirstParagraph"/>
      </w:pPr>
      <w:r>
        <w:t xml:space="preserve">FOXO4-DRI en sí nunca se ha evaluado en humanos. Para situarlo ayuda echar un vistazo a otros senolíticos que ya se han estudiado clínicamente, sobre todo la combinación del fármaco antineoplásico dasatinib y la sustancia vegetal quercetina (abreviada D+Q):</w:t>
      </w:r>
    </w:p>
    <w:p>
      <w:pPr>
        <w:numPr>
          <w:ilvl w:val="0"/>
          <w:numId w:val="1241"/>
        </w:numPr>
        <w:pStyle w:val="Compact"/>
      </w:pPr>
      <w:r>
        <w:t xml:space="preserve">En un primer estudio piloto abierto con 14 personas con fibrosis pulmonar idiopática mejoraron la distancia y la velocidad de la marcha, pero no la función pulmonar; se produjo un acontecimiento adverso grave (Justice 2019, PMID 30616998).</w:t>
      </w:r>
    </w:p>
    <w:p>
      <w:pPr>
        <w:numPr>
          <w:ilvl w:val="0"/>
          <w:numId w:val="1241"/>
        </w:numPr>
        <w:pStyle w:val="Compact"/>
      </w:pPr>
      <w:r>
        <w:t xml:space="preserve">En un estudio aleatorizado de fase 2 con 60 mujeres posmenopáusicas, D+Q no redujo el marcador de resorción ósea (criterio principal no alcanzado); solo en un subgrupo analizado a posteriori con muchas células senescentes se observaron efectos favorables (Farr 2024, PMID 38956196).</w:t>
      </w:r>
    </w:p>
    <w:p>
      <w:pPr>
        <w:pStyle w:val="FirstParagraph"/>
      </w:pPr>
      <w:r>
        <w:t xml:space="preserve">La investigación clínica sobre senolíticos está, por tanto, aún en sus inicios, y los primeros resultados controlados son modestos. Ese es el trasfondo sobre el que FOXO4-DRI se vende en internet como «péptido rejuvenecedor».</w:t>
      </w:r>
    </w:p>
    <w:bookmarkEnd w:id="717"/>
    <w:bookmarkEnd w:id="718"/>
    <w:bookmarkStart w:id="719" w:name="estudios-en-humanos-44"/>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w:t>
      </w:r>
      <w:r>
        <w:t xml:space="preserve"> </w:t>
      </w:r>
      <w:r>
        <w:rPr>
          <w:bCs/>
          <w:b/>
        </w:rPr>
        <w:t xml:space="preserve">no</w:t>
      </w:r>
      <w:r>
        <w:t xml:space="preserve"> </w:t>
      </w:r>
      <w:r>
        <w:t xml:space="preserve">arrojó ningún estudio en humanos con FOXO4-DRI; en total, PubMed recoge unos 20 trabajos con el término. En ClinicalTrials.gov no hay ningún estudio registrado. Tampoco se encontraron informes de casos sobre su uso en humanos ni análisis de productos del mercado gris.</w:t>
      </w:r>
    </w:p>
    <w:p>
      <w:pPr>
        <w:pStyle w:val="BodyText"/>
      </w:pPr>
      <w:r>
        <w:t xml:space="preserve">Lo más cercano al ser humano es un estudio de laboratorio con células de cartílago humanas: en células que se habían multiplicado en el laboratorio para un trasplante de cartílago, FOXO4-DRI eliminó más de la mitad de las células muy multiplicadas (y por tanto con más frecuencia senescentes), pero no mejoró la capacidad de formar cartílago nuevo (Huang 2021, PMID 33996787).</w:t>
      </w:r>
    </w:p>
    <w:bookmarkEnd w:id="719"/>
    <w:bookmarkStart w:id="720" w:name="estudios-en-animales-y-de-laboratorio-44"/>
    <w:p>
      <w:pPr>
        <w:pStyle w:val="Heading3"/>
      </w:pPr>
      <w:r>
        <w:t xml:space="preserve">Estudios en animales y de laboratorio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Estudio</w:t>
            </w:r>
          </w:p>
        </w:tc>
        <w:tc>
          <w:tcPr/>
          <w:p>
            <w:pPr>
              <w:pStyle w:val="Compact"/>
              <w:jc w:val="left"/>
            </w:pPr>
            <w:r>
              <w:t xml:space="preserve">Modelo</w:t>
            </w:r>
          </w:p>
        </w:tc>
        <w:tc>
          <w:tcPr/>
          <w:p>
            <w:pPr>
              <w:pStyle w:val="Compact"/>
              <w:jc w:val="left"/>
            </w:pPr>
            <w:r>
              <w:t xml:space="preserve">Resultado</w:t>
            </w:r>
          </w:p>
        </w:tc>
      </w:tr>
      <w:tr>
        <w:tc>
          <w:tcPr/>
          <w:p>
            <w:pPr>
              <w:pStyle w:val="Compact"/>
              <w:jc w:val="left"/>
            </w:pPr>
            <w:r>
              <w:t xml:space="preserve">Baar 2017, PMID 28340339</w:t>
            </w:r>
          </w:p>
        </w:tc>
        <w:tc>
          <w:tcPr/>
          <w:p>
            <w:pPr>
              <w:pStyle w:val="Compact"/>
              <w:jc w:val="left"/>
            </w:pPr>
            <w:r>
              <w:t xml:space="preserve">ratones de envejecimiento acelerado y envejecidos de forma natural; daños por quimioterapia</w:t>
            </w:r>
          </w:p>
        </w:tc>
        <w:tc>
          <w:tcPr/>
          <w:p>
            <w:pPr>
              <w:pStyle w:val="Compact"/>
              <w:jc w:val="left"/>
            </w:pPr>
            <w:r>
              <w:t xml:space="preserve">mejor forma física, pelaje más denso, mejor función renal; protección frente a daños por doxorrubicina</w:t>
            </w:r>
          </w:p>
        </w:tc>
      </w:tr>
      <w:tr>
        <w:tc>
          <w:tcPr/>
          <w:p>
            <w:pPr>
              <w:pStyle w:val="Compact"/>
              <w:jc w:val="left"/>
            </w:pPr>
            <w:r>
              <w:t xml:space="preserve">Zhang 2020, PMID 31959736</w:t>
            </w:r>
          </w:p>
        </w:tc>
        <w:tc>
          <w:tcPr/>
          <w:p>
            <w:pPr>
              <w:pStyle w:val="Compact"/>
              <w:jc w:val="left"/>
            </w:pPr>
            <w:r>
              <w:t xml:space="preserve">ratones envejecidos de forma natural</w:t>
            </w:r>
          </w:p>
        </w:tc>
        <w:tc>
          <w:tcPr/>
          <w:p>
            <w:pPr>
              <w:pStyle w:val="Compact"/>
              <w:jc w:val="left"/>
            </w:pPr>
            <w:r>
              <w:t xml:space="preserve">mejora de la producción de testosterona en los testículos</w:t>
            </w:r>
          </w:p>
        </w:tc>
      </w:tr>
      <w:tr>
        <w:tc>
          <w:tcPr/>
          <w:p>
            <w:pPr>
              <w:pStyle w:val="Compact"/>
              <w:jc w:val="left"/>
            </w:pPr>
            <w:r>
              <w:t xml:space="preserve">Han 2022, PMID 35510614</w:t>
            </w:r>
          </w:p>
        </w:tc>
        <w:tc>
          <w:tcPr/>
          <w:p>
            <w:pPr>
              <w:pStyle w:val="Compact"/>
              <w:jc w:val="left"/>
            </w:pPr>
            <w:r>
              <w:t xml:space="preserve">fibrosis pulmonar en ratones</w:t>
            </w:r>
          </w:p>
        </w:tc>
        <w:tc>
          <w:tcPr/>
          <w:p>
            <w:pPr>
              <w:pStyle w:val="Compact"/>
              <w:jc w:val="left"/>
            </w:pPr>
            <w:r>
              <w:t xml:space="preserve">menos cicatrización</w:t>
            </w:r>
          </w:p>
        </w:tc>
      </w:tr>
      <w:tr>
        <w:tc>
          <w:tcPr/>
          <w:p>
            <w:pPr>
              <w:pStyle w:val="Compact"/>
              <w:jc w:val="left"/>
            </w:pPr>
            <w:r>
              <w:t xml:space="preserve">Kong 2025, PMID 39994346</w:t>
            </w:r>
          </w:p>
        </w:tc>
        <w:tc>
          <w:tcPr/>
          <w:p>
            <w:pPr>
              <w:pStyle w:val="Compact"/>
              <w:jc w:val="left"/>
            </w:pPr>
            <w:r>
              <w:t xml:space="preserve">tejido queloide (cicatrices excesivas) en el laboratorio</w:t>
            </w:r>
          </w:p>
        </w:tc>
        <w:tc>
          <w:tcPr/>
          <w:p>
            <w:pPr>
              <w:pStyle w:val="Compact"/>
              <w:jc w:val="left"/>
            </w:pPr>
            <w:r>
              <w:t xml:space="preserve">más muerte celular de fibroblastos senescentes</w:t>
            </w:r>
          </w:p>
        </w:tc>
      </w:tr>
      <w:tr>
        <w:tc>
          <w:tcPr/>
          <w:p>
            <w:pPr>
              <w:pStyle w:val="Compact"/>
              <w:jc w:val="left"/>
            </w:pPr>
            <w:r>
              <w:t xml:space="preserve">Born 2023, PMID 36515093</w:t>
            </w:r>
          </w:p>
        </w:tc>
        <w:tc>
          <w:tcPr/>
          <w:p>
            <w:pPr>
              <w:pStyle w:val="Compact"/>
              <w:jc w:val="left"/>
            </w:pPr>
            <w:r>
              <w:t xml:space="preserve">modelos de hipertensión pulmonar en ratones y ratas</w:t>
            </w:r>
          </w:p>
        </w:tc>
        <w:tc>
          <w:tcPr/>
          <w:p>
            <w:pPr>
              <w:pStyle w:val="Compact"/>
              <w:jc w:val="left"/>
            </w:pPr>
            <w:r>
              <w:t xml:space="preserve">la eliminación de células senescentes, también con FOXO4-DRI,</w:t>
            </w:r>
            <w:r>
              <w:t xml:space="preserve"> </w:t>
            </w:r>
            <w:r>
              <w:rPr>
                <w:bCs/>
                <w:b/>
              </w:rPr>
              <w:t xml:space="preserve">empeoró</w:t>
            </w:r>
            <w:r>
              <w:t xml:space="preserve"> </w:t>
            </w:r>
            <w:r>
              <w:t xml:space="preserve">la circulación pulmonar</w:t>
            </w:r>
          </w:p>
        </w:tc>
      </w:tr>
    </w:tbl>
    <w:p>
      <w:pPr>
        <w:pStyle w:val="BodyText"/>
      </w:pPr>
      <w:r>
        <w:t xml:space="preserve">La primera descripción despertó gran atención: en ratones de envejecimiento acelerado y en animales envejecidos de forma natural mejoraron la forma física, el aspecto del pelaje y la función renal (Baar 2017, PMID 28340339). Trabajos posteriores de otros grupos, sobre todo de China, describieron efectos en los testículos, el pulmón y la piel.</w:t>
      </w:r>
    </w:p>
    <w:p>
      <w:pPr>
        <w:pStyle w:val="BodyText"/>
      </w:pPr>
      <w:r>
        <w:t xml:space="preserve">Un importante hallazgo en sentido contrario procede de la investigación cardiovascular: en modelos de hipertensión pulmonar, la eliminación de células senescentes –tanto genética como con los senolíticos ABT263 o FOXO4-DRI– empeoró la presión en la circulación pulmonar y provocó la pérdida de células endoteliales del pulmón. Los autores concluyen que los senolíticos podrían dañar los vasos pulmonares (Born 2023, PMID 36515093). Esto muestra que las células senescentes no son solo un «lastre», sino que en algunos tejidos también pueden tener funciones estabilizadoras.</w:t>
      </w:r>
    </w:p>
    <w:bookmarkEnd w:id="720"/>
    <w:bookmarkStart w:id="721" w:name="riesgos-y-efectos-adversos-44"/>
    <w:p>
      <w:pPr>
        <w:pStyle w:val="Heading3"/>
      </w:pPr>
      <w:r>
        <w:t xml:space="preserve">Riesgos y efectos adversos</w:t>
      </w:r>
    </w:p>
    <w:p>
      <w:pPr>
        <w:pStyle w:val="FirstParagraph"/>
      </w:pPr>
      <w:r>
        <w:rPr>
          <w:bCs/>
          <w:b/>
        </w:rPr>
        <w:t xml:space="preserve">Demostrado:</w:t>
      </w:r>
      <w:r>
        <w:t xml:space="preserve"> </w:t>
      </w:r>
      <w:r>
        <w:t xml:space="preserve">Sin datos en humanos.</w:t>
      </w:r>
    </w:p>
    <w:p>
      <w:pPr>
        <w:pStyle w:val="BodyText"/>
      </w:pPr>
      <w:r>
        <w:rPr>
          <w:bCs/>
          <w:b/>
        </w:rPr>
        <w:t xml:space="preserve">Teórico, y en parte respaldado por datos en animales:</w:t>
      </w:r>
    </w:p>
    <w:p>
      <w:pPr>
        <w:numPr>
          <w:ilvl w:val="0"/>
          <w:numId w:val="1242"/>
        </w:numPr>
        <w:pStyle w:val="Compact"/>
      </w:pPr>
      <w:r>
        <w:rPr>
          <w:bCs/>
          <w:b/>
        </w:rPr>
        <w:t xml:space="preserve">Vasos y pulmón:</w:t>
      </w:r>
      <w:r>
        <w:t xml:space="preserve"> </w:t>
      </w:r>
      <w:r>
        <w:t xml:space="preserve">En el modelo animal, FOXO4-DRI empeoró una hipertensión pulmonar existente (Born 2023, PMID 36515093).</w:t>
      </w:r>
    </w:p>
    <w:p>
      <w:pPr>
        <w:numPr>
          <w:ilvl w:val="0"/>
          <w:numId w:val="1242"/>
        </w:numPr>
        <w:pStyle w:val="Compact"/>
      </w:pPr>
      <w:r>
        <w:rPr>
          <w:bCs/>
          <w:b/>
        </w:rPr>
        <w:t xml:space="preserve">p53 y cáncer:</w:t>
      </w:r>
      <w:r>
        <w:t xml:space="preserve"> </w:t>
      </w:r>
      <w:r>
        <w:t xml:space="preserve">p53 es uno de los supresores tumorales más importantes del organismo. FOXO4-DRI modifica de forma selectiva dónde se encuentra p53 dentro de la célula. No se han estudiado las consecuencias a largo plazo para la defensa contra el cáncer. Los desarrolladores ven el principio, a la inversa, también como un enfoque para el tratamiento del cáncer (Bourgeois 2025, PMID 40593617).</w:t>
      </w:r>
    </w:p>
    <w:p>
      <w:pPr>
        <w:numPr>
          <w:ilvl w:val="0"/>
          <w:numId w:val="1242"/>
        </w:numPr>
        <w:pStyle w:val="Compact"/>
      </w:pPr>
      <w:r>
        <w:rPr>
          <w:bCs/>
          <w:b/>
        </w:rPr>
        <w:t xml:space="preserve">Cicatrización de heridas y reparación tisular:</w:t>
      </w:r>
      <w:r>
        <w:t xml:space="preserve"> </w:t>
      </w:r>
      <w:r>
        <w:t xml:space="preserve">Las células senescentes participan también en la cicatrización de heridas y la remodelación tisular; su eliminación puede alterar estos procesos.</w:t>
      </w:r>
    </w:p>
    <w:p>
      <w:pPr>
        <w:numPr>
          <w:ilvl w:val="0"/>
          <w:numId w:val="1242"/>
        </w:numPr>
        <w:pStyle w:val="Compact"/>
      </w:pPr>
      <w:r>
        <w:rPr>
          <w:bCs/>
          <w:b/>
        </w:rPr>
        <w:t xml:space="preserve">Reacciones inmunitarias:</w:t>
      </w:r>
      <w:r>
        <w:t xml:space="preserve"> </w:t>
      </w:r>
      <w:r>
        <w:t xml:space="preserve">El péptido contiene un segmento de una proteína vírica y es relativamente grande; son concebibles reacciones inmunitarias con la administración repetida, pero no se han estudiado.</w:t>
      </w:r>
    </w:p>
    <w:p>
      <w:pPr>
        <w:pStyle w:val="FirstParagraph"/>
      </w:pPr>
      <w:r>
        <w:rPr>
          <w:bCs/>
          <w:b/>
        </w:rPr>
        <w:t xml:space="preserve">Mercado gris:</w:t>
      </w:r>
      <w:r>
        <w:t xml:space="preserve"> </w:t>
      </w:r>
      <w:r>
        <w:t xml:space="preserve">FOXO4-DRI se ofrece en internet como «senolítico» para inyección, a menudo a precios elevados. La fabricación de un péptido largo a partir de D-aminoácidos es exigente; no está comprobado si los productos vendidos tienen realmente la secuencia y la pureza correctas.</w:t>
      </w:r>
    </w:p>
    <w:bookmarkEnd w:id="721"/>
    <w:bookmarkStart w:id="722" w:name="situación-legal-44"/>
    <w:p>
      <w:pPr>
        <w:pStyle w:val="Heading3"/>
      </w:pPr>
      <w:r>
        <w:t xml:space="preserve">Situación legal</w:t>
      </w:r>
    </w:p>
    <w:p>
      <w:pPr>
        <w:numPr>
          <w:ilvl w:val="0"/>
          <w:numId w:val="1243"/>
        </w:numPr>
        <w:pStyle w:val="Compact"/>
      </w:pPr>
      <w:r>
        <w:rPr>
          <w:bCs/>
          <w:b/>
        </w:rPr>
        <w:t xml:space="preserve">UE / Austria / Alemania:</w:t>
      </w:r>
      <w:r>
        <w:t xml:space="preserve"> </w:t>
      </w:r>
      <w:r>
        <w:t xml:space="preserve">no autorizado; como sustancia con efecto farmacológico, FOXO4-DRI se considera medicamento, y su venta para uso en humanos no está permitida (situación en 2026; compruebe la información actualizada).</w:t>
      </w:r>
    </w:p>
    <w:p>
      <w:pPr>
        <w:numPr>
          <w:ilvl w:val="0"/>
          <w:numId w:val="1243"/>
        </w:numPr>
        <w:pStyle w:val="Compact"/>
      </w:pPr>
      <w:r>
        <w:rPr>
          <w:bCs/>
          <w:b/>
        </w:rPr>
        <w:t xml:space="preserve">EE. UU.:</w:t>
      </w:r>
      <w:r>
        <w:t xml:space="preserve"> </w:t>
      </w:r>
      <w:r>
        <w:t xml:space="preserve">no autorizado.</w:t>
      </w:r>
    </w:p>
    <w:p>
      <w:pPr>
        <w:numPr>
          <w:ilvl w:val="0"/>
          <w:numId w:val="1243"/>
        </w:numPr>
        <w:pStyle w:val="Compact"/>
      </w:pPr>
      <w:r>
        <w:rPr>
          <w:bCs/>
          <w:b/>
        </w:rPr>
        <w:t xml:space="preserve">Deporte:</w:t>
      </w:r>
      <w:r>
        <w:t xml:space="preserve"> </w:t>
      </w:r>
      <w:r>
        <w:t xml:space="preserve">según nuestra valoración, categoría S0 de la WADA (situación en 2026; compruebe la información actualizada).</w:t>
      </w:r>
    </w:p>
    <w:bookmarkEnd w:id="722"/>
    <w:bookmarkStart w:id="723" w:name="estudios-en-curso-y-perspectivas-44"/>
    <w:p>
      <w:pPr>
        <w:pStyle w:val="Heading3"/>
      </w:pPr>
      <w:r>
        <w:t xml:space="preserve">Estudios en curso y perspectivas</w:t>
      </w:r>
    </w:p>
    <w:p>
      <w:pPr>
        <w:pStyle w:val="FirstParagraph"/>
      </w:pPr>
      <w:r>
        <w:rPr>
          <w:bCs/>
          <w:b/>
        </w:rPr>
        <w:t xml:space="preserve">Confirmado:</w:t>
      </w:r>
      <w:r>
        <w:t xml:space="preserve"> </w:t>
      </w:r>
      <w:r>
        <w:t xml:space="preserve">Ningún estudio clínico registrado con FOXO4-DRI (consulta de octubre de 2026). El grupo desarrollador trabaja en perfeccionamientos del principio; los estudios clínicos con senolíticos se realizan sobre todo con otros principios activos.</w:t>
      </w:r>
    </w:p>
    <w:p>
      <w:pPr>
        <w:pStyle w:val="BodyText"/>
      </w:pPr>
      <w:r>
        <w:rPr>
          <w:bCs/>
          <w:b/>
        </w:rPr>
        <w:t xml:space="preserve">Valoración:</w:t>
      </w:r>
      <w:r>
        <w:t xml:space="preserve"> </w:t>
      </w:r>
      <w:r>
        <w:t xml:space="preserve">La investigación sobre senolíticos es uno de los campos más apasionantes de la investigación sobre el envejecimiento, pero los primeros estudios controlados en humanos fueron decepcionantes. Para FOXO4-DRI harían falta primero estudios sistemáticos de toxicidad y un primer estudio prudente en humanos, idealmente en una enfermedad claramente definida y no como «antienvejecimiento» general.</w:t>
      </w:r>
    </w:p>
    <w:bookmarkEnd w:id="723"/>
    <w:bookmarkStart w:id="724" w:name="conclusión-44"/>
    <w:p>
      <w:pPr>
        <w:pStyle w:val="Heading3"/>
      </w:pPr>
      <w:r>
        <w:t xml:space="preserve">Conclusión</w:t>
      </w:r>
    </w:p>
    <w:p>
      <w:pPr>
        <w:pStyle w:val="FirstParagraph"/>
      </w:pPr>
      <w:r>
        <w:t xml:space="preserve">FOXO4-DRI es un péptido artificial que en cultivos celulares y en ratones eliminó de forma selectiva células senescentes y que en animales envejecidos mejoró la forma física, el pelaje y la función renal. Nunca se ha estudiado en humanos. En modelos animales de hipertensión pulmonar, la eliminación de células senescentes con FOXO4-DRI empeoró la evolución de la enfermedad, y la intervención sobre la proteína protectora contra el cáncer p53 plantea preguntas abiertas. Los datos no bastan para valorar el beneficio ni la seguridad en el ser humano.</w:t>
      </w:r>
    </w:p>
    <w:bookmarkEnd w:id="724"/>
    <w:bookmarkEnd w:id="725"/>
    <w:bookmarkStart w:id="737" w:name="glutatión"/>
    <w:p>
      <w:pPr>
        <w:pStyle w:val="Heading2"/>
      </w:pPr>
      <w:r>
        <w:t xml:space="preserve">Glutatión</w:t>
      </w:r>
    </w:p>
    <w:bookmarkStart w:id="726" w:name="ficha-45"/>
    <w:p>
      <w:pPr>
        <w:pStyle w:val="Heading3"/>
      </w:pPr>
      <w:r>
        <w:t xml:space="preserve">Ficha</w:t>
      </w:r>
    </w:p>
    <w:p>
      <w:pPr>
        <w:numPr>
          <w:ilvl w:val="0"/>
          <w:numId w:val="1244"/>
        </w:numPr>
        <w:pStyle w:val="Compact"/>
      </w:pPr>
      <w:r>
        <w:rPr>
          <w:bCs/>
          <w:b/>
        </w:rPr>
        <w:t xml:space="preserve">Tipo y estructura:</w:t>
      </w:r>
      <w:r>
        <w:t xml:space="preserve"> </w:t>
      </w:r>
      <w:r>
        <w:t xml:space="preserve">tripéptido de tres aminoácidos: ácido glutámico, cisteína y glicina (γ-glutamil-cisteinil-glicina, abreviado GSH). La forma reducida (GSH) es la activa; en la defensa frente a la oxidación, dos moléculas se unen para formar glutatión oxidado (GSSG).</w:t>
      </w:r>
    </w:p>
    <w:p>
      <w:pPr>
        <w:numPr>
          <w:ilvl w:val="0"/>
          <w:numId w:val="1244"/>
        </w:numPr>
        <w:pStyle w:val="Compact"/>
      </w:pPr>
      <w:r>
        <w:rPr>
          <w:bCs/>
          <w:b/>
        </w:rPr>
        <w:t xml:space="preserve">Origen:</w:t>
      </w:r>
      <w:r>
        <w:t xml:space="preserve"> </w:t>
      </w:r>
      <w:r>
        <w:t xml:space="preserve">lo producen prácticamente todas las células del organismo, en especial el hígado. Como preparado se fabrica sobre todo por fermentación con levaduras.</w:t>
      </w:r>
    </w:p>
    <w:p>
      <w:pPr>
        <w:numPr>
          <w:ilvl w:val="0"/>
          <w:numId w:val="1244"/>
        </w:numPr>
        <w:pStyle w:val="Compact"/>
      </w:pPr>
      <w:r>
        <w:rPr>
          <w:bCs/>
          <w:b/>
        </w:rPr>
        <w:t xml:space="preserve">Mecanismo de acción:</w:t>
      </w:r>
      <w:r>
        <w:t xml:space="preserve"> </w:t>
      </w:r>
      <w:r>
        <w:t xml:space="preserve">la sustancia protectora propia del organismo más importante frente a la oxidación en las células; participa en la desintoxicación de medicamentos y sustancias nocivas (por ejemplo, en la degradación del paracetamol) y en la regulación de las células inmunitarias. En la piel desplaza la formación de pigmento de la melanina oscura a la más clara.</w:t>
      </w:r>
    </w:p>
    <w:p>
      <w:pPr>
        <w:numPr>
          <w:ilvl w:val="0"/>
          <w:numId w:val="1244"/>
        </w:numPr>
        <w:pStyle w:val="Compact"/>
      </w:pPr>
      <w:r>
        <w:rPr>
          <w:bCs/>
          <w:b/>
        </w:rPr>
        <w:t xml:space="preserve">Autorización UE:</w:t>
      </w:r>
      <w:r>
        <w:t xml:space="preserve"> </w:t>
      </w:r>
      <w:r>
        <w:t xml:space="preserve">ampliamente comercializado como complemento alimenticio; como medicamento inyectable, solo en algunos países para indicaciones muy delimitadas, no para aclarar la piel (situación en 2026; compruebe la información actualizada).</w:t>
      </w:r>
    </w:p>
    <w:p>
      <w:pPr>
        <w:numPr>
          <w:ilvl w:val="0"/>
          <w:numId w:val="1244"/>
        </w:numPr>
        <w:pStyle w:val="Compact"/>
      </w:pPr>
      <w:r>
        <w:rPr>
          <w:bCs/>
          <w:b/>
        </w:rPr>
        <w:t xml:space="preserve">Autorización EE. UU.:</w:t>
      </w:r>
      <w:r>
        <w:t xml:space="preserve"> </w:t>
      </w:r>
      <w:r>
        <w:t xml:space="preserve">ningún medicamento de glutatión autorizado por la FDA; disponible como complemento alimenticio y como fórmula magistral de farmacia.</w:t>
      </w:r>
    </w:p>
    <w:p>
      <w:pPr>
        <w:numPr>
          <w:ilvl w:val="0"/>
          <w:numId w:val="1244"/>
        </w:numPr>
        <w:pStyle w:val="Compact"/>
      </w:pPr>
      <w:r>
        <w:rPr>
          <w:bCs/>
          <w:b/>
        </w:rPr>
        <w:t xml:space="preserve">WADA:</w:t>
      </w:r>
      <w:r>
        <w:t xml:space="preserve"> </w:t>
      </w:r>
      <w:r>
        <w:t xml:space="preserve">el glutatión en sí no está prohibido. Sin embargo, las infusiones o inyecciones de más de 100 ml en un plazo de doce horas están recogidas como método prohibido (M2), salvo en el marco de un tratamiento hospitalario o de una exploración (situación en 2026; compruebe la información actualizada).</w:t>
      </w:r>
    </w:p>
    <w:p>
      <w:pPr>
        <w:numPr>
          <w:ilvl w:val="0"/>
          <w:numId w:val="1244"/>
        </w:numPr>
        <w:pStyle w:val="Compact"/>
      </w:pPr>
      <w:r>
        <w:rPr>
          <w:bCs/>
          <w:b/>
        </w:rPr>
        <w:t xml:space="preserve">Nivel de evidencia:</w:t>
      </w:r>
      <w:r>
        <w:t xml:space="preserve"> </w:t>
      </w:r>
      <w:r>
        <w:rPr>
          <w:bCs/>
          <w:b/>
        </w:rPr>
        <w:t xml:space="preserve">B</w:t>
      </w:r>
      <w:r>
        <w:t xml:space="preserve"> </w:t>
      </w:r>
      <w:r>
        <w:t xml:space="preserve">– numerosos estudios aleatorizados, en su mayoría pequeños, con resultados variables; ninguna autorización basada en grandes estudios con criterios de valoración clínicos.</w:t>
      </w:r>
    </w:p>
    <w:bookmarkEnd w:id="726"/>
    <w:bookmarkStart w:id="727" w:name="cómo-se-supone-que-actúa-45"/>
    <w:p>
      <w:pPr>
        <w:pStyle w:val="Heading3"/>
      </w:pPr>
      <w:r>
        <w:t xml:space="preserve">Cómo se supone que actúa</w:t>
      </w:r>
    </w:p>
    <w:p>
      <w:pPr>
        <w:pStyle w:val="FirstParagraph"/>
      </w:pPr>
      <w:r>
        <w:t xml:space="preserve">El glutatión es un componente completamente normal de toda célula. Capta las especies reactivas de oxígeno, ayuda a las enzimas en la desintoxicación y mantiene en su forma activa otras sustancias protectoras como las vitaminas C y E. En muchas enfermedades –por ejemplo la diabetes, las enfermedades hepáticas, el VIH, el párkinson– y con la edad, los niveles de glutatión en la sangre o los tejidos son más bajos. De ahí surgió la idea evidente de aportar glutatión desde fuera.</w:t>
      </w:r>
    </w:p>
    <w:p>
      <w:pPr>
        <w:pStyle w:val="BodyText"/>
      </w:pPr>
      <w:r>
        <w:t xml:space="preserve">Esto es más difícil de lo que parece por tres motivos:</w:t>
      </w:r>
    </w:p>
    <w:p>
      <w:pPr>
        <w:numPr>
          <w:ilvl w:val="0"/>
          <w:numId w:val="1245"/>
        </w:numPr>
        <w:pStyle w:val="Compact"/>
      </w:pPr>
      <w:r>
        <w:rPr>
          <w:bCs/>
          <w:b/>
        </w:rPr>
        <w:t xml:space="preserve">Digestión:</w:t>
      </w:r>
      <w:r>
        <w:t xml:space="preserve"> </w:t>
      </w:r>
      <w:r>
        <w:t xml:space="preserve">Como péptido, el glutatión se descompone parcialmente en el intestino; por eso durante mucho tiempo se consideró apenas eficaz por vía oral.</w:t>
      </w:r>
    </w:p>
    <w:p>
      <w:pPr>
        <w:numPr>
          <w:ilvl w:val="0"/>
          <w:numId w:val="1245"/>
        </w:numPr>
        <w:pStyle w:val="Compact"/>
      </w:pPr>
      <w:r>
        <w:rPr>
          <w:bCs/>
          <w:b/>
        </w:rPr>
        <w:t xml:space="preserve">Absorción en las células:</w:t>
      </w:r>
      <w:r>
        <w:t xml:space="preserve"> </w:t>
      </w:r>
      <w:r>
        <w:t xml:space="preserve">El glutatión se forma mayoritariamente</w:t>
      </w:r>
      <w:r>
        <w:t xml:space="preserve"> </w:t>
      </w:r>
      <w:r>
        <w:rPr>
          <w:iCs/>
          <w:i/>
        </w:rPr>
        <w:t xml:space="preserve">dentro</w:t>
      </w:r>
      <w:r>
        <w:t xml:space="preserve"> </w:t>
      </w:r>
      <w:r>
        <w:t xml:space="preserve">de las células; desde la sangre solo entra en ellas de forma limitada.</w:t>
      </w:r>
    </w:p>
    <w:p>
      <w:pPr>
        <w:numPr>
          <w:ilvl w:val="0"/>
          <w:numId w:val="1245"/>
        </w:numPr>
        <w:pStyle w:val="Compact"/>
      </w:pPr>
      <w:r>
        <w:rPr>
          <w:bCs/>
          <w:b/>
        </w:rPr>
        <w:t xml:space="preserve">Permanencia breve:</w:t>
      </w:r>
      <w:r>
        <w:t xml:space="preserve"> </w:t>
      </w:r>
      <w:r>
        <w:t xml:space="preserve">El glutatión infundido se degrada rápidamente en la sangre.</w:t>
      </w:r>
    </w:p>
    <w:p>
      <w:pPr>
        <w:pStyle w:val="FirstParagraph"/>
      </w:pPr>
      <w:r>
        <w:t xml:space="preserve">Por eso se ofrecen distintas formas de administración: cápsulas y comprimidos, glutatión</w:t>
      </w:r>
      <w:r>
        <w:t xml:space="preserve"> </w:t>
      </w:r>
      <w:r>
        <w:rPr>
          <w:bCs/>
          <w:b/>
        </w:rPr>
        <w:t xml:space="preserve">liposomal</w:t>
      </w:r>
      <w:r>
        <w:t xml:space="preserve"> </w:t>
      </w:r>
      <w:r>
        <w:t xml:space="preserve">(envuelto en vesículas de grasa), comprimidos para chupar y láminas para la mucosa bucal, aerosol nasal, cremas e</w:t>
      </w:r>
      <w:r>
        <w:t xml:space="preserve"> </w:t>
      </w:r>
      <w:r>
        <w:rPr>
          <w:bCs/>
          <w:b/>
        </w:rPr>
        <w:t xml:space="preserve">infusiones</w:t>
      </w:r>
      <w:r>
        <w:t xml:space="preserve"> </w:t>
      </w:r>
      <w:r>
        <w:t xml:space="preserve">intravenosas. Además existen precursores como la N-acetilcisteína (NAC) o la glicina más NAC, que el organismo utiliza para la síntesis propia; no son tema de este capítulo.</w:t>
      </w:r>
    </w:p>
    <w:p>
      <w:pPr>
        <w:pStyle w:val="BodyText"/>
      </w:pPr>
      <w:r>
        <w:t xml:space="preserve">Para el aclaramiento de la piel se supone otro mecanismo: en experimentos de laboratorio, el glutatión inhibe la enzima tirosinasa y desvía la formación de pigmento de la eumelanina oscura hacia la feomelanina, más clara.</w:t>
      </w:r>
    </w:p>
    <w:bookmarkEnd w:id="727"/>
    <w:bookmarkStart w:id="731" w:name="estudios-en-humanos-45"/>
    <w:p>
      <w:pPr>
        <w:pStyle w:val="Heading3"/>
      </w:pPr>
      <w:r>
        <w:t xml:space="preserve">Estudios en humanos</w:t>
      </w:r>
    </w:p>
    <w:p>
      <w:pPr>
        <w:pStyle w:val="FirstParagraph"/>
      </w:pPr>
      <w:r>
        <w:rPr>
          <w:bCs/>
          <w:b/>
        </w:rPr>
        <w:t xml:space="preserve">Magnitud de los datos disponibles:</w:t>
      </w:r>
      <w:r>
        <w:t xml:space="preserve"> </w:t>
      </w:r>
      <w:r>
        <w:t xml:space="preserve">La consulta automatizada en PubMed (octubre de 2026) arrojó 161 publicaciones clasificadas como estudios en humanos, además de 15 revisiones y metaanálisis. En ClinicalTrials.gov había registrados 273 estudios. Ambas cifras sobrestiman claramente los datos directos: muchos resultados solo miden el glutatión como valor de laboratorio (por ejemplo con selenio, vitaminas, deporte o NAC) o se refieren a la enzima glutatión-S-transferasa. Los estudios en los que se administró el propio glutatión son una minoría, aunque aun así unas cuantas docenas.</w:t>
      </w:r>
    </w:p>
    <w:bookmarkStart w:id="728" w:name="llega-realmente-el-glutatión-ingerido"/>
    <w:p>
      <w:pPr>
        <w:pStyle w:val="Heading4"/>
      </w:pPr>
      <w:r>
        <w:t xml:space="preserve">¿Llega realmente el glutatión ingerido?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Allen 2011, PMID 21875351</w:t>
            </w:r>
          </w:p>
        </w:tc>
        <w:tc>
          <w:tcPr/>
          <w:p>
            <w:pPr>
              <w:pStyle w:val="Compact"/>
              <w:jc w:val="left"/>
            </w:pPr>
            <w:r>
              <w:t xml:space="preserve">40 personas sanas, cápsulas frente a placebo, doble ciego</w:t>
            </w:r>
          </w:p>
        </w:tc>
        <w:tc>
          <w:tcPr/>
          <w:p>
            <w:pPr>
              <w:pStyle w:val="Compact"/>
              <w:jc w:val="left"/>
            </w:pPr>
            <w:r>
              <w:t xml:space="preserve">4 semanas</w:t>
            </w:r>
          </w:p>
        </w:tc>
        <w:tc>
          <w:tcPr/>
          <w:p>
            <w:pPr>
              <w:pStyle w:val="Compact"/>
              <w:jc w:val="left"/>
            </w:pPr>
            <w:r>
              <w:t xml:space="preserve">sin cambios en los niveles de glutatión ni en los marcadores de oxidación</w:t>
            </w:r>
          </w:p>
        </w:tc>
      </w:tr>
      <w:tr>
        <w:tc>
          <w:tcPr/>
          <w:p>
            <w:pPr>
              <w:pStyle w:val="Compact"/>
              <w:jc w:val="left"/>
            </w:pPr>
            <w:r>
              <w:t xml:space="preserve">Richie 2015, PMID 24791752</w:t>
            </w:r>
          </w:p>
        </w:tc>
        <w:tc>
          <w:tcPr/>
          <w:p>
            <w:pPr>
              <w:pStyle w:val="Compact"/>
              <w:jc w:val="left"/>
            </w:pPr>
            <w:r>
              <w:t xml:space="preserve">54 personas sanas, dos dosis frente a placebo, doble ciego</w:t>
            </w:r>
          </w:p>
        </w:tc>
        <w:tc>
          <w:tcPr/>
          <w:p>
            <w:pPr>
              <w:pStyle w:val="Compact"/>
              <w:jc w:val="left"/>
            </w:pPr>
            <w:r>
              <w:t xml:space="preserve">6 meses</w:t>
            </w:r>
          </w:p>
        </w:tc>
        <w:tc>
          <w:tcPr/>
          <w:p>
            <w:pPr>
              <w:pStyle w:val="Compact"/>
              <w:jc w:val="left"/>
            </w:pPr>
            <w:r>
              <w:t xml:space="preserve">niveles en células sanguíneas y plasma un 30–35 % más altos (dosis alta); vuelta al valor inicial tras la suspensión</w:t>
            </w:r>
          </w:p>
        </w:tc>
      </w:tr>
      <w:tr>
        <w:tc>
          <w:tcPr/>
          <w:p>
            <w:pPr>
              <w:pStyle w:val="Compact"/>
              <w:jc w:val="left"/>
            </w:pPr>
            <w:r>
              <w:t xml:space="preserve">Sinha 2018, PMID 28853742</w:t>
            </w:r>
          </w:p>
        </w:tc>
        <w:tc>
          <w:tcPr/>
          <w:p>
            <w:pPr>
              <w:pStyle w:val="Compact"/>
              <w:jc w:val="left"/>
            </w:pPr>
            <w:r>
              <w:t xml:space="preserve">12 personas sanas, glutatión liposomal, sin placebo</w:t>
            </w:r>
          </w:p>
        </w:tc>
        <w:tc>
          <w:tcPr/>
          <w:p>
            <w:pPr>
              <w:pStyle w:val="Compact"/>
              <w:jc w:val="left"/>
            </w:pPr>
            <w:r>
              <w:t xml:space="preserve">4 semanas</w:t>
            </w:r>
          </w:p>
        </w:tc>
        <w:tc>
          <w:tcPr/>
          <w:p>
            <w:pPr>
              <w:pStyle w:val="Compact"/>
              <w:jc w:val="left"/>
            </w:pPr>
            <w:r>
              <w:t xml:space="preserve">niveles en sangre total hasta un 40 % más altos, en células inmunitarias hasta un 100 %</w:t>
            </w:r>
          </w:p>
        </w:tc>
      </w:tr>
      <w:tr>
        <w:tc>
          <w:tcPr/>
          <w:p>
            <w:pPr>
              <w:pStyle w:val="Compact"/>
              <w:jc w:val="left"/>
            </w:pPr>
            <w:r>
              <w:t xml:space="preserve">Schmitt 2015, PMID 26262996</w:t>
            </w:r>
          </w:p>
        </w:tc>
        <w:tc>
          <w:tcPr/>
          <w:p>
            <w:pPr>
              <w:pStyle w:val="Compact"/>
              <w:jc w:val="left"/>
            </w:pPr>
            <w:r>
              <w:t xml:space="preserve">20 personas con síndrome metabólico, cruzado: cápsula, forma sublingual, NAC</w:t>
            </w:r>
          </w:p>
        </w:tc>
        <w:tc>
          <w:tcPr/>
          <w:p>
            <w:pPr>
              <w:pStyle w:val="Compact"/>
              <w:jc w:val="left"/>
            </w:pPr>
            <w:r>
              <w:t xml:space="preserve">3 semanas cada fase</w:t>
            </w:r>
          </w:p>
        </w:tc>
        <w:tc>
          <w:tcPr/>
          <w:p>
            <w:pPr>
              <w:pStyle w:val="Compact"/>
              <w:jc w:val="left"/>
            </w:pPr>
            <w:r>
              <w:t xml:space="preserve">la forma sublingual aumentó los niveles plasmáticos más que las cápsulas</w:t>
            </w:r>
          </w:p>
        </w:tc>
      </w:tr>
      <w:tr>
        <w:tc>
          <w:tcPr/>
          <w:p>
            <w:pPr>
              <w:pStyle w:val="Compact"/>
              <w:jc w:val="left"/>
            </w:pPr>
            <w:r>
              <w:t xml:space="preserve">Jung 2026, PMID 42392376</w:t>
            </w:r>
          </w:p>
        </w:tc>
        <w:tc>
          <w:tcPr/>
          <w:p>
            <w:pPr>
              <w:pStyle w:val="Compact"/>
              <w:jc w:val="left"/>
            </w:pPr>
            <w:r>
              <w:t xml:space="preserve">personas sanas, lámina bucodispersable frente a comprimido</w:t>
            </w:r>
          </w:p>
        </w:tc>
        <w:tc>
          <w:tcPr/>
          <w:p>
            <w:pPr>
              <w:pStyle w:val="Compact"/>
              <w:jc w:val="left"/>
            </w:pPr>
            <w:r>
              <w:t xml:space="preserve">dosis única y 4 semanas</w:t>
            </w:r>
          </w:p>
        </w:tc>
        <w:tc>
          <w:tcPr/>
          <w:p>
            <w:pPr>
              <w:pStyle w:val="Compact"/>
              <w:jc w:val="left"/>
            </w:pPr>
            <w:r>
              <w:t xml:space="preserve">ambas formas aumentaron los niveles en sangre; sin cambios en los marcadores de oxidación</w:t>
            </w:r>
          </w:p>
        </w:tc>
      </w:tr>
    </w:tbl>
    <w:p>
      <w:pPr>
        <w:pStyle w:val="BodyText"/>
      </w:pPr>
      <w:r>
        <w:t xml:space="preserve">La cuestión fue controvertida durante mucho tiempo. Un estudio breve con 40 personas sanas no encontró ningún cambio a las cuatro semanas (Allen 2011, PMID 21875351). Un estudio más largo, también doble ciego, con 54 personas sanas encontró en cambio a los seis meses niveles de glutatión más altos, de forma dependiente de la dosis, en la sangre, las células sanguíneas y la mucosa bucal; un mes después de la suspensión, los valores habían vuelto al nivel inicial (Richie 2015, PMID 24791752). Un pequeño estudio piloto sin grupo placebo informó de aumentos con glutatión liposomal ya al cabo de una a dos semanas (Sinha 2018, PMID 28853742).</w:t>
      </w:r>
    </w:p>
    <w:p>
      <w:pPr>
        <w:pStyle w:val="BodyText"/>
      </w:pPr>
      <w:r>
        <w:t xml:space="preserve">En resumen: el glutatión ingerido puede elevar de forma medible los niveles en sangre, probablemente en función de la dosis, la duración y la forma de administración. Si unos niveles más altos en sangre conducen también a un beneficio para la salud es otra cuestión.</w:t>
      </w:r>
    </w:p>
    <w:bookmarkEnd w:id="728"/>
    <w:bookmarkStart w:id="729" w:name="estudios-relacionados-con-enfermedades"/>
    <w:p>
      <w:pPr>
        <w:pStyle w:val="Heading4"/>
      </w:pPr>
      <w:r>
        <w:t xml:space="preserve">Estudios relacionados con enfermedades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Leal 2014, PMID 24619793</w:t>
            </w:r>
          </w:p>
        </w:tc>
        <w:tc>
          <w:tcPr/>
          <w:p>
            <w:pPr>
              <w:pStyle w:val="Compact"/>
              <w:jc w:val="left"/>
            </w:pPr>
            <w:r>
              <w:t xml:space="preserve">185 pacientes con cáncer en tratamiento con paclitaxel/carboplatino, infusión frente a placebo, fase 3</w:t>
            </w:r>
          </w:p>
        </w:tc>
        <w:tc>
          <w:tcPr/>
          <w:p>
            <w:pPr>
              <w:pStyle w:val="Compact"/>
              <w:jc w:val="left"/>
            </w:pPr>
            <w:r>
              <w:t xml:space="preserve">duración de la quimioterapia</w:t>
            </w:r>
          </w:p>
        </w:tc>
        <w:tc>
          <w:tcPr/>
          <w:p>
            <w:pPr>
              <w:pStyle w:val="Compact"/>
              <w:jc w:val="left"/>
            </w:pPr>
            <w:r>
              <w:rPr>
                <w:bCs/>
                <w:b/>
              </w:rPr>
              <w:t xml:space="preserve">ninguna</w:t>
            </w:r>
            <w:r>
              <w:t xml:space="preserve"> </w:t>
            </w:r>
            <w:r>
              <w:t xml:space="preserve">reducción del daño nervioso por la quimioterapia</w:t>
            </w:r>
          </w:p>
        </w:tc>
      </w:tr>
      <w:tr>
        <w:tc>
          <w:tcPr/>
          <w:p>
            <w:pPr>
              <w:pStyle w:val="Compact"/>
              <w:jc w:val="left"/>
            </w:pPr>
            <w:r>
              <w:t xml:space="preserve">Hauser 2009, PMID 19230029</w:t>
            </w:r>
          </w:p>
        </w:tc>
        <w:tc>
          <w:tcPr/>
          <w:p>
            <w:pPr>
              <w:pStyle w:val="Compact"/>
              <w:jc w:val="left"/>
            </w:pPr>
            <w:r>
              <w:t xml:space="preserve">21 personas con párkinson, infusión frente a placebo</w:t>
            </w:r>
          </w:p>
        </w:tc>
        <w:tc>
          <w:tcPr/>
          <w:p>
            <w:pPr>
              <w:pStyle w:val="Compact"/>
              <w:jc w:val="left"/>
            </w:pPr>
            <w:r>
              <w:t xml:space="preserve">4 semanas</w:t>
            </w:r>
          </w:p>
        </w:tc>
        <w:tc>
          <w:tcPr/>
          <w:p>
            <w:pPr>
              <w:pStyle w:val="Compact"/>
              <w:jc w:val="left"/>
            </w:pPr>
            <w:r>
              <w:t xml:space="preserve">sin diferencia significativa en la escala de párkinson</w:t>
            </w:r>
          </w:p>
        </w:tc>
      </w:tr>
      <w:tr>
        <w:tc>
          <w:tcPr/>
          <w:p>
            <w:pPr>
              <w:pStyle w:val="Compact"/>
              <w:jc w:val="left"/>
            </w:pPr>
            <w:r>
              <w:t xml:space="preserve">Mischley 2017, PMID 28436395</w:t>
            </w:r>
          </w:p>
        </w:tc>
        <w:tc>
          <w:tcPr/>
          <w:p>
            <w:pPr>
              <w:pStyle w:val="Compact"/>
              <w:jc w:val="left"/>
            </w:pPr>
            <w:r>
              <w:t xml:space="preserve">45 personas con párkinson, aerosol nasal en dos dosis frente a placebo</w:t>
            </w:r>
          </w:p>
        </w:tc>
        <w:tc>
          <w:tcPr/>
          <w:p>
            <w:pPr>
              <w:pStyle w:val="Compact"/>
              <w:jc w:val="left"/>
            </w:pPr>
            <w:r>
              <w:t xml:space="preserve">3 meses</w:t>
            </w:r>
          </w:p>
        </w:tc>
        <w:tc>
          <w:tcPr/>
          <w:p>
            <w:pPr>
              <w:pStyle w:val="Compact"/>
              <w:jc w:val="left"/>
            </w:pPr>
            <w:r>
              <w:t xml:space="preserve">todos los grupos mejoraron; el glutatión no fue mejor que el placebo</w:t>
            </w:r>
          </w:p>
        </w:tc>
      </w:tr>
      <w:tr>
        <w:tc>
          <w:tcPr/>
          <w:p>
            <w:pPr>
              <w:pStyle w:val="Compact"/>
              <w:jc w:val="left"/>
            </w:pPr>
            <w:r>
              <w:t xml:space="preserve">Bozic 2020, PMID 32960827</w:t>
            </w:r>
          </w:p>
        </w:tc>
        <w:tc>
          <w:tcPr/>
          <w:p>
            <w:pPr>
              <w:pStyle w:val="Compact"/>
              <w:jc w:val="left"/>
            </w:pPr>
            <w:r>
              <w:t xml:space="preserve">58 niños con fibrosis quística, cápsulas frente a placebo</w:t>
            </w:r>
          </w:p>
        </w:tc>
        <w:tc>
          <w:tcPr/>
          <w:p>
            <w:pPr>
              <w:pStyle w:val="Compact"/>
              <w:jc w:val="left"/>
            </w:pPr>
            <w:r>
              <w:t xml:space="preserve">24 semanas</w:t>
            </w:r>
          </w:p>
        </w:tc>
        <w:tc>
          <w:tcPr/>
          <w:p>
            <w:pPr>
              <w:pStyle w:val="Compact"/>
              <w:jc w:val="left"/>
            </w:pPr>
            <w:r>
              <w:t xml:space="preserve">sin efecto en el crecimiento ni en los marcadores de inflamación</w:t>
            </w:r>
          </w:p>
        </w:tc>
      </w:tr>
      <w:tr>
        <w:tc>
          <w:tcPr/>
          <w:p>
            <w:pPr>
              <w:pStyle w:val="Compact"/>
              <w:jc w:val="left"/>
            </w:pPr>
            <w:r>
              <w:t xml:space="preserve">Søndergård 2021, PMID 33740389</w:t>
            </w:r>
          </w:p>
        </w:tc>
        <w:tc>
          <w:tcPr/>
          <w:p>
            <w:pPr>
              <w:pStyle w:val="Compact"/>
              <w:jc w:val="left"/>
            </w:pPr>
            <w:r>
              <w:t xml:space="preserve">20 hombres con sobrepeso con y sin diabetes de tipo 2, frente a placebo</w:t>
            </w:r>
          </w:p>
        </w:tc>
        <w:tc>
          <w:tcPr/>
          <w:p>
            <w:pPr>
              <w:pStyle w:val="Compact"/>
              <w:jc w:val="left"/>
            </w:pPr>
            <w:r>
              <w:t xml:space="preserve">3 semanas</w:t>
            </w:r>
          </w:p>
        </w:tc>
        <w:tc>
          <w:tcPr/>
          <w:p>
            <w:pPr>
              <w:pStyle w:val="Compact"/>
              <w:jc w:val="left"/>
            </w:pPr>
            <w:r>
              <w:t xml:space="preserve">sensibilidad a la insulina mejorada; marcadores de oxidación sin cambios</w:t>
            </w:r>
          </w:p>
        </w:tc>
      </w:tr>
      <w:tr>
        <w:tc>
          <w:tcPr/>
          <w:p>
            <w:pPr>
              <w:pStyle w:val="Compact"/>
              <w:jc w:val="left"/>
            </w:pPr>
            <w:r>
              <w:t xml:space="preserve">Honda 2017, PMID 28789631</w:t>
            </w:r>
          </w:p>
        </w:tc>
        <w:tc>
          <w:tcPr/>
          <w:p>
            <w:pPr>
              <w:pStyle w:val="Compact"/>
              <w:jc w:val="left"/>
            </w:pPr>
            <w:r>
              <w:t xml:space="preserve">34 personas con hígado graso, abierto, sin grupo de control</w:t>
            </w:r>
          </w:p>
        </w:tc>
        <w:tc>
          <w:tcPr/>
          <w:p>
            <w:pPr>
              <w:pStyle w:val="Compact"/>
              <w:jc w:val="left"/>
            </w:pPr>
            <w:r>
              <w:t xml:space="preserve">4 meses</w:t>
            </w:r>
          </w:p>
        </w:tc>
        <w:tc>
          <w:tcPr/>
          <w:p>
            <w:pPr>
              <w:pStyle w:val="Compact"/>
              <w:jc w:val="left"/>
            </w:pPr>
            <w:r>
              <w:t xml:space="preserve">descenso del valor hepático ALT</w:t>
            </w:r>
          </w:p>
        </w:tc>
      </w:tr>
      <w:tr>
        <w:tc>
          <w:tcPr/>
          <w:p>
            <w:pPr>
              <w:pStyle w:val="Compact"/>
              <w:jc w:val="left"/>
            </w:pPr>
            <w:r>
              <w:t xml:space="preserve">Arrivi 2023, PMID 36083043</w:t>
            </w:r>
          </w:p>
        </w:tc>
        <w:tc>
          <w:tcPr/>
          <w:p>
            <w:pPr>
              <w:pStyle w:val="Compact"/>
              <w:jc w:val="left"/>
            </w:pPr>
            <w:r>
              <w:t xml:space="preserve">100 personas con infarto de miocardio, infusión frente a placebo (análisis posterior)</w:t>
            </w:r>
          </w:p>
        </w:tc>
        <w:tc>
          <w:tcPr/>
          <w:p>
            <w:pPr>
              <w:pStyle w:val="Compact"/>
              <w:jc w:val="left"/>
            </w:pPr>
            <w:r>
              <w:t xml:space="preserve">estancia hospitalaria</w:t>
            </w:r>
          </w:p>
        </w:tc>
        <w:tc>
          <w:tcPr/>
          <w:p>
            <w:pPr>
              <w:pStyle w:val="Compact"/>
              <w:jc w:val="left"/>
            </w:pPr>
            <w:r>
              <w:t xml:space="preserve">estancia de 8,6 en lugar de 10,8 días</w:t>
            </w:r>
          </w:p>
        </w:tc>
      </w:tr>
    </w:tbl>
    <w:p>
      <w:pPr>
        <w:pStyle w:val="BodyText"/>
      </w:pPr>
      <w:r>
        <w:t xml:space="preserve">El panorama es decepcionante: el estudio más grande y metodológicamente más sólido –un estudio de fase 3 con 185 pacientes con cáncer– no encontró protección frente al daño nervioso causado por la quimioterapia; en algunos objetivos secundarios, el placebo obtuvo incluso mejores resultados (Leal 2014, PMID 24619793). En el párkinson, el glutatión no fue mejor que el placebo ni en infusión (Hauser 2009, PMID 19230029) ni en aerosol nasal; en el estudio con aerosol nasal, una persona con la dosis más alta desarrolló una enfermedad del músculo cardiaco (Mischley 2017, PMID 28436395). En niños con fibrosis quística, el crecimiento no se vio influido (Bozic 2020, PMID 32960827).</w:t>
      </w:r>
    </w:p>
    <w:p>
      <w:pPr>
        <w:pStyle w:val="BodyText"/>
      </w:pPr>
      <w:r>
        <w:t xml:space="preserve">Las señales positivas proceden de estudios pequeños: en 20 hombres con sobrepeso mejoró la sensibilidad a la insulina al cabo de tres semanas (Søndergård 2021, PMID 33740389); en el hígado graso bajaron los valores hepáticos en un estudio no controlado (Honda 2017, PMID 28789631); tras un infarto de miocardio, la estancia hospitalaria fue más corta en un análisis posterior (Arrivi 2023, PMID 36083043). Ninguno de estos hallazgos se ha confirmado hasta ahora en un estudio de mayor tamaño.</w:t>
      </w:r>
    </w:p>
    <w:bookmarkEnd w:id="729"/>
    <w:bookmarkStart w:id="730" w:name="X68437039b45aaaf103299937990192873011ad6"/>
    <w:p>
      <w:pPr>
        <w:pStyle w:val="Heading4"/>
      </w:pPr>
      <w:r>
        <w:t xml:space="preserve">Aclaramiento de la piel: oral, tópico, intravenoso</w:t>
      </w:r>
    </w:p>
    <w:p>
      <w:pPr>
        <w:pStyle w:val="FirstParagraph"/>
      </w:pPr>
      <w:r>
        <w:t xml:space="preserve">En partes de Asia, de África y cada vez más también en Europa, el glutatión se comercializa sobre todo como «aclarador de la piel»: en cápsulas, cremas y en forma de infusiones en clínicas de belleza.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Arjinpathana 2012, PMID 20524875</w:t>
            </w:r>
          </w:p>
        </w:tc>
        <w:tc>
          <w:tcPr/>
          <w:p>
            <w:pPr>
              <w:pStyle w:val="Compact"/>
              <w:jc w:val="left"/>
            </w:pPr>
            <w:r>
              <w:t xml:space="preserve">60 estudiantes de medicina en Tailandia, cápsulas frente a placebo</w:t>
            </w:r>
          </w:p>
        </w:tc>
        <w:tc>
          <w:tcPr/>
          <w:p>
            <w:pPr>
              <w:pStyle w:val="Compact"/>
              <w:jc w:val="left"/>
            </w:pPr>
            <w:r>
              <w:t xml:space="preserve">4 semanas</w:t>
            </w:r>
          </w:p>
        </w:tc>
        <w:tc>
          <w:tcPr/>
          <w:p>
            <w:pPr>
              <w:pStyle w:val="Compact"/>
              <w:jc w:val="left"/>
            </w:pPr>
            <w:r>
              <w:t xml:space="preserve">índice de melanina más reducido en 2 de 6 puntos de medición</w:t>
            </w:r>
          </w:p>
        </w:tc>
      </w:tr>
      <w:tr>
        <w:tc>
          <w:tcPr/>
          <w:p>
            <w:pPr>
              <w:pStyle w:val="Compact"/>
              <w:jc w:val="left"/>
            </w:pPr>
            <w:r>
              <w:t xml:space="preserve">Weschawalit 2017, PMID 28490897</w:t>
            </w:r>
          </w:p>
        </w:tc>
        <w:tc>
          <w:tcPr/>
          <w:p>
            <w:pPr>
              <w:pStyle w:val="Compact"/>
              <w:jc w:val="left"/>
            </w:pPr>
            <w:r>
              <w:t xml:space="preserve">mujeres sanas, glutatión reducido u oxidado frente a placebo</w:t>
            </w:r>
          </w:p>
        </w:tc>
        <w:tc>
          <w:tcPr/>
          <w:p>
            <w:pPr>
              <w:pStyle w:val="Compact"/>
              <w:jc w:val="left"/>
            </w:pPr>
            <w:r>
              <w:t xml:space="preserve">12 semanas</w:t>
            </w:r>
          </w:p>
        </w:tc>
        <w:tc>
          <w:tcPr/>
          <w:p>
            <w:pPr>
              <w:pStyle w:val="Compact"/>
              <w:jc w:val="left"/>
            </w:pPr>
            <w:r>
              <w:t xml:space="preserve">índice de melanina con tendencia a ser menor; en parte menos arrugas</w:t>
            </w:r>
          </w:p>
        </w:tc>
      </w:tr>
      <w:tr>
        <w:tc>
          <w:tcPr/>
          <w:p>
            <w:pPr>
              <w:pStyle w:val="Compact"/>
              <w:jc w:val="left"/>
            </w:pPr>
            <w:r>
              <w:t xml:space="preserve">Handog 2016, PMID 26148180</w:t>
            </w:r>
          </w:p>
        </w:tc>
        <w:tc>
          <w:tcPr/>
          <w:p>
            <w:pPr>
              <w:pStyle w:val="Compact"/>
              <w:jc w:val="left"/>
            </w:pPr>
            <w:r>
              <w:t xml:space="preserve">30 mujeres en Filipinas, comprimido para chupar, sin grupo de control</w:t>
            </w:r>
          </w:p>
        </w:tc>
        <w:tc>
          <w:tcPr/>
          <w:p>
            <w:pPr>
              <w:pStyle w:val="Compact"/>
              <w:jc w:val="left"/>
            </w:pPr>
            <w:r>
              <w:t xml:space="preserve">8 semanas</w:t>
            </w:r>
          </w:p>
        </w:tc>
        <w:tc>
          <w:tcPr/>
          <w:p>
            <w:pPr>
              <w:pStyle w:val="Compact"/>
              <w:jc w:val="left"/>
            </w:pPr>
            <w:r>
              <w:t xml:space="preserve">descenso del índice de melanina</w:t>
            </w:r>
          </w:p>
        </w:tc>
      </w:tr>
      <w:tr>
        <w:tc>
          <w:tcPr/>
          <w:p>
            <w:pPr>
              <w:pStyle w:val="Compact"/>
              <w:jc w:val="left"/>
            </w:pPr>
            <w:r>
              <w:t xml:space="preserve">Wahab 2021, PMID 33871071</w:t>
            </w:r>
          </w:p>
        </w:tc>
        <w:tc>
          <w:tcPr/>
          <w:p>
            <w:pPr>
              <w:pStyle w:val="Compact"/>
              <w:jc w:val="left"/>
            </w:pPr>
            <w:r>
              <w:t xml:space="preserve">46 personas, combinación de crema y cápsula frente a placebo</w:t>
            </w:r>
          </w:p>
        </w:tc>
        <w:tc>
          <w:tcPr/>
          <w:p>
            <w:pPr>
              <w:pStyle w:val="Compact"/>
              <w:jc w:val="left"/>
            </w:pPr>
            <w:r>
              <w:t xml:space="preserve">8 semanas</w:t>
            </w:r>
          </w:p>
        </w:tc>
        <w:tc>
          <w:tcPr/>
          <w:p>
            <w:pPr>
              <w:pStyle w:val="Compact"/>
              <w:jc w:val="left"/>
            </w:pPr>
            <w:r>
              <w:t xml:space="preserve">la combinación posiblemente más eficaz que el uso por separado</w:t>
            </w:r>
          </w:p>
        </w:tc>
      </w:tr>
    </w:tbl>
    <w:p>
      <w:pPr>
        <w:pStyle w:val="BodyText"/>
      </w:pPr>
      <w:r>
        <w:rPr>
          <w:bCs/>
          <w:b/>
        </w:rPr>
        <w:t xml:space="preserve">Oral y tópico:</w:t>
      </w:r>
      <w:r>
        <w:t xml:space="preserve"> </w:t>
      </w:r>
      <w:r>
        <w:t xml:space="preserve">Varios pequeños estudios aleatorizados muestran un ligero aclaramiento, sobre todo en zonas expuestas al sol. En el primer estudio, el efecto solo fue estadísticamente significativo en dos de seis puntos de medición (Arjinpathana 2012, PMID 20524875). Una revisión sistemática concluyó en 2019 que las pruebas «aún no son concluyentes» debido a la calidad de los estudios y a hallazgos contradictorios (Dilokthornsakul 2019, PMID 30895708). Una revisión más reciente valora las cremas y las cápsulas como moderadamente eficaces, con efectos que no se mantienen tras la suspensión (Sarkar 2025, PMID 39444151).</w:t>
      </w:r>
    </w:p>
    <w:p>
      <w:pPr>
        <w:pStyle w:val="BodyText"/>
      </w:pPr>
      <w:r>
        <w:rPr>
          <w:bCs/>
          <w:b/>
        </w:rPr>
        <w:t xml:space="preserve">Intravenoso:</w:t>
      </w:r>
      <w:r>
        <w:t xml:space="preserve"> </w:t>
      </w:r>
      <w:r>
        <w:t xml:space="preserve">Para las infusiones destinadas a aclarar la piel solo existe, según la misma revisión, un estudio controlado con placebo, que no encontró diferencias significativas (37,5 % frente a 18,7 %, p = 0,054). Las autoras y los autores consideran el glutatión intravenoso para aclarar la piel</w:t>
      </w:r>
      <w:r>
        <w:t xml:space="preserve"> </w:t>
      </w:r>
      <w:r>
        <w:rPr>
          <w:bCs/>
          <w:b/>
        </w:rPr>
        <w:t xml:space="preserve">contraindicado</w:t>
      </w:r>
      <w:r>
        <w:t xml:space="preserve">, es decir, no justificable, por la falta de eficacia y por sus efectos adversos (Sarkar 2025, PMID 39444151). Una revisión sudafricana no encontró ni un solo estudio sobre la seguridad de infusiones repetidas para ninguna aplicación (Davids 2016, PMID 27499402). En el British Medical Journal, esta práctica se criticó como «blanqueamiento no ético» (Dadzie 2016, PMID 27581922).</w:t>
      </w:r>
    </w:p>
    <w:bookmarkEnd w:id="730"/>
    <w:bookmarkEnd w:id="731"/>
    <w:bookmarkStart w:id="732" w:name="estudios-en-animales-y-de-laboratorio-45"/>
    <w:p>
      <w:pPr>
        <w:pStyle w:val="Heading3"/>
      </w:pPr>
      <w:r>
        <w:t xml:space="preserve">Estudios en animales y de laboratorio</w:t>
      </w:r>
    </w:p>
    <w:p>
      <w:pPr>
        <w:pStyle w:val="FirstParagraph"/>
      </w:pPr>
      <w:r>
        <w:t xml:space="preserve">La investigación de laboratorio sobre el glutatión es enormemente amplia y abarca casi todos los ámbitos de la biología celular. Para este libro es relevante sobre todo que, en experimentos con células y animales, el glutatión o sus precursores pudieron proteger frente a daños oxidativos, la toxicidad de los medicamentos y las reacciones inflamatorias, efectos que en los estudios clínicos en humanos solo se encuentran en parte y en general de forma débil.</w:t>
      </w:r>
    </w:p>
    <w:bookmarkEnd w:id="732"/>
    <w:bookmarkStart w:id="733" w:name="riesgos-y-efectos-adversos-45"/>
    <w:p>
      <w:pPr>
        <w:pStyle w:val="Heading3"/>
      </w:pPr>
      <w:r>
        <w:t xml:space="preserve">Riesgos y efectos adversos</w:t>
      </w:r>
    </w:p>
    <w:p>
      <w:pPr>
        <w:pStyle w:val="FirstParagraph"/>
      </w:pPr>
      <w:r>
        <w:rPr>
          <w:bCs/>
          <w:b/>
        </w:rPr>
        <w:t xml:space="preserve">Toma oral:</w:t>
      </w:r>
      <w:r>
        <w:t xml:space="preserve"> </w:t>
      </w:r>
      <w:r>
        <w:t xml:space="preserve">bien tolerada en los estudios; se comunican de forma aislada molestias gastrointestinales. Faltan en gran medida datos a largo plazo de más de seis meses.</w:t>
      </w:r>
    </w:p>
    <w:p>
      <w:pPr>
        <w:pStyle w:val="BodyText"/>
      </w:pPr>
      <w:r>
        <w:rPr>
          <w:bCs/>
          <w:b/>
        </w:rPr>
        <w:t xml:space="preserve">Aerosol nasal:</w:t>
      </w:r>
      <w:r>
        <w:t xml:space="preserve"> </w:t>
      </w:r>
      <w:r>
        <w:t xml:space="preserve">En un estudio sobre el párkinson, una persona con la dosis más alta presentó una enfermedad del músculo cardiaco; no está demostrada una relación (Mischley 2017, PMID 28436395).</w:t>
      </w:r>
    </w:p>
    <w:p>
      <w:pPr>
        <w:pStyle w:val="BodyText"/>
      </w:pPr>
      <w:r>
        <w:rPr>
          <w:bCs/>
          <w:b/>
        </w:rPr>
        <w:t xml:space="preserve">Infusiones: los verdaderos riesgos:</w:t>
      </w:r>
    </w:p>
    <w:p>
      <w:pPr>
        <w:numPr>
          <w:ilvl w:val="0"/>
          <w:numId w:val="1246"/>
        </w:numPr>
        <w:pStyle w:val="Compact"/>
      </w:pPr>
      <w:r>
        <w:rPr>
          <w:bCs/>
          <w:b/>
        </w:rPr>
        <w:t xml:space="preserve">Fórmulas contaminadas:</w:t>
      </w:r>
      <w:r>
        <w:t xml:space="preserve"> </w:t>
      </w:r>
      <w:r>
        <w:t xml:space="preserve">La agencia estadounidense del medicamento FDA advirtió en 2019 a las farmacias que no utilizaran para infusiones el glutatión de un determinado mayorista, después de que varios pacientes presentaran náuseas, vómitos y dificultad respiratoria tras las infusiones y se midieran valores elevados de endotoxinas (componentes de bacterias que pueden provocar fiebre y shock). En agosto de 2026, la FDA instó de nuevo a las farmacias a no utilizar glutatión de calidad de complemento alimenticio para inyecciones; tras infusiones de un lote determinado se habían producido fiebre, escalofríos, cuadros similares al shock e ingresos hospitalarios.</w:t>
      </w:r>
    </w:p>
    <w:p>
      <w:pPr>
        <w:numPr>
          <w:ilvl w:val="0"/>
          <w:numId w:val="1246"/>
        </w:numPr>
        <w:pStyle w:val="Compact"/>
      </w:pPr>
      <w:r>
        <w:rPr>
          <w:bCs/>
          <w:b/>
        </w:rPr>
        <w:t xml:space="preserve">Advertencias de las autoridades sobre el aclaramiento de la piel:</w:t>
      </w:r>
      <w:r>
        <w:t xml:space="preserve"> </w:t>
      </w:r>
      <w:r>
        <w:t xml:space="preserve">La agencia filipina del medicamento advirtió en 2011 y 2019 contra las inyecciones de glutatión para aclarar la piel; mencionó efectos adversos que van desde erupciones cutáneas hasta las reacciones cutáneas potencialmente mortales del síndrome de Stevens-Johnson y la necrólisis epidérmica tóxica, así como riesgos por inyecciones inadecuadas como la sepsis y la transmisión de infecciones. También la FDA estadounidense advirtió a los consumidores de que no hay preparados inyectables autorizados para aclarar la piel y de que estos productos pueden contener componentes desconocidos y nocivos.</w:t>
      </w:r>
    </w:p>
    <w:p>
      <w:pPr>
        <w:numPr>
          <w:ilvl w:val="0"/>
          <w:numId w:val="1246"/>
        </w:numPr>
        <w:pStyle w:val="Compact"/>
      </w:pPr>
      <w:r>
        <w:rPr>
          <w:bCs/>
          <w:b/>
        </w:rPr>
        <w:t xml:space="preserve">Cáncer de piel (teórico):</w:t>
      </w:r>
      <w:r>
        <w:t xml:space="preserve"> </w:t>
      </w:r>
      <w:r>
        <w:t xml:space="preserve">El desplazamiento de la melanina oscura a la clara podría reducir la protección solar natural de la piel (Davids 2016, PMID 27499402).</w:t>
      </w:r>
    </w:p>
    <w:p>
      <w:pPr>
        <w:pStyle w:val="FirstParagraph"/>
      </w:pPr>
      <w:r>
        <w:rPr>
          <w:bCs/>
          <w:b/>
        </w:rPr>
        <w:t xml:space="preserve">Interacciones:</w:t>
      </w:r>
      <w:r>
        <w:t xml:space="preserve"> </w:t>
      </w:r>
      <w:r>
        <w:t xml:space="preserve">En un estudio oncológico, el glutatión se administró antes de la quimioterapia; el tiempo hasta la progresión de la enfermedad no difirió allí del placebo (Leal 2014, PMID 24619793). En principio se discute si los antioxidantes podrían atenuar el efecto de algunos tratamientos contra el cáncer. Quien esté en tratamiento oncológico solo debería tomar glutatión tras consultarlo con el equipo que le trata.</w:t>
      </w:r>
    </w:p>
    <w:bookmarkEnd w:id="733"/>
    <w:bookmarkStart w:id="734" w:name="situación-legal-45"/>
    <w:p>
      <w:pPr>
        <w:pStyle w:val="Heading3"/>
      </w:pPr>
      <w:r>
        <w:t xml:space="preserve">Situación legal</w:t>
      </w:r>
    </w:p>
    <w:p>
      <w:pPr>
        <w:numPr>
          <w:ilvl w:val="0"/>
          <w:numId w:val="1247"/>
        </w:numPr>
        <w:pStyle w:val="Compact"/>
      </w:pPr>
      <w:r>
        <w:rPr>
          <w:bCs/>
          <w:b/>
        </w:rPr>
        <w:t xml:space="preserve">UE / Austria / Alemania:</w:t>
      </w:r>
      <w:r>
        <w:t xml:space="preserve"> </w:t>
      </w:r>
      <w:r>
        <w:t xml:space="preserve">El glutatión se vende como complemento alimenticio en cápsulas y polvos; las promesas de salud en la publicidad no están permitidas sin declaraciones de propiedades saludables (health claims) autorizadas. Las infusiones e inyecciones son medicamentos; los preparados para aclarar la piel por infusión no están autorizados. En algunos países (según nuestros conocimientos, por ejemplo Italia) existen inyecciones de glutatión autorizadas para aplicaciones médicas especiales; los detalles deben consultarse en la ficha técnica correspondiente (situación en 2026; compruebe la información actualizada).</w:t>
      </w:r>
    </w:p>
    <w:p>
      <w:pPr>
        <w:numPr>
          <w:ilvl w:val="0"/>
          <w:numId w:val="1247"/>
        </w:numPr>
        <w:pStyle w:val="Compact"/>
      </w:pPr>
      <w:r>
        <w:rPr>
          <w:bCs/>
          <w:b/>
        </w:rPr>
        <w:t xml:space="preserve">EE. UU.:</w:t>
      </w:r>
      <w:r>
        <w:t xml:space="preserve"> </w:t>
      </w:r>
      <w:r>
        <w:t xml:space="preserve">ningún medicamento de glutatión autorizado; los complementos alimenticios están permitidos, y las infusiones se elaboran como fórmula magistral de farmacia y están sujetas a las normas de la FDA para preparaciones estériles.</w:t>
      </w:r>
    </w:p>
    <w:p>
      <w:pPr>
        <w:numPr>
          <w:ilvl w:val="0"/>
          <w:numId w:val="1247"/>
        </w:numPr>
        <w:pStyle w:val="Compact"/>
      </w:pPr>
      <w:r>
        <w:rPr>
          <w:bCs/>
          <w:b/>
        </w:rPr>
        <w:t xml:space="preserve">Deporte:</w:t>
      </w:r>
      <w:r>
        <w:t xml:space="preserve"> </w:t>
      </w:r>
      <w:r>
        <w:t xml:space="preserve">el glutatión no está prohibido; las infusiones de más de 100 ml en doce horas, fuera de tratamientos hospitalarios, entran en el método M2 de la WADA (situación en 2026; compruebe la información actualizada).</w:t>
      </w:r>
    </w:p>
    <w:bookmarkEnd w:id="734"/>
    <w:bookmarkStart w:id="735" w:name="estudios-en-curso-y-perspectivas-45"/>
    <w:p>
      <w:pPr>
        <w:pStyle w:val="Heading3"/>
      </w:pPr>
      <w:r>
        <w:t xml:space="preserve">Estudios en curso y perspectivas</w:t>
      </w:r>
    </w:p>
    <w:p>
      <w:pPr>
        <w:pStyle w:val="FirstParagraph"/>
      </w:pPr>
      <w:r>
        <w:rPr>
          <w:bCs/>
          <w:b/>
        </w:rPr>
        <w:t xml:space="preserve">Confirmado (estudios registrados, situación en octubre de 2026):</w:t>
      </w:r>
    </w:p>
    <w:p>
      <w:pPr>
        <w:numPr>
          <w:ilvl w:val="0"/>
          <w:numId w:val="1248"/>
        </w:numPr>
        <w:pStyle w:val="Compact"/>
      </w:pPr>
      <w:r>
        <w:t xml:space="preserve">Un estudio de fase 1 en China evalúa el glutatión junto con inmunoterapia y quimioterapia en el cáncer de pulmón avanzado (NCT06896422, 80 participantes previstos).</w:t>
      </w:r>
    </w:p>
    <w:p>
      <w:pPr>
        <w:numPr>
          <w:ilvl w:val="0"/>
          <w:numId w:val="1248"/>
        </w:numPr>
        <w:pStyle w:val="Compact"/>
      </w:pPr>
      <w:r>
        <w:t xml:space="preserve">Está registrado un estudio sobre el microneedling asistido con glutatión en el melasma (manchas de pigmentación) (NCT07448415).</w:t>
      </w:r>
    </w:p>
    <w:p>
      <w:pPr>
        <w:numPr>
          <w:ilvl w:val="0"/>
          <w:numId w:val="1248"/>
        </w:numPr>
        <w:pStyle w:val="Compact"/>
      </w:pPr>
      <w:r>
        <w:t xml:space="preserve">Varios estudios pequeños examinan nuevas formas de administración (liposomal, micelar) y la recuperación deportiva, a menudo financiados por fabricantes.</w:t>
      </w:r>
    </w:p>
    <w:p>
      <w:pPr>
        <w:pStyle w:val="FirstParagraph"/>
      </w:pPr>
      <w:r>
        <w:rPr>
          <w:bCs/>
          <w:b/>
        </w:rPr>
        <w:t xml:space="preserve">Valoración:</w:t>
      </w:r>
      <w:r>
        <w:t xml:space="preserve"> </w:t>
      </w:r>
      <w:r>
        <w:t xml:space="preserve">La principal pregunta abierta ya no es si el glutatión se absorbe, sino si unos niveles más altos aportan algo clínicamente. Los grandes estudios realizados hasta ahora apuntan más bien a que no. En las infusiones para aclarar la piel o como «goteo de bienestar», los riesgos superan un beneficio no demostrado.</w:t>
      </w:r>
    </w:p>
    <w:bookmarkEnd w:id="735"/>
    <w:bookmarkStart w:id="736" w:name="conclusión-45"/>
    <w:p>
      <w:pPr>
        <w:pStyle w:val="Heading3"/>
      </w:pPr>
      <w:r>
        <w:t xml:space="preserve">Conclusión</w:t>
      </w:r>
    </w:p>
    <w:p>
      <w:pPr>
        <w:pStyle w:val="FirstParagraph"/>
      </w:pPr>
      <w:r>
        <w:t xml:space="preserve">El glutatión es el péptido protector propio del organismo más importante frente a la oxidación; tomado en cápsulas, puede elevar de forma medible los niveles en sangre con una toma prolongada. Sin embargo, en la clínica los estudios de mayor tamaño no mostraron ningún beneficio, ni frente al daño nervioso causado por la quimioterapia ni en el párkinson o la fibrosis quística; los indicios positivos proceden de estudios pequeños. Las cápsulas y las cremas aclararon la piel de forma leve y transitoria en estudios pequeños. Las infusiones para aclarar la piel no tienen una eficacia demostrada, no están autorizadas y varias autoridades han advertido expresamente contra ellas por efectos adversos graves y preparados contaminados.</w:t>
      </w:r>
    </w:p>
    <w:bookmarkEnd w:id="736"/>
    <w:bookmarkEnd w:id="737"/>
    <w:bookmarkEnd w:id="738"/>
    <w:bookmarkStart w:id="853" w:name="X0b67c7c53e1f2e2bb52fd9a426cd6d240adb54d"/>
    <w:p>
      <w:pPr>
        <w:pStyle w:val="Heading1"/>
      </w:pPr>
      <w:r>
        <w:t xml:space="preserve">Parte II · E – Hormonas, sexualidad y pigmentación</w:t>
      </w:r>
    </w:p>
    <w:p>
      <w:pPr>
        <w:pStyle w:val="FirstParagraph"/>
      </w:pPr>
      <w:r>
        <w:t xml:space="preserve">Los seis péptidos de este grupo actúan sobre cosas muy distintas: el color de la piel, el deseo sexual, la fertilidad y la conducta social. Lo que tienen en común es que imitan vías de señalización propias del cerebro y de las glándulas endocrinas, estrechamente entrelazadas entre sí. Tres de ellos pertenecen a una única familia, el sistema de las melanocortinas; los otros tres regulan el eje hormonal de la reproducción o están vinculados a él.</w:t>
      </w:r>
    </w:p>
    <w:bookmarkStart w:id="739" w:name="el-sistema-de-las-melanocortinas"/>
    <w:p>
      <w:pPr>
        <w:pStyle w:val="Heading3"/>
      </w:pPr>
      <w:r>
        <w:t xml:space="preserve">El sistema de las melanocortinas</w:t>
      </w:r>
    </w:p>
    <w:p>
      <w:pPr>
        <w:pStyle w:val="FirstParagraph"/>
      </w:pPr>
      <w:r>
        <w:t xml:space="preserve">Al principio hay una gran proteína precursora llamada proopiomelanocortina (POMC). A partir de ella, ciertas enzimas recortan varios péptidos más pequeños, entre ellos la hormona del estrés ACTH y las hormonas estimulantes de los melanocitos (MSH), sobre todo la alfa-MSH. En conjunto, estos mensajeros se denominan melanocortinas. Actúan a través de cinco receptores, de MC1R a MC5R, situados en distintos tejidos:</w:t>
      </w:r>
    </w:p>
    <w:p>
      <w:pPr>
        <w:numPr>
          <w:ilvl w:val="0"/>
          <w:numId w:val="1249"/>
        </w:numPr>
        <w:pStyle w:val="Compact"/>
      </w:pPr>
      <w:r>
        <w:rPr>
          <w:bCs/>
          <w:b/>
        </w:rPr>
        <w:t xml:space="preserve">MC1R</w:t>
      </w:r>
      <w:r>
        <w:t xml:space="preserve">, en las células pigmentarias de la piel, determina si estas producen eumelanina, oscura y protectora. Las personas pelirrojas y de piel clara suelen portar variantes menos eficaces de este receptor.</w:t>
      </w:r>
    </w:p>
    <w:p>
      <w:pPr>
        <w:numPr>
          <w:ilvl w:val="0"/>
          <w:numId w:val="1249"/>
        </w:numPr>
        <w:pStyle w:val="Compact"/>
      </w:pPr>
      <w:r>
        <w:rPr>
          <w:bCs/>
          <w:b/>
        </w:rPr>
        <w:t xml:space="preserve">MC2R</w:t>
      </w:r>
      <w:r>
        <w:t xml:space="preserve">, en la glándula suprarrenal, es el receptor de la ACTH y regula la producción de cortisol.</w:t>
      </w:r>
    </w:p>
    <w:p>
      <w:pPr>
        <w:numPr>
          <w:ilvl w:val="0"/>
          <w:numId w:val="1249"/>
        </w:numPr>
        <w:pStyle w:val="Compact"/>
      </w:pPr>
      <w:r>
        <w:rPr>
          <w:bCs/>
          <w:b/>
        </w:rPr>
        <w:t xml:space="preserve">MC3R y MC4R</w:t>
      </w:r>
      <w:r>
        <w:t xml:space="preserve">, en el cerebro, influyen en el apetito, el gasto energético y –como se descubrió por casualidad– la excitación sexual. Los defectos del MC4R son la causa genética más frecuente de obesidad grave.</w:t>
      </w:r>
    </w:p>
    <w:p>
      <w:pPr>
        <w:numPr>
          <w:ilvl w:val="0"/>
          <w:numId w:val="1249"/>
        </w:numPr>
        <w:pStyle w:val="Compact"/>
      </w:pPr>
      <w:r>
        <w:rPr>
          <w:bCs/>
          <w:b/>
        </w:rPr>
        <w:t xml:space="preserve">MC5R</w:t>
      </w:r>
      <w:r>
        <w:t xml:space="preserve"> </w:t>
      </w:r>
      <w:r>
        <w:t xml:space="preserve">actúa, entre otras, sobre las glándulas sebáceas y otras glándulas.</w:t>
      </w:r>
    </w:p>
    <w:p>
      <w:pPr>
        <w:pStyle w:val="FirstParagraph"/>
      </w:pPr>
      <w:r>
        <w:t xml:space="preserve">La historia de los tres péptidos melanocortínicos de esta parte comienza en la Universidad de Arizona. Allí, en las décadas de 1980 y 1990, un grupo de investigación desarrolló dos variantes estabilizadas de la alfa-MSH para conseguir un bronceado sin sol: el melanotán I, lineal, y el melanotán II, cíclico (Hadley 2006, PMID 16412534). En ensayos con melanotán II, varios hombres refirieron erecciones espontáneas: así se descubrió que las melanocortinas influyen en la función sexual a través del cerebro (Hadley 2005, PMID 15996790).</w:t>
      </w:r>
    </w:p>
    <w:p>
      <w:pPr>
        <w:pStyle w:val="BodyText"/>
      </w:pPr>
      <w:r>
        <w:t xml:space="preserve">De estos comienzos surgieron tres caminos:</w:t>
      </w:r>
    </w:p>
    <w:p>
      <w:pPr>
        <w:numPr>
          <w:ilvl w:val="0"/>
          <w:numId w:val="1250"/>
        </w:numPr>
        <w:pStyle w:val="Compact"/>
      </w:pPr>
      <w:r>
        <w:t xml:space="preserve">El</w:t>
      </w:r>
      <w:r>
        <w:t xml:space="preserve"> </w:t>
      </w:r>
      <w:r>
        <w:rPr>
          <w:bCs/>
          <w:b/>
        </w:rPr>
        <w:t xml:space="preserve">melanotán I</w:t>
      </w:r>
      <w:r>
        <w:t xml:space="preserve"> </w:t>
      </w:r>
      <w:r>
        <w:t xml:space="preserve">se desarrolló, con el nombre de</w:t>
      </w:r>
      <w:r>
        <w:t xml:space="preserve"> </w:t>
      </w:r>
      <w:r>
        <w:rPr>
          <w:bCs/>
          <w:b/>
        </w:rPr>
        <w:t xml:space="preserve">afamelanotida</w:t>
      </w:r>
      <w:r>
        <w:t xml:space="preserve">, como implante contra una fotosensibilidad rara y dolorosa, y está autorizado en la UE y en EE. UU.</w:t>
      </w:r>
    </w:p>
    <w:p>
      <w:pPr>
        <w:numPr>
          <w:ilvl w:val="0"/>
          <w:numId w:val="1250"/>
        </w:numPr>
        <w:pStyle w:val="Compact"/>
      </w:pPr>
      <w:r>
        <w:t xml:space="preserve">El</w:t>
      </w:r>
      <w:r>
        <w:t xml:space="preserve"> </w:t>
      </w:r>
      <w:r>
        <w:rPr>
          <w:bCs/>
          <w:b/>
        </w:rPr>
        <w:t xml:space="preserve">melanotán II</w:t>
      </w:r>
      <w:r>
        <w:t xml:space="preserve"> </w:t>
      </w:r>
      <w:r>
        <w:t xml:space="preserve">nunca fue autorizado, pero está extendido en el mercado gris como «inyección bronceadora».</w:t>
      </w:r>
    </w:p>
    <w:p>
      <w:pPr>
        <w:numPr>
          <w:ilvl w:val="0"/>
          <w:numId w:val="1250"/>
        </w:numPr>
        <w:pStyle w:val="Compact"/>
      </w:pPr>
      <w:r>
        <w:t xml:space="preserve">La</w:t>
      </w:r>
      <w:r>
        <w:t xml:space="preserve"> </w:t>
      </w:r>
      <w:r>
        <w:rPr>
          <w:bCs/>
          <w:b/>
        </w:rPr>
        <w:t xml:space="preserve">bremelanotida</w:t>
      </w:r>
      <w:r>
        <w:t xml:space="preserve">, una variante del melanotán II, está autorizada en EE. UU. contra el deseo sexual bajo en mujeres.</w:t>
      </w:r>
    </w:p>
    <w:p>
      <w:pPr>
        <w:pStyle w:val="FirstParagraph"/>
      </w:pPr>
      <w:r>
        <w:t xml:space="preserve">Un cuarto principio activo melanocortínico, la setmelanotida, actúa de forma selectiva sobre el MC4R y se emplea en formas genéticas raras de obesidad; se trata en la Parte II · A. Cuanto más selectivamente actúa un principio activo sobre un receptor, más dirigido es su efecto. El melanotán II activa casi todos y por eso reúne en una sola molécula bronceado, náuseas, pérdida de apetito y erecciones.</w:t>
      </w:r>
    </w:p>
    <w:bookmarkEnd w:id="739"/>
    <w:bookmarkStart w:id="740" w:name="el-eje-hormonal-de-la-reproducción"/>
    <w:p>
      <w:pPr>
        <w:pStyle w:val="Heading3"/>
      </w:pPr>
      <w:r>
        <w:t xml:space="preserve">El eje hormonal de la reproducción</w:t>
      </w:r>
    </w:p>
    <w:p>
      <w:pPr>
        <w:pStyle w:val="FirstParagraph"/>
      </w:pPr>
      <w:r>
        <w:t xml:space="preserve">Los otros tres péptidos de esta parte actúan sobre el eje que regula la pubertad, el ciclo menstrual y la fertilidad. La</w:t>
      </w:r>
      <w:r>
        <w:t xml:space="preserve"> </w:t>
      </w:r>
      <w:r>
        <w:rPr>
          <w:bCs/>
          <w:b/>
        </w:rPr>
        <w:t xml:space="preserve">kisspeptina</w:t>
      </w:r>
      <w:r>
        <w:t xml:space="preserve"> </w:t>
      </w:r>
      <w:r>
        <w:t xml:space="preserve">activa en el hipotálamo las neuronas de GnRH. La</w:t>
      </w:r>
      <w:r>
        <w:t xml:space="preserve"> </w:t>
      </w:r>
      <w:r>
        <w:rPr>
          <w:bCs/>
          <w:b/>
        </w:rPr>
        <w:t xml:space="preserve">gonadorelina</w:t>
      </w:r>
      <w:r>
        <w:t xml:space="preserve"> </w:t>
      </w:r>
      <w:r>
        <w:t xml:space="preserve">es la forma sintética de la propia GnRH, que, liberada en pulsos, estimula a la hipófisis para que secrete LH y FSH. Ambas muestran un principio común: administradas con el ritmo adecuado, activan el eje; como estímulo continuo, lo frenan. Por último, la</w:t>
      </w:r>
      <w:r>
        <w:t xml:space="preserve"> </w:t>
      </w:r>
      <w:r>
        <w:rPr>
          <w:bCs/>
          <w:b/>
        </w:rPr>
        <w:t xml:space="preserve">oxitocina</w:t>
      </w:r>
      <w:r>
        <w:t xml:space="preserve"> </w:t>
      </w:r>
      <w:r>
        <w:t xml:space="preserve">procede de las mismas regiones cerebrales, regula el parto y la lactancia y se estudia desde hace dos décadas como espray nasal para la conducta social, con resultados decepcionantes.</w:t>
      </w:r>
    </w:p>
    <w:bookmarkEnd w:id="740"/>
    <w:bookmarkStart w:id="741" w:name="visión-general-2"/>
    <w:p>
      <w:pPr>
        <w:pStyle w:val="Heading3"/>
      </w:pPr>
      <w:r>
        <w:t xml:space="preserve">Visión general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w:t>
            </w:r>
          </w:p>
        </w:tc>
        <w:tc>
          <w:tcPr/>
          <w:p>
            <w:pPr>
              <w:pStyle w:val="Compact"/>
              <w:jc w:val="left"/>
            </w:pPr>
            <w:r>
              <w:t xml:space="preserve">En resumen</w:t>
            </w:r>
          </w:p>
        </w:tc>
      </w:tr>
      <w:tr>
        <w:tc>
          <w:tcPr/>
          <w:p>
            <w:pPr>
              <w:pStyle w:val="Compact"/>
              <w:jc w:val="left"/>
            </w:pPr>
            <w:r>
              <w:t xml:space="preserve">Bremelanotida (PT-141)</w:t>
            </w:r>
          </w:p>
        </w:tc>
        <w:tc>
          <w:tcPr/>
          <w:p>
            <w:pPr>
              <w:pStyle w:val="Compact"/>
              <w:jc w:val="left"/>
            </w:pPr>
            <w:r>
              <w:t xml:space="preserve">A</w:t>
            </w:r>
          </w:p>
        </w:tc>
        <w:tc>
          <w:tcPr/>
          <w:p>
            <w:pPr>
              <w:pStyle w:val="Compact"/>
              <w:jc w:val="left"/>
            </w:pPr>
            <w:r>
              <w:t xml:space="preserve">EE. UU. (Vyleesi), no en la UE</w:t>
            </w:r>
          </w:p>
        </w:tc>
        <w:tc>
          <w:tcPr/>
          <w:p>
            <w:pPr>
              <w:pStyle w:val="Compact"/>
              <w:jc w:val="left"/>
            </w:pPr>
            <w:r>
              <w:t xml:space="preserve">Deseo en mujeres con HSDD; efecto pequeño, muchas náuseas</w:t>
            </w:r>
          </w:p>
        </w:tc>
      </w:tr>
      <w:tr>
        <w:tc>
          <w:tcPr/>
          <w:p>
            <w:pPr>
              <w:pStyle w:val="Compact"/>
              <w:jc w:val="left"/>
            </w:pPr>
            <w:r>
              <w:t xml:space="preserve">Melanotán II</w:t>
            </w:r>
          </w:p>
        </w:tc>
        <w:tc>
          <w:tcPr/>
          <w:p>
            <w:pPr>
              <w:pStyle w:val="Compact"/>
              <w:jc w:val="left"/>
            </w:pPr>
            <w:r>
              <w:t xml:space="preserve">C</w:t>
            </w:r>
          </w:p>
        </w:tc>
        <w:tc>
          <w:tcPr/>
          <w:p>
            <w:pPr>
              <w:pStyle w:val="Compact"/>
              <w:jc w:val="left"/>
            </w:pPr>
            <w:r>
              <w:t xml:space="preserve">ninguna</w:t>
            </w:r>
          </w:p>
        </w:tc>
        <w:tc>
          <w:tcPr/>
          <w:p>
            <w:pPr>
              <w:pStyle w:val="Compact"/>
              <w:jc w:val="left"/>
            </w:pPr>
            <w:r>
              <w:t xml:space="preserve">Bronceado del mercado gris; casos clínicos de lunares y priapismo</w:t>
            </w:r>
          </w:p>
        </w:tc>
      </w:tr>
      <w:tr>
        <w:tc>
          <w:tcPr/>
          <w:p>
            <w:pPr>
              <w:pStyle w:val="Compact"/>
              <w:jc w:val="left"/>
            </w:pPr>
            <w:r>
              <w:t xml:space="preserve">Afamelanotida</w:t>
            </w:r>
          </w:p>
        </w:tc>
        <w:tc>
          <w:tcPr/>
          <w:p>
            <w:pPr>
              <w:pStyle w:val="Compact"/>
              <w:jc w:val="left"/>
            </w:pPr>
            <w:r>
              <w:t xml:space="preserve">A</w:t>
            </w:r>
          </w:p>
        </w:tc>
        <w:tc>
          <w:tcPr/>
          <w:p>
            <w:pPr>
              <w:pStyle w:val="Compact"/>
              <w:jc w:val="left"/>
            </w:pPr>
            <w:r>
              <w:t xml:space="preserve">UE y EE. UU. (Scenesse)</w:t>
            </w:r>
          </w:p>
        </w:tc>
        <w:tc>
          <w:tcPr/>
          <w:p>
            <w:pPr>
              <w:pStyle w:val="Compact"/>
              <w:jc w:val="left"/>
            </w:pPr>
            <w:r>
              <w:t xml:space="preserve">Fotoprotección en la EPP; vitíligo en estudio</w:t>
            </w:r>
          </w:p>
        </w:tc>
      </w:tr>
      <w:tr>
        <w:tc>
          <w:tcPr/>
          <w:p>
            <w:pPr>
              <w:pStyle w:val="Compact"/>
              <w:jc w:val="left"/>
            </w:pPr>
            <w:r>
              <w:t xml:space="preserve">Kisspeptina</w:t>
            </w:r>
          </w:p>
        </w:tc>
        <w:tc>
          <w:tcPr/>
          <w:p>
            <w:pPr>
              <w:pStyle w:val="Compact"/>
              <w:jc w:val="left"/>
            </w:pPr>
            <w:r>
              <w:t xml:space="preserve">B</w:t>
            </w:r>
          </w:p>
        </w:tc>
        <w:tc>
          <w:tcPr/>
          <w:p>
            <w:pPr>
              <w:pStyle w:val="Compact"/>
              <w:jc w:val="left"/>
            </w:pPr>
            <w:r>
              <w:t xml:space="preserve">ninguna</w:t>
            </w:r>
          </w:p>
        </w:tc>
        <w:tc>
          <w:tcPr/>
          <w:p>
            <w:pPr>
              <w:pStyle w:val="Compact"/>
              <w:jc w:val="left"/>
            </w:pPr>
            <w:r>
              <w:t xml:space="preserve">Maduración ovocitaria en FIV, pruebas hormonales; investigación</w:t>
            </w:r>
          </w:p>
        </w:tc>
      </w:tr>
      <w:tr>
        <w:tc>
          <w:tcPr/>
          <w:p>
            <w:pPr>
              <w:pStyle w:val="Compact"/>
              <w:jc w:val="left"/>
            </w:pPr>
            <w:r>
              <w:t xml:space="preserve">Oxitocina (espray nasal)</w:t>
            </w:r>
          </w:p>
        </w:tc>
        <w:tc>
          <w:tcPr/>
          <w:p>
            <w:pPr>
              <w:pStyle w:val="Compact"/>
              <w:jc w:val="left"/>
            </w:pPr>
            <w:r>
              <w:t xml:space="preserve">B</w:t>
            </w:r>
          </w:p>
        </w:tc>
        <w:tc>
          <w:tcPr/>
          <w:p>
            <w:pPr>
              <w:pStyle w:val="Compact"/>
              <w:jc w:val="left"/>
            </w:pPr>
            <w:r>
              <w:t xml:space="preserve">solo como infusión (obstetricia)</w:t>
            </w:r>
          </w:p>
        </w:tc>
        <w:tc>
          <w:tcPr/>
          <w:p>
            <w:pPr>
              <w:pStyle w:val="Compact"/>
              <w:jc w:val="left"/>
            </w:pPr>
            <w:r>
              <w:t xml:space="preserve">Autismo y confianza: grandes estudios negativos</w:t>
            </w:r>
          </w:p>
        </w:tc>
      </w:tr>
      <w:tr>
        <w:tc>
          <w:tcPr/>
          <w:p>
            <w:pPr>
              <w:pStyle w:val="Compact"/>
              <w:jc w:val="left"/>
            </w:pPr>
            <w:r>
              <w:t xml:space="preserve">Gonadorelina</w:t>
            </w:r>
          </w:p>
        </w:tc>
        <w:tc>
          <w:tcPr/>
          <w:p>
            <w:pPr>
              <w:pStyle w:val="Compact"/>
              <w:jc w:val="left"/>
            </w:pPr>
            <w:r>
              <w:t xml:space="preserve">B</w:t>
            </w:r>
          </w:p>
        </w:tc>
        <w:tc>
          <w:tcPr/>
          <w:p>
            <w:pPr>
              <w:pStyle w:val="Compact"/>
              <w:jc w:val="left"/>
            </w:pPr>
            <w:r>
              <w:t xml:space="preserve">nacional (UE), ya no en EE. UU.</w:t>
            </w:r>
          </w:p>
        </w:tc>
        <w:tc>
          <w:tcPr/>
          <w:p>
            <w:pPr>
              <w:pStyle w:val="Compact"/>
              <w:jc w:val="left"/>
            </w:pPr>
            <w:r>
              <w:t xml:space="preserve">Prueba de GnRH y bomba en el deseo de tener hijos; prohibida en el deporte</w:t>
            </w:r>
          </w:p>
        </w:tc>
      </w:tr>
    </w:tbl>
    <w:p>
      <w:pPr>
        <w:pStyle w:val="BodyText"/>
      </w:pPr>
      <w:r>
        <w:t xml:space="preserve">Los datos de autorización corresponden a la situación de 2026 y conviene comprobarlos en su versión actual.</w:t>
      </w:r>
    </w:p>
    <w:bookmarkEnd w:id="741"/>
    <w:bookmarkStart w:id="742" w:name="indicaciones-de-lectura-1"/>
    <w:p>
      <w:pPr>
        <w:pStyle w:val="Heading3"/>
      </w:pPr>
      <w:r>
        <w:t xml:space="preserve">Indicaciones de lectura</w:t>
      </w:r>
    </w:p>
    <w:p>
      <w:pPr>
        <w:pStyle w:val="FirstParagraph"/>
      </w:pPr>
      <w:r>
        <w:t xml:space="preserve">Si le interesan los productos bronceadores, lea juntos los capítulos sobre el melanotán II y la afamelanotida: muestran lo distinto que puede resultar una misma idea de partida, una vez como medicamento evaluado en una consulta especializada y otra como polvo no evaluado comprado en internet. Para el tema de la sexualidad merece la pena comparar la bremelanotida, la kisspeptina y la oxitocina; las tres muestran lo intensos que son los efectos placebo en este campo. La kisspeptina y la gonadorelina explican juntas el eje hormonal de la fertilidad. Las cuestiones generales sobre los productos del mercado gris figuran en la Parte I, y la comparación de riesgos, en la Parte IV.</w:t>
      </w:r>
    </w:p>
    <w:bookmarkEnd w:id="742"/>
    <w:bookmarkStart w:id="760" w:name="bremelanotida-pt-141"/>
    <w:p>
      <w:pPr>
        <w:pStyle w:val="Heading2"/>
      </w:pPr>
      <w:r>
        <w:t xml:space="preserve">Bremelanotida (PT-141)</w:t>
      </w:r>
    </w:p>
    <w:bookmarkStart w:id="743" w:name="ficha-46"/>
    <w:p>
      <w:pPr>
        <w:pStyle w:val="Heading3"/>
      </w:pPr>
      <w:r>
        <w:t xml:space="preserve">Ficha</w:t>
      </w:r>
    </w:p>
    <w:p>
      <w:pPr>
        <w:numPr>
          <w:ilvl w:val="0"/>
          <w:numId w:val="1251"/>
        </w:numPr>
        <w:pStyle w:val="Compact"/>
      </w:pPr>
      <w:r>
        <w:rPr>
          <w:bCs/>
          <w:b/>
        </w:rPr>
        <w:t xml:space="preserve">Tipo/estructura:</w:t>
      </w:r>
      <w:r>
        <w:t xml:space="preserve"> </w:t>
      </w:r>
      <w:r>
        <w:t xml:space="preserve">péptido cíclico (en forma de anillo) de siete aminoácidos, de fabricación sintética. Deriva de la hormona endógena alfa-MSH (hormona estimulante de los melanocitos alfa) y es un pariente cercano del melanotán II (capítulo 2E02). En la bibliografía también se denomina PT-141.</w:t>
      </w:r>
    </w:p>
    <w:p>
      <w:pPr>
        <w:numPr>
          <w:ilvl w:val="0"/>
          <w:numId w:val="1251"/>
        </w:numPr>
        <w:pStyle w:val="Compact"/>
      </w:pPr>
      <w:r>
        <w:rPr>
          <w:bCs/>
          <w:b/>
        </w:rPr>
        <w:t xml:space="preserve">Origen:</w:t>
      </w:r>
      <w:r>
        <w:t xml:space="preserve"> </w:t>
      </w:r>
      <w:r>
        <w:t xml:space="preserve">surgió del desarrollo del melanotán II en la Universidad de Arizona; posteriormente lo desarrolló la empresa Palatin Technologies (Hadley 2006, PMID 16412534).</w:t>
      </w:r>
    </w:p>
    <w:p>
      <w:pPr>
        <w:numPr>
          <w:ilvl w:val="0"/>
          <w:numId w:val="1251"/>
        </w:numPr>
        <w:pStyle w:val="Compact"/>
      </w:pPr>
      <w:r>
        <w:rPr>
          <w:bCs/>
          <w:b/>
        </w:rPr>
        <w:t xml:space="preserve">Mecanismo de acción:</w:t>
      </w:r>
      <w:r>
        <w:t xml:space="preserve"> </w:t>
      </w:r>
      <w:r>
        <w:t xml:space="preserve">agonista de los receptores de melanocortinas, sobre todo del MC4R en el cerebro. No actúa sobre los vasos sanguíneos de los órganos genitales, como el sildenafilo, sino sobre regiones cerebrales implicadas en el deseo sexual.</w:t>
      </w:r>
    </w:p>
    <w:p>
      <w:pPr>
        <w:numPr>
          <w:ilvl w:val="0"/>
          <w:numId w:val="1251"/>
        </w:numPr>
        <w:pStyle w:val="Compact"/>
      </w:pPr>
      <w:r>
        <w:rPr>
          <w:bCs/>
          <w:b/>
        </w:rPr>
        <w:t xml:space="preserve">Forma farmacéutica:</w:t>
      </w:r>
      <w:r>
        <w:t xml:space="preserve"> </w:t>
      </w:r>
      <w:r>
        <w:t xml:space="preserve">jeringa precargada (autoinyector) para administración subcutánea a demanda, unos 45 minutos antes de la actividad sexual. Los primeros estudios utilizaron un espray nasal.</w:t>
      </w:r>
    </w:p>
    <w:p>
      <w:pPr>
        <w:numPr>
          <w:ilvl w:val="0"/>
          <w:numId w:val="1251"/>
        </w:numPr>
        <w:pStyle w:val="Compact"/>
      </w:pPr>
      <w:r>
        <w:rPr>
          <w:bCs/>
          <w:b/>
        </w:rPr>
        <w:t xml:space="preserve">Autorización en la UE:</w:t>
      </w:r>
      <w:r>
        <w:t xml:space="preserve"> </w:t>
      </w:r>
      <w:r>
        <w:t xml:space="preserve">no.</w:t>
      </w:r>
    </w:p>
    <w:p>
      <w:pPr>
        <w:numPr>
          <w:ilvl w:val="0"/>
          <w:numId w:val="1251"/>
        </w:numPr>
        <w:pStyle w:val="Compact"/>
      </w:pPr>
      <w:r>
        <w:rPr>
          <w:bCs/>
          <w:b/>
        </w:rPr>
        <w:t xml:space="preserve">Autorización en EE. UU.:</w:t>
      </w:r>
      <w:r>
        <w:t xml:space="preserve"> </w:t>
      </w:r>
      <w:r>
        <w:t xml:space="preserve">sí, desde 2019 como Vyleesi para mujeres premenopáusicas con trastorno del deseo sexual adquirido y generalizado (trastorno de deseo sexual hipoactivo, HSDD) (Dhillon 2019, PMID 31429064). Uso solo con prescripción médica y conforme a la ficha técnica.</w:t>
      </w:r>
    </w:p>
    <w:p>
      <w:pPr>
        <w:numPr>
          <w:ilvl w:val="0"/>
          <w:numId w:val="1251"/>
        </w:numPr>
        <w:pStyle w:val="Compact"/>
      </w:pPr>
      <w:r>
        <w:rPr>
          <w:bCs/>
          <w:b/>
        </w:rPr>
        <w:t xml:space="preserve">WADA:</w:t>
      </w:r>
      <w:r>
        <w:t xml:space="preserve"> </w:t>
      </w:r>
      <w:r>
        <w:t xml:space="preserve">no figura nominalmente (situación en 2026, compruébese la versión actual).</w:t>
      </w:r>
    </w:p>
    <w:p>
      <w:pPr>
        <w:numPr>
          <w:ilvl w:val="0"/>
          <w:numId w:val="1251"/>
        </w:numPr>
        <w:pStyle w:val="Compact"/>
      </w:pPr>
      <w:r>
        <w:rPr>
          <w:bCs/>
          <w:b/>
        </w:rPr>
        <w:t xml:space="preserve">Nivel de evidencia:</w:t>
      </w:r>
      <w:r>
        <w:t xml:space="preserve"> </w:t>
      </w:r>
      <w:r>
        <w:rPr>
          <w:bCs/>
          <w:b/>
        </w:rPr>
        <w:t xml:space="preserve">A</w:t>
      </w:r>
      <w:r>
        <w:t xml:space="preserve"> </w:t>
      </w:r>
      <w:r>
        <w:t xml:space="preserve">– dos grandes estudios aleatorizados de fase 3 con más de 1200 participantes en total, autorización en EE. UU. No obstante, el beneficio clínico es pequeño y discutido (véase más abajo).</w:t>
      </w:r>
    </w:p>
    <w:bookmarkEnd w:id="743"/>
    <w:bookmarkStart w:id="744" w:name="cómo-se-supone-que-actúa-46"/>
    <w:p>
      <w:pPr>
        <w:pStyle w:val="Heading3"/>
      </w:pPr>
      <w:r>
        <w:t xml:space="preserve">Cómo se supone que actúa</w:t>
      </w:r>
    </w:p>
    <w:p>
      <w:pPr>
        <w:pStyle w:val="FirstParagraph"/>
      </w:pPr>
      <w:r>
        <w:t xml:space="preserve">El sistema de las melanocortinas es una red de mensajeros y cinco receptores (de MC1R a MC5R) que se describe con más detalle en la introducción de esta parte. Para la bremelanotida, el receptor más importante es el MC4R. Se encuentra, entre otros lugares, en el hipotálamo, un centro de control del diencéfalo, y allí influye en el apetito, el gasto energético y –como se descubrió por casualidad– la excitación sexual.</w:t>
      </w:r>
    </w:p>
    <w:p>
      <w:pPr>
        <w:pStyle w:val="BodyText"/>
      </w:pPr>
      <w:r>
        <w:t xml:space="preserve">El hallazgo fue un subproducto de la investigación sobre el bronceado: hombres que en la década de 1990 recibieron melanotán II para broncear la piel refirieron erecciones espontáneas (Hadley 2005, PMID 15996790). La bremelanotida es una forma ligeramente modificada de esa molécula. Activa varios receptores de melanocortinas, pero a las dosis empleadas el más importante es el MC4R (Pfaus 2022, PMID 33455598). Sin embargo, no carece por completo de efecto sobre la piel, lo que explica las manchas pigmentarias observadas.</w:t>
      </w:r>
    </w:p>
    <w:p>
      <w:pPr>
        <w:pStyle w:val="BodyText"/>
      </w:pPr>
      <w:r>
        <w:t xml:space="preserve">Solo se entiende en parte cómo influye exactamente la activación del MC4R en el deseo sexual. Los experimentos con animales indican que la bremelanotida estimula, en una región concreta del hipotálamo (el área preóptica medial), la liberación del mensajero dopamina, que favorece el deseo sexual (Pfaus 2022, PMID 33455598). Un estudio británico con resonancia magnética funcional (RMf) en 31 mujeres con HSDD encontró, bajo un agonista del MC4R, una actividad modificada en regiones cerebrales que procesan los estímulos eróticos (Thurston 2022, PMID 36189794). Las autoras y los autores lo interpretan como una menor autoobservación y una mayor receptividad a los estímulos eróticos: una interpretación, no una explicación demostrada.</w:t>
      </w:r>
    </w:p>
    <w:p>
      <w:pPr>
        <w:pStyle w:val="BodyText"/>
      </w:pPr>
      <w:r>
        <w:t xml:space="preserve">Importante para entenderlo: la autorización no se dirige a «más deseo» en personas sanas, sino a un diagnóstico definido. El HSDD significa un deseo sexual persistentemente bajo que causa malestar y que no se explica por otra enfermedad, por medicamentos ni por problemas de pareja.</w:t>
      </w:r>
    </w:p>
    <w:bookmarkEnd w:id="744"/>
    <w:bookmarkStart w:id="751" w:name="estudios-en-humanos-46"/>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de este libro encontró</w:t>
      </w:r>
      <w:r>
        <w:t xml:space="preserve"> </w:t>
      </w:r>
      <w:r>
        <w:rPr>
          <w:bCs/>
          <w:b/>
        </w:rPr>
        <w:t xml:space="preserve">16</w:t>
      </w:r>
      <w:r>
        <w:t xml:space="preserve"> </w:t>
      </w:r>
      <w:r>
        <w:t xml:space="preserve">estudios en humanos en PubMed (</w:t>
      </w:r>
      <w:r>
        <w:rPr>
          <w:rStyle w:val="VerbatimChar"/>
        </w:rPr>
        <w:t xml:space="preserve">humanstudien_alle</w:t>
      </w:r>
      <w:r>
        <w:t xml:space="preserve">) y</w:t>
      </w:r>
      <w:r>
        <w:t xml:space="preserve"> </w:t>
      </w:r>
      <w:r>
        <w:rPr>
          <w:bCs/>
          <w:b/>
        </w:rPr>
        <w:t xml:space="preserve">10</w:t>
      </w:r>
      <w:r>
        <w:t xml:space="preserve"> </w:t>
      </w:r>
      <w:r>
        <w:t xml:space="preserve">registros en ClinicalTrials.gov. A ello se suman varias revisiones y metaanálisis. Para la valoración cuentan sobre todo los dos estudios de autorización RECONNECT, su extensión y el análisis de seguridad de todo el programa de desarrollo.</w:t>
      </w:r>
    </w:p>
    <w:bookmarkStart w:id="745" w:name="primeros-estudios-en-hombres"/>
    <w:p>
      <w:pPr>
        <w:pStyle w:val="Heading4"/>
      </w:pPr>
      <w:r>
        <w:t xml:space="preserve">Primeros estudios en hombres</w:t>
      </w:r>
    </w:p>
    <w:p>
      <w:pPr>
        <w:pStyle w:val="FirstParagraph"/>
      </w:pPr>
      <w:r>
        <w:t xml:space="preserve">La bremelanotida se desarrolló primero como medicamento contra la disfunción eréctil. En estudios de fase 1 con espray nasal (Diamond 2004, PMID 14963471) e inyección (Rosen 2004, PMID 14999221) provocó erecciones medibles en hombres sanos y en hombres con disfunción eréctil, incluso en aquellos que respondían de forma insuficiente a la Viagra. En un pequeño estudio con 19 pacientes, una dosis baja de bremelanotida potenció el efecto de una dosis baja de sildenafilo (Diamond 2005, PMID 15833522).</w:t>
      </w:r>
    </w:p>
    <w:p>
      <w:pPr>
        <w:pStyle w:val="BodyText"/>
      </w:pPr>
      <w:r>
        <w:t xml:space="preserve">Un estudio con 342 hombres en los que el sildenafilo no había funcionado comunicó un resultado positivo en el 33,5 % con bremelanotida en espray nasal frente al 8,5 % con placebo (Safarinejad 2008, PMID 18206919). Este trabajo debe leerse con cautela: un segundo estudio sobre bremelanotida del mismo primer autor, realizado en mujeres, fue retractado por la revista porque sus métodos y resultados no eran verificables (Safarinejad 2008, PMID 18179455); otros trabajos del autor también fueron retractados.</w:t>
      </w:r>
    </w:p>
    <w:p>
      <w:pPr>
        <w:pStyle w:val="BodyText"/>
      </w:pPr>
      <w:r>
        <w:t xml:space="preserve">El desarrollo del espray nasal se abandonó después de que en los estudios se observaran subidas de la presión arterial. La empresa pasó a la inyección y a las mujeres como grupo destinatario.</w:t>
      </w:r>
    </w:p>
    <w:bookmarkEnd w:id="745"/>
    <w:bookmarkStart w:id="746" w:name="búsqueda-de-dosis-en-mujeres"/>
    <w:p>
      <w:pPr>
        <w:pStyle w:val="Heading4"/>
      </w:pPr>
      <w:r>
        <w:t xml:space="preserve">Búsqueda de dosis en mujeres</w:t>
      </w:r>
    </w:p>
    <w:p>
      <w:pPr>
        <w:pStyle w:val="FirstParagraph"/>
      </w:pPr>
      <w:r>
        <w:t xml:space="preserve">Un primer pequeño estudio de laboratorio con 18 mujeres con trastorno de la excitación mostró, tras una única administración, un deseo moderado a alto con más frecuencia que tras el placebo, pero ningún cambio medible del flujo sanguíneo vaginal al ver películas eróticas (Diamond 2006, PMID 16839319).</w:t>
      </w:r>
    </w:p>
    <w:p>
      <w:pPr>
        <w:pStyle w:val="BodyText"/>
      </w:pPr>
      <w:r>
        <w:t xml:space="preserve">El decisivo estudio de fase 2b (Clayton 2016, PMID 27181790; NCT01382719) comparó tres dosis con placebo durante doce semanas en mujeres premenopáusicas. Se analizaron 327 participantes. Con las dos dosis más altas combinadas, el número de «acontecimientos sexuales satisfactorios» aumentó en 0,7 al mes, frente a 0,2 con placebo. En el cuestionario FSFI (Female Sexual Function Index, una puntuación de la función sexual), el aumento fue de 3,6 frente a 1,9 puntos. Un análisis posterior estableció a partir de qué cambio un efecto se considera clínicamente relevante; esos umbrales se adoptaron después para los estudios de fase 3 (Althof 2019, PMID 31277966).</w:t>
      </w:r>
    </w:p>
    <w:bookmarkEnd w:id="746"/>
    <w:bookmarkStart w:id="747" w:name="los-estudios-de-autorización-reconnect"/>
    <w:p>
      <w:pPr>
        <w:pStyle w:val="Heading4"/>
      </w:pPr>
      <w:r>
        <w:t xml:space="preserve">Los estudios de autorización RECONNECT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RECONNECT 301 y 302 (Kingsberg 2019), PMID 31599840</w:t>
            </w:r>
          </w:p>
        </w:tc>
        <w:tc>
          <w:tcPr/>
          <w:p>
            <w:pPr>
              <w:pStyle w:val="Compact"/>
              <w:jc w:val="left"/>
            </w:pPr>
            <w:r>
              <w:t xml:space="preserve">1267 mujeres premenopáusicas con HSDD, dos ECA frente a placebo, uso a demanda</w:t>
            </w:r>
          </w:p>
        </w:tc>
        <w:tc>
          <w:tcPr/>
          <w:p>
            <w:pPr>
              <w:pStyle w:val="Compact"/>
              <w:jc w:val="left"/>
            </w:pPr>
            <w:r>
              <w:t xml:space="preserve">24 semanas</w:t>
            </w:r>
          </w:p>
        </w:tc>
        <w:tc>
          <w:tcPr/>
          <w:p>
            <w:pPr>
              <w:pStyle w:val="Compact"/>
              <w:jc w:val="left"/>
            </w:pPr>
            <w:r>
              <w:t xml:space="preserve">Deseo (FSFI-Desire) +0,35 puntos más que con placebo; malestar reducido 0,33 puntos más</w:t>
            </w:r>
          </w:p>
        </w:tc>
      </w:tr>
      <w:tr>
        <w:tc>
          <w:tcPr/>
          <w:p>
            <w:pPr>
              <w:pStyle w:val="Compact"/>
              <w:jc w:val="left"/>
            </w:pPr>
            <w:r>
              <w:t xml:space="preserve">Extensión abierta (Simon 2019), PMID 31599847</w:t>
            </w:r>
          </w:p>
        </w:tc>
        <w:tc>
          <w:tcPr/>
          <w:p>
            <w:pPr>
              <w:pStyle w:val="Compact"/>
              <w:jc w:val="left"/>
            </w:pPr>
            <w:r>
              <w:t xml:space="preserve">684 mujeres de ambos estudios, todas con bremelanotida</w:t>
            </w:r>
          </w:p>
        </w:tc>
        <w:tc>
          <w:tcPr/>
          <w:p>
            <w:pPr>
              <w:pStyle w:val="Compact"/>
              <w:jc w:val="left"/>
            </w:pPr>
            <w:r>
              <w:t xml:space="preserve">52 semanas</w:t>
            </w:r>
          </w:p>
        </w:tc>
        <w:tc>
          <w:tcPr/>
          <w:p>
            <w:pPr>
              <w:pStyle w:val="Compact"/>
              <w:jc w:val="left"/>
            </w:pPr>
            <w:r>
              <w:t xml:space="preserve">272 completaron la extensión; ninguna nueva señal de seguridad</w:t>
            </w:r>
          </w:p>
        </w:tc>
      </w:tr>
      <w:tr>
        <w:tc>
          <w:tcPr/>
          <w:p>
            <w:pPr>
              <w:pStyle w:val="Compact"/>
              <w:jc w:val="left"/>
            </w:pPr>
            <w:r>
              <w:t xml:space="preserve">Análisis de subgrupos (Simon 2022), PMID 35230162</w:t>
            </w:r>
          </w:p>
        </w:tc>
        <w:tc>
          <w:tcPr/>
          <w:p>
            <w:pPr>
              <w:pStyle w:val="Compact"/>
              <w:jc w:val="left"/>
            </w:pPr>
            <w:r>
              <w:t xml:space="preserve">1202 mujeres de ambos estudios</w:t>
            </w:r>
          </w:p>
        </w:tc>
        <w:tc>
          <w:tcPr/>
          <w:p>
            <w:pPr>
              <w:pStyle w:val="Compact"/>
              <w:jc w:val="left"/>
            </w:pPr>
            <w:r>
              <w:t xml:space="preserve">24 semanas</w:t>
            </w:r>
          </w:p>
        </w:tc>
        <w:tc>
          <w:tcPr/>
          <w:p>
            <w:pPr>
              <w:pStyle w:val="Compact"/>
              <w:jc w:val="left"/>
            </w:pPr>
            <w:r>
              <w:t xml:space="preserve">Efecto similar en casi todos los subgrupos de edad, peso y estado hormonal</w:t>
            </w:r>
          </w:p>
        </w:tc>
      </w:tr>
      <w:tr>
        <w:tc>
          <w:tcPr/>
          <w:p>
            <w:pPr>
              <w:pStyle w:val="Compact"/>
              <w:jc w:val="left"/>
            </w:pPr>
            <w:r>
              <w:t xml:space="preserve">Análisis de seguridad (Clayton 2022), PMID 35147466</w:t>
            </w:r>
          </w:p>
        </w:tc>
        <w:tc>
          <w:tcPr/>
          <w:p>
            <w:pPr>
              <w:pStyle w:val="Compact"/>
              <w:jc w:val="left"/>
            </w:pPr>
            <w:r>
              <w:t xml:space="preserve">unas 3500 personas en 43 estudios</w:t>
            </w:r>
          </w:p>
        </w:tc>
        <w:tc>
          <w:tcPr/>
          <w:p>
            <w:pPr>
              <w:pStyle w:val="Compact"/>
              <w:jc w:val="left"/>
            </w:pPr>
            <w:r>
              <w:t xml:space="preserve">hasta 18 meses</w:t>
            </w:r>
          </w:p>
        </w:tc>
        <w:tc>
          <w:tcPr/>
          <w:p>
            <w:pPr>
              <w:pStyle w:val="Compact"/>
              <w:jc w:val="left"/>
            </w:pPr>
            <w:r>
              <w:t xml:space="preserve">Náuseas 40,0 % frente a 1,3 %, sofocos 20,3 % frente a 1,3 %</w:t>
            </w:r>
          </w:p>
        </w:tc>
      </w:tr>
    </w:tbl>
    <w:p>
      <w:pPr>
        <w:pStyle w:val="BodyText"/>
      </w:pPr>
      <w:r>
        <w:t xml:space="preserve">Los dos estudios idénticos 301 y 302 (NCT02333071, NCT02338960) se realizaron en 2015 y 2016, principalmente en EE. UU. Las participantes se inyectaban a demanda, antes de la actividad sexual, 1,75 mg de bremelanotida o placebo con un autoinyector. Se midieron dos variables principales: el deseo sexual (dominio de deseo del FSFI, escala de 1,2 a 6) y el malestar por el deseo bajo (una pregunta aislada del cuestionario FSDS-DAO, escala de 0 a 4).</w:t>
      </w:r>
    </w:p>
    <w:p>
      <w:pPr>
        <w:pStyle w:val="BodyText"/>
      </w:pPr>
      <w:r>
        <w:t xml:space="preserve">Ambos estudios alcanzaron sus objetivos principales. En el análisis conjunto, el deseo aumentó 0,35 puntos más que con placebo y el malestar disminuyó 0,33 puntos más (Kingsberg 2019, PMID 31599840). Estas cifras son estadísticamente claras, pero pequeñas: en una escala que llega hasta 6, un tercio de punto supone una diferencia modesta. También con placebo mejoraron claramente los valores, un patrón conocido en medicina sexual.</w:t>
      </w:r>
    </w:p>
    <w:p>
      <w:pPr>
        <w:pStyle w:val="BodyText"/>
      </w:pPr>
      <w:r>
        <w:t xml:space="preserve">En entrevistas de salida con 242 participantes que aún no sabían qué habían recibido, las mujeres tratadas con bremelanotida describieron con más frecuencia excitación física y más deseo; las del grupo placebo mencionaron más bien una mejor comunicación en la pareja (Koochaki 2021, PMID 33538638).</w:t>
      </w:r>
    </w:p>
    <w:bookmarkEnd w:id="747"/>
    <w:bookmarkStart w:id="748" w:name="Xc90f5b04a2b1b559292680923d045b941da26a5"/>
    <w:p>
      <w:pPr>
        <w:pStyle w:val="Heading4"/>
      </w:pPr>
      <w:r>
        <w:t xml:space="preserve">Las críticas a los estudios de autorización</w:t>
      </w:r>
    </w:p>
    <w:p>
      <w:pPr>
        <w:pStyle w:val="FirstParagraph"/>
      </w:pPr>
      <w:r>
        <w:t xml:space="preserve">Un nuevo análisis independiente basado en la documentación presentada a la agencia estadounidense del medicamento, la FDA, llegó a una valoración global distinta (Spielmans 2021, PMID 33678061). El autor confirma los pequeños efectos, pero critica que alrededor del 73 % de los resultados previstos en el protocolo del estudio no se publicaron. Dos hallazgos faltaban en la publicación principal:</w:t>
      </w:r>
    </w:p>
    <w:p>
      <w:pPr>
        <w:numPr>
          <w:ilvl w:val="0"/>
          <w:numId w:val="1252"/>
        </w:numPr>
        <w:pStyle w:val="Compact"/>
      </w:pPr>
      <w:r>
        <w:t xml:space="preserve">Los abandonos por efectos adversos fueron claramente más frecuentes con bremelanotida (odds ratio 11,98). Por cálculo, aproximadamente una de cada seis mujeres tratadas abandonó por efectos adversos cuando con placebo no lo habría hecho.</w:t>
      </w:r>
    </w:p>
    <w:p>
      <w:pPr>
        <w:numPr>
          <w:ilvl w:val="0"/>
          <w:numId w:val="1252"/>
        </w:numPr>
        <w:pStyle w:val="Compact"/>
      </w:pPr>
      <w:r>
        <w:t xml:space="preserve">Quienes completaron el estudio y pasaron luego a la extensión abierta procedían con más frecuencia del grupo placebo. También el análisis de seguridad del fabricante recoge estas cifras: el 70 % del grupo de bremelanotida frente al 87 % del grupo placebo pasaron a la extensión (Clayton 2022, PMID 35147466).</w:t>
      </w:r>
    </w:p>
    <w:p>
      <w:pPr>
        <w:pStyle w:val="FirstParagraph"/>
      </w:pPr>
      <w:r>
        <w:t xml:space="preserve">Spielmans concluye que el medicamento no es útil para la mayoría de las mujeres. Es una opinión individual tajante, pero se basa en datos que también ha publicado la parte del fabricante.</w:t>
      </w:r>
    </w:p>
    <w:bookmarkEnd w:id="748"/>
    <w:bookmarkStart w:id="749" w:name="metaanálisis-1"/>
    <w:p>
      <w:pPr>
        <w:pStyle w:val="Heading4"/>
      </w:pPr>
      <w:r>
        <w:t xml:space="preserve">Metaanálisis</w:t>
      </w:r>
    </w:p>
    <w:p>
      <w:pPr>
        <w:pStyle w:val="FirstParagraph"/>
      </w:pPr>
      <w:r>
        <w:t xml:space="preserve">Un metaanálisis sobre medicamentos contra la disfunción sexual femenina (entre ellos la bremelanotida, la flibanserina y la oxitocina intranasal) halló que alrededor del 67,7 % de la mejoría en los grupos de tratamiento se producía también con placebo (Weinberger 2018, PMID 29995725). Un metaanálisis más reciente confirma para la bremelanotida pequeñas mejorías del deseo y la excitación y una reducción del malestar, sin comparación con la psicoterapia (Toledo 2026, PMID 40543759). Una revisión de los estudios finalizados en ClinicalTrials.gov critica variables de resultado heterogéneas e informes incompletos (Ashour 2026, PMID 42254382).</w:t>
      </w:r>
    </w:p>
    <w:bookmarkEnd w:id="749"/>
    <w:bookmarkStart w:id="750" w:name="otras-cuestiones"/>
    <w:p>
      <w:pPr>
        <w:pStyle w:val="Heading4"/>
      </w:pPr>
      <w:r>
        <w:t xml:space="preserve">Otras cuestiones</w:t>
      </w:r>
    </w:p>
    <w:p>
      <w:pPr>
        <w:numPr>
          <w:ilvl w:val="0"/>
          <w:numId w:val="1253"/>
        </w:numPr>
        <w:pStyle w:val="Compact"/>
      </w:pPr>
      <w:r>
        <w:rPr>
          <w:bCs/>
          <w:b/>
        </w:rPr>
        <w:t xml:space="preserve">Alcohol:</w:t>
      </w:r>
      <w:r>
        <w:t xml:space="preserve"> </w:t>
      </w:r>
      <w:r>
        <w:t xml:space="preserve">en un estudio de fase 1 con 24 personas sanas no se produjeron interacciones relevantes con el consumo simultáneo de alcohol (Clayton 2017, PMID 28189361).</w:t>
      </w:r>
    </w:p>
    <w:p>
      <w:pPr>
        <w:numPr>
          <w:ilvl w:val="0"/>
          <w:numId w:val="1253"/>
        </w:numPr>
        <w:pStyle w:val="Compact"/>
      </w:pPr>
      <w:r>
        <w:rPr>
          <w:bCs/>
          <w:b/>
        </w:rPr>
        <w:t xml:space="preserve">Peso:</w:t>
      </w:r>
      <w:r>
        <w:t xml:space="preserve"> </w:t>
      </w:r>
      <w:r>
        <w:t xml:space="preserve">como el MC4R también regula el apetito, la bremelanotida se probó en mujeres con obesidad. En dos pequeños estudios de fase 1, la ingesta calórica disminuyó unas 400 kcal al día; a los 16 días, el peso era 1,3 kg inferior al del grupo placebo (Spana 2022, PMID 35170192). Son datos a corto plazo que no permiten conclusiones sobre un tratamiento prolongado.</w:t>
      </w:r>
    </w:p>
    <w:p>
      <w:pPr>
        <w:numPr>
          <w:ilvl w:val="0"/>
          <w:numId w:val="1253"/>
        </w:numPr>
        <w:pStyle w:val="Compact"/>
      </w:pPr>
      <w:r>
        <w:rPr>
          <w:bCs/>
          <w:b/>
        </w:rPr>
        <w:t xml:space="preserve">Cerebro:</w:t>
      </w:r>
      <w:r>
        <w:t xml:space="preserve"> </w:t>
      </w:r>
      <w:r>
        <w:t xml:space="preserve">el estudio de RMf ya mencionado (Thurston 2022, PMID 36189794; NCT04179734) es uno de los pocos trabajos no dirigidos por el fabricante.</w:t>
      </w:r>
    </w:p>
    <w:bookmarkEnd w:id="750"/>
    <w:bookmarkEnd w:id="751"/>
    <w:bookmarkStart w:id="752" w:name="estudios-en-animales-y-de-laboratorio-46"/>
    <w:p>
      <w:pPr>
        <w:pStyle w:val="Heading3"/>
      </w:pPr>
      <w:r>
        <w:t xml:space="preserve">Estudios en animales y de laboratorio</w:t>
      </w:r>
    </w:p>
    <w:p>
      <w:pPr>
        <w:pStyle w:val="FirstParagraph"/>
      </w:pPr>
      <w:r>
        <w:t xml:space="preserve">La investigación animal sobre la bremelanotida procede sobre todo de ratas. Una revisión la resume así: la bremelanotida activa el MC4R en neuronas del hipotálamo, que en consecuencia liberan más dopamina; en ratas hembra aumentaron las conductas con las que las hembras muestran interés sexual (Pfaus 2022, PMID 33455598). La revisión procede de investigadores vinculados al desarrollo del medicamento.</w:t>
      </w:r>
    </w:p>
    <w:p>
      <w:pPr>
        <w:pStyle w:val="BodyText"/>
      </w:pPr>
      <w:r>
        <w:t xml:space="preserve">Un estudio independiente en hámsteres hembra llegó a un resultado decepcionante: la bremelanotida no modificó los receptores del sistema de recompensa ni reforzó el «valor de recompensa» de los encuentros sexuales en una prueba de conducta (Borland 2025, PMID 39793696). Las autoras y los autores concluyen que el medicamento no actúa a través del circuito de recompensa clásico. Así pues, cómo actúa exactamente sigue sin aclararse.</w:t>
      </w:r>
    </w:p>
    <w:p>
      <w:pPr>
        <w:pStyle w:val="BodyText"/>
      </w:pPr>
      <w:r>
        <w:t xml:space="preserve">En cultivos celulares, la bremelanotida inhibió el crecimiento de células de glioblastoma, un tipo de tumor cerebral (Suzuki 2024, PMID 39197897). Es un hallazgo puramente de laboratorio, sin relevancia clínica.</w:t>
      </w:r>
    </w:p>
    <w:bookmarkEnd w:id="752"/>
    <w:bookmarkStart w:id="756" w:name="riesgos-y-efectos-adversos-46"/>
    <w:p>
      <w:pPr>
        <w:pStyle w:val="Heading3"/>
      </w:pPr>
      <w:r>
        <w:t xml:space="preserve">Riesgos y efectos adversos</w:t>
      </w:r>
    </w:p>
    <w:bookmarkStart w:id="753" w:name="demostrados"/>
    <w:p>
      <w:pPr>
        <w:pStyle w:val="Heading4"/>
      </w:pPr>
      <w:r>
        <w:t xml:space="preserve">Demostrados</w:t>
      </w:r>
    </w:p>
    <w:p>
      <w:pPr>
        <w:numPr>
          <w:ilvl w:val="0"/>
          <w:numId w:val="1254"/>
        </w:numPr>
        <w:pStyle w:val="Compact"/>
      </w:pPr>
      <w:r>
        <w:rPr>
          <w:bCs/>
          <w:b/>
        </w:rPr>
        <w:t xml:space="preserve">Náuseas:</w:t>
      </w:r>
      <w:r>
        <w:t xml:space="preserve"> </w:t>
      </w:r>
      <w:r>
        <w:t xml:space="preserve">el efecto adverso más frecuente. En los estudios de fase 3 afectaron al 40,0 % frente al 1,3 % con placebo y fueron el motivo de abandono más frecuente (Clayton 2022, PMID 35147466). Un estudio específico con 228 mujeres sanas examinó si el antiemético ondansetrón ayuda de forma preventiva (NCT03973047).</w:t>
      </w:r>
    </w:p>
    <w:p>
      <w:pPr>
        <w:numPr>
          <w:ilvl w:val="0"/>
          <w:numId w:val="1254"/>
        </w:numPr>
        <w:pStyle w:val="Compact"/>
      </w:pPr>
      <w:r>
        <w:rPr>
          <w:bCs/>
          <w:b/>
        </w:rPr>
        <w:t xml:space="preserve">Sofocos (flushing)</w:t>
      </w:r>
      <w:r>
        <w:t xml:space="preserve"> </w:t>
      </w:r>
      <w:r>
        <w:t xml:space="preserve">en el 20,3 %,</w:t>
      </w:r>
      <w:r>
        <w:t xml:space="preserve"> </w:t>
      </w:r>
      <w:r>
        <w:rPr>
          <w:bCs/>
          <w:b/>
        </w:rPr>
        <w:t xml:space="preserve">cefalea</w:t>
      </w:r>
      <w:r>
        <w:t xml:space="preserve"> </w:t>
      </w:r>
      <w:r>
        <w:t xml:space="preserve">en el 11,3 %,</w:t>
      </w:r>
      <w:r>
        <w:t xml:space="preserve"> </w:t>
      </w:r>
      <w:r>
        <w:rPr>
          <w:bCs/>
          <w:b/>
        </w:rPr>
        <w:t xml:space="preserve">reacciones en el lugar de inyección</w:t>
      </w:r>
      <w:r>
        <w:t xml:space="preserve"> </w:t>
      </w:r>
      <w:r>
        <w:t xml:space="preserve">en el 5,4 % (frente al 1,3 %, el 1,9 % y el 0,5 % con placebo).</w:t>
      </w:r>
    </w:p>
    <w:p>
      <w:pPr>
        <w:numPr>
          <w:ilvl w:val="0"/>
          <w:numId w:val="1254"/>
        </w:numPr>
        <w:pStyle w:val="Compact"/>
      </w:pPr>
      <w:r>
        <w:rPr>
          <w:bCs/>
          <w:b/>
        </w:rPr>
        <w:t xml:space="preserve">Presión arterial:</w:t>
      </w:r>
      <w:r>
        <w:t xml:space="preserve"> </w:t>
      </w:r>
      <w:r>
        <w:t xml:space="preserve">en un estudio con medición de 24 horas en 397 mujeres, la presión sistólica aumentó transitoriamente entre 2,4 y 3,2 mmHg tras la administración; los picos duraron por lo general menos de 15 minutos. Al mismo tiempo, la frecuencia cardiaca disminuyó unos 4,6 latidos por minuto (White 2017, PMID 27977473). Por ello, la ficha técnica desaconseja su uso en caso de hipertensión no controlada o enfermedad cardiovascular conocida.</w:t>
      </w:r>
    </w:p>
    <w:p>
      <w:pPr>
        <w:numPr>
          <w:ilvl w:val="0"/>
          <w:numId w:val="1254"/>
        </w:numPr>
        <w:pStyle w:val="Compact"/>
      </w:pPr>
      <w:r>
        <w:rPr>
          <w:bCs/>
          <w:b/>
        </w:rPr>
        <w:t xml:space="preserve">Manchas pigmentarias:</w:t>
      </w:r>
      <w:r>
        <w:t xml:space="preserve"> </w:t>
      </w:r>
      <w:r>
        <w:t xml:space="preserve">raras con el uso conforme a la ficha técnica. Sin embargo, cuando la bremelanotida se administró hasta 16 días consecutivos, más de un tercio de los participantes desarrolló manchas oscuras circunscritas (Clayton 2022, PMID 35147466), un indicio del efecto residual sobre el receptor pigmentario.</w:t>
      </w:r>
    </w:p>
    <w:p>
      <w:pPr>
        <w:numPr>
          <w:ilvl w:val="0"/>
          <w:numId w:val="1254"/>
        </w:numPr>
        <w:pStyle w:val="Compact"/>
      </w:pPr>
      <w:r>
        <w:rPr>
          <w:bCs/>
          <w:b/>
        </w:rPr>
        <w:t xml:space="preserve">Interacciones:</w:t>
      </w:r>
      <w:r>
        <w:t xml:space="preserve"> </w:t>
      </w:r>
      <w:r>
        <w:t xml:space="preserve">la bremelanotida retrasa brevemente el vaciamiento gástrico y, en estudios, redujo las concentraciones sanguíneas de indometacina y naltrexona (Clayton 2022, PMID 35147466).</w:t>
      </w:r>
    </w:p>
    <w:bookmarkEnd w:id="753"/>
    <w:bookmarkStart w:id="754" w:name="sin-aclarar"/>
    <w:p>
      <w:pPr>
        <w:pStyle w:val="Heading4"/>
      </w:pPr>
      <w:r>
        <w:t xml:space="preserve">Sin aclarar</w:t>
      </w:r>
    </w:p>
    <w:p>
      <w:pPr>
        <w:pStyle w:val="FirstParagraph"/>
      </w:pPr>
      <w:r>
        <w:t xml:space="preserve">No hay datos suficientes sobre el embarazo. Un pequeño estudio mide actualmente el paso a la leche materna (NCT06867835). Faltan datos a largo plazo más allá de 18 meses.</w:t>
      </w:r>
    </w:p>
    <w:bookmarkEnd w:id="754"/>
    <w:bookmarkStart w:id="755" w:name="mercado-gris-1"/>
    <w:p>
      <w:pPr>
        <w:pStyle w:val="Heading4"/>
      </w:pPr>
      <w:r>
        <w:t xml:space="preserve">Mercado gris</w:t>
      </w:r>
    </w:p>
    <w:p>
      <w:pPr>
        <w:pStyle w:val="FirstParagraph"/>
      </w:pPr>
      <w:r>
        <w:t xml:space="preserve">Con el nombre «PT-141», la bremelanotida se ofrece en internet como polvo para autoinyección, a menudo junto al melanotán II. Laboratorios forenses identificaron ambas sustancias en muestras incautadas por la policía en el entorno del culturismo (Mestria 2021, PMID 33245851). A estos productos se aplican los mismos riesgos que a otros péptidos del mercado gris (Parte I, capítulo «El mercado gris»): pureza desconocida, cantidades erróneas, impurezas, fabricación no estéril. Se sabe que el espray nasal de bremelanotida tenía un efecto más intenso sobre la presión arterial; los espráis del mercado gris no están evaluados.</w:t>
      </w:r>
    </w:p>
    <w:bookmarkEnd w:id="755"/>
    <w:bookmarkEnd w:id="756"/>
    <w:bookmarkStart w:id="757" w:name="situación-legal-46"/>
    <w:p>
      <w:pPr>
        <w:pStyle w:val="Heading3"/>
      </w:pPr>
      <w:r>
        <w:t xml:space="preserve">Situación legal</w:t>
      </w:r>
    </w:p>
    <w:p>
      <w:pPr>
        <w:pStyle w:val="FirstParagraph"/>
      </w:pPr>
      <w:r>
        <w:rPr>
          <w:iCs/>
          <w:i/>
        </w:rPr>
        <w:t xml:space="preserve">Situación en 2026, compruébese la versión actual.</w:t>
      </w:r>
    </w:p>
    <w:p>
      <w:pPr>
        <w:numPr>
          <w:ilvl w:val="0"/>
          <w:numId w:val="1255"/>
        </w:numPr>
        <w:pStyle w:val="Compact"/>
      </w:pPr>
      <w:r>
        <w:rPr>
          <w:bCs/>
          <w:b/>
        </w:rPr>
        <w:t xml:space="preserve">UE:</w:t>
      </w:r>
      <w:r>
        <w:t xml:space="preserve"> </w:t>
      </w:r>
      <w:r>
        <w:t xml:space="preserve">sin autorización y sin ningún procedimiento de autorización conocido en curso. La venta para uso en humanos no está permitida en la UE.</w:t>
      </w:r>
    </w:p>
    <w:p>
      <w:pPr>
        <w:numPr>
          <w:ilvl w:val="0"/>
          <w:numId w:val="1255"/>
        </w:numPr>
        <w:pStyle w:val="Compact"/>
      </w:pPr>
      <w:r>
        <w:rPr>
          <w:bCs/>
          <w:b/>
        </w:rPr>
        <w:t xml:space="preserve">Alemania y Austria:</w:t>
      </w:r>
      <w:r>
        <w:t xml:space="preserve"> </w:t>
      </w:r>
      <w:r>
        <w:t xml:space="preserve">sin autorización. La importación individual de un medicamento autorizado en EE. UU. con prescripción médica es legalmente posible dentro de límites estrechos; los productos del mercado gris no están incluidos.</w:t>
      </w:r>
    </w:p>
    <w:p>
      <w:pPr>
        <w:numPr>
          <w:ilvl w:val="0"/>
          <w:numId w:val="1255"/>
        </w:numPr>
        <w:pStyle w:val="Compact"/>
      </w:pPr>
      <w:r>
        <w:rPr>
          <w:bCs/>
          <w:b/>
        </w:rPr>
        <w:t xml:space="preserve">EE. UU.:</w:t>
      </w:r>
      <w:r>
        <w:t xml:space="preserve"> </w:t>
      </w:r>
      <w:r>
        <w:t xml:space="preserve">autorizada desde junio de 2019 (Vyleesi) para mujeres premenopáusicas con HSDD adquirido y generalizado. No autorizada para hombres, para mujeres posmenopáusicas ni para aumentar el deseo en personas sanas. Los derechos de comercialización han cambiado varias veces; según los registros, la responsable es ahora la empresa Cosette Pharmaceuticals.</w:t>
      </w:r>
    </w:p>
    <w:p>
      <w:pPr>
        <w:numPr>
          <w:ilvl w:val="0"/>
          <w:numId w:val="1255"/>
        </w:numPr>
        <w:pStyle w:val="Compact"/>
      </w:pPr>
      <w:r>
        <w:rPr>
          <w:bCs/>
          <w:b/>
        </w:rPr>
        <w:t xml:space="preserve">Otros países:</w:t>
      </w:r>
      <w:r>
        <w:t xml:space="preserve"> </w:t>
      </w:r>
      <w:r>
        <w:t xml:space="preserve">en Corea del Sur se realizó un estudio puente con 193 mujeres para una autorización en ese país (NCT04943068).</w:t>
      </w:r>
    </w:p>
    <w:p>
      <w:pPr>
        <w:numPr>
          <w:ilvl w:val="0"/>
          <w:numId w:val="1255"/>
        </w:numPr>
        <w:pStyle w:val="Compact"/>
      </w:pPr>
      <w:r>
        <w:rPr>
          <w:bCs/>
          <w:b/>
        </w:rPr>
        <w:t xml:space="preserve">WADA:</w:t>
      </w:r>
      <w:r>
        <w:t xml:space="preserve"> </w:t>
      </w:r>
      <w:r>
        <w:t xml:space="preserve">no figura nominalmente. Consulte la lista de prohibiciones vigente.</w:t>
      </w:r>
    </w:p>
    <w:bookmarkEnd w:id="757"/>
    <w:bookmarkStart w:id="758" w:name="estudios-en-curso-y-perspectivas-46"/>
    <w:p>
      <w:pPr>
        <w:pStyle w:val="Heading3"/>
      </w:pPr>
      <w:r>
        <w:t xml:space="preserve">Estudios en curso y perspectivas</w:t>
      </w:r>
    </w:p>
    <w:p>
      <w:pPr>
        <w:pStyle w:val="FirstParagraph"/>
      </w:pPr>
      <w:r>
        <w:rPr>
          <w:bCs/>
          <w:b/>
        </w:rPr>
        <w:t xml:space="preserve">Confirmado (estudios registrados):</w:t>
      </w:r>
    </w:p>
    <w:p>
      <w:pPr>
        <w:numPr>
          <w:ilvl w:val="0"/>
          <w:numId w:val="1256"/>
        </w:numPr>
        <w:pStyle w:val="Compact"/>
      </w:pPr>
      <w:r>
        <w:t xml:space="preserve">Un estudio de fase 2 con 108 personas examina la bremelanotida añadida a la tirzepatida en la obesidad (NCT06565611). El trasfondo es el efecto reductor del apetito a través del MC4R. Al cierre de la redacción no había en PubMed resultados publicados y revisados por pares.</w:t>
      </w:r>
    </w:p>
    <w:p>
      <w:pPr>
        <w:numPr>
          <w:ilvl w:val="0"/>
          <w:numId w:val="1256"/>
        </w:numPr>
        <w:pStyle w:val="Compact"/>
      </w:pPr>
      <w:r>
        <w:t xml:space="preserve">Ha finalizado un pequeño estudio abierto de fase 2 con 16 personas con enfermedad renal diabética (NCT05709444), también sin resultados publicados en PubMed.</w:t>
      </w:r>
    </w:p>
    <w:p>
      <w:pPr>
        <w:numPr>
          <w:ilvl w:val="0"/>
          <w:numId w:val="1256"/>
        </w:numPr>
        <w:pStyle w:val="Compact"/>
      </w:pPr>
      <w:r>
        <w:t xml:space="preserve">El estudio sobre lactancia (NCT06867835), con 10 mujeres, finalizó en 2025.</w:t>
      </w:r>
    </w:p>
    <w:p>
      <w:pPr>
        <w:pStyle w:val="FirstParagraph"/>
      </w:pPr>
      <w:r>
        <w:rPr>
          <w:bCs/>
          <w:b/>
        </w:rPr>
        <w:t xml:space="preserve">Valoración del autor:</w:t>
      </w:r>
      <w:r>
        <w:t xml:space="preserve"> </w:t>
      </w:r>
      <w:r>
        <w:t xml:space="preserve">según la situación actual, falta interés económico para una autorización en Europa; no se conoce ninguna solicitud. Más interesante es el papel del MC4R en la investigación de la obesidad, donde con la setmelanotida (capítulo en la Parte II · A) ya hay un agonista del MC4R autorizado para formas genéticas raras. Si la bremelanotida encuentra aquí un nicho dependerá de los resultados de los estudios aún pendientes.</w:t>
      </w:r>
    </w:p>
    <w:bookmarkEnd w:id="758"/>
    <w:bookmarkStart w:id="759" w:name="conclusión-46"/>
    <w:p>
      <w:pPr>
        <w:pStyle w:val="Heading3"/>
      </w:pPr>
      <w:r>
        <w:t xml:space="preserve">Conclusión</w:t>
      </w:r>
    </w:p>
    <w:p>
      <w:pPr>
        <w:pStyle w:val="FirstParagraph"/>
      </w:pPr>
      <w:r>
        <w:t xml:space="preserve">La bremelanotida es el único medicamento autorizado que actúa sobre el deseo sexual a través del sistema de las melanocortinas en el cerebro, aunque solo en EE. UU. y solo para un grupo de mujeres muy delimitado. En dos grandes estudios de fase 3, el deseo y el malestar mejoraron de forma estadísticamente clara, pero en pequeña medida y con un efecto placebo elevado. Las náuseas afectan a casi la mitad de las usuarias y llevan con frecuencia al abandono; las subidas transitorias de la presión arterial exigen precaución en caso de riesgo cardiovascular. Los productos del mercado gris con el nombre «PT-141» no están evaluados, y para hombres o personas sin diagnóstico falta cualquier evidencia suficiente para una autorización.</w:t>
      </w:r>
    </w:p>
    <w:bookmarkEnd w:id="759"/>
    <w:bookmarkEnd w:id="760"/>
    <w:bookmarkStart w:id="776" w:name="melanotán-ii"/>
    <w:p>
      <w:pPr>
        <w:pStyle w:val="Heading2"/>
      </w:pPr>
      <w:r>
        <w:t xml:space="preserve">Melanotán II</w:t>
      </w:r>
    </w:p>
    <w:bookmarkStart w:id="761" w:name="ficha-47"/>
    <w:p>
      <w:pPr>
        <w:pStyle w:val="Heading3"/>
      </w:pPr>
      <w:r>
        <w:t xml:space="preserve">Ficha</w:t>
      </w:r>
    </w:p>
    <w:p>
      <w:pPr>
        <w:numPr>
          <w:ilvl w:val="0"/>
          <w:numId w:val="1257"/>
        </w:numPr>
        <w:pStyle w:val="Compact"/>
      </w:pPr>
      <w:r>
        <w:rPr>
          <w:bCs/>
          <w:b/>
        </w:rPr>
        <w:t xml:space="preserve">Tipo/estructura:</w:t>
      </w:r>
      <w:r>
        <w:t xml:space="preserve"> </w:t>
      </w:r>
      <w:r>
        <w:t xml:space="preserve">péptido cíclico (en forma de anillo) de siete aminoácidos, una variante acortada y químicamente estabilizada de la hormona endógena alfa-MSH. La estructura en anillo la protege de una degradación rápida y hace que la molécula sea mucho más potente que su modelo natural (Dorr 1996, PMID 8637402).</w:t>
      </w:r>
    </w:p>
    <w:p>
      <w:pPr>
        <w:numPr>
          <w:ilvl w:val="0"/>
          <w:numId w:val="1257"/>
        </w:numPr>
        <w:pStyle w:val="Compact"/>
      </w:pPr>
      <w:r>
        <w:rPr>
          <w:bCs/>
          <w:b/>
        </w:rPr>
        <w:t xml:space="preserve">Origen:</w:t>
      </w:r>
      <w:r>
        <w:t xml:space="preserve"> </w:t>
      </w:r>
      <w:r>
        <w:t xml:space="preserve">desarrollado a finales de la década de 1980 y principios de la de 1990 en la Universidad de Arizona, en Tucson, inicialmente con el objetivo de conseguir un bronceado sin sol y prevenir así el cáncer de piel (Hadley 2006, PMID 16412534).</w:t>
      </w:r>
    </w:p>
    <w:p>
      <w:pPr>
        <w:numPr>
          <w:ilvl w:val="0"/>
          <w:numId w:val="1257"/>
        </w:numPr>
        <w:pStyle w:val="Compact"/>
      </w:pPr>
      <w:r>
        <w:rPr>
          <w:bCs/>
          <w:b/>
        </w:rPr>
        <w:t xml:space="preserve">Mecanismo de acción:</w:t>
      </w:r>
      <w:r>
        <w:t xml:space="preserve"> </w:t>
      </w:r>
      <w:r>
        <w:t xml:space="preserve">agonista no selectivo de los receptores de melanocortinas: MC1R (pigmentación de la piel), MC3R y MC4R (apetito, función sexual) y otros.</w:t>
      </w:r>
    </w:p>
    <w:p>
      <w:pPr>
        <w:numPr>
          <w:ilvl w:val="0"/>
          <w:numId w:val="1257"/>
        </w:numPr>
        <w:pStyle w:val="Compact"/>
      </w:pPr>
      <w:r>
        <w:rPr>
          <w:bCs/>
          <w:b/>
        </w:rPr>
        <w:t xml:space="preserve">Autorización en la UE:</w:t>
      </w:r>
      <w:r>
        <w:t xml:space="preserve"> </w:t>
      </w:r>
      <w:r>
        <w:t xml:space="preserve">no.</w:t>
      </w:r>
    </w:p>
    <w:p>
      <w:pPr>
        <w:numPr>
          <w:ilvl w:val="0"/>
          <w:numId w:val="1257"/>
        </w:numPr>
        <w:pStyle w:val="Compact"/>
      </w:pPr>
      <w:r>
        <w:rPr>
          <w:bCs/>
          <w:b/>
        </w:rPr>
        <w:t xml:space="preserve">Autorización en EE. UU.:</w:t>
      </w:r>
      <w:r>
        <w:t xml:space="preserve"> </w:t>
      </w:r>
      <w:r>
        <w:t xml:space="preserve">no.</w:t>
      </w:r>
    </w:p>
    <w:p>
      <w:pPr>
        <w:numPr>
          <w:ilvl w:val="0"/>
          <w:numId w:val="1257"/>
        </w:numPr>
        <w:pStyle w:val="Compact"/>
      </w:pPr>
      <w:r>
        <w:rPr>
          <w:bCs/>
          <w:b/>
        </w:rPr>
        <w:t xml:space="preserve">WADA:</w:t>
      </w:r>
      <w:r>
        <w:t xml:space="preserve"> </w:t>
      </w:r>
      <w:r>
        <w:t xml:space="preserve">no se menciona nominalmente; como principio activo no autorizado en ninguna parte, entra en el grupo S0 (sustancias no aprobadas) y, por tanto, está prohibido en todo momento (situación en 2026, compruébese la versión actual).</w:t>
      </w:r>
    </w:p>
    <w:p>
      <w:pPr>
        <w:numPr>
          <w:ilvl w:val="0"/>
          <w:numId w:val="1257"/>
        </w:numPr>
        <w:pStyle w:val="Compact"/>
      </w:pPr>
      <w:r>
        <w:rPr>
          <w:bCs/>
          <w:b/>
        </w:rPr>
        <w:t xml:space="preserve">Nivel de evidencia:</w:t>
      </w:r>
      <w:r>
        <w:t xml:space="preserve"> </w:t>
      </w:r>
      <w:r>
        <w:rPr>
          <w:bCs/>
          <w:b/>
        </w:rPr>
        <w:t xml:space="preserve">C</w:t>
      </w:r>
      <w:r>
        <w:t xml:space="preserve"> </w:t>
      </w:r>
      <w:r>
        <w:t xml:space="preserve">– solo estudios piloto muy pequeños de la década de 1990 con unas dos docenas de participantes en total, complementados por numerosos casos clínicos de efectos adversos en la autoadministración no controlada.</w:t>
      </w:r>
    </w:p>
    <w:bookmarkEnd w:id="761"/>
    <w:bookmarkStart w:id="762" w:name="cómo-se-supone-que-actúa-47"/>
    <w:p>
      <w:pPr>
        <w:pStyle w:val="Heading3"/>
      </w:pPr>
      <w:r>
        <w:t xml:space="preserve">Cómo se supone que actúa</w:t>
      </w:r>
    </w:p>
    <w:p>
      <w:pPr>
        <w:pStyle w:val="FirstParagraph"/>
      </w:pPr>
      <w:r>
        <w:t xml:space="preserve">La piel se broncea cuando las células pigmentarias (melanocitos) producen más melanina. La señal para ello la aporta, entre otras, la hormona alfa-MSH, que se une al receptor MC1R de las células pigmentarias. Tras tomar el sol, aumenta la producción de alfa-MSH en la piel y las células pigmentarias pasan a producir eumelanina, oscura y protectora.</w:t>
      </w:r>
    </w:p>
    <w:p>
      <w:pPr>
        <w:pStyle w:val="BodyText"/>
      </w:pPr>
      <w:r>
        <w:t xml:space="preserve">El melanotán II imita esta señal sin que la radiación UV tenga que dañar antes la piel. Esa era la idea original: un «bronceado inyectable» que proteja de las quemaduras solares. El problema: el melanotán II no solo se une al MC1R, sino también a los receptores MC3R y MC4R del cerebro. Estos regulan el apetito, el gasto energético y la excitación sexual. De ahí proceden los efectos acompañantes típicos: náuseas, bostezos y estiramientos, disminución del apetito y erecciones espontáneas.</w:t>
      </w:r>
    </w:p>
    <w:p>
      <w:pPr>
        <w:pStyle w:val="BodyText"/>
      </w:pPr>
      <w:r>
        <w:t xml:space="preserve">De la investigación de este «efecto adverso» surgieron otros dos principios activos que, a diferencia del melanotán II, sí continuaron su desarrollo clínico:</w:t>
      </w:r>
    </w:p>
    <w:p>
      <w:pPr>
        <w:numPr>
          <w:ilvl w:val="0"/>
          <w:numId w:val="1258"/>
        </w:numPr>
        <w:pStyle w:val="Compact"/>
      </w:pPr>
      <w:r>
        <w:t xml:space="preserve">La</w:t>
      </w:r>
      <w:r>
        <w:t xml:space="preserve"> </w:t>
      </w:r>
      <w:r>
        <w:rPr>
          <w:bCs/>
          <w:b/>
        </w:rPr>
        <w:t xml:space="preserve">afamelanotida</w:t>
      </w:r>
      <w:r>
        <w:t xml:space="preserve">, antes llamada melanotán I, es una molécula lineal y más larga que actúa preferentemente sobre la piel y está autorizada como implante para una enfermedad rara de fotosensibilidad (capítulo 2E03).</w:t>
      </w:r>
    </w:p>
    <w:p>
      <w:pPr>
        <w:numPr>
          <w:ilvl w:val="0"/>
          <w:numId w:val="1258"/>
        </w:numPr>
        <w:pStyle w:val="Compact"/>
      </w:pPr>
      <w:r>
        <w:t xml:space="preserve">La</w:t>
      </w:r>
      <w:r>
        <w:t xml:space="preserve"> </w:t>
      </w:r>
      <w:r>
        <w:rPr>
          <w:bCs/>
          <w:b/>
        </w:rPr>
        <w:t xml:space="preserve">bremelanotida</w:t>
      </w:r>
      <w:r>
        <w:t xml:space="preserve"> </w:t>
      </w:r>
      <w:r>
        <w:t xml:space="preserve">(PT-141) es una forma ligeramente modificada del melanotán II, autorizada en EE. UU. para el tratamiento del deseo sexual bajo en mujeres (capítulo 2E01).</w:t>
      </w:r>
    </w:p>
    <w:p>
      <w:pPr>
        <w:pStyle w:val="FirstParagraph"/>
      </w:pPr>
      <w:r>
        <w:t xml:space="preserve">En internet estos nombres se mezclan a menudo. «Melanotán» sin más puede designar, según el vendedor, uno u otro, o algo completamente distinto (Langan 2011, PMID 21547334).</w:t>
      </w:r>
    </w:p>
    <w:bookmarkEnd w:id="762"/>
    <w:bookmarkStart w:id="766" w:name="estudios-en-humanos-47"/>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de este libro encontró</w:t>
      </w:r>
      <w:r>
        <w:t xml:space="preserve"> </w:t>
      </w:r>
      <w:r>
        <w:rPr>
          <w:bCs/>
          <w:b/>
        </w:rPr>
        <w:t xml:space="preserve">8</w:t>
      </w:r>
      <w:r>
        <w:t xml:space="preserve"> </w:t>
      </w:r>
      <w:r>
        <w:t xml:space="preserve">estudios en humanos en PubMed (</w:t>
      </w:r>
      <w:r>
        <w:rPr>
          <w:rStyle w:val="VerbatimChar"/>
        </w:rPr>
        <w:t xml:space="preserve">humanstudien_alle</w:t>
      </w:r>
      <w:r>
        <w:t xml:space="preserve">) y un único registro en ClinicalTrials.gov, que al examinarlo resultó no ser fiable (véanse las perspectivas); por tanto, hay</w:t>
      </w:r>
      <w:r>
        <w:t xml:space="preserve"> </w:t>
      </w:r>
      <w:r>
        <w:rPr>
          <w:bCs/>
          <w:b/>
        </w:rPr>
        <w:t xml:space="preserve">0</w:t>
      </w:r>
      <w:r>
        <w:t xml:space="preserve"> </w:t>
      </w:r>
      <w:r>
        <w:t xml:space="preserve">estudios registrados sólidos. También la cifra de PubMed engaña: cuatro de los ocho estudios investigaron el melanotán I, es decir, la posterior afamelanotida, y no el melanotán II. Sobre el propio melanotán II solo existen tres pequeños estudios originales y un resumen del mismo grupo de investigación. Mucho más amplia es la bibliografía sobre efectos adversos: casos clínicos, series de casos, análisis de foros de internet y análisis de laboratorio de productos del mercado gris.</w:t>
      </w:r>
    </w:p>
    <w:bookmarkStart w:id="763" w:name="X2280dc4d638c735c19860c2b5a31f88e5b0e43e"/>
    <w:p>
      <w:pPr>
        <w:pStyle w:val="Heading4"/>
      </w:pPr>
      <w:r>
        <w:t xml:space="preserve">Los estudios clínicos de la década de 1990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Dorr 1996, PMID 8637402</w:t>
            </w:r>
          </w:p>
        </w:tc>
        <w:tc>
          <w:tcPr/>
          <w:p>
            <w:pPr>
              <w:pStyle w:val="Compact"/>
              <w:jc w:val="left"/>
            </w:pPr>
            <w:r>
              <w:t xml:space="preserve">3 hombres sanos, simple ciego, alternando principio activo y suero salino</w:t>
            </w:r>
          </w:p>
        </w:tc>
        <w:tc>
          <w:tcPr/>
          <w:p>
            <w:pPr>
              <w:pStyle w:val="Compact"/>
              <w:jc w:val="left"/>
            </w:pPr>
            <w:r>
              <w:t xml:space="preserve">2 semanas</w:t>
            </w:r>
          </w:p>
        </w:tc>
        <w:tc>
          <w:tcPr/>
          <w:p>
            <w:pPr>
              <w:pStyle w:val="Compact"/>
              <w:jc w:val="left"/>
            </w:pPr>
            <w:r>
              <w:t xml:space="preserve">Bronceado en cara, torso y nalgas en 2 de 3; erecciones espontáneas; náuseas, cansancio</w:t>
            </w:r>
          </w:p>
        </w:tc>
      </w:tr>
      <w:tr>
        <w:tc>
          <w:tcPr/>
          <w:p>
            <w:pPr>
              <w:pStyle w:val="Compact"/>
              <w:jc w:val="left"/>
            </w:pPr>
            <w:r>
              <w:t xml:space="preserve">Wessells 1998, PMID 9679884</w:t>
            </w:r>
          </w:p>
        </w:tc>
        <w:tc>
          <w:tcPr/>
          <w:p>
            <w:pPr>
              <w:pStyle w:val="Compact"/>
              <w:jc w:val="left"/>
            </w:pPr>
            <w:r>
              <w:t xml:space="preserve">10 hombres con disfunción eréctil psicógena, estudio cruzado doble ciego frente a placebo</w:t>
            </w:r>
          </w:p>
        </w:tc>
        <w:tc>
          <w:tcPr/>
          <w:p>
            <w:pPr>
              <w:pStyle w:val="Compact"/>
              <w:jc w:val="left"/>
            </w:pPr>
            <w:r>
              <w:t xml:space="preserve">Dosis únicas</w:t>
            </w:r>
          </w:p>
        </w:tc>
        <w:tc>
          <w:tcPr/>
          <w:p>
            <w:pPr>
              <w:pStyle w:val="Compact"/>
              <w:jc w:val="left"/>
            </w:pPr>
            <w:r>
              <w:t xml:space="preserve">Erecciones en 8 de 10; duración de rigidez elevada 38,0 frente a 3,0 minutos</w:t>
            </w:r>
          </w:p>
        </w:tc>
      </w:tr>
      <w:tr>
        <w:tc>
          <w:tcPr/>
          <w:p>
            <w:pPr>
              <w:pStyle w:val="Compact"/>
              <w:jc w:val="left"/>
            </w:pPr>
            <w:r>
              <w:t xml:space="preserve">Wessells 2000, PMID 11018622</w:t>
            </w:r>
          </w:p>
        </w:tc>
        <w:tc>
          <w:tcPr/>
          <w:p>
            <w:pPr>
              <w:pStyle w:val="Compact"/>
              <w:jc w:val="left"/>
            </w:pPr>
            <w:r>
              <w:t xml:space="preserve">10 hombres con disfunción eréctil orgánica, estudio cruzado doble ciego</w:t>
            </w:r>
          </w:p>
        </w:tc>
        <w:tc>
          <w:tcPr/>
          <w:p>
            <w:pPr>
              <w:pStyle w:val="Compact"/>
              <w:jc w:val="left"/>
            </w:pPr>
            <w:r>
              <w:t xml:space="preserve">Dosis únicas</w:t>
            </w:r>
          </w:p>
        </w:tc>
        <w:tc>
          <w:tcPr/>
          <w:p>
            <w:pPr>
              <w:pStyle w:val="Compact"/>
              <w:jc w:val="left"/>
            </w:pPr>
            <w:r>
              <w:t xml:space="preserve">Erecciones tras 12 de 19 inyecciones frente a 1 de 21 dosis de placebo; 4 de 19 inyecciones con náuseas intensas</w:t>
            </w:r>
          </w:p>
        </w:tc>
      </w:tr>
      <w:tr>
        <w:tc>
          <w:tcPr/>
          <w:p>
            <w:pPr>
              <w:pStyle w:val="Compact"/>
              <w:jc w:val="left"/>
            </w:pPr>
            <w:r>
              <w:t xml:space="preserve">Wessells 2000 (resumen), PMID 11035391</w:t>
            </w:r>
          </w:p>
        </w:tc>
        <w:tc>
          <w:tcPr/>
          <w:p>
            <w:pPr>
              <w:pStyle w:val="Compact"/>
              <w:jc w:val="left"/>
            </w:pPr>
            <w:r>
              <w:t xml:space="preserve">ambos estudios juntos, 20 hombres</w:t>
            </w:r>
          </w:p>
        </w:tc>
        <w:tc>
          <w:tcPr/>
          <w:p>
            <w:pPr>
              <w:pStyle w:val="Compact"/>
              <w:jc w:val="left"/>
            </w:pPr>
            <w:r>
              <w:t xml:space="preserve">Dosis únicas</w:t>
            </w:r>
          </w:p>
        </w:tc>
        <w:tc>
          <w:tcPr/>
          <w:p>
            <w:pPr>
              <w:pStyle w:val="Compact"/>
              <w:jc w:val="left"/>
            </w:pPr>
            <w:r>
              <w:t xml:space="preserve">Erecciones sin estímulos sexuales en 17 de 20; más deseo tras el 68 % frente al 19 % de las dosis</w:t>
            </w:r>
          </w:p>
        </w:tc>
      </w:tr>
    </w:tbl>
    <w:p>
      <w:pPr>
        <w:pStyle w:val="BodyText"/>
      </w:pPr>
      <w:r>
        <w:t xml:space="preserve">El primer estudio en humanos (Dorr 1996, PMID 8637402) fue un estudio piloto con solo tres hombres. Ya en él se observaron todos los efectos que más tarde describen los usuarios en internet: dos de los tres hombres se broncearon visiblemente, en la mayoría de los niveles de dosis aparecieron náuseas leves y uno sufrió un cansancio más intenso. Un «complejo de estiramientos y bostezos» se acompañó de erecciones espontáneas que, según la dosis, reaparecían una y otra vez durante una a cinco horas.</w:t>
      </w:r>
    </w:p>
    <w:p>
      <w:pPr>
        <w:pStyle w:val="BodyText"/>
      </w:pPr>
      <w:r>
        <w:t xml:space="preserve">A continuación, el grupo de trabajo del urólogo Hunter Wessells estudió el efecto eréctil. En dos pequeños estudios cruzados (cada participante recibía, en orden aleatorio, principio activo y placebo), el melanotán II provocó erecciones en la mayoría de los hombres con disfunción eréctil, incluso sin estímulos sexuales (Wessells 1998, PMID 9679884; Wessells 2000, PMID 11018622). En el resumen de ambos estudios, los hombres refirieron un aumento del deseo tras el 68 % de las dosis de melanotán y tras el 19 % de las de placebo. En el 12,9 % aparecieron náuseas intensas (Wessells 2000, PMID 11035391).</w:t>
      </w:r>
    </w:p>
    <w:p>
      <w:pPr>
        <w:pStyle w:val="BodyText"/>
      </w:pPr>
      <w:r>
        <w:t xml:space="preserve">Después terminó la investigación clínica sobre el melanotán II. El desarrollo pasó a la bremelanotida, que se evaluó como espray nasal y más tarde como inyección. Sobre el bronceado de la piel en personas sanas no existe ni un solo estudio controlado con melanotán II.</w:t>
      </w:r>
    </w:p>
    <w:bookmarkEnd w:id="763"/>
    <w:bookmarkStart w:id="764" w:name="los-estudios-sobre-el-melanotán-i"/>
    <w:p>
      <w:pPr>
        <w:pStyle w:val="Heading4"/>
      </w:pPr>
      <w:r>
        <w:t xml:space="preserve">Los estudios sobre el melanotán I</w:t>
      </w:r>
    </w:p>
    <w:p>
      <w:pPr>
        <w:pStyle w:val="FirstParagraph"/>
      </w:pPr>
      <w:r>
        <w:t xml:space="preserve">Para situarlos: los demás estudios de la consulta en la base de datos se refieren al melanotán I. En ellos, voluntarios produjeron tras las inyecciones más eumelanina, casi el doble que antes en la piel del antebrazo (Dorr 2000, PMID 11045725). En combinación con la luz solar, el bronceado se intensificó y se prolongó (Dorr 2004, PMID 15262693). Estos resultados forman parte de la historia de la afamelanotida y no pueden trasladarse al melanotán II, que actúa con más intensidad en el cerebro.</w:t>
      </w:r>
    </w:p>
    <w:bookmarkEnd w:id="764"/>
    <w:bookmarkStart w:id="765" w:name="quién-usa-el-melanotán-ii"/>
    <w:p>
      <w:pPr>
        <w:pStyle w:val="Heading4"/>
      </w:pPr>
      <w:r>
        <w:t xml:space="preserve">Quién usa el melanotán II</w:t>
      </w:r>
    </w:p>
    <w:p>
      <w:pPr>
        <w:pStyle w:val="FirstParagraph"/>
      </w:pPr>
      <w:r>
        <w:t xml:space="preserve">Como el melanotán II nunca fue autorizado, casi todo lo que se sabe sobre su uso actual procede de observaciones fuera de estudios. Ya en 2009, especialistas británicos describieron en el British Medical Journal la difusión del melanotán I y II en la población general (Evans-Brown 2009, PMID 19224885). Una revisión sistemática incluyó el melanotán entre los productos inyectados con frecuencia para optimizar el cuerpo y el rendimiento, junto con los esteroides anabolizantes y la hormona del crecimiento (Brennan 2017, PMID 26806443).</w:t>
      </w:r>
    </w:p>
    <w:p>
      <w:pPr>
        <w:pStyle w:val="BodyText"/>
      </w:pPr>
      <w:r>
        <w:t xml:space="preserve">Un análisis de foros de internet británicos e irlandeses de los años 2016 y 2017 evaluó 623 mensajes de 205 personas (Gilhooley 2021, PMID 34464955). Como motivos, las usuarias y los usuarios citaron sobre todo una tez bronceada antes de las vacaciones y de las competiciones de culturismo. Los foros mostraban desinformación, pautas de dosificación de elaboración propia, la combinación con solárium y otras prácticas de riesgo. Una encuesta en línea entre usuarios describe lo fácil que era conseguir la sustancia (Callaghan 2018, PMID 30142729).</w:t>
      </w:r>
    </w:p>
    <w:p>
      <w:pPr>
        <w:pStyle w:val="BodyText"/>
      </w:pPr>
      <w:r>
        <w:t xml:space="preserve">En los últimos años, la publicidad se ha desplazado cada vez más a redes sociales como TikTok, donde el melanotán se promociona como «Barbie Drug». Varias revistas dermatológicas han analizado estos contenidos y advierten contra su banalización (Orr 2025, PMID 38808957; Herlihy 2025, PMID 39148422; Sidhu 2026, PMID 41559011).</w:t>
      </w:r>
    </w:p>
    <w:bookmarkEnd w:id="765"/>
    <w:bookmarkEnd w:id="766"/>
    <w:bookmarkStart w:id="767" w:name="estudios-en-animales-y-de-laboratorio-47"/>
    <w:p>
      <w:pPr>
        <w:pStyle w:val="Heading3"/>
      </w:pPr>
      <w:r>
        <w:t xml:space="preserve">Estudios en animales y de laboratorio</w:t>
      </w:r>
    </w:p>
    <w:p>
      <w:pPr>
        <w:pStyle w:val="FirstParagraph"/>
      </w:pPr>
      <w:r>
        <w:t xml:space="preserve">En la investigación básica, el melanotán II es una herramienta estándar para activar los receptores de melanocortinas. En consecuencia, los experimentos con animales son numerosos, pero en su mayoría responden a preguntas de neurociencia y no se refieren a la seguridad en humanos:</w:t>
      </w:r>
    </w:p>
    <w:p>
      <w:pPr>
        <w:numPr>
          <w:ilvl w:val="0"/>
          <w:numId w:val="1259"/>
        </w:numPr>
        <w:pStyle w:val="Compact"/>
      </w:pPr>
      <w:r>
        <w:rPr>
          <w:bCs/>
          <w:b/>
        </w:rPr>
        <w:t xml:space="preserve">Peso y grasa:</w:t>
      </w:r>
      <w:r>
        <w:t xml:space="preserve"> </w:t>
      </w:r>
      <w:r>
        <w:t xml:space="preserve">en ratones y ratas con sobrepeso sometidos a una dieta rica en grasas, el melanotán II redujo el peso y la masa grasa, sobre todo mediante una menor ingesta de alimento (Strader 2007, PMID 17567964).</w:t>
      </w:r>
    </w:p>
    <w:p>
      <w:pPr>
        <w:numPr>
          <w:ilvl w:val="0"/>
          <w:numId w:val="1259"/>
        </w:numPr>
        <w:pStyle w:val="Compact"/>
      </w:pPr>
      <w:r>
        <w:rPr>
          <w:bCs/>
          <w:b/>
        </w:rPr>
        <w:t xml:space="preserve">Temperatura corporal:</w:t>
      </w:r>
      <w:r>
        <w:t xml:space="preserve"> </w:t>
      </w:r>
      <w:r>
        <w:t xml:space="preserve">en ratones provocó una hipotermia intensa transitoria, mediada por mastocitos e histamina (Jain 2018, PMID 29812984).</w:t>
      </w:r>
    </w:p>
    <w:p>
      <w:pPr>
        <w:numPr>
          <w:ilvl w:val="0"/>
          <w:numId w:val="1259"/>
        </w:numPr>
        <w:pStyle w:val="Compact"/>
      </w:pPr>
      <w:r>
        <w:rPr>
          <w:bCs/>
          <w:b/>
        </w:rPr>
        <w:t xml:space="preserve">Conducta social:</w:t>
      </w:r>
      <w:r>
        <w:t xml:space="preserve"> </w:t>
      </w:r>
      <w:r>
        <w:t xml:space="preserve">en un modelo murino de autismo, una administración de una semana mejoró medidas de conducta social (Minakova 2019, PMID 30629642). La vía supuesta pasa por una activación del sistema de la oxitocina (capítulo 2E05).</w:t>
      </w:r>
    </w:p>
    <w:p>
      <w:pPr>
        <w:pStyle w:val="FirstParagraph"/>
      </w:pPr>
      <w:r>
        <w:t xml:space="preserve">Ninguno de estos resultados se ha confirmado en humanos.</w:t>
      </w:r>
    </w:p>
    <w:bookmarkEnd w:id="767"/>
    <w:bookmarkStart w:id="772" w:name="riesgos-y-efectos-adversos-47"/>
    <w:p>
      <w:pPr>
        <w:pStyle w:val="Heading3"/>
      </w:pPr>
      <w:r>
        <w:t xml:space="preserve">Riesgos y efectos adversos</w:t>
      </w:r>
    </w:p>
    <w:p>
      <w:pPr>
        <w:pStyle w:val="FirstParagraph"/>
      </w:pPr>
      <w:r>
        <w:t xml:space="preserve">Los riesgos del melanotán II pueden ordenarse en tres grupos: los efectos previsibles a través de los receptores de melanocortinas, los cambios cutáneos con la cuestión abierta del cáncer de piel y los casos graves aislados.</w:t>
      </w:r>
    </w:p>
    <w:bookmarkStart w:id="768" w:name="efectos-previsibles"/>
    <w:p>
      <w:pPr>
        <w:pStyle w:val="Heading4"/>
      </w:pPr>
      <w:r>
        <w:t xml:space="preserve">Efectos previsibles</w:t>
      </w:r>
    </w:p>
    <w:p>
      <w:pPr>
        <w:pStyle w:val="FirstParagraph"/>
      </w:pPr>
      <w:r>
        <w:t xml:space="preserve">Náuseas, enrojecimiento facial, bostezos y estiramientos, pérdida de apetito, cansancio y erecciones espontáneas aparecieron ya en los estudios (Dorr 1996, PMID 8637402; Wessells 2000, PMID 11035391). La pigmentación no afecta solo a la piel: casos clínicos describen bandas oscuras transversales en las uñas de las manos (Paurobally 2013, PMID 22182016) y cambios pigmentarios de la mucosa oral (Bonchev 2026, PMID 41752902). Paradójicamente, también se han descrito manchas claras, despigmentadas (Ume 2026, PMID 42212476).</w:t>
      </w:r>
    </w:p>
    <w:bookmarkEnd w:id="768"/>
    <w:bookmarkStart w:id="769" w:name="lunares-y-melanoma"/>
    <w:p>
      <w:pPr>
        <w:pStyle w:val="Heading4"/>
      </w:pPr>
      <w:r>
        <w:t xml:space="preserve">Lunares y melanoma</w:t>
      </w:r>
    </w:p>
    <w:p>
      <w:pPr>
        <w:pStyle w:val="FirstParagraph"/>
      </w:pPr>
      <w:r>
        <w:t xml:space="preserve">Esta es la preocupación que más ocupa a las y los dermatólogos. El melanotán II estimula todas las células pigmentarias, también las de los lunares (nevos) ya existentes. Varios casos clínicos describen:</w:t>
      </w:r>
    </w:p>
    <w:p>
      <w:pPr>
        <w:numPr>
          <w:ilvl w:val="0"/>
          <w:numId w:val="1260"/>
        </w:numPr>
        <w:pStyle w:val="Compact"/>
      </w:pPr>
      <w:r>
        <w:rPr>
          <w:bCs/>
          <w:b/>
        </w:rPr>
        <w:t xml:space="preserve">aparición de lunares nuevos en gran número</w:t>
      </w:r>
      <w:r>
        <w:t xml:space="preserve"> </w:t>
      </w:r>
      <w:r>
        <w:t xml:space="preserve">(nevos eruptivos) tras inyecciones de melanotán (Cousen 2009, PMID 19575725; Thestrup-Pedersen 2011, PMID 21453640), en parte con un aspecto llamativo y atípico (Reid 2013, PMID 23914578);</w:t>
      </w:r>
    </w:p>
    <w:p>
      <w:pPr>
        <w:numPr>
          <w:ilvl w:val="0"/>
          <w:numId w:val="1260"/>
        </w:numPr>
        <w:pStyle w:val="Compact"/>
      </w:pPr>
      <w:r>
        <w:rPr>
          <w:bCs/>
          <w:b/>
        </w:rPr>
        <w:t xml:space="preserve">lunares existentes que se oscurecen y se modifican</w:t>
      </w:r>
      <w:r>
        <w:t xml:space="preserve">;</w:t>
      </w:r>
    </w:p>
    <w:p>
      <w:pPr>
        <w:numPr>
          <w:ilvl w:val="0"/>
          <w:numId w:val="1260"/>
        </w:numPr>
        <w:pStyle w:val="Compact"/>
      </w:pPr>
      <w:r>
        <w:rPr>
          <w:bCs/>
          <w:b/>
        </w:rPr>
        <w:t xml:space="preserve">melanomas</w:t>
      </w:r>
      <w:r>
        <w:t xml:space="preserve">, es decir, cáncer de piel negro, durante el uso o poco después (Paurobally 2011, PMID 21564053; Ong 2012, PMID 22724573). Una mujer de 20 años de piel clara desarrolló un melanoma en la nalga tres meses después de un autotratamiento de tres a cuatro semanas combinado con sesiones de solárium (Hjuler 2014, PMID 24355990). Un caso publicado en 2025 describe un melanoma de la mucosa oral en una joven de 22 años que había usado melanotán II en espray nasal (Yassin Alsabbagh 2025, PMID 40210573).</w:t>
      </w:r>
    </w:p>
    <w:p>
      <w:pPr>
        <w:pStyle w:val="FirstParagraph"/>
      </w:pPr>
      <w:r>
        <w:t xml:space="preserve">Una revisión de todos los casos publicados de lunares de aparición súbita (179 personas) encontró entre los desencadenantes, además de la inmunosupresión y la quimioterapia, el melanotán; el 16 % de los casos tenía al menos un lunar displásico, es decir, con alteraciones llamativas (Burian 2019, PMID 31119650).</w:t>
      </w:r>
    </w:p>
    <w:p>
      <w:pPr>
        <w:pStyle w:val="BodyText"/>
      </w:pPr>
      <w:r>
        <w:rPr>
          <w:bCs/>
          <w:b/>
        </w:rPr>
        <w:t xml:space="preserve">Qué significan estos datos:</w:t>
      </w:r>
      <w:r>
        <w:t xml:space="preserve"> </w:t>
      </w:r>
      <w:r>
        <w:t xml:space="preserve">los casos clínicos no demuestran una relación causal. Muchas de las personas afectadas usaban a la vez el solárium o tomaban el sol intensamente, lo que aumenta de forma independiente el riesgo de melanoma. Una revisión concluye que la relación no está demostrada de forma concluyente, pero que la acumulación de casos justifica la cautela (Habbema 2017, PMID 28266027). Como el melanotán II nunca se ha estudiado de forma sistemática, nadie puede decir cuán alto es un posible riesgo. A modo de comparación: para la afamelanotida, emparentada y autorizada, un estudio con dermatoscopia solo mostró cambios transitorios en los lunares, sin indicios de transformación maligna (capítulo 2E03); pero estos datos no son válidos para el melanotán II.</w:t>
      </w:r>
    </w:p>
    <w:bookmarkEnd w:id="769"/>
    <w:bookmarkStart w:id="770" w:name="casos-graves-aislados"/>
    <w:p>
      <w:pPr>
        <w:pStyle w:val="Heading4"/>
      </w:pPr>
      <w:r>
        <w:t xml:space="preserve">Casos graves aislados</w:t>
      </w:r>
    </w:p>
    <w:p>
      <w:pPr>
        <w:numPr>
          <w:ilvl w:val="0"/>
          <w:numId w:val="1261"/>
        </w:numPr>
        <w:pStyle w:val="Compact"/>
      </w:pPr>
      <w:r>
        <w:rPr>
          <w:bCs/>
          <w:b/>
        </w:rPr>
        <w:t xml:space="preserve">Priapismo:</w:t>
      </w:r>
      <w:r>
        <w:t xml:space="preserve"> </w:t>
      </w:r>
      <w:r>
        <w:t xml:space="preserve">erección dolorosa y persistente, una urgencia urológica. Varios casos clínicos la describen tras inyecciones de melanotán (Devlin 2013, PMID 23537392; Dreyer 2019, PMID 30796078). En un caso fue necesario un drenaje quirúrgico (Mallory 2021, PMID 33460908); en otro, la capacidad eréctil aún no se había recuperado cuatro semanas después (Dreyer 2019, PMID 30796078).</w:t>
      </w:r>
    </w:p>
    <w:p>
      <w:pPr>
        <w:numPr>
          <w:ilvl w:val="0"/>
          <w:numId w:val="1261"/>
        </w:numPr>
        <w:pStyle w:val="Compact"/>
      </w:pPr>
      <w:r>
        <w:rPr>
          <w:bCs/>
          <w:b/>
        </w:rPr>
        <w:t xml:space="preserve">Destrucción muscular y daño renal:</w:t>
      </w:r>
      <w:r>
        <w:t xml:space="preserve"> </w:t>
      </w:r>
      <w:r>
        <w:t xml:space="preserve">un hombre de 39 años se inyectó, según sus propias declaraciones, seis veces la cantidad inicial recomendada. Desarrolló taquicardia, agitación y una destrucción muscular grave (rabdomiólisis), con un aumento de la enzima muscular CK hasta 17.773 UI/l y daño renal transitorio; el laboratorio confirmó que la sustancia era melanotán II (Nelson 2012, PMID 23121206).</w:t>
      </w:r>
    </w:p>
    <w:p>
      <w:pPr>
        <w:numPr>
          <w:ilvl w:val="0"/>
          <w:numId w:val="1261"/>
        </w:numPr>
        <w:pStyle w:val="Compact"/>
      </w:pPr>
      <w:r>
        <w:rPr>
          <w:bCs/>
          <w:b/>
        </w:rPr>
        <w:t xml:space="preserve">Infarto renal:</w:t>
      </w:r>
      <w:r>
        <w:t xml:space="preserve"> </w:t>
      </w:r>
      <w:r>
        <w:t xml:space="preserve">un caso clínico con revisión de la bibliografía apunta al melanotán II como causa de una oclusión de vasos renales (Peters 2020, PMID 31953620).</w:t>
      </w:r>
    </w:p>
    <w:p>
      <w:pPr>
        <w:numPr>
          <w:ilvl w:val="0"/>
          <w:numId w:val="1261"/>
        </w:numPr>
        <w:pStyle w:val="Compact"/>
      </w:pPr>
      <w:r>
        <w:rPr>
          <w:bCs/>
          <w:b/>
        </w:rPr>
        <w:t xml:space="preserve">Edema cerebral:</w:t>
      </w:r>
      <w:r>
        <w:t xml:space="preserve"> </w:t>
      </w:r>
      <w:r>
        <w:t xml:space="preserve">un caso clínico describe un síndrome de encefalopatía posterior reversible (PRES), una inflamación en la región occipital del cerebro, en relación con el melanotán (Kaski 2013, PMID 23648958).</w:t>
      </w:r>
    </w:p>
    <w:p>
      <w:pPr>
        <w:numPr>
          <w:ilvl w:val="0"/>
          <w:numId w:val="1261"/>
        </w:numPr>
        <w:pStyle w:val="Compact"/>
      </w:pPr>
      <w:r>
        <w:rPr>
          <w:bCs/>
          <w:b/>
        </w:rPr>
        <w:t xml:space="preserve">Inflamación cutánea:</w:t>
      </w:r>
      <w:r>
        <w:t xml:space="preserve"> </w:t>
      </w:r>
      <w:r>
        <w:t xml:space="preserve">también se ha descrito un pioderma gangrenoso, una enfermedad cutánea ulcerosa grave (Dickson 2025, PMID 41487785).</w:t>
      </w:r>
    </w:p>
    <w:bookmarkEnd w:id="770"/>
    <w:bookmarkStart w:id="771" w:name="riesgos-del-mercado-gris-1"/>
    <w:p>
      <w:pPr>
        <w:pStyle w:val="Heading4"/>
      </w:pPr>
      <w:r>
        <w:t xml:space="preserve">Riesgos del mercado gris</w:t>
      </w:r>
    </w:p>
    <w:p>
      <w:pPr>
        <w:pStyle w:val="FirstParagraph"/>
      </w:pPr>
      <w:r>
        <w:t xml:space="preserve">Un laboratorio compró viales de melanotán II en tres tiendas en línea. Todas prometían 10 mg por vial; en realidad contenían entre 4,32 y 8,84 mg. En productos de dos tiendas se hallaron entre un 4,1 y un 5,9 % de impurezas desconocidas (Breindahl 2015, PMID 24771717). Un laboratorio forense determinó en una muestra incautada una pureza del 30 % (Deville 2024, PMID 39302005). A ello se suman los riesgos de la preparación no estéril y del uso compartido de agujas, sobre los que los especialistas advierten expresamente (Gilhooley 2021, PMID 34464955). Más información sobre pureza y falsificaciones en el mercado gris en la Parte I y la Parte IV.</w:t>
      </w:r>
    </w:p>
    <w:bookmarkEnd w:id="771"/>
    <w:bookmarkEnd w:id="772"/>
    <w:bookmarkStart w:id="773" w:name="situación-legal-47"/>
    <w:p>
      <w:pPr>
        <w:pStyle w:val="Heading3"/>
      </w:pPr>
      <w:r>
        <w:t xml:space="preserve">Situación legal</w:t>
      </w:r>
    </w:p>
    <w:p>
      <w:pPr>
        <w:pStyle w:val="FirstParagraph"/>
      </w:pPr>
      <w:r>
        <w:rPr>
          <w:iCs/>
          <w:i/>
        </w:rPr>
        <w:t xml:space="preserve">Situación en 2026, compruébese la versión actual.</w:t>
      </w:r>
    </w:p>
    <w:p>
      <w:pPr>
        <w:numPr>
          <w:ilvl w:val="0"/>
          <w:numId w:val="1262"/>
        </w:numPr>
        <w:pStyle w:val="Compact"/>
      </w:pPr>
      <w:r>
        <w:rPr>
          <w:bCs/>
          <w:b/>
        </w:rPr>
        <w:t xml:space="preserve">UE:</w:t>
      </w:r>
      <w:r>
        <w:t xml:space="preserve"> </w:t>
      </w:r>
      <w:r>
        <w:t xml:space="preserve">el melanotán II no está autorizado en ningún Estado miembro. Como se ofrece para uso en humanos con efecto sobre funciones corporales, se considera jurídicamente un medicamento; la fabricación, la importación y la venta sin autorización están prohibidas. La etiqueta «solo para fines de investigación» no cambia nada.</w:t>
      </w:r>
    </w:p>
    <w:p>
      <w:pPr>
        <w:numPr>
          <w:ilvl w:val="0"/>
          <w:numId w:val="1262"/>
        </w:numPr>
        <w:pStyle w:val="Compact"/>
      </w:pPr>
      <w:r>
        <w:rPr>
          <w:bCs/>
          <w:b/>
        </w:rPr>
        <w:t xml:space="preserve">Alemania y Austria:</w:t>
      </w:r>
      <w:r>
        <w:t xml:space="preserve"> </w:t>
      </w:r>
      <w:r>
        <w:t xml:space="preserve">no autorizado. La dispensación para uso en humanos infringe la respectiva ley del medicamento. Las autoridades y la aduana incautan los envíos.</w:t>
      </w:r>
    </w:p>
    <w:p>
      <w:pPr>
        <w:numPr>
          <w:ilvl w:val="0"/>
          <w:numId w:val="1262"/>
        </w:numPr>
        <w:pStyle w:val="Compact"/>
      </w:pPr>
      <w:r>
        <w:rPr>
          <w:bCs/>
          <w:b/>
        </w:rPr>
        <w:t xml:space="preserve">Advertencias de las autoridades:</w:t>
      </w:r>
      <w:r>
        <w:t xml:space="preserve"> </w:t>
      </w:r>
      <w:r>
        <w:t xml:space="preserve">varias autoridades nacionales sanitarias y del medicamento han advertido contra el melanotán I y II (Habbema 2017, PMID 28266027). Según el conocimiento del autor, las autoridades del Reino Unido e Irlanda estuvieron entre las primeras a partir de 2008; después siguieron otros países europeos y Australia. En el Reino Unido la venta es expresamente ilegal (Yassin Alsabbagh 2025, PMID 40210573).</w:t>
      </w:r>
    </w:p>
    <w:p>
      <w:pPr>
        <w:numPr>
          <w:ilvl w:val="0"/>
          <w:numId w:val="1262"/>
        </w:numPr>
        <w:pStyle w:val="Compact"/>
      </w:pPr>
      <w:r>
        <w:rPr>
          <w:bCs/>
          <w:b/>
        </w:rPr>
        <w:t xml:space="preserve">EE. UU.:</w:t>
      </w:r>
      <w:r>
        <w:t xml:space="preserve"> </w:t>
      </w:r>
      <w:r>
        <w:t xml:space="preserve">sin autorización de la FDA; la distribución como medicamento para uso en humanos no está permitida.</w:t>
      </w:r>
    </w:p>
    <w:p>
      <w:pPr>
        <w:numPr>
          <w:ilvl w:val="0"/>
          <w:numId w:val="1262"/>
        </w:numPr>
        <w:pStyle w:val="Compact"/>
      </w:pPr>
      <w:r>
        <w:rPr>
          <w:bCs/>
          <w:b/>
        </w:rPr>
        <w:t xml:space="preserve">WADA:</w:t>
      </w:r>
      <w:r>
        <w:t xml:space="preserve"> </w:t>
      </w:r>
      <w:r>
        <w:t xml:space="preserve">prohibido como sustancia no aprobada (S0).</w:t>
      </w:r>
    </w:p>
    <w:bookmarkEnd w:id="773"/>
    <w:bookmarkStart w:id="774" w:name="estudios-en-curso-y-perspectivas-47"/>
    <w:p>
      <w:pPr>
        <w:pStyle w:val="Heading3"/>
      </w:pPr>
      <w:r>
        <w:t xml:space="preserve">Estudios en curso y perspectivas</w:t>
      </w:r>
    </w:p>
    <w:p>
      <w:pPr>
        <w:pStyle w:val="FirstParagraph"/>
      </w:pPr>
      <w:r>
        <w:rPr>
          <w:bCs/>
          <w:b/>
        </w:rPr>
        <w:t xml:space="preserve">Confirmado (estudios registrados):</w:t>
      </w:r>
      <w:r>
        <w:t xml:space="preserve"> </w:t>
      </w:r>
      <w:r>
        <w:t xml:space="preserve">ninguno. En ClinicalTrials.gov se encontró un registro sobre el melanotán II en el vitíligo; sin embargo, el promotor de ese registro ha inscrito también registros que se califican a sí mismos de ficticios. Por ello, el registro no se considera aquí un estudio real. Esto muestra, de paso, que tampoco un registro demuestra que un estudio se esté realizando de verdad.</w:t>
      </w:r>
    </w:p>
    <w:p>
      <w:pPr>
        <w:pStyle w:val="BodyText"/>
      </w:pPr>
      <w:r>
        <w:rPr>
          <w:bCs/>
          <w:b/>
        </w:rPr>
        <w:t xml:space="preserve">Valoración del autor:</w:t>
      </w:r>
      <w:r>
        <w:t xml:space="preserve"> </w:t>
      </w:r>
      <w:r>
        <w:t xml:space="preserve">no existe una vía realista para su autorización como bronceador en personas sanas: el beneficio es cosmético, los efectos adversos a través del cerebro son marcados y la cuestión de los lunares y el melanoma tendría que aclararse en estudios grandes y prolongados. Las aplicaciones médicamente razonables de los agonistas de melanocortinas se persiguen con moléculas más selectivas: la afamelanotida para la piel, la bremelanotida y la setmelanotida para el cerebro. La popularidad en las redes sociales probablemente seguirá aumentando el número de casos clínicos.</w:t>
      </w:r>
    </w:p>
    <w:bookmarkEnd w:id="774"/>
    <w:bookmarkStart w:id="775" w:name="conclusión-47"/>
    <w:p>
      <w:pPr>
        <w:pStyle w:val="Heading3"/>
      </w:pPr>
      <w:r>
        <w:t xml:space="preserve">Conclusión</w:t>
      </w:r>
    </w:p>
    <w:p>
      <w:pPr>
        <w:pStyle w:val="FirstParagraph"/>
      </w:pPr>
      <w:r>
        <w:t xml:space="preserve">El melanotán II es un péptido de investigación de la década de 1990 que solo se evaluó en unas dos docenas de personas en estudios pequeños y que nunca obtuvo una autorización. Broncea la piel, pero a través de receptores cerebrales provoca con regularidad náuseas y erecciones espontáneas. Los casos clínicos describen lunares nuevos y modificados, melanomas, priapismo y destrucción muscular; una relación causal con el cáncer de piel no está demostrada, pero tampoco descartada. En análisis de laboratorio, los productos del mercado gris contenían menos principio activo del declarado e impurezas desconocidas. Los datos no bastan para calificar de seguro el melanotán II.</w:t>
      </w:r>
    </w:p>
    <w:bookmarkEnd w:id="775"/>
    <w:bookmarkEnd w:id="776"/>
    <w:bookmarkStart w:id="794" w:name="afamelanotida"/>
    <w:p>
      <w:pPr>
        <w:pStyle w:val="Heading2"/>
      </w:pPr>
      <w:r>
        <w:t xml:space="preserve">Afamelanotida</w:t>
      </w:r>
    </w:p>
    <w:bookmarkStart w:id="777" w:name="ficha-48"/>
    <w:p>
      <w:pPr>
        <w:pStyle w:val="Heading3"/>
      </w:pPr>
      <w:r>
        <w:t xml:space="preserve">Ficha</w:t>
      </w:r>
    </w:p>
    <w:p>
      <w:pPr>
        <w:numPr>
          <w:ilvl w:val="0"/>
          <w:numId w:val="1263"/>
        </w:numPr>
        <w:pStyle w:val="Compact"/>
      </w:pPr>
      <w:r>
        <w:rPr>
          <w:bCs/>
          <w:b/>
        </w:rPr>
        <w:t xml:space="preserve">Tipo/estructura:</w:t>
      </w:r>
      <w:r>
        <w:t xml:space="preserve"> </w:t>
      </w:r>
      <w:r>
        <w:t xml:space="preserve">péptido lineal de 13 aminoácidos. Corresponde a la hormona endógena alfa-MSH con dos componentes sustituidos (norleucina en la posición 4 y, en la posición 7, la forma especular D de la fenilalanina). Estos cambios la hacen más estable y más potente. Nombres anteriores: melanotán I, MT-I, NDP-MSH, CUV1647.</w:t>
      </w:r>
    </w:p>
    <w:p>
      <w:pPr>
        <w:numPr>
          <w:ilvl w:val="0"/>
          <w:numId w:val="1263"/>
        </w:numPr>
        <w:pStyle w:val="Compact"/>
      </w:pPr>
      <w:r>
        <w:rPr>
          <w:bCs/>
          <w:b/>
        </w:rPr>
        <w:t xml:space="preserve">Origen:</w:t>
      </w:r>
      <w:r>
        <w:t xml:space="preserve"> </w:t>
      </w:r>
      <w:r>
        <w:t xml:space="preserve">desarrollada en la Universidad de Arizona junto con el melanotán II (Hadley 2006, PMID 16412534); posteriormente, la empresa australiana Clinuvel la convirtió en medicamento.</w:t>
      </w:r>
    </w:p>
    <w:p>
      <w:pPr>
        <w:numPr>
          <w:ilvl w:val="0"/>
          <w:numId w:val="1263"/>
        </w:numPr>
        <w:pStyle w:val="Compact"/>
      </w:pPr>
      <w:r>
        <w:rPr>
          <w:bCs/>
          <w:b/>
        </w:rPr>
        <w:t xml:space="preserve">Mecanismo de acción:</w:t>
      </w:r>
      <w:r>
        <w:t xml:space="preserve"> </w:t>
      </w:r>
      <w:r>
        <w:t xml:space="preserve">agonista del receptor de melanocortina 1 (MC1R) de las células pigmentarias. Estimula la producción del pigmento oscuro y fotoprotector eumelanina, sin radiación UV previa.</w:t>
      </w:r>
    </w:p>
    <w:p>
      <w:pPr>
        <w:numPr>
          <w:ilvl w:val="0"/>
          <w:numId w:val="1263"/>
        </w:numPr>
        <w:pStyle w:val="Compact"/>
      </w:pPr>
      <w:r>
        <w:rPr>
          <w:bCs/>
          <w:b/>
        </w:rPr>
        <w:t xml:space="preserve">Forma farmacéutica:</w:t>
      </w:r>
      <w:r>
        <w:t xml:space="preserve"> </w:t>
      </w:r>
      <w:r>
        <w:t xml:space="preserve">pequeño implante reabsorbible (16 mg) que se coloca bajo la piel y libera el principio activo durante semanas. Se coloca en centros especializados.</w:t>
      </w:r>
    </w:p>
    <w:p>
      <w:pPr>
        <w:numPr>
          <w:ilvl w:val="0"/>
          <w:numId w:val="1263"/>
        </w:numPr>
        <w:pStyle w:val="Compact"/>
      </w:pPr>
      <w:r>
        <w:rPr>
          <w:bCs/>
          <w:b/>
        </w:rPr>
        <w:t xml:space="preserve">Autorización en la UE:</w:t>
      </w:r>
      <w:r>
        <w:t xml:space="preserve"> </w:t>
      </w:r>
      <w:r>
        <w:t xml:space="preserve">sí, desde 2014 (Scenesse) para la prevención del daño por la luz en adultos con protoporfiria eritropoyética (EPP). La autorización estaba sujeta a condiciones, entre ellas un estudio de seguridad posautorización y un registro de pacientes (Homey 2025, PMID 40082741).</w:t>
      </w:r>
    </w:p>
    <w:p>
      <w:pPr>
        <w:numPr>
          <w:ilvl w:val="0"/>
          <w:numId w:val="1263"/>
        </w:numPr>
        <w:pStyle w:val="Compact"/>
      </w:pPr>
      <w:r>
        <w:rPr>
          <w:bCs/>
          <w:b/>
        </w:rPr>
        <w:t xml:space="preserve">Autorización en EE. UU.:</w:t>
      </w:r>
      <w:r>
        <w:t xml:space="preserve"> </w:t>
      </w:r>
      <w:r>
        <w:t xml:space="preserve">sí, desde 2019 para adultos con EPP.</w:t>
      </w:r>
    </w:p>
    <w:p>
      <w:pPr>
        <w:numPr>
          <w:ilvl w:val="0"/>
          <w:numId w:val="1263"/>
        </w:numPr>
        <w:pStyle w:val="Compact"/>
      </w:pPr>
      <w:r>
        <w:rPr>
          <w:bCs/>
          <w:b/>
        </w:rPr>
        <w:t xml:space="preserve">WADA:</w:t>
      </w:r>
      <w:r>
        <w:t xml:space="preserve"> </w:t>
      </w:r>
      <w:r>
        <w:t xml:space="preserve">no figura en la lista (situación en 2026, compruébese la versión actual).</w:t>
      </w:r>
    </w:p>
    <w:p>
      <w:pPr>
        <w:numPr>
          <w:ilvl w:val="0"/>
          <w:numId w:val="1263"/>
        </w:numPr>
        <w:pStyle w:val="Compact"/>
      </w:pPr>
      <w:r>
        <w:rPr>
          <w:bCs/>
          <w:b/>
        </w:rPr>
        <w:t xml:space="preserve">Nivel de evidencia:</w:t>
      </w:r>
      <w:r>
        <w:t xml:space="preserve"> </w:t>
      </w:r>
      <w:r>
        <w:rPr>
          <w:bCs/>
          <w:b/>
        </w:rPr>
        <w:t xml:space="preserve">A</w:t>
      </w:r>
      <w:r>
        <w:t xml:space="preserve"> </w:t>
      </w:r>
      <w:r>
        <w:t xml:space="preserve">– autorización en la UE y EE. UU. basada en dos estudios aleatorizados y controlados con placebo, complementados por varias cohortes a largo plazo. Debido a la rareza de la enfermedad, los estudios son más pequeños que en las enfermedades frecuentes.</w:t>
      </w:r>
    </w:p>
    <w:bookmarkEnd w:id="777"/>
    <w:bookmarkStart w:id="778" w:name="cómo-se-supone-que-actúa-48"/>
    <w:p>
      <w:pPr>
        <w:pStyle w:val="Heading3"/>
      </w:pPr>
      <w:r>
        <w:t xml:space="preserve">Cómo se supone que actúa</w:t>
      </w:r>
    </w:p>
    <w:p>
      <w:pPr>
        <w:pStyle w:val="FirstParagraph"/>
      </w:pPr>
      <w:r>
        <w:t xml:space="preserve">La protoporfiria eritropoyética (EPP) es una enfermedad hereditaria rara. En Europa afecta al menos a una de cada 140.000 personas (Homey 2025, PMID 40082741). Debido a un defecto enzimático en la síntesis del pigmento rojo de la sangre, un precursor, la protoporfirina IX, se acumula en la sangre y la piel. Esta sustancia se activa con la luz visible y entonces daña los tejidos y los pequeños vasos sanguíneos de la piel.</w:t>
      </w:r>
    </w:p>
    <w:p>
      <w:pPr>
        <w:pStyle w:val="BodyText"/>
      </w:pPr>
      <w:r>
        <w:t xml:space="preserve">La consecuencia son dolores urentes, a menudo de días de duración, tras pocos minutos a la luz del sol, con frecuencia sin cambios visibles en la piel. Las personas afectadas evitan la luz del día desde la infancia. La protección solar convencional apenas ayuda, porque la reacción la desencadena sobre todo la luz visible y no la radiación UV. Además, una parte de las personas afectadas desarrolla daño hepático, porque el exceso de protoporfirina se elimina por la bilis (Minder 2023, PMID 37109595).</w:t>
      </w:r>
    </w:p>
    <w:p>
      <w:pPr>
        <w:pStyle w:val="BodyText"/>
      </w:pPr>
      <w:r>
        <w:t xml:space="preserve">La afamelanotida no actúa sobre la causa, sino sobre la piel: la broncea, y la eumelanina adicional absorbe parte de la luz antes de que llegue a la protoporfirina. Los experimentos de laboratorio sugieren además efectos antiinflamatorios y antioxidantes. No está claro qué papel desempeñan en humanos.</w:t>
      </w:r>
    </w:p>
    <w:p>
      <w:pPr>
        <w:pStyle w:val="BodyText"/>
      </w:pPr>
      <w:r>
        <w:t xml:space="preserve">A diferencia del melanotán II (capítulo 2E02), la afamelanotida actúa sobre todo en el receptor pigmentario MC1R y solo poco en los receptores cerebrales. Por eso, las náuseas y los efectos acompañantes sexuales son mucho menos frecuentes.</w:t>
      </w:r>
    </w:p>
    <w:bookmarkEnd w:id="778"/>
    <w:bookmarkStart w:id="785" w:name="estudios-en-humanos-48"/>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de este libro encontró</w:t>
      </w:r>
      <w:r>
        <w:t xml:space="preserve"> </w:t>
      </w:r>
      <w:r>
        <w:rPr>
          <w:bCs/>
          <w:b/>
        </w:rPr>
        <w:t xml:space="preserve">10</w:t>
      </w:r>
      <w:r>
        <w:t xml:space="preserve"> </w:t>
      </w:r>
      <w:r>
        <w:t xml:space="preserve">estudios en humanos en PubMed (</w:t>
      </w:r>
      <w:r>
        <w:rPr>
          <w:rStyle w:val="VerbatimChar"/>
        </w:rPr>
        <w:t xml:space="preserve">humanstudien_alle</w:t>
      </w:r>
      <w:r>
        <w:t xml:space="preserve">) y</w:t>
      </w:r>
      <w:r>
        <w:t xml:space="preserve"> </w:t>
      </w:r>
      <w:r>
        <w:rPr>
          <w:bCs/>
          <w:b/>
        </w:rPr>
        <w:t xml:space="preserve">23</w:t>
      </w:r>
      <w:r>
        <w:t xml:space="preserve"> </w:t>
      </w:r>
      <w:r>
        <w:t xml:space="preserve">registros en ClinicalTrials.gov. No obstante, la búsqueda solo abarca el nombre «afamelanotide»; los estudios antiguos con el nombre de melanotán I o NDP-MSH, así como varios estudios de cohortes, no están incluidos y se comentan aquí de forma complementaria.</w:t>
      </w:r>
    </w:p>
    <w:bookmarkStart w:id="779" w:name="Xf0b01840f013860496ef6c8732c2cd1242a7f38"/>
    <w:p>
      <w:pPr>
        <w:pStyle w:val="Heading4"/>
      </w:pPr>
      <w:r>
        <w:t xml:space="preserve">Antecedentes: el melanotán I en personas sanas</w:t>
      </w:r>
    </w:p>
    <w:p>
      <w:pPr>
        <w:pStyle w:val="FirstParagraph"/>
      </w:pPr>
      <w:r>
        <w:t xml:space="preserve">En la década de 1990 y a principios de la de 2000, voluntarios sanos de Arizona recibieron inyecciones diarias. Su piel se oscureció en la cara, el cuello y los antebrazos; el contenido de eumelanina de la piel del antebrazo aumentó de media un 98 % (Dorr 2000, PMID 11045725). En combinación con la luz solar, la piel se bronceó más y durante más tiempo, y los participantes sin principio activo necesitaron un 50 % más de tiempo al sol para el mismo bronceado (Dorr 2004, PMID 15262693). En un estudio con 77 personas de piel clara, el efecto fue incluso mayor en portadores de determinadas variantes genéticas del MC1R, es decir, en personas con una piel especialmente sensible al sol (Fitzgerald 2006, PMID 16293341). No se siguió adelante con el plan de convertirlo en una protección contra el cáncer de piel para la población general.</w:t>
      </w:r>
    </w:p>
    <w:bookmarkEnd w:id="779"/>
    <w:bookmarkStart w:id="780" w:name="los-estudios-de-autorización-en-la-epp"/>
    <w:p>
      <w:pPr>
        <w:pStyle w:val="Heading4"/>
      </w:pPr>
      <w:r>
        <w:t xml:space="preserve">Los estudios de autorización en la EPP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Harms 2009, PMID 19656325</w:t>
            </w:r>
          </w:p>
        </w:tc>
        <w:tc>
          <w:tcPr/>
          <w:p>
            <w:pPr>
              <w:pStyle w:val="Compact"/>
              <w:jc w:val="left"/>
            </w:pPr>
            <w:r>
              <w:t xml:space="preserve">5 personas con EPP, estudio piloto abierto</w:t>
            </w:r>
          </w:p>
        </w:tc>
        <w:tc>
          <w:tcPr/>
          <w:p>
            <w:pPr>
              <w:pStyle w:val="Compact"/>
              <w:jc w:val="left"/>
            </w:pPr>
            <w:r>
              <w:t xml:space="preserve">120 días</w:t>
            </w:r>
          </w:p>
        </w:tc>
        <w:tc>
          <w:tcPr/>
          <w:p>
            <w:pPr>
              <w:pStyle w:val="Compact"/>
              <w:jc w:val="left"/>
            </w:pPr>
            <w:r>
              <w:t xml:space="preserve">Tolerancia a la luz claramente aumentada</w:t>
            </w:r>
          </w:p>
        </w:tc>
      </w:tr>
      <w:tr>
        <w:tc>
          <w:tcPr/>
          <w:p>
            <w:pPr>
              <w:pStyle w:val="Compact"/>
              <w:jc w:val="left"/>
            </w:pPr>
            <w:r>
              <w:t xml:space="preserve">Estudio de la UE (Langendonk 2015), PMID 26132941</w:t>
            </w:r>
          </w:p>
        </w:tc>
        <w:tc>
          <w:tcPr/>
          <w:p>
            <w:pPr>
              <w:pStyle w:val="Compact"/>
              <w:jc w:val="left"/>
            </w:pPr>
            <w:r>
              <w:t xml:space="preserve">74 personas, ECA frente a implante de placebo</w:t>
            </w:r>
          </w:p>
        </w:tc>
        <w:tc>
          <w:tcPr/>
          <w:p>
            <w:pPr>
              <w:pStyle w:val="Compact"/>
              <w:jc w:val="left"/>
            </w:pPr>
            <w:r>
              <w:t xml:space="preserve">9 meses</w:t>
            </w:r>
          </w:p>
        </w:tc>
        <w:tc>
          <w:tcPr/>
          <w:p>
            <w:pPr>
              <w:pStyle w:val="Compact"/>
              <w:jc w:val="left"/>
            </w:pPr>
            <w:r>
              <w:t xml:space="preserve">tiempo sin dolor al sol directo, mediana 6,0 frente a 0,8 horas; 77 frente a 146 reacciones fototóxicas</w:t>
            </w:r>
          </w:p>
        </w:tc>
      </w:tr>
      <w:tr>
        <w:tc>
          <w:tcPr/>
          <w:p>
            <w:pPr>
              <w:pStyle w:val="Compact"/>
              <w:jc w:val="left"/>
            </w:pPr>
            <w:r>
              <w:t xml:space="preserve">Estudio de EE. UU. (Langendonk 2015), PMID 26132941</w:t>
            </w:r>
          </w:p>
        </w:tc>
        <w:tc>
          <w:tcPr/>
          <w:p>
            <w:pPr>
              <w:pStyle w:val="Compact"/>
              <w:jc w:val="left"/>
            </w:pPr>
            <w:r>
              <w:t xml:space="preserve">94 personas, ECA frente a implante de placebo</w:t>
            </w:r>
          </w:p>
        </w:tc>
        <w:tc>
          <w:tcPr/>
          <w:p>
            <w:pPr>
              <w:pStyle w:val="Compact"/>
              <w:jc w:val="left"/>
            </w:pPr>
            <w:r>
              <w:t xml:space="preserve">6 meses</w:t>
            </w:r>
          </w:p>
        </w:tc>
        <w:tc>
          <w:tcPr/>
          <w:p>
            <w:pPr>
              <w:pStyle w:val="Compact"/>
              <w:jc w:val="left"/>
            </w:pPr>
            <w:r>
              <w:t xml:space="preserve">tiempo sin dolor al sol directo, mediana 69,4 frente a 40,8 horas</w:t>
            </w:r>
          </w:p>
        </w:tc>
      </w:tr>
      <w:tr>
        <w:tc>
          <w:tcPr/>
          <w:p>
            <w:pPr>
              <w:pStyle w:val="Compact"/>
              <w:jc w:val="left"/>
            </w:pPr>
            <w:r>
              <w:t xml:space="preserve">Revisión sistemática (Heerfordt 2023), PMID 36525819</w:t>
            </w:r>
          </w:p>
        </w:tc>
        <w:tc>
          <w:tcPr/>
          <w:p>
            <w:pPr>
              <w:pStyle w:val="Compact"/>
              <w:jc w:val="left"/>
            </w:pPr>
            <w:r>
              <w:t xml:space="preserve">40 estudios sobre 18 tratamientos en la EPP</w:t>
            </w:r>
          </w:p>
        </w:tc>
        <w:tc>
          <w:tcPr/>
          <w:p>
            <w:pPr>
              <w:pStyle w:val="Compact"/>
              <w:jc w:val="left"/>
            </w:pPr>
            <w:r>
              <w:t xml:space="preserve">–</w:t>
            </w:r>
          </w:p>
        </w:tc>
        <w:tc>
          <w:tcPr/>
          <w:p>
            <w:pPr>
              <w:pStyle w:val="Compact"/>
              <w:jc w:val="left"/>
            </w:pPr>
            <w:r>
              <w:t xml:space="preserve">efecto positivo moderado para la afamelanotida y la protección solar mineral; sin efecto para el betacaroteno, entre otros</w:t>
            </w:r>
          </w:p>
        </w:tc>
      </w:tr>
    </w:tbl>
    <w:p>
      <w:pPr>
        <w:pStyle w:val="BodyText"/>
      </w:pPr>
      <w:r>
        <w:t xml:space="preserve">En el primer estudio piloto, cinco personas afectadas recibieron dos implantes con un intervalo de 60 días. Después toleraron mucha más luz en una prueba lumínica estandarizada, y la densidad de melanina de la piel aumentó (Harms 2009, PMID 19656325).</w:t>
      </w:r>
    </w:p>
    <w:p>
      <w:pPr>
        <w:pStyle w:val="BodyText"/>
      </w:pPr>
      <w:r>
        <w:t xml:space="preserve">La autorización se basa en dos estudios doble ciego publicados conjuntamente en el New England Journal of Medicine (Langendonk 2015, PMID 26132941; NCT00979745, NCT01605136). Cada 60 días, los participantes recibían un implante con afamelanotida o un implante simulado. La variable principal fue el número de horas al sol directo sin dolor, que los participantes anotaban en un diario.</w:t>
      </w:r>
    </w:p>
    <w:p>
      <w:pPr>
        <w:pStyle w:val="BodyText"/>
      </w:pPr>
      <w:r>
        <w:t xml:space="preserve">Ambos estudios mostraron una ventaja para la afamelanotida, y en ambos mejoró la calidad de vida. Pero las cifras absolutas son decepcionantes: en el estudio europeo, los participantes pasaron en nueve meses una mediana de seis horas sin dolor al sol directo, frente a poco menos de una hora con placebo. Que los valores sean tan bajos se debe también a la propia enfermedad: quien ha sufrido dolor durante años sigue evitando el sol, aunque lo tolere mejor. Además, una medición basada en un diario depende mucho del tiempo atmosférico y de la estación del año, lo que dificulta comparar los estudios (Heerfordt 2023, PMID 36525819).</w:t>
      </w:r>
    </w:p>
    <w:bookmarkEnd w:id="780"/>
    <w:bookmarkStart w:id="781" w:name="X1d38845f10609e6b5c4ee5b834776c23da9b4f0"/>
    <w:p>
      <w:pPr>
        <w:pStyle w:val="Heading4"/>
      </w:pPr>
      <w:r>
        <w:t xml:space="preserve">Datos a largo plazo de la práctica clínica</w:t>
      </w:r>
    </w:p>
    <w:p>
      <w:pPr>
        <w:pStyle w:val="FirstParagraph"/>
      </w:pPr>
      <w:r>
        <w:t xml:space="preserve">Como los estudios de autorización fueron cortos y pequeños, las observaciones de la asistencia habitual son especialmente importantes.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Biolcati 2015, PMID 25494545</w:t>
            </w:r>
          </w:p>
        </w:tc>
        <w:tc>
          <w:tcPr/>
          <w:p>
            <w:pPr>
              <w:pStyle w:val="Compact"/>
              <w:jc w:val="left"/>
            </w:pPr>
            <w:r>
              <w:t xml:space="preserve">115 personas en Roma y Zúrich, 1023 implantes, estudio observacional</w:t>
            </w:r>
          </w:p>
        </w:tc>
        <w:tc>
          <w:tcPr/>
          <w:p>
            <w:pPr>
              <w:pStyle w:val="Compact"/>
              <w:jc w:val="left"/>
            </w:pPr>
            <w:r>
              <w:t xml:space="preserve">hasta 8 años</w:t>
            </w:r>
          </w:p>
        </w:tc>
        <w:tc>
          <w:tcPr/>
          <w:p>
            <w:pPr>
              <w:pStyle w:val="Compact"/>
              <w:jc w:val="left"/>
            </w:pPr>
            <w:r>
              <w:t xml:space="preserve">Calidad de vida del 31 % al 74 % del valor máximo</w:t>
            </w:r>
          </w:p>
        </w:tc>
      </w:tr>
      <w:tr>
        <w:tc>
          <w:tcPr/>
          <w:p>
            <w:pPr>
              <w:pStyle w:val="Compact"/>
              <w:jc w:val="left"/>
            </w:pPr>
            <w:r>
              <w:t xml:space="preserve">Wensink 2020, PMID 32186677</w:t>
            </w:r>
          </w:p>
        </w:tc>
        <w:tc>
          <w:tcPr/>
          <w:p>
            <w:pPr>
              <w:pStyle w:val="Compact"/>
              <w:jc w:val="left"/>
            </w:pPr>
            <w:r>
              <w:t xml:space="preserve">117 personas en Róterdam, cohorte prospectiva</w:t>
            </w:r>
          </w:p>
        </w:tc>
        <w:tc>
          <w:tcPr/>
          <w:p>
            <w:pPr>
              <w:pStyle w:val="Compact"/>
              <w:jc w:val="left"/>
            </w:pPr>
            <w:r>
              <w:t xml:space="preserve">mediana 2 años</w:t>
            </w:r>
          </w:p>
        </w:tc>
        <w:tc>
          <w:tcPr/>
          <w:p>
            <w:pPr>
              <w:pStyle w:val="Compact"/>
              <w:jc w:val="left"/>
            </w:pPr>
            <w:r>
              <w:t xml:space="preserve">6,1 horas más a la semana al aire libre; el 98 % continuó</w:t>
            </w:r>
          </w:p>
        </w:tc>
      </w:tr>
      <w:tr>
        <w:tc>
          <w:tcPr/>
          <w:p>
            <w:pPr>
              <w:pStyle w:val="Compact"/>
              <w:jc w:val="left"/>
            </w:pPr>
            <w:r>
              <w:t xml:space="preserve">Homey 2025, PMID 40082741</w:t>
            </w:r>
          </w:p>
        </w:tc>
        <w:tc>
          <w:tcPr/>
          <w:p>
            <w:pPr>
              <w:pStyle w:val="Compact"/>
              <w:jc w:val="left"/>
            </w:pPr>
            <w:r>
              <w:t xml:space="preserve">200 personas en Alemania, estudio de seguridad posautorización</w:t>
            </w:r>
          </w:p>
        </w:tc>
        <w:tc>
          <w:tcPr/>
          <w:p>
            <w:pPr>
              <w:pStyle w:val="Compact"/>
              <w:jc w:val="left"/>
            </w:pPr>
            <w:r>
              <w:t xml:space="preserve">en curso</w:t>
            </w:r>
          </w:p>
        </w:tc>
        <w:tc>
          <w:tcPr/>
          <w:p>
            <w:pPr>
              <w:pStyle w:val="Compact"/>
              <w:jc w:val="left"/>
            </w:pPr>
            <w:r>
              <w:t xml:space="preserve">Calidad de vida significativamente mejor; el 91,0 % continuó</w:t>
            </w:r>
          </w:p>
        </w:tc>
      </w:tr>
      <w:tr>
        <w:tc>
          <w:tcPr/>
          <w:p>
            <w:pPr>
              <w:pStyle w:val="Compact"/>
              <w:jc w:val="left"/>
            </w:pPr>
            <w:r>
              <w:t xml:space="preserve">Seidl-Philipp 2026, PMID 41793078</w:t>
            </w:r>
          </w:p>
        </w:tc>
        <w:tc>
          <w:tcPr/>
          <w:p>
            <w:pPr>
              <w:pStyle w:val="Compact"/>
              <w:jc w:val="left"/>
            </w:pPr>
            <w:r>
              <w:t xml:space="preserve">20 personas en Austria</w:t>
            </w:r>
          </w:p>
        </w:tc>
        <w:tc>
          <w:tcPr/>
          <w:p>
            <w:pPr>
              <w:pStyle w:val="Compact"/>
              <w:jc w:val="left"/>
            </w:pPr>
            <w:r>
              <w:t xml:space="preserve">2023</w:t>
            </w:r>
          </w:p>
        </w:tc>
        <w:tc>
          <w:tcPr/>
          <w:p>
            <w:pPr>
              <w:pStyle w:val="Compact"/>
              <w:jc w:val="left"/>
            </w:pPr>
            <w:r>
              <w:t xml:space="preserve">Tolerancia a la luz, mediana de 15 a 250 minutos; reacciones fototóxicas en el 88 % frente al 33 %</w:t>
            </w:r>
          </w:p>
        </w:tc>
      </w:tr>
    </w:tbl>
    <w:p>
      <w:pPr>
        <w:pStyle w:val="BodyText"/>
      </w:pPr>
      <w:r>
        <w:t xml:space="preserve">El estudio observacional italo-suizo abarcó tratamientos desde 2006. Solo tres personas indicaron que el efecto no cumplía sus expectativas; el 23 % interrumpió por otros motivos, por ejemplo por embarazo o por los costes (Biolcati 2015, PMID 25494545). En la cohorte neerlandesa, las reacciones fototóxicas fueron menos dolorosas, pero su número y su duración no cambiaron significativamente (Wensink 2020, PMID 32186677). El análisis austriaco de las 20 personas tratadas en 2023 muestra mejoras especialmente claras de la calidad de vida (Seidl-Philipp 2026, PMID 41793078).</w:t>
      </w:r>
    </w:p>
    <w:p>
      <w:pPr>
        <w:pStyle w:val="BodyText"/>
      </w:pPr>
      <w:r>
        <w:t xml:space="preserve">Estas cohortes no tienen grupo de control. Quien responde bien tiende a seguir en tratamiento, y las expectativas ante un medicamento caro influyen en lo que se declara. Aun así, las tasas de continuación sistemáticamente altas en un tratamiento que exige una visita médica cada dos meses son una señal notable.</w:t>
      </w:r>
    </w:p>
    <w:bookmarkEnd w:id="781"/>
    <w:bookmarkStart w:id="782" w:name="otras-observaciones-en-la-epp"/>
    <w:p>
      <w:pPr>
        <w:pStyle w:val="Heading4"/>
      </w:pPr>
      <w:r>
        <w:t xml:space="preserve">Otras observaciones en la EPP</w:t>
      </w:r>
    </w:p>
    <w:p>
      <w:pPr>
        <w:numPr>
          <w:ilvl w:val="0"/>
          <w:numId w:val="1264"/>
        </w:numPr>
        <w:pStyle w:val="Compact"/>
      </w:pPr>
      <w:r>
        <w:rPr>
          <w:bCs/>
          <w:b/>
        </w:rPr>
        <w:t xml:space="preserve">Hígado:</w:t>
      </w:r>
      <w:r>
        <w:t xml:space="preserve"> </w:t>
      </w:r>
      <w:r>
        <w:t xml:space="preserve">en un análisis suizo de 70 personas tratadas con casi 3000 valores hepáticos, la ALAT y la bilirrubina disminuyeron cuanto más implantes se habían colocado el año anterior (Minder 2023, PMID 37109595). Es una asociación procedente de datos observacionales, no una prueba de protección hepática.</w:t>
      </w:r>
    </w:p>
    <w:p>
      <w:pPr>
        <w:numPr>
          <w:ilvl w:val="0"/>
          <w:numId w:val="1264"/>
        </w:numPr>
        <w:pStyle w:val="Compact"/>
      </w:pPr>
      <w:r>
        <w:rPr>
          <w:bCs/>
          <w:b/>
        </w:rPr>
        <w:t xml:space="preserve">Vitamina D:</w:t>
      </w:r>
      <w:r>
        <w:t xml:space="preserve"> </w:t>
      </w:r>
      <w:r>
        <w:t xml:space="preserve">la afamelanotida no modificó la concentración de vitamina D. En un estudio con 230 personas, el déficit persistió en el 71,8 %; solo la administración de vitamina D3 elevó los valores (Kluijver 2024, PMID 38634774).</w:t>
      </w:r>
    </w:p>
    <w:p>
      <w:pPr>
        <w:numPr>
          <w:ilvl w:val="0"/>
          <w:numId w:val="1264"/>
        </w:numPr>
        <w:pStyle w:val="Compact"/>
      </w:pPr>
      <w:r>
        <w:rPr>
          <w:bCs/>
          <w:b/>
        </w:rPr>
        <w:t xml:space="preserve">Anticuerpos:</w:t>
      </w:r>
      <w:r>
        <w:t xml:space="preserve"> </w:t>
      </w:r>
      <w:r>
        <w:t xml:space="preserve">en 23 de 26 personas no se formaron anticuerpos contra el principio activo a lo largo de hasta seis años; tres tenían ya antes del tratamiento anticuerpos medibles que no cambiaron (Lengweiler 2015, PMID 25402764).</w:t>
      </w:r>
    </w:p>
    <w:bookmarkEnd w:id="782"/>
    <w:bookmarkStart w:id="783" w:name="vitíligo"/>
    <w:p>
      <w:pPr>
        <w:pStyle w:val="Heading4"/>
      </w:pPr>
      <w:r>
        <w:t xml:space="preserve">Vitíligo</w:t>
      </w:r>
    </w:p>
    <w:p>
      <w:pPr>
        <w:pStyle w:val="FirstParagraph"/>
      </w:pPr>
      <w:r>
        <w:t xml:space="preserve">En el vitíligo, el sistema inmunitario destruye las células pigmentarias y aparecen manchas claras. El tratamiento estándar es la fototerapia con UVB de banda estrecha. La afamelanotida debe estimular además las células pigmentarias restantes.</w:t>
      </w:r>
    </w:p>
    <w:p>
      <w:pPr>
        <w:pStyle w:val="BodyText"/>
      </w:pPr>
      <w:r>
        <w:t xml:space="preserve">Tras una serie de casos con cuatro personas (Grimes 2013, PMID 23407924) se realizó un estudio aleatorizado con 55 participantes (Lim 2015, PMID 25230094; NCT01430195). La combinación de fototerapia e implantes mensuales llevó a una repigmentación más rápida que la fototerapia sola. A los 168 días, en el grupo de combinación se había repigmentado el 48,64 % de la superficie, frente al 33,26 % con fototerapia sola. La ventaja se observó sobre todo en los fototipos más oscuros (IV a VI). Un inconveniente que señalan los especialistas: también la piel sana se oscurece, de modo que al principio el contraste con las manchas claras puede aumentar (Passeron 2015, PMID 25607635). También se ha publicado un estudio en pacientes asiáticos (Toh 2020, PMID 31987791).</w:t>
      </w:r>
    </w:p>
    <w:bookmarkEnd w:id="783"/>
    <w:bookmarkStart w:id="784" w:name="otras-aplicaciones-en-estudios-piloto"/>
    <w:p>
      <w:pPr>
        <w:pStyle w:val="Heading4"/>
      </w:pPr>
      <w:r>
        <w:t xml:space="preserve">Otras aplicaciones en estudios piloto</w:t>
      </w:r>
    </w:p>
    <w:p>
      <w:pPr>
        <w:pStyle w:val="FirstParagraph"/>
      </w:pPr>
      <w:r>
        <w:t xml:space="preserve">Los siguientes resultados proceden de estudios muy pequeños, en su mayoría abiertos, y deben entenderse como hipótesis:</w:t>
      </w:r>
    </w:p>
    <w:p>
      <w:pPr>
        <w:numPr>
          <w:ilvl w:val="0"/>
          <w:numId w:val="1265"/>
        </w:numPr>
        <w:pStyle w:val="Compact"/>
      </w:pPr>
      <w:r>
        <w:rPr>
          <w:bCs/>
          <w:b/>
        </w:rPr>
        <w:t xml:space="preserve">Urticaria solar</w:t>
      </w:r>
      <w:r>
        <w:t xml:space="preserve"> </w:t>
      </w:r>
      <w:r>
        <w:t xml:space="preserve">(urticaria provocada por la luz): en 5 personas, menor formación de habones tras un implante (Haylett 2011, PMID 20969564).</w:t>
      </w:r>
    </w:p>
    <w:p>
      <w:pPr>
        <w:numPr>
          <w:ilvl w:val="0"/>
          <w:numId w:val="1265"/>
        </w:numPr>
        <w:pStyle w:val="Compact"/>
      </w:pPr>
      <w:r>
        <w:rPr>
          <w:bCs/>
          <w:b/>
        </w:rPr>
        <w:t xml:space="preserve">Acné:</w:t>
      </w:r>
      <w:r>
        <w:t xml:space="preserve"> </w:t>
      </w:r>
      <w:r>
        <w:t xml:space="preserve">en 3 personas, menos lesiones inflamatorias (Böhm 2014, PMID 22845050).</w:t>
      </w:r>
    </w:p>
    <w:p>
      <w:pPr>
        <w:numPr>
          <w:ilvl w:val="0"/>
          <w:numId w:val="1265"/>
        </w:numPr>
        <w:pStyle w:val="Compact"/>
      </w:pPr>
      <w:r>
        <w:rPr>
          <w:bCs/>
          <w:b/>
        </w:rPr>
        <w:t xml:space="preserve">Enfermedad de Hailey-Hailey</w:t>
      </w:r>
      <w:r>
        <w:t xml:space="preserve"> </w:t>
      </w:r>
      <w:r>
        <w:t xml:space="preserve">(enfermedad ampollosa hereditaria): curación de las lesiones cutáneas en 2 personas (Biolcati 2014, PMID 24256215).</w:t>
      </w:r>
    </w:p>
    <w:p>
      <w:pPr>
        <w:numPr>
          <w:ilvl w:val="0"/>
          <w:numId w:val="1265"/>
        </w:numPr>
        <w:pStyle w:val="Compact"/>
      </w:pPr>
      <w:r>
        <w:rPr>
          <w:bCs/>
          <w:b/>
        </w:rPr>
        <w:t xml:space="preserve">Ictus:</w:t>
      </w:r>
      <w:r>
        <w:t xml:space="preserve"> </w:t>
      </w:r>
      <w:r>
        <w:t xml:space="preserve">en un estudio abierto de viabilidad con 6 personas, la administración fue factible; una persona murió por un nuevo ictus, que los investigadores no atribuyeron al medicamento (Stanislaus 2023, PMID 37496004).</w:t>
      </w:r>
    </w:p>
    <w:p>
      <w:pPr>
        <w:numPr>
          <w:ilvl w:val="0"/>
          <w:numId w:val="1265"/>
        </w:numPr>
        <w:pStyle w:val="Compact"/>
      </w:pPr>
      <w:r>
        <w:rPr>
          <w:bCs/>
          <w:b/>
        </w:rPr>
        <w:t xml:space="preserve">Piel sana:</w:t>
      </w:r>
      <w:r>
        <w:t xml:space="preserve"> </w:t>
      </w:r>
      <w:r>
        <w:t xml:space="preserve">en 9 voluntarios sanos, el enrojecimiento cutáneo tras la irradiación UV fue menor seis días después del implante (Griffin 2026, PMID 42678656).</w:t>
      </w:r>
    </w:p>
    <w:bookmarkEnd w:id="784"/>
    <w:bookmarkEnd w:id="785"/>
    <w:bookmarkStart w:id="786" w:name="estudios-en-animales-y-de-laboratorio-48"/>
    <w:p>
      <w:pPr>
        <w:pStyle w:val="Heading3"/>
      </w:pPr>
      <w:r>
        <w:t xml:space="preserve">Estudios en animales y de laboratorio</w:t>
      </w:r>
    </w:p>
    <w:p>
      <w:pPr>
        <w:pStyle w:val="FirstParagraph"/>
      </w:pPr>
      <w:r>
        <w:t xml:space="preserve">En cultivos celulares, la afamelanotida tiene efectos antioxidantes. En células cutáneas de personas con enfermedad de Hailey-Hailey activó el factor protector Nrf2 y restableció parcialmente la división celular alterada (Biolcati 2014, PMID 24256215). Los estudios sobre la estabilidad y los productos de degradación del principio activo se refieren a la calidad del medicamento (Chawathe 2026, PMID 41547183). Para la valoración en humanos, los datos en animales desempeñan hoy un papel secundario, porque los datos clínicos son más concluyentes.</w:t>
      </w:r>
    </w:p>
    <w:bookmarkEnd w:id="786"/>
    <w:bookmarkStart w:id="790" w:name="riesgos-y-efectos-adversos-48"/>
    <w:p>
      <w:pPr>
        <w:pStyle w:val="Heading3"/>
      </w:pPr>
      <w:r>
        <w:t xml:space="preserve">Riesgos y efectos adversos</w:t>
      </w:r>
    </w:p>
    <w:bookmarkStart w:id="787" w:name="demostrados-1"/>
    <w:p>
      <w:pPr>
        <w:pStyle w:val="Heading4"/>
      </w:pPr>
      <w:r>
        <w:t xml:space="preserve">Demostrados</w:t>
      </w:r>
    </w:p>
    <w:p>
      <w:pPr>
        <w:numPr>
          <w:ilvl w:val="0"/>
          <w:numId w:val="1266"/>
        </w:numPr>
        <w:pStyle w:val="Compact"/>
      </w:pPr>
      <w:r>
        <w:rPr>
          <w:bCs/>
          <w:b/>
        </w:rPr>
        <w:t xml:space="preserve">Efectos adversos frecuentes, en su mayoría leves:</w:t>
      </w:r>
      <w:r>
        <w:t xml:space="preserve"> </w:t>
      </w:r>
      <w:r>
        <w:t xml:space="preserve">náuseas, cefalea, cansancio y reacciones en el lugar de colocación del implante (Langendonk 2015, PMID 26132941; Wensink 2020, PMID 32186677; Biolcati 2015, PMID 25494545). En los estudios de autorización, los acontecimientos adversos graves no se atribuyeron al principio activo.</w:t>
      </w:r>
    </w:p>
    <w:p>
      <w:pPr>
        <w:numPr>
          <w:ilvl w:val="0"/>
          <w:numId w:val="1266"/>
        </w:numPr>
        <w:pStyle w:val="Compact"/>
      </w:pPr>
      <w:r>
        <w:rPr>
          <w:bCs/>
          <w:b/>
        </w:rPr>
        <w:t xml:space="preserve">Piel y lunares más oscuros:</w:t>
      </w:r>
      <w:r>
        <w:t xml:space="preserve"> </w:t>
      </w:r>
      <w:r>
        <w:t xml:space="preserve">el bronceado es el efecto buscado. Los lunares y las pecas también se oscurecen. En un estudio con 15 personas y 103 lunares, la dermatoscopia mostró cambios transitorios que habían remitido al cabo de un año; no aparecieron lunares nuevos ni indicios de malignidad (Arisi 2021, PMID 33721252). La ficha técnica prevé exploraciones cutáneas periódicas.</w:t>
      </w:r>
    </w:p>
    <w:p>
      <w:pPr>
        <w:numPr>
          <w:ilvl w:val="0"/>
          <w:numId w:val="1266"/>
        </w:numPr>
        <w:pStyle w:val="Compact"/>
      </w:pPr>
      <w:r>
        <w:t xml:space="preserve">Se han descrito</w:t>
      </w:r>
      <w:r>
        <w:t xml:space="preserve"> </w:t>
      </w:r>
      <w:r>
        <w:rPr>
          <w:bCs/>
          <w:b/>
        </w:rPr>
        <w:t xml:space="preserve">cambios pigmentarios de la mucosa oral</w:t>
      </w:r>
      <w:r>
        <w:t xml:space="preserve"> </w:t>
      </w:r>
      <w:r>
        <w:t xml:space="preserve">(de Baat 2020, PMID 32459219; no obstante, la revisión mezcla hallazgos del implante autorizado con otros del melanotán del mercado gris), así como un caso de aparente despigmentación con dermatitis atópica concomitante (von Bartenwerffer 2011, PMID 21597671).</w:t>
      </w:r>
    </w:p>
    <w:p>
      <w:pPr>
        <w:numPr>
          <w:ilvl w:val="0"/>
          <w:numId w:val="1266"/>
        </w:numPr>
        <w:pStyle w:val="Compact"/>
      </w:pPr>
      <w:r>
        <w:rPr>
          <w:bCs/>
          <w:b/>
        </w:rPr>
        <w:t xml:space="preserve">Sin efecto sobre la vitamina D:</w:t>
      </w:r>
      <w:r>
        <w:t xml:space="preserve"> </w:t>
      </w:r>
      <w:r>
        <w:t xml:space="preserve">véase más arriba (Kluijver 2024, PMID 38634774).</w:t>
      </w:r>
    </w:p>
    <w:bookmarkEnd w:id="787"/>
    <w:bookmarkStart w:id="788" w:name="sin-aclarar-1"/>
    <w:p>
      <w:pPr>
        <w:pStyle w:val="Heading4"/>
      </w:pPr>
      <w:r>
        <w:t xml:space="preserve">Sin aclarar</w:t>
      </w:r>
    </w:p>
    <w:p>
      <w:pPr>
        <w:pStyle w:val="FirstParagraph"/>
      </w:pPr>
      <w:r>
        <w:t xml:space="preserve">Faltan en gran medida datos sobre el embarazo; en la práctica, el tratamiento se interrumpe. La afamelanotida no está autorizada para niños y adolescentes (Barman-Aksözen 2026, PMID 41885813), aunque la EPP suele comenzar en la primera infancia. Se han publicado como casos clínicos algunos tratamientos de niños fuera de la autorización (Minder 2026, PMID 41542313). Con los periodos de observación disponibles hasta ahora no puede decirse de forma definitiva si la estimulación de las células pigmentarias durante décadas influye en el riesgo de cáncer de piel.</w:t>
      </w:r>
    </w:p>
    <w:bookmarkEnd w:id="788"/>
    <w:bookmarkStart w:id="789" w:name="diferencias-con-el-mercado-gris"/>
    <w:p>
      <w:pPr>
        <w:pStyle w:val="Heading4"/>
      </w:pPr>
      <w:r>
        <w:t xml:space="preserve">Diferencias con el mercado gris</w:t>
      </w:r>
    </w:p>
    <w:p>
      <w:pPr>
        <w:pStyle w:val="FirstParagraph"/>
      </w:pPr>
      <w:r>
        <w:t xml:space="preserve">En internet se ofrece «melanotán I» como bronceador. Estos productos solo comparten con el implante autorizado el nombre del principio activo: se venden como polvo para autoinyección, su pureza y su contenido no están evaluados y no hay control médico de la piel. Los datos de seguridad del tratamiento de la EPP no pueden trasladarse a ellos (Habbema 2017, PMID 28266027).</w:t>
      </w:r>
    </w:p>
    <w:bookmarkEnd w:id="789"/>
    <w:bookmarkEnd w:id="790"/>
    <w:bookmarkStart w:id="791" w:name="situación-legal-48"/>
    <w:p>
      <w:pPr>
        <w:pStyle w:val="Heading3"/>
      </w:pPr>
      <w:r>
        <w:t xml:space="preserve">Situación legal</w:t>
      </w:r>
    </w:p>
    <w:p>
      <w:pPr>
        <w:pStyle w:val="FirstParagraph"/>
      </w:pPr>
      <w:r>
        <w:rPr>
          <w:iCs/>
          <w:i/>
        </w:rPr>
        <w:t xml:space="preserve">Situación en 2026, compruébese la versión actual.</w:t>
      </w:r>
    </w:p>
    <w:p>
      <w:pPr>
        <w:numPr>
          <w:ilvl w:val="0"/>
          <w:numId w:val="1267"/>
        </w:numPr>
        <w:pStyle w:val="Compact"/>
      </w:pPr>
      <w:r>
        <w:rPr>
          <w:bCs/>
          <w:b/>
        </w:rPr>
        <w:t xml:space="preserve">UE:</w:t>
      </w:r>
      <w:r>
        <w:t xml:space="preserve"> </w:t>
      </w:r>
      <w:r>
        <w:t xml:space="preserve">autorizada por procedimiento centralizado desde 2014 como medicamento huérfano (Scenesse) para adultos con EPP. El tratamiento se realiza en centros especializados; un estudio de seguridad y un registro europeo forman parte de las condiciones (Homey 2025, PMID 40082741).</w:t>
      </w:r>
    </w:p>
    <w:p>
      <w:pPr>
        <w:numPr>
          <w:ilvl w:val="0"/>
          <w:numId w:val="1267"/>
        </w:numPr>
        <w:pStyle w:val="Compact"/>
      </w:pPr>
      <w:r>
        <w:rPr>
          <w:bCs/>
          <w:b/>
        </w:rPr>
        <w:t xml:space="preserve">Alemania y Austria:</w:t>
      </w:r>
      <w:r>
        <w:t xml:space="preserve"> </w:t>
      </w:r>
      <w:r>
        <w:t xml:space="preserve">disponible a través de clínicas especializadas en porfirias y dermatología; la financiación debe aclararse en cada caso. Hay cohortes de tratamiento publicadas de ambos países (Homey 2025, PMID 40082741; Seidl-Philipp 2026, PMID 41793078).</w:t>
      </w:r>
    </w:p>
    <w:p>
      <w:pPr>
        <w:numPr>
          <w:ilvl w:val="0"/>
          <w:numId w:val="1267"/>
        </w:numPr>
        <w:pStyle w:val="Compact"/>
      </w:pPr>
      <w:r>
        <w:rPr>
          <w:bCs/>
          <w:b/>
        </w:rPr>
        <w:t xml:space="preserve">EE. UU.:</w:t>
      </w:r>
      <w:r>
        <w:t xml:space="preserve"> </w:t>
      </w:r>
      <w:r>
        <w:t xml:space="preserve">autorizada desde 2019 para adultos con EPP y reacciones fototóxicas.</w:t>
      </w:r>
    </w:p>
    <w:p>
      <w:pPr>
        <w:numPr>
          <w:ilvl w:val="0"/>
          <w:numId w:val="1267"/>
        </w:numPr>
        <w:pStyle w:val="Compact"/>
      </w:pPr>
      <w:r>
        <w:rPr>
          <w:bCs/>
          <w:b/>
        </w:rPr>
        <w:t xml:space="preserve">Costes:</w:t>
      </w:r>
      <w:r>
        <w:t xml:space="preserve"> </w:t>
      </w:r>
      <w:r>
        <w:t xml:space="preserve">la afamelanotida es uno de los medicamentos caros para enfermedades raras. En Inglaterra, la agencia de evaluación NICE rechazó su financiación, siendo hasta ahora la única terapia rechazada en su programa para enfermedades muy raras. Los representantes de pacientes critican el cálculo utilizado (Barman-Aksözen 2024, PMID 38791830).</w:t>
      </w:r>
    </w:p>
    <w:p>
      <w:pPr>
        <w:numPr>
          <w:ilvl w:val="0"/>
          <w:numId w:val="1267"/>
        </w:numPr>
        <w:pStyle w:val="Compact"/>
      </w:pPr>
      <w:r>
        <w:rPr>
          <w:bCs/>
          <w:b/>
        </w:rPr>
        <w:t xml:space="preserve">WADA:</w:t>
      </w:r>
      <w:r>
        <w:t xml:space="preserve"> </w:t>
      </w:r>
      <w:r>
        <w:t xml:space="preserve">no figura en la lista.</w:t>
      </w:r>
    </w:p>
    <w:bookmarkEnd w:id="791"/>
    <w:bookmarkStart w:id="792" w:name="estudios-en-curso-y-perspectivas-48"/>
    <w:p>
      <w:pPr>
        <w:pStyle w:val="Heading3"/>
      </w:pPr>
      <w:r>
        <w:t xml:space="preserve">Estudios en curso y perspectivas</w:t>
      </w:r>
    </w:p>
    <w:p>
      <w:pPr>
        <w:pStyle w:val="FirstParagraph"/>
      </w:pPr>
      <w:r>
        <w:rPr>
          <w:bCs/>
          <w:b/>
        </w:rPr>
        <w:t xml:space="preserve">Confirmado (estudios registrados):</w:t>
      </w:r>
    </w:p>
    <w:p>
      <w:pPr>
        <w:numPr>
          <w:ilvl w:val="0"/>
          <w:numId w:val="1268"/>
        </w:numPr>
        <w:pStyle w:val="Compact"/>
      </w:pPr>
      <w:r>
        <w:rPr>
          <w:bCs/>
          <w:b/>
        </w:rPr>
        <w:t xml:space="preserve">Vitíligo, fase 3:</w:t>
      </w:r>
      <w:r>
        <w:t xml:space="preserve"> </w:t>
      </w:r>
      <w:r>
        <w:t xml:space="preserve">un estudio con 200 personas compara la afamelanotida más UVB de banda estrecha con la fototerapia sola (NCT06109649). La finalización prevista era junio de 2026; al cierre de la redacción no se habían publicado en PubMed resultados revisados por pares. Está registrado un pequeño estudio sobre el vitíligo facial (NCT05210582).</w:t>
      </w:r>
    </w:p>
    <w:p>
      <w:pPr>
        <w:numPr>
          <w:ilvl w:val="0"/>
          <w:numId w:val="1268"/>
        </w:numPr>
        <w:pStyle w:val="Compact"/>
      </w:pPr>
      <w:r>
        <w:rPr>
          <w:bCs/>
          <w:b/>
        </w:rPr>
        <w:t xml:space="preserve">Otras fotodermatosis raras:</w:t>
      </w:r>
      <w:r>
        <w:t xml:space="preserve"> </w:t>
      </w:r>
      <w:r>
        <w:t xml:space="preserve">pequeños estudios de fase 2 sobre la porfiria variegata (NCT05854784, finalizado) y sobre el xeroderma pigmentoso, una enfermedad hereditaria con reparación alterada del daño UV (NCT05370235, NCT05159752).</w:t>
      </w:r>
    </w:p>
    <w:p>
      <w:pPr>
        <w:numPr>
          <w:ilvl w:val="0"/>
          <w:numId w:val="1268"/>
        </w:numPr>
        <w:pStyle w:val="Compact"/>
      </w:pPr>
      <w:r>
        <w:rPr>
          <w:bCs/>
          <w:b/>
        </w:rPr>
        <w:t xml:space="preserve">Farmacología:</w:t>
      </w:r>
      <w:r>
        <w:t xml:space="preserve"> </w:t>
      </w:r>
      <w:r>
        <w:t xml:space="preserve">ha finalizado un estudio de farmacocinética en la EPP con 28 personas (NCT06388642).</w:t>
      </w:r>
    </w:p>
    <w:p>
      <w:pPr>
        <w:pStyle w:val="FirstParagraph"/>
      </w:pPr>
      <w:r>
        <w:rPr>
          <w:bCs/>
          <w:b/>
        </w:rPr>
        <w:t xml:space="preserve">Nueva competencia:</w:t>
      </w:r>
      <w:r>
        <w:t xml:space="preserve"> </w:t>
      </w:r>
      <w:r>
        <w:t xml:space="preserve">para la EPP se están desarrollando dos comprimidos: el dersimelagón, un agonista no peptídico del MC1R, y la bitopertina, que actúa sobre la síntesis del pigmento rojo de la sangre. Ambos mostraron efectos frente a placebo en estudios; aún faltan comparaciones con la afamelanotida (Barman-Aksözen 2026, PMID 41885813).</w:t>
      </w:r>
    </w:p>
    <w:p>
      <w:pPr>
        <w:pStyle w:val="BodyText"/>
      </w:pPr>
      <w:r>
        <w:rPr>
          <w:bCs/>
          <w:b/>
        </w:rPr>
        <w:t xml:space="preserve">Valoración del autor:</w:t>
      </w:r>
      <w:r>
        <w:t xml:space="preserve"> </w:t>
      </w:r>
      <w:r>
        <w:t xml:space="preserve">por el momento, la afamelanotida seguirá siendo la referencia en la EPP. Que desempeñe un papel en el vitíligo depende del resultado del estudio de fase 3; la combinación con fototerapia es laboriosa y, con las cremas de inhibidores de JAK, existen ya otras opciones. Una autorización para adolescentes sería especialmente importante en la EPP, porque la enfermedad comienza en la infancia.</w:t>
      </w:r>
    </w:p>
    <w:bookmarkEnd w:id="792"/>
    <w:bookmarkStart w:id="793" w:name="conclusión-48"/>
    <w:p>
      <w:pPr>
        <w:pStyle w:val="Heading3"/>
      </w:pPr>
      <w:r>
        <w:t xml:space="preserve">Conclusión</w:t>
      </w:r>
    </w:p>
    <w:p>
      <w:pPr>
        <w:pStyle w:val="FirstParagraph"/>
      </w:pPr>
      <w:r>
        <w:t xml:space="preserve">La afamelanotida es el péptido mejor estudiado y el único autorizado en la UE que estimula el bronceado de la piel a través del sistema de las melanocortinas. En adultos con protoporfiria eritropoyética prolongó en dos estudios aleatorizados el tiempo sin dolor a la luz del sol y mejoró la calidad de vida; cohortes a largo plazo de varios países muestran tasas de continuación altas con efectos adversos mayoritariamente leves. En el vitíligo aceleró en un estudio aleatorizado la repigmentación bajo fototerapia; los resultados de fase 3 están pendientes. El implante controlado en la consulta especializada no tiene prácticamente nada en común con el «melanotán I» del mercado gris para el bronceado cosmético.</w:t>
      </w:r>
    </w:p>
    <w:bookmarkEnd w:id="793"/>
    <w:bookmarkEnd w:id="794"/>
    <w:bookmarkStart w:id="814" w:name="kisspeptina"/>
    <w:p>
      <w:pPr>
        <w:pStyle w:val="Heading2"/>
      </w:pPr>
      <w:r>
        <w:t xml:space="preserve">Kisspeptina</w:t>
      </w:r>
    </w:p>
    <w:bookmarkStart w:id="795" w:name="ficha-49"/>
    <w:p>
      <w:pPr>
        <w:pStyle w:val="Heading3"/>
      </w:pPr>
      <w:r>
        <w:t xml:space="preserve">Ficha</w:t>
      </w:r>
    </w:p>
    <w:p>
      <w:pPr>
        <w:numPr>
          <w:ilvl w:val="0"/>
          <w:numId w:val="1269"/>
        </w:numPr>
        <w:pStyle w:val="Compact"/>
      </w:pPr>
      <w:r>
        <w:rPr>
          <w:bCs/>
          <w:b/>
        </w:rPr>
        <w:t xml:space="preserve">Tipo/estructura:</w:t>
      </w:r>
      <w:r>
        <w:t xml:space="preserve"> </w:t>
      </w:r>
      <w:r>
        <w:t xml:space="preserve">familia de péptidos endógenos. El gen KISS1 da lugar a una proteína precursora de la que se forman fragmentos de distinta longitud: kisspeptina-54 (54 aminoácidos, la forma predominante en la sangre), kisspeptina-14, -13 y -10. La forma más corta, la kisspeptina-10, contiene ya la parte plenamente activa. En los estudios se emplean las formas naturales, así como variantes sintéticas más estables (por ejemplo, MVT-602 y TAK-448).</w:t>
      </w:r>
    </w:p>
    <w:p>
      <w:pPr>
        <w:numPr>
          <w:ilvl w:val="0"/>
          <w:numId w:val="1269"/>
        </w:numPr>
        <w:pStyle w:val="Compact"/>
      </w:pPr>
      <w:r>
        <w:rPr>
          <w:bCs/>
          <w:b/>
        </w:rPr>
        <w:t xml:space="preserve">Origen:</w:t>
      </w:r>
      <w:r>
        <w:t xml:space="preserve"> </w:t>
      </w:r>
      <w:r>
        <w:t xml:space="preserve">descubierta en 1996 primero como gen que frena la formación de metástasis de células de melanoma (Lee 1996, PMID 8944003). El nombre procede de la ciudad de Hershey, en Pensilvania, cuna de los bombones «Kisses». En 2001, el péptido se identificó como mensajero de un receptor hasta entonces «huérfano» y se llamó inicialmente metastina (Ohtaki 2001, PMID 11385580).</w:t>
      </w:r>
    </w:p>
    <w:p>
      <w:pPr>
        <w:numPr>
          <w:ilvl w:val="0"/>
          <w:numId w:val="1269"/>
        </w:numPr>
        <w:pStyle w:val="Compact"/>
      </w:pPr>
      <w:r>
        <w:rPr>
          <w:bCs/>
          <w:b/>
        </w:rPr>
        <w:t xml:space="preserve">Mecanismo de acción:</w:t>
      </w:r>
      <w:r>
        <w:t xml:space="preserve"> </w:t>
      </w:r>
      <w:r>
        <w:t xml:space="preserve">agonista del receptor de kisspeptina (KISS1R, antes GPR54) en las neuronas de GnRH del hipotálamo. La kisspeptina es el desencadenante conocido más importante de la liberación de GnRH y, con ello, de todo el eje hormonal de la reproducción.</w:t>
      </w:r>
    </w:p>
    <w:p>
      <w:pPr>
        <w:numPr>
          <w:ilvl w:val="0"/>
          <w:numId w:val="1269"/>
        </w:numPr>
        <w:pStyle w:val="Compact"/>
      </w:pPr>
      <w:r>
        <w:rPr>
          <w:bCs/>
          <w:b/>
        </w:rPr>
        <w:t xml:space="preserve">Autorización en la UE:</w:t>
      </w:r>
      <w:r>
        <w:t xml:space="preserve"> </w:t>
      </w:r>
      <w:r>
        <w:t xml:space="preserve">no.</w:t>
      </w:r>
    </w:p>
    <w:p>
      <w:pPr>
        <w:numPr>
          <w:ilvl w:val="0"/>
          <w:numId w:val="1269"/>
        </w:numPr>
        <w:pStyle w:val="Compact"/>
      </w:pPr>
      <w:r>
        <w:rPr>
          <w:bCs/>
          <w:b/>
        </w:rPr>
        <w:t xml:space="preserve">Autorización en EE. UU.:</w:t>
      </w:r>
      <w:r>
        <w:t xml:space="preserve"> </w:t>
      </w:r>
      <w:r>
        <w:t xml:space="preserve">no.</w:t>
      </w:r>
    </w:p>
    <w:p>
      <w:pPr>
        <w:numPr>
          <w:ilvl w:val="0"/>
          <w:numId w:val="1269"/>
        </w:numPr>
        <w:pStyle w:val="Compact"/>
      </w:pPr>
      <w:r>
        <w:rPr>
          <w:bCs/>
          <w:b/>
        </w:rPr>
        <w:t xml:space="preserve">WADA:</w:t>
      </w:r>
      <w:r>
        <w:t xml:space="preserve"> </w:t>
      </w:r>
      <w:r>
        <w:t xml:space="preserve">no se menciona nominalmente. Como principio activo no autorizado, la kisspeptina entra en S0; en los hombres, el grupo S2 abarca además los factores liberadores de la hormona luteinizante (situación en 2026, compruébese la versión actual).</w:t>
      </w:r>
    </w:p>
    <w:p>
      <w:pPr>
        <w:numPr>
          <w:ilvl w:val="0"/>
          <w:numId w:val="1269"/>
        </w:numPr>
        <w:pStyle w:val="Compact"/>
      </w:pPr>
      <w:r>
        <w:rPr>
          <w:bCs/>
          <w:b/>
        </w:rPr>
        <w:t xml:space="preserve">Nivel de evidencia:</w:t>
      </w:r>
      <w:r>
        <w:t xml:space="preserve"> </w:t>
      </w:r>
      <w:r>
        <w:rPr>
          <w:bCs/>
          <w:b/>
        </w:rPr>
        <w:t xml:space="preserve">B</w:t>
      </w:r>
      <w:r>
        <w:t xml:space="preserve"> </w:t>
      </w:r>
      <w:r>
        <w:t xml:space="preserve">– numerosos estudios pequeños, en parte aleatorizados, y varios estudios aleatorizados de fase 2, sobre todo de Londres y Boston. Ningún estudio de fase 3, ninguna autorización.</w:t>
      </w:r>
    </w:p>
    <w:bookmarkEnd w:id="795"/>
    <w:bookmarkStart w:id="796" w:name="cómo-se-supone-que-actúa-49"/>
    <w:p>
      <w:pPr>
        <w:pStyle w:val="Heading3"/>
      </w:pPr>
      <w:r>
        <w:t xml:space="preserve">Cómo se supone que actúa</w:t>
      </w:r>
    </w:p>
    <w:p>
      <w:pPr>
        <w:pStyle w:val="FirstParagraph"/>
      </w:pPr>
      <w:r>
        <w:t xml:space="preserve">La reproducción humana está regulada por una cadena de hormonas. En lo más alto se encuentra la hormona GnRH (hormona liberadora de gonadotropinas) del hipotálamo, que se secreta en pulsos. Esta hace que la hipófisis libere las hormonas LH (hormona luteinizante) y FSH (hormona foliculoestimulante). Estas, a su vez, regulan los ovarios y los testículos: maduración de los óvulos y ovulación, producción de espermatozoides, producción de estrógenos y testosterona. El capítulo sobre la gonadorelina (2E06) describe este eje con más detalle.</w:t>
      </w:r>
    </w:p>
    <w:p>
      <w:pPr>
        <w:pStyle w:val="BodyText"/>
      </w:pPr>
      <w:r>
        <w:t xml:space="preserve">La kisspeptina se sitúa un escalón por encima de la GnRH. Neuronas especiales del hipotálamo la secretan y así «encienden» las células de GnRH. Lo central que es esta función se demostró en 2003: las personas con un receptor de kisspeptina defectuoso no entran en la pubertad y permanecen infértiles (de Roux 2003, PMID 12944565; Seminara 2003, PMID 14573733).</w:t>
      </w:r>
    </w:p>
    <w:p>
      <w:pPr>
        <w:pStyle w:val="BodyText"/>
      </w:pPr>
      <w:r>
        <w:t xml:space="preserve">Para la medicina, la kisspeptina es interesante por dos motivos:</w:t>
      </w:r>
    </w:p>
    <w:p>
      <w:pPr>
        <w:numPr>
          <w:ilvl w:val="0"/>
          <w:numId w:val="1270"/>
        </w:numPr>
        <w:pStyle w:val="Compact"/>
      </w:pPr>
      <w:r>
        <w:rPr>
          <w:bCs/>
          <w:b/>
        </w:rPr>
        <w:t xml:space="preserve">Actúa «desde arriba».</w:t>
      </w:r>
      <w:r>
        <w:t xml:space="preserve"> </w:t>
      </w:r>
      <w:r>
        <w:t xml:space="preserve">A diferencia de los medicamentos que sustituyen directamente la LH o la FSH, la kisspeptina estimula la secreción endógena de GnRH. La liberación hormonal posterior sigue sometida a los mecanismos de retroalimentación naturales. Eso hace menos probable una hiperestimulación de los ovarios.</w:t>
      </w:r>
    </w:p>
    <w:p>
      <w:pPr>
        <w:numPr>
          <w:ilvl w:val="0"/>
          <w:numId w:val="1270"/>
        </w:numPr>
        <w:pStyle w:val="Compact"/>
      </w:pPr>
      <w:r>
        <w:rPr>
          <w:bCs/>
          <w:b/>
        </w:rPr>
        <w:t xml:space="preserve">A corto plazo estimula, de forma continua frena.</w:t>
      </w:r>
      <w:r>
        <w:t xml:space="preserve"> </w:t>
      </w:r>
      <w:r>
        <w:t xml:space="preserve">Con una administración ininterrumpida, los receptores se habitúan a la señal (taquifilaxia) y el eje hormonal se desactiva. Esto es un problema si se quiere favorecer la fertilidad, y una oportunidad si se quieren reducir las hormonas, por ejemplo en el cáncer de próstata.</w:t>
      </w:r>
    </w:p>
    <w:p>
      <w:pPr>
        <w:pStyle w:val="FirstParagraph"/>
      </w:pPr>
      <w:r>
        <w:t xml:space="preserve">También hay receptores de kisspeptina en regiones cerebrales que procesan las emociones y los estímulos sexuales. De ahí surgió la idea de que la kisspeptina podría influir en el deseo sexual.</w:t>
      </w:r>
    </w:p>
    <w:bookmarkEnd w:id="796"/>
    <w:bookmarkStart w:id="805" w:name="estudios-en-humanos-49"/>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de este libro encontró</w:t>
      </w:r>
      <w:r>
        <w:t xml:space="preserve"> </w:t>
      </w:r>
      <w:r>
        <w:rPr>
          <w:bCs/>
          <w:b/>
        </w:rPr>
        <w:t xml:space="preserve">37</w:t>
      </w:r>
      <w:r>
        <w:t xml:space="preserve"> </w:t>
      </w:r>
      <w:r>
        <w:t xml:space="preserve">estudios en humanos en PubMed (</w:t>
      </w:r>
      <w:r>
        <w:rPr>
          <w:rStyle w:val="VerbatimChar"/>
        </w:rPr>
        <w:t xml:space="preserve">humanstudien_alle</w:t>
      </w:r>
      <w:r>
        <w:t xml:space="preserve">) y</w:t>
      </w:r>
      <w:r>
        <w:t xml:space="preserve"> </w:t>
      </w:r>
      <w:r>
        <w:rPr>
          <w:bCs/>
          <w:b/>
        </w:rPr>
        <w:t xml:space="preserve">36</w:t>
      </w:r>
      <w:r>
        <w:t xml:space="preserve"> </w:t>
      </w:r>
      <w:r>
        <w:t xml:space="preserve">registros en ClinicalTrials.gov. No todos administran kisspeptina como principio activo: algunos estudios solo miden las concentraciones de kisspeptina en sangre, por ejemplo durante el embarazo. La administración de kisspeptina en humanos la han impulsado unos pocos grupos de trabajo, sobre todo en el Imperial College de Londres y en el Massachusetts General Hospital de Boston. La mayoría de los estudios tiene menos de 50 participantes.</w:t>
      </w:r>
    </w:p>
    <w:bookmarkStart w:id="797" w:name="primeras-administraciones-y-fundamentos"/>
    <w:p>
      <w:pPr>
        <w:pStyle w:val="Heading4"/>
      </w:pPr>
      <w:r>
        <w:t xml:space="preserve">Primeras administraciones y fundamentos</w:t>
      </w:r>
    </w:p>
    <w:p>
      <w:pPr>
        <w:pStyle w:val="FirstParagraph"/>
      </w:pPr>
      <w:r>
        <w:t xml:space="preserve">En el primer estudio en humanos, en 2005, participaron seis hombres sanos. Una infusión de kisspeptina-54 de 90 minutos aumentó significativamente la LH, la FSH y la testosterona en comparación con el suero salino (Dhillo 2005, PMID 16174713). La semivida en sangre fue de algo menos de 28 minutos. En las mujeres, el efecto depende mucho de la fase del ciclo y es máximo poco antes de la ovulación (Dhillo 2007, PMID 17635940).</w:t>
      </w:r>
    </w:p>
    <w:p>
      <w:pPr>
        <w:pStyle w:val="BodyText"/>
      </w:pPr>
      <w:r>
        <w:t xml:space="preserve">La kisspeptina-10 provocó rápidamente en hombres sanos un aumento de la LH dependiente de la dosis y, en infusión continua, aumentó la frecuencia de los pulsos de LH (George 2011, PMID 21632807). Los niños con pubertad retrasada reaccionaron de forma muy diversa: algunos tuvieron una respuesta clara, otros ninguna (Chan 2018, PMID 29669934). En el futuro, esto podría ayudar a distinguir una pubertad simplemente tardía de un déficit hormonal permanente.</w:t>
      </w:r>
    </w:p>
    <w:bookmarkEnd w:id="797"/>
    <w:bookmarkStart w:id="798" w:name="Xafb0ea4d8cb00fe5f1739f26fe9ee402f8bf82c"/>
    <w:p>
      <w:pPr>
        <w:pStyle w:val="Heading4"/>
      </w:pPr>
      <w:r>
        <w:t xml:space="preserve">Tratamiento de fertilidad: maduración de los óvulos</w:t>
      </w:r>
    </w:p>
    <w:p>
      <w:pPr>
        <w:pStyle w:val="FirstParagraph"/>
      </w:pPr>
      <w:r>
        <w:t xml:space="preserve">La aplicación más avanzada hasta ahora es el desencadenamiento de la maduración ovocitaria en la fecundación in vitro (FIV). Normalmente, para ello se inyecta la hormona hCG. La hCG actúa durante mucho tiempo y, en mujeres sensibles, puede provocar un síndrome de hiperestimulación ovárica (OHSS), un desplazamiento de líquidos que en casos extremos pone en peligro la vida. La kisspeptina, en cambio, desencadena una onda de LH endógena y más corta.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Jayasena 2014, PMID 25036713</w:t>
            </w:r>
          </w:p>
        </w:tc>
        <w:tc>
          <w:tcPr/>
          <w:p>
            <w:pPr>
              <w:pStyle w:val="Compact"/>
              <w:jc w:val="left"/>
            </w:pPr>
            <w:r>
              <w:t xml:space="preserve">53 mujeres en tratamiento de FIV, estudio de dosis sin grupo de control</w:t>
            </w:r>
          </w:p>
        </w:tc>
        <w:tc>
          <w:tcPr/>
          <w:p>
            <w:pPr>
              <w:pStyle w:val="Compact"/>
              <w:jc w:val="left"/>
            </w:pPr>
            <w:r>
              <w:t xml:space="preserve">un ciclo</w:t>
            </w:r>
          </w:p>
        </w:tc>
        <w:tc>
          <w:tcPr/>
          <w:p>
            <w:pPr>
              <w:pStyle w:val="Compact"/>
              <w:jc w:val="left"/>
            </w:pPr>
            <w:r>
              <w:t xml:space="preserve">Maduración ovocitaria con todas las dosis; embarazo clínico 23 %</w:t>
            </w:r>
          </w:p>
        </w:tc>
      </w:tr>
      <w:tr>
        <w:tc>
          <w:tcPr/>
          <w:p>
            <w:pPr>
              <w:pStyle w:val="Compact"/>
              <w:jc w:val="left"/>
            </w:pPr>
            <w:r>
              <w:t xml:space="preserve">Abbara 2015, PMID 26192876</w:t>
            </w:r>
          </w:p>
        </w:tc>
        <w:tc>
          <w:tcPr/>
          <w:p>
            <w:pPr>
              <w:pStyle w:val="Compact"/>
              <w:jc w:val="left"/>
            </w:pPr>
            <w:r>
              <w:t xml:space="preserve">60 mujeres con riesgo alto de OHSS, estudio de dosis aleatorizado</w:t>
            </w:r>
          </w:p>
        </w:tc>
        <w:tc>
          <w:tcPr/>
          <w:p>
            <w:pPr>
              <w:pStyle w:val="Compact"/>
              <w:jc w:val="left"/>
            </w:pPr>
            <w:r>
              <w:t xml:space="preserve">un ciclo</w:t>
            </w:r>
          </w:p>
        </w:tc>
        <w:tc>
          <w:tcPr/>
          <w:p>
            <w:pPr>
              <w:pStyle w:val="Compact"/>
              <w:jc w:val="left"/>
            </w:pPr>
            <w:r>
              <w:t xml:space="preserve">Maduración ovocitaria en el 95 %; nacido vivo 45 % por transferencia; ningún OHSS moderado o grave</w:t>
            </w:r>
          </w:p>
        </w:tc>
      </w:tr>
      <w:tr>
        <w:tc>
          <w:tcPr/>
          <w:p>
            <w:pPr>
              <w:pStyle w:val="Compact"/>
              <w:jc w:val="left"/>
            </w:pPr>
            <w:r>
              <w:t xml:space="preserve">Abbara 2017, PMID 28854728</w:t>
            </w:r>
          </w:p>
        </w:tc>
        <w:tc>
          <w:tcPr/>
          <w:p>
            <w:pPr>
              <w:pStyle w:val="Compact"/>
              <w:jc w:val="left"/>
            </w:pPr>
            <w:r>
              <w:t xml:space="preserve">62 mujeres con riesgo alto de OHSS, ECA: segunda dosis frente a suero salino</w:t>
            </w:r>
          </w:p>
        </w:tc>
        <w:tc>
          <w:tcPr/>
          <w:p>
            <w:pPr>
              <w:pStyle w:val="Compact"/>
              <w:jc w:val="left"/>
            </w:pPr>
            <w:r>
              <w:t xml:space="preserve">un ciclo</w:t>
            </w:r>
          </w:p>
        </w:tc>
        <w:tc>
          <w:tcPr/>
          <w:p>
            <w:pPr>
              <w:pStyle w:val="Compact"/>
              <w:jc w:val="left"/>
            </w:pPr>
            <w:r>
              <w:t xml:space="preserve">obtención suficiente de óvulos en el 71 % frente al 45 %</w:t>
            </w:r>
          </w:p>
        </w:tc>
      </w:tr>
      <w:tr>
        <w:tc>
          <w:tcPr/>
          <w:p>
            <w:pPr>
              <w:pStyle w:val="Compact"/>
              <w:jc w:val="left"/>
            </w:pPr>
            <w:r>
              <w:t xml:space="preserve">Abbara 2024, PMID 37925096</w:t>
            </w:r>
          </w:p>
        </w:tc>
        <w:tc>
          <w:tcPr/>
          <w:p>
            <w:pPr>
              <w:pStyle w:val="Compact"/>
              <w:jc w:val="left"/>
            </w:pPr>
            <w:r>
              <w:t xml:space="preserve">24 y 75 mujeres sanas, dos ECA con el análogo MVT-602</w:t>
            </w:r>
          </w:p>
        </w:tc>
        <w:tc>
          <w:tcPr/>
          <w:p>
            <w:pPr>
              <w:pStyle w:val="Compact"/>
              <w:jc w:val="left"/>
            </w:pPr>
            <w:r>
              <w:t xml:space="preserve">dosis única</w:t>
            </w:r>
          </w:p>
        </w:tc>
        <w:tc>
          <w:tcPr/>
          <w:p>
            <w:pPr>
              <w:pStyle w:val="Compact"/>
              <w:jc w:val="left"/>
            </w:pPr>
            <w:r>
              <w:t xml:space="preserve">aumento de LH similar al de mitad del ciclo natural; ovulación en 5 días hasta en el 100 %</w:t>
            </w:r>
          </w:p>
        </w:tc>
      </w:tr>
    </w:tbl>
    <w:p>
      <w:pPr>
        <w:pStyle w:val="BodyText"/>
      </w:pPr>
      <w:r>
        <w:t xml:space="preserve">En el primer estudio (Jayasena 2014, PMID 25036713; NCT01667406), 53 mujeres recibieron una única inyección de kisspeptina. Con todas las dosis probadas maduraron óvulos; en 49 mujeres se transfirieron embriones y doce lograron un embarazo clínico. Con ello se demostró por primera vez que es posible un embarazo tras una maduración ovocitaria controlada con kisspeptina.</w:t>
      </w:r>
    </w:p>
    <w:p>
      <w:pPr>
        <w:pStyle w:val="BodyText"/>
      </w:pPr>
      <w:r>
        <w:t xml:space="preserve">El estudio posterior se centró en mujeres con riesgo alto de hiperestimulación (Abbara 2015, PMID 26192876). Ninguna de las 60 mujeres desarrolló un OHSS moderado o grave; la tasa de nacidos vivos por transferencia embrionaria fue del 45 %. Una segunda dosis de kisspeptina diez horas después de la primera mejoró la obtención de óvulos maduros (Abbara 2017, PMID 28854728).</w:t>
      </w:r>
    </w:p>
    <w:p>
      <w:pPr>
        <w:pStyle w:val="BodyText"/>
      </w:pPr>
      <w:r>
        <w:rPr>
          <w:bCs/>
          <w:b/>
        </w:rPr>
        <w:t xml:space="preserve">Valoración:</w:t>
      </w:r>
      <w:r>
        <w:t xml:space="preserve"> </w:t>
      </w:r>
      <w:r>
        <w:t xml:space="preserve">estos estudios muestran que el principio funciona. Pero no estaban diseñados para comparar directamente la kisspeptina con las alternativas establecidas: además de la hCG, para las pacientes de alto riesgo ya existe el desencadenamiento con un agonista de la GnRH. Las propias autoras y autores reclaman este tipo de estudios comparativos (Abbara 2017, PMID 28854728).</w:t>
      </w:r>
    </w:p>
    <w:p>
      <w:pPr>
        <w:pStyle w:val="BodyText"/>
      </w:pPr>
      <w:r>
        <w:t xml:space="preserve">El análogo sintético MVT-602 actúa mucho más tiempo que la kisspeptina natural: en mujeres sanas, el pico de LH llegó a las 21 horas aproximadamente, en lugar de a las 5, y la cantidad total de LH secretada fue unas cuatro veces mayor (Abbara 2020, PMID 33196464). En dos estudios aleatorizados con 99 mujeres en total, el MVT-602 fue bien tolerado y, en el segundo estudio, desencadenó la ovulación en cinco días en el 75 al 100 % de las mujeres según la dosis, aunque también en el 60 % con placebo, porque las participantes estaban sanas (Abbara 2024, PMID 37925096).</w:t>
      </w:r>
    </w:p>
    <w:bookmarkEnd w:id="798"/>
    <w:bookmarkStart w:id="799" w:name="ausencia-de-menstruación-y-sop"/>
    <w:p>
      <w:pPr>
        <w:pStyle w:val="Heading4"/>
      </w:pPr>
      <w:r>
        <w:t xml:space="preserve">Ausencia de menstruación y SOP</w:t>
      </w:r>
    </w:p>
    <w:p>
      <w:pPr>
        <w:pStyle w:val="FirstParagraph"/>
      </w:pPr>
      <w:r>
        <w:t xml:space="preserve">En la amenorrea hipotalámica falta la regla porque el cerebro –a menudo por bajo peso, deporte intenso o estrés– secreta demasiado poca GnRH. Una única inyección de kisspeptina elevó con fuerza la LH y la FSH en las mujeres afectadas. Sin embargo, con dos administraciones diarias durante dos semanas, el efecto casi había desaparecido (Jayasena 2009, PMID 19820030). Las administraciones dos veces por semana solo produjeron una habituación parcial (Jayasena 2010, PMID 20980998), y una infusión continua triplicó transitoriamente el número de pulsos de LH (Jayasena 2014, PMID 24517142). En personas con un defecto genético del sistema de la neuroquinina B, una infusión de kisspeptina restableció la secreción hormonal pulsátil (Young 2013, PMID 22377698).</w:t>
      </w:r>
    </w:p>
    <w:p>
      <w:pPr>
        <w:pStyle w:val="BodyText"/>
      </w:pPr>
      <w:r>
        <w:t xml:space="preserve">En el síndrome de ovario poliquístico (SOP), la situación es más complicada. En un estudio piloto con 12 mujeres, la kisspeptina solo aumentó ligeramente la LH; dos mujeres ovularon y en la mayoría no ocurrió nada (Romero-Ruiz 2019, PMID 31820802).</w:t>
      </w:r>
    </w:p>
    <w:bookmarkEnd w:id="799"/>
    <w:bookmarkStart w:id="800" w:name="hombres-testosterona-y-diabetes"/>
    <w:p>
      <w:pPr>
        <w:pStyle w:val="Heading4"/>
      </w:pPr>
      <w:r>
        <w:t xml:space="preserve">Hombres: testosterona y diabetes</w:t>
      </w:r>
    </w:p>
    <w:p>
      <w:pPr>
        <w:pStyle w:val="FirstParagraph"/>
      </w:pPr>
      <w:r>
        <w:t xml:space="preserve">En cinco hombres con diabetes tipo 2 y testosterona baja, una infusión de kisspeptina-10 aumentó la LH, la frecuencia de pulsos de LH y la testosterona (George 2013, PMID 23153270). Un estudio reciente con 15 hombres sanos mostró que infusiones subcutáneas diarias de ocho horas mantenían la secreción hormonal durante doce días, mientras que una infusión continua ya no tenía efecto sobre la LH y la FSH al cabo de cinco días (Yeung 2026, PMID 42549827). Es un paso importante hacia un posible tratamiento a largo plazo.</w:t>
      </w:r>
    </w:p>
    <w:bookmarkEnd w:id="800"/>
    <w:bookmarkStart w:id="801" w:name="deseo-sexual-y-cerebro"/>
    <w:p>
      <w:pPr>
        <w:pStyle w:val="Heading4"/>
      </w:pPr>
      <w:r>
        <w:t xml:space="preserve">Deseo sexual y cerebro</w:t>
      </w:r>
    </w:p>
    <w:p>
      <w:pPr>
        <w:pStyle w:val="FirstParagraph"/>
      </w:pPr>
      <w:r>
        <w:t xml:space="preserve">El grupo de Londres investigó con resonancia magnética funcional (RMf) cómo modifica la kisspeptina el procesamiento de imágenes eróticas.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Comninos 2017, PMID 28112678</w:t>
            </w:r>
          </w:p>
        </w:tc>
        <w:tc>
          <w:tcPr/>
          <w:p>
            <w:pPr>
              <w:pStyle w:val="Compact"/>
              <w:jc w:val="left"/>
            </w:pPr>
            <w:r>
              <w:t xml:space="preserve">29 hombres jóvenes sanos, estudio cruzado frente a placebo</w:t>
            </w:r>
          </w:p>
        </w:tc>
        <w:tc>
          <w:tcPr/>
          <w:p>
            <w:pPr>
              <w:pStyle w:val="Compact"/>
              <w:jc w:val="left"/>
            </w:pPr>
            <w:r>
              <w:t xml:space="preserve">infusión única</w:t>
            </w:r>
          </w:p>
        </w:tc>
        <w:tc>
          <w:tcPr/>
          <w:p>
            <w:pPr>
              <w:pStyle w:val="Compact"/>
              <w:jc w:val="left"/>
            </w:pPr>
            <w:r>
              <w:t xml:space="preserve">más actividad en regiones cerebrales límbicas ante estímulos sexuales; menos estado de ánimo negativo</w:t>
            </w:r>
          </w:p>
        </w:tc>
      </w:tr>
      <w:tr>
        <w:tc>
          <w:tcPr/>
          <w:p>
            <w:pPr>
              <w:pStyle w:val="Compact"/>
              <w:jc w:val="left"/>
            </w:pPr>
            <w:r>
              <w:t xml:space="preserve">Thurston 2022, PMID 36287566</w:t>
            </w:r>
          </w:p>
        </w:tc>
        <w:tc>
          <w:tcPr/>
          <w:p>
            <w:pPr>
              <w:pStyle w:val="Compact"/>
              <w:jc w:val="left"/>
            </w:pPr>
            <w:r>
              <w:t xml:space="preserve">32 mujeres con HSDD, estudio cruzado doble ciego</w:t>
            </w:r>
          </w:p>
        </w:tc>
        <w:tc>
          <w:tcPr/>
          <w:p>
            <w:pPr>
              <w:pStyle w:val="Compact"/>
              <w:jc w:val="left"/>
            </w:pPr>
            <w:r>
              <w:t xml:space="preserve">75 minutos</w:t>
            </w:r>
          </w:p>
        </w:tc>
        <w:tc>
          <w:tcPr/>
          <w:p>
            <w:pPr>
              <w:pStyle w:val="Compact"/>
              <w:jc w:val="left"/>
            </w:pPr>
            <w:r>
              <w:t xml:space="preserve">actividad modificada en regiones cerebrales de los estímulos sexuales y del atractivo; sin efectos adversos</w:t>
            </w:r>
          </w:p>
        </w:tc>
      </w:tr>
      <w:tr>
        <w:tc>
          <w:tcPr/>
          <w:p>
            <w:pPr>
              <w:pStyle w:val="Compact"/>
              <w:jc w:val="left"/>
            </w:pPr>
            <w:r>
              <w:t xml:space="preserve">Mills 2023, PMID 36735255</w:t>
            </w:r>
          </w:p>
        </w:tc>
        <w:tc>
          <w:tcPr/>
          <w:p>
            <w:pPr>
              <w:pStyle w:val="Compact"/>
              <w:jc w:val="left"/>
            </w:pPr>
            <w:r>
              <w:t xml:space="preserve">32 hombres con HSDD, estudio cruzado doble ciego</w:t>
            </w:r>
          </w:p>
        </w:tc>
        <w:tc>
          <w:tcPr/>
          <w:p>
            <w:pPr>
              <w:pStyle w:val="Compact"/>
              <w:jc w:val="left"/>
            </w:pPr>
            <w:r>
              <w:t xml:space="preserve">75 minutos</w:t>
            </w:r>
          </w:p>
        </w:tc>
        <w:tc>
          <w:tcPr/>
          <w:p>
            <w:pPr>
              <w:pStyle w:val="Compact"/>
              <w:jc w:val="left"/>
            </w:pPr>
            <w:r>
              <w:t xml:space="preserve">actividad cerebral modificada; tumescencia del pene ante vídeos eróticos hasta un 56 % mayor que con placebo</w:t>
            </w:r>
          </w:p>
        </w:tc>
      </w:tr>
    </w:tbl>
    <w:p>
      <w:pPr>
        <w:pStyle w:val="BodyText"/>
      </w:pPr>
      <w:r>
        <w:t xml:space="preserve">El HSDD (trastorno de deseo sexual hipoactivo) significa un deseo sexual persistentemente bajo que causa malestar. En hombres con HSDD, una única infusión de kisspeptina no solo potenció la actividad de las regiones cerebrales sexuales, sino también la excitación física medible y algunas respuestas sobre el deseo, como las «ganas de tener relaciones sexuales» (Mills 2023, PMID 36735255). En mujeres con HSDD, los cambios de la actividad cerebral se correlacionaron con el malestar y la aversión sexual (Thurston 2022, PMID 36287566).</w:t>
      </w:r>
    </w:p>
    <w:p>
      <w:pPr>
        <w:pStyle w:val="BodyText"/>
      </w:pPr>
      <w:r>
        <w:rPr>
          <w:bCs/>
          <w:b/>
        </w:rPr>
        <w:t xml:space="preserve">Valoración:</w:t>
      </w:r>
      <w:r>
        <w:t xml:space="preserve"> </w:t>
      </w:r>
      <w:r>
        <w:t xml:space="preserve">estos estudios examinan una única infusión en el laboratorio, con la actividad cerebral como variable principal. No dicen nada sobre si la kisspeptina mejora la vivencia sexual en la vida diaria a lo largo de semanas. La administración en infusión no es adecuada para un tratamiento cotidiano. Un estudio con 95 personas no encontró ningún efecto sobre la ansiedad, el cortisol, la presión arterial ni la frecuencia cardiaca (Mills 2025, PMID 40036336): una señal tranquilizadora en cuanto a la tolerabilidad, no una prueba de eficacia.</w:t>
      </w:r>
    </w:p>
    <w:bookmarkEnd w:id="801"/>
    <w:bookmarkStart w:id="802" w:name="espray-nasal"/>
    <w:p>
      <w:pPr>
        <w:pStyle w:val="Heading4"/>
      </w:pPr>
      <w:r>
        <w:t xml:space="preserve">Espray nasal</w:t>
      </w:r>
    </w:p>
    <w:p>
      <w:pPr>
        <w:pStyle w:val="FirstParagraph"/>
      </w:pPr>
      <w:r>
        <w:t xml:space="preserve">Un espray nasal de kisspeptina-54 aumentó la LH en hombres y mujeres sanos y en mujeres con amenorrea hipotalámica, sin efectos adversos (Mills 2025, PMID 40215751). Esto apunta a una posible vía hacia un tratamiento sin aguja. En ratones se detectó kisspeptina en la mucosa olfativa, lo que sugiere una vía a través del sistema olfativo.</w:t>
      </w:r>
    </w:p>
    <w:bookmarkEnd w:id="802"/>
    <w:bookmarkStart w:id="803" w:name="otros-hallazgos"/>
    <w:p>
      <w:pPr>
        <w:pStyle w:val="Heading4"/>
      </w:pPr>
      <w:r>
        <w:t xml:space="preserve">Otros hallazgos</w:t>
      </w:r>
    </w:p>
    <w:p>
      <w:pPr>
        <w:numPr>
          <w:ilvl w:val="0"/>
          <w:numId w:val="1271"/>
        </w:numPr>
        <w:pStyle w:val="Compact"/>
      </w:pPr>
      <w:r>
        <w:rPr>
          <w:bCs/>
          <w:b/>
        </w:rPr>
        <w:t xml:space="preserve">Hueso:</w:t>
      </w:r>
      <w:r>
        <w:t xml:space="preserve"> </w:t>
      </w:r>
      <w:r>
        <w:t xml:space="preserve">en 26 hombres sanos, tras una administración de kisspeptina, el marcador de formación ósea osteocalcina aumentó hasta un 20,3 % (Comninos 2022, PMID 35244717).</w:t>
      </w:r>
    </w:p>
    <w:p>
      <w:pPr>
        <w:numPr>
          <w:ilvl w:val="0"/>
          <w:numId w:val="1271"/>
        </w:numPr>
        <w:pStyle w:val="Compact"/>
      </w:pPr>
      <w:r>
        <w:rPr>
          <w:bCs/>
          <w:b/>
        </w:rPr>
        <w:t xml:space="preserve">Metabolismo:</w:t>
      </w:r>
      <w:r>
        <w:t xml:space="preserve"> </w:t>
      </w:r>
      <w:r>
        <w:t xml:space="preserve">en 15 hombres sanos, la kisspeptina aumentó la secreción de insulina tras una sobrecarga de glucosa, sin modificar el apetito ni la cantidad ingerida (Izzi-Engbeaya 2018, PMID 29974637).</w:t>
      </w:r>
    </w:p>
    <w:p>
      <w:pPr>
        <w:numPr>
          <w:ilvl w:val="0"/>
          <w:numId w:val="1271"/>
        </w:numPr>
        <w:pStyle w:val="Compact"/>
      </w:pPr>
      <w:r>
        <w:rPr>
          <w:bCs/>
          <w:b/>
        </w:rPr>
        <w:t xml:space="preserve">Oxitocina:</w:t>
      </w:r>
      <w:r>
        <w:t xml:space="preserve"> </w:t>
      </w:r>
      <w:r>
        <w:t xml:space="preserve">tras una inyección de kisspeptina aumentó la concentración de oxitocina en sangre, más en hombres que en mujeres (Galbiati 2025, PMID 39965102). Se está estudiando como posible prueba para el déficit de oxitocina (capítulo 2E05).</w:t>
      </w:r>
    </w:p>
    <w:bookmarkEnd w:id="803"/>
    <w:bookmarkStart w:id="804" w:name="lo-contrario-reducir-las-hormonas"/>
    <w:p>
      <w:pPr>
        <w:pStyle w:val="Heading4"/>
      </w:pPr>
      <w:r>
        <w:t xml:space="preserve">Lo contrario: reducir las hormonas</w:t>
      </w:r>
    </w:p>
    <w:p>
      <w:pPr>
        <w:pStyle w:val="FirstParagraph"/>
      </w:pPr>
      <w:r>
        <w:t xml:space="preserve">El análogo sintético TAK-448 se convirtió, con la administración continua, en un bloqueante hormonal. En hombres sanos mayores de 50 años, la testosterona descendió hasta niveles de castración tras una semana de infusión continua; en hombres con cáncer de próstata, una inyección de liberación prolongada redujo la testosterona y el marcador tumoral PSA (MacLean 2014, PMID 24762108). Otros dos estudios de fase 2 del fabricante se terminaron antes de tiempo (NCT02369796, NCT02381288).</w:t>
      </w:r>
    </w:p>
    <w:bookmarkEnd w:id="804"/>
    <w:bookmarkEnd w:id="805"/>
    <w:bookmarkStart w:id="806" w:name="estudios-en-animales-y-de-laboratorio-49"/>
    <w:p>
      <w:pPr>
        <w:pStyle w:val="Heading3"/>
      </w:pPr>
      <w:r>
        <w:t xml:space="preserve">Estudios en animales y de laboratorio</w:t>
      </w:r>
    </w:p>
    <w:p>
      <w:pPr>
        <w:pStyle w:val="FirstParagraph"/>
      </w:pPr>
      <w:r>
        <w:t xml:space="preserve">El papel de la kisspeptina en la pubertad y la reproducción se demostró primero en ratones con el gen del receptor desactivado; los animales permanecen sexualmente inmaduros (Seminara 2003, PMID 14573733). Originalmente, el péptido se describió como freno de la metástasis: en cultivo celular y en ratones inhibió la diseminación de células de melanoma (Lee 1996, PMID 8944003; Ohtaki 2001, PMID 11385580). Si esto puede aprovecharse terapéuticamente sigue abierto.</w:t>
      </w:r>
    </w:p>
    <w:p>
      <w:pPr>
        <w:pStyle w:val="BodyText"/>
      </w:pPr>
      <w:r>
        <w:t xml:space="preserve">En modelos de SOP en ratas, la kisspeptina restableció la ovulación en una parte de los animales y en otros no (Romero-Ruiz 2019, PMID 31820802). La investigación básica sobre la kisspeptina y la neuroquinina B se resume en una revisión (Koysombat 2025, PMID 39813600).</w:t>
      </w:r>
    </w:p>
    <w:bookmarkEnd w:id="806"/>
    <w:bookmarkStart w:id="810" w:name="riesgos-y-efectos-adversos-49"/>
    <w:p>
      <w:pPr>
        <w:pStyle w:val="Heading3"/>
      </w:pPr>
      <w:r>
        <w:t xml:space="preserve">Riesgos y efectos adversos</w:t>
      </w:r>
    </w:p>
    <w:bookmarkStart w:id="807" w:name="demostrados-2"/>
    <w:p>
      <w:pPr>
        <w:pStyle w:val="Heading4"/>
      </w:pPr>
      <w:r>
        <w:t xml:space="preserve">Demostrados</w:t>
      </w:r>
    </w:p>
    <w:p>
      <w:pPr>
        <w:pStyle w:val="FirstParagraph"/>
      </w:pPr>
      <w:r>
        <w:t xml:space="preserve">En todos los estudios publicados, la kisspeptina fue bien tolerada. Varios estudios comunican expresamente la ausencia de efectos adversos (Jayasena 2010, PMID 20980998; Thurston 2022, PMID 36287566; Mills 2025, PMID 40215751). La kisspeptina no modificó la hormona del crecimiento, la prolactina ni la TSH, que regula el tiroides (Jayasena 2014, PMID 24863252), y no influyó en la ansiedad, la presión arterial ni la frecuencia cardiaca (Mills 2025, PMID 40036336). Con el análogo TAK-448 aparecieron efectos adversos leves a moderados en el 26 % de las personas tratadas (MacLean 2014, PMID 24762108).</w:t>
      </w:r>
    </w:p>
    <w:bookmarkEnd w:id="807"/>
    <w:bookmarkStart w:id="808" w:name="teóricos-y-sin-aclarar"/>
    <w:p>
      <w:pPr>
        <w:pStyle w:val="Heading4"/>
      </w:pPr>
      <w:r>
        <w:t xml:space="preserve">Teóricos y sin aclarar</w:t>
      </w:r>
    </w:p>
    <w:p>
      <w:pPr>
        <w:numPr>
          <w:ilvl w:val="0"/>
          <w:numId w:val="1272"/>
        </w:numPr>
        <w:pStyle w:val="Compact"/>
      </w:pPr>
      <w:r>
        <w:rPr>
          <w:bCs/>
          <w:b/>
        </w:rPr>
        <w:t xml:space="preserve">Habituación y descenso hormonal:</w:t>
      </w:r>
      <w:r>
        <w:t xml:space="preserve"> </w:t>
      </w:r>
      <w:r>
        <w:t xml:space="preserve">con la administración continua puede producirse lo contrario del efecto deseado, como muestran los estudios con TAK-448. Quien usa kisspeptina sin control médico se arriesga, por tanto, a suprimir su propio eje hormonal.</w:t>
      </w:r>
    </w:p>
    <w:p>
      <w:pPr>
        <w:numPr>
          <w:ilvl w:val="0"/>
          <w:numId w:val="1272"/>
        </w:numPr>
        <w:pStyle w:val="Compact"/>
      </w:pPr>
      <w:r>
        <w:t xml:space="preserve">Faltan</w:t>
      </w:r>
      <w:r>
        <w:t xml:space="preserve"> </w:t>
      </w:r>
      <w:r>
        <w:rPr>
          <w:bCs/>
          <w:b/>
        </w:rPr>
        <w:t xml:space="preserve">datos a largo plazo</w:t>
      </w:r>
      <w:r>
        <w:t xml:space="preserve">. Los estudios más largos duraron ocho semanas.</w:t>
      </w:r>
    </w:p>
    <w:p>
      <w:pPr>
        <w:numPr>
          <w:ilvl w:val="0"/>
          <w:numId w:val="1272"/>
        </w:numPr>
        <w:pStyle w:val="Compact"/>
      </w:pPr>
      <w:r>
        <w:rPr>
          <w:bCs/>
          <w:b/>
        </w:rPr>
        <w:t xml:space="preserve">Embarazo:</w:t>
      </w:r>
      <w:r>
        <w:t xml:space="preserve"> </w:t>
      </w:r>
      <w:r>
        <w:t xml:space="preserve">en el uso en FIV nacieron niños; no se han publicado datos sistemáticos sobre la salud de estos niños.</w:t>
      </w:r>
    </w:p>
    <w:bookmarkEnd w:id="808"/>
    <w:bookmarkStart w:id="809" w:name="mercado-gris-2"/>
    <w:p>
      <w:pPr>
        <w:pStyle w:val="Heading4"/>
      </w:pPr>
      <w:r>
        <w:t xml:space="preserve">Mercado gris</w:t>
      </w:r>
    </w:p>
    <w:p>
      <w:pPr>
        <w:pStyle w:val="FirstParagraph"/>
      </w:pPr>
      <w:r>
        <w:t xml:space="preserve">La kisspeptina-10 se ofrece en internet como «research peptide» y se promociona en foros para aumentar la testosterona o la libido. No hay estudios sobre estos productos. Debido a la semivida corta y a la habituación con la administración frecuente, no está demostrado un efecto duradero con la autoadministración; la pureza y el contenido no están evaluados (véanse la Parte I y la Parte IV).</w:t>
      </w:r>
    </w:p>
    <w:bookmarkEnd w:id="809"/>
    <w:bookmarkEnd w:id="810"/>
    <w:bookmarkStart w:id="811" w:name="situación-legal-49"/>
    <w:p>
      <w:pPr>
        <w:pStyle w:val="Heading3"/>
      </w:pPr>
      <w:r>
        <w:t xml:space="preserve">Situación legal</w:t>
      </w:r>
    </w:p>
    <w:p>
      <w:pPr>
        <w:pStyle w:val="FirstParagraph"/>
      </w:pPr>
      <w:r>
        <w:rPr>
          <w:iCs/>
          <w:i/>
        </w:rPr>
        <w:t xml:space="preserve">Situación en 2026, compruébese la versión actual.</w:t>
      </w:r>
    </w:p>
    <w:p>
      <w:pPr>
        <w:numPr>
          <w:ilvl w:val="0"/>
          <w:numId w:val="1273"/>
        </w:numPr>
        <w:pStyle w:val="Compact"/>
      </w:pPr>
      <w:r>
        <w:rPr>
          <w:bCs/>
          <w:b/>
        </w:rPr>
        <w:t xml:space="preserve">UE, Alemania, Austria:</w:t>
      </w:r>
      <w:r>
        <w:t xml:space="preserve"> </w:t>
      </w:r>
      <w:r>
        <w:t xml:space="preserve">sin autorización. La kisspeptina solo puede administrarse en humanos en el marco de estudios clínicos autorizados. La venta para uso en humanos no está permitida.</w:t>
      </w:r>
    </w:p>
    <w:p>
      <w:pPr>
        <w:numPr>
          <w:ilvl w:val="0"/>
          <w:numId w:val="1273"/>
        </w:numPr>
        <w:pStyle w:val="Compact"/>
      </w:pPr>
      <w:r>
        <w:rPr>
          <w:bCs/>
          <w:b/>
        </w:rPr>
        <w:t xml:space="preserve">EE. UU.:</w:t>
      </w:r>
      <w:r>
        <w:t xml:space="preserve"> </w:t>
      </w:r>
      <w:r>
        <w:t xml:space="preserve">sin autorización; uso solo en estudios con aprobación de la FDA.</w:t>
      </w:r>
    </w:p>
    <w:p>
      <w:pPr>
        <w:numPr>
          <w:ilvl w:val="0"/>
          <w:numId w:val="1273"/>
        </w:numPr>
        <w:pStyle w:val="Compact"/>
      </w:pPr>
      <w:r>
        <w:rPr>
          <w:bCs/>
          <w:b/>
        </w:rPr>
        <w:t xml:space="preserve">WADA:</w:t>
      </w:r>
      <w:r>
        <w:t xml:space="preserve"> </w:t>
      </w:r>
      <w:r>
        <w:t xml:space="preserve">en los hombres, los factores liberadores de LH están prohibidos según S2, y los principios activos no autorizados en general, según S0. La kisspeptina no se menciona nominalmente, pero, según la valoración del autor, entra en estos grupos.</w:t>
      </w:r>
    </w:p>
    <w:bookmarkEnd w:id="811"/>
    <w:bookmarkStart w:id="812" w:name="estudios-en-curso-y-perspectivas-49"/>
    <w:p>
      <w:pPr>
        <w:pStyle w:val="Heading3"/>
      </w:pPr>
      <w:r>
        <w:t xml:space="preserve">Estudios en curso y perspectivas</w:t>
      </w:r>
    </w:p>
    <w:p>
      <w:pPr>
        <w:pStyle w:val="FirstParagraph"/>
      </w:pPr>
      <w:r>
        <w:rPr>
          <w:bCs/>
          <w:b/>
        </w:rPr>
        <w:t xml:space="preserve">Confirmado (estudios registrados):</w:t>
      </w:r>
    </w:p>
    <w:p>
      <w:pPr>
        <w:numPr>
          <w:ilvl w:val="0"/>
          <w:numId w:val="1274"/>
        </w:numPr>
        <w:pStyle w:val="Compact"/>
      </w:pPr>
      <w:r>
        <w:rPr>
          <w:bCs/>
          <w:b/>
        </w:rPr>
        <w:t xml:space="preserve">Massachusetts General Hospital, Boston:</w:t>
      </w:r>
      <w:r>
        <w:t xml:space="preserve"> </w:t>
      </w:r>
      <w:r>
        <w:t xml:space="preserve">varios estudios de fase 1 y fase 2 con administración subcutánea repetida de kisspeptina en el déficit hormonal congénito (hipogonadismo hipogonadotrópico idiopático, NCT05896293, 36 personas, hasta 2028) y en la amenorrea hipotalámica (NCT07224438, 20 personas, hasta 2030). Otro estudio usa la kisspeptina como prueba de la función de las neuronas de GnRH (NCT07224490).</w:t>
      </w:r>
    </w:p>
    <w:p>
      <w:pPr>
        <w:numPr>
          <w:ilvl w:val="0"/>
          <w:numId w:val="1274"/>
        </w:numPr>
        <w:pStyle w:val="Compact"/>
      </w:pPr>
      <w:r>
        <w:rPr>
          <w:bCs/>
          <w:b/>
        </w:rPr>
        <w:t xml:space="preserve">Imperial College de Londres:</w:t>
      </w:r>
      <w:r>
        <w:t xml:space="preserve"> </w:t>
      </w:r>
      <w:r>
        <w:t xml:space="preserve">un estudio en curso desde 2014 sobre la secreción hormonal con la administración prolongada de kisspeptina (NCT02081924, 76 personas).</w:t>
      </w:r>
    </w:p>
    <w:p>
      <w:pPr>
        <w:numPr>
          <w:ilvl w:val="0"/>
          <w:numId w:val="1274"/>
        </w:numPr>
        <w:pStyle w:val="Compact"/>
      </w:pPr>
      <w:r>
        <w:t xml:space="preserve">Ha finalizado un estudio de fase 2 con administración pulsátil de kisspeptina en el hipogonadismo (NCT04648969); al cierre de la redacción no había resultados publicados en PubMed.</w:t>
      </w:r>
    </w:p>
    <w:p>
      <w:pPr>
        <w:pStyle w:val="FirstParagraph"/>
      </w:pPr>
      <w:r>
        <w:rPr>
          <w:bCs/>
          <w:b/>
        </w:rPr>
        <w:t xml:space="preserve">Valoración del autor:</w:t>
      </w:r>
      <w:r>
        <w:t xml:space="preserve"> </w:t>
      </w:r>
      <w:r>
        <w:t xml:space="preserve">en cuanto a sus fundamentos, la kisspeptina es uno de los péptidos científicamente más sólidos de este libro: su papel en la pubertad está demostrado genéticamente. Pero el desarrollo clínico es lento, porque lo sostienen sobre todo universidades. Lo más realista parece una autorización para la maduración ovocitaria en mujeres con riesgo de OHSS o como prueba diagnóstica de los trastornos de la pubertad, aunque para ello harían falta estudios comparativos más grandes. Para el tratamiento de la falta de deseo sexual no hay hasta ahora ninguna prueba de beneficio en la vida diaria.</w:t>
      </w:r>
    </w:p>
    <w:bookmarkEnd w:id="812"/>
    <w:bookmarkStart w:id="813" w:name="conclusión-49"/>
    <w:p>
      <w:pPr>
        <w:pStyle w:val="Heading3"/>
      </w:pPr>
      <w:r>
        <w:t xml:space="preserve">Conclusión</w:t>
      </w:r>
    </w:p>
    <w:p>
      <w:pPr>
        <w:pStyle w:val="FirstParagraph"/>
      </w:pPr>
      <w:r>
        <w:t xml:space="preserve">La kisspeptina es el interruptor principal endógeno de las hormonas de la reproducción, como muestran de forma impresionante las personas con un defecto del receptor. En estudios pequeños provocó de forma fiable la secreción de LH y permitió, en mujeres con riesgo alto de hiperestimulación, una maduración ovocitaria sin OHSS grave. Los estudios de laboratorio con neuroimagen apuntan a efectos sobre el procesamiento de los estímulos sexuales, pero no demuestran un beneficio en la vida diaria. El mayor obstáculo práctico es la habituación con la administración frecuente, que puede llegar a suprimir el eje hormonal. La kisspeptina no está autorizada en ninguna parte; fuera de los estudios no existe ningún uso evaluado.</w:t>
      </w:r>
    </w:p>
    <w:bookmarkEnd w:id="813"/>
    <w:bookmarkEnd w:id="814"/>
    <w:bookmarkStart w:id="836" w:name="oxitocina-espray-nasal"/>
    <w:p>
      <w:pPr>
        <w:pStyle w:val="Heading2"/>
      </w:pPr>
      <w:r>
        <w:t xml:space="preserve">Oxitocina (espray nasal)</w:t>
      </w:r>
    </w:p>
    <w:bookmarkStart w:id="815" w:name="ficha-50"/>
    <w:p>
      <w:pPr>
        <w:pStyle w:val="Heading3"/>
      </w:pPr>
      <w:r>
        <w:t xml:space="preserve">Ficha</w:t>
      </w:r>
    </w:p>
    <w:p>
      <w:pPr>
        <w:numPr>
          <w:ilvl w:val="0"/>
          <w:numId w:val="1275"/>
        </w:numPr>
        <w:pStyle w:val="Compact"/>
      </w:pPr>
      <w:r>
        <w:rPr>
          <w:bCs/>
          <w:b/>
        </w:rPr>
        <w:t xml:space="preserve">Tipo/estructura:</w:t>
      </w:r>
      <w:r>
        <w:t xml:space="preserve"> </w:t>
      </w:r>
      <w:r>
        <w:t xml:space="preserve">hormona peptídica endógena de nueve aminoácidos. Dos puentes de azufre cierran seis de ellos formando un anillo. La oxitocina está estrechamente emparentada con la hormona vasopresina (hormona antidiurética), de la que solo se diferencia en dos componentes.</w:t>
      </w:r>
    </w:p>
    <w:p>
      <w:pPr>
        <w:numPr>
          <w:ilvl w:val="0"/>
          <w:numId w:val="1275"/>
        </w:numPr>
        <w:pStyle w:val="Compact"/>
      </w:pPr>
      <w:r>
        <w:rPr>
          <w:bCs/>
          <w:b/>
        </w:rPr>
        <w:t xml:space="preserve">Origen:</w:t>
      </w:r>
      <w:r>
        <w:t xml:space="preserve"> </w:t>
      </w:r>
      <w:r>
        <w:t xml:space="preserve">se produce en neuronas del hipotálamo y la hipófisis posterior la libera a la sangre; al mismo tiempo es un mensajero dentro del cerebro. En 1953, la oxitocina fue la primera hormona peptídica sintetizada en el laboratorio; Vincent du Vigneaud recibió por ello el Premio Nobel de Química en 1955.</w:t>
      </w:r>
    </w:p>
    <w:p>
      <w:pPr>
        <w:numPr>
          <w:ilvl w:val="0"/>
          <w:numId w:val="1275"/>
        </w:numPr>
        <w:pStyle w:val="Compact"/>
      </w:pPr>
      <w:r>
        <w:rPr>
          <w:bCs/>
          <w:b/>
        </w:rPr>
        <w:t xml:space="preserve">Mecanismo de acción:</w:t>
      </w:r>
      <w:r>
        <w:t xml:space="preserve"> </w:t>
      </w:r>
      <w:r>
        <w:t xml:space="preserve">agonista del receptor de oxitocina. En el cuerpo desencadena las contracciones del parto y el reflejo de eyección de la leche; en el cerebro participa en el vínculo, la conducta social y la regulación del estrés.</w:t>
      </w:r>
    </w:p>
    <w:p>
      <w:pPr>
        <w:numPr>
          <w:ilvl w:val="0"/>
          <w:numId w:val="1275"/>
        </w:numPr>
        <w:pStyle w:val="Compact"/>
      </w:pPr>
      <w:r>
        <w:rPr>
          <w:bCs/>
          <w:b/>
        </w:rPr>
        <w:t xml:space="preserve">Autorización en la UE y EE. UU. (inyección/infusión):</w:t>
      </w:r>
      <w:r>
        <w:t xml:space="preserve"> </w:t>
      </w:r>
      <w:r>
        <w:t xml:space="preserve">sí, desde hace décadas en obstetricia, para inducir y reforzar las contracciones y para prevenir hemorragias intensas después del parto.</w:t>
      </w:r>
    </w:p>
    <w:p>
      <w:pPr>
        <w:numPr>
          <w:ilvl w:val="0"/>
          <w:numId w:val="1275"/>
        </w:numPr>
        <w:pStyle w:val="Compact"/>
      </w:pPr>
      <w:r>
        <w:rPr>
          <w:bCs/>
          <w:b/>
        </w:rPr>
        <w:t xml:space="preserve">Autorización como espray nasal:</w:t>
      </w:r>
      <w:r>
        <w:t xml:space="preserve"> </w:t>
      </w:r>
      <w:r>
        <w:t xml:space="preserve">un espray nasal de oxitocina estuvo autorizado en el pasado en varios países europeos para favorecer el flujo de leche durante la lactancia, pero en muchos lugares ya no se comercializa. Para usos psíquicos, sociales o sexuales, la oxitocina no está autorizada en ninguna parte (situación en 2026, compruébese la versión actual).</w:t>
      </w:r>
    </w:p>
    <w:p>
      <w:pPr>
        <w:numPr>
          <w:ilvl w:val="0"/>
          <w:numId w:val="1275"/>
        </w:numPr>
        <w:pStyle w:val="Compact"/>
      </w:pPr>
      <w:r>
        <w:rPr>
          <w:bCs/>
          <w:b/>
        </w:rPr>
        <w:t xml:space="preserve">WADA:</w:t>
      </w:r>
      <w:r>
        <w:t xml:space="preserve"> </w:t>
      </w:r>
      <w:r>
        <w:t xml:space="preserve">no figura en la lista (situación en 2026, compruébese la versión actual).</w:t>
      </w:r>
    </w:p>
    <w:p>
      <w:pPr>
        <w:numPr>
          <w:ilvl w:val="0"/>
          <w:numId w:val="1275"/>
        </w:numPr>
        <w:pStyle w:val="Compact"/>
      </w:pPr>
      <w:r>
        <w:rPr>
          <w:bCs/>
          <w:b/>
        </w:rPr>
        <w:t xml:space="preserve">Nivel de evidencia:</w:t>
      </w:r>
      <w:r>
        <w:t xml:space="preserve"> </w:t>
      </w:r>
      <w:r>
        <w:rPr>
          <w:bCs/>
          <w:b/>
        </w:rPr>
        <w:t xml:space="preserve">B</w:t>
      </w:r>
      <w:r>
        <w:t xml:space="preserve"> </w:t>
      </w:r>
      <w:r>
        <w:t xml:space="preserve">para el uso como espray nasal – cientos de estudios aleatorizados, pero en su mayoría pequeños y con dosis únicas; los pocos grandes estudios de tratamiento fueron negativos. Para la obstetricia (infusión, inyección) rige el nivel A; no es el tema central de este capítulo.</w:t>
      </w:r>
    </w:p>
    <w:bookmarkEnd w:id="815"/>
    <w:bookmarkStart w:id="819" w:name="cómo-se-supone-que-actúa-50"/>
    <w:p>
      <w:pPr>
        <w:pStyle w:val="Heading3"/>
      </w:pPr>
      <w:r>
        <w:t xml:space="preserve">Cómo se supone que actúa</w:t>
      </w:r>
    </w:p>
    <w:bookmarkStart w:id="816" w:name="X2aeb50363d4040a5733705cc75d9db2c1f3598f"/>
    <w:p>
      <w:pPr>
        <w:pStyle w:val="Heading4"/>
      </w:pPr>
      <w:r>
        <w:t xml:space="preserve">De hormona del parto a «hormona del abrazo»</w:t>
      </w:r>
    </w:p>
    <w:p>
      <w:pPr>
        <w:pStyle w:val="FirstParagraph"/>
      </w:pPr>
      <w:r>
        <w:t xml:space="preserve">El nombre de la oxitocina procede de la expresión griega para «parto rápido». Sus funciones clásicas son corporales: hace que el útero se contraiga y expulsa la leche de las glándulas mamarias. Desde la década de 1990 se ha prestado atención a un segundo papel. En los topillos de las praderas, que forman parejas de por vida, el vínculo de pareja depende del sistema de la oxitocina en el cerebro (experimentos con animales). En ovejas y roedores regula la conducta de cuidado de las madres hacia sus crías.</w:t>
      </w:r>
    </w:p>
    <w:p>
      <w:pPr>
        <w:pStyle w:val="BodyText"/>
      </w:pPr>
      <w:r>
        <w:t xml:space="preserve">De estos hallazgos en animales surgió a partir de 2005 una oleada de estudios en humanos que administraban oxitocina como espray nasal y medían la conducta social. Los medios acuñaron etiquetas como «hormona del abrazo», «hormona de la confianza» u «hormona del amor». Como muestra este capítulo, la evidencia actual es mucho más decepcionante que estos lemas.</w:t>
      </w:r>
    </w:p>
    <w:bookmarkEnd w:id="816"/>
    <w:bookmarkStart w:id="817" w:name="el-problema-de-la-nariz"/>
    <w:p>
      <w:pPr>
        <w:pStyle w:val="Heading4"/>
      </w:pPr>
      <w:r>
        <w:t xml:space="preserve">El problema de la nariz</w:t>
      </w:r>
    </w:p>
    <w:p>
      <w:pPr>
        <w:pStyle w:val="FirstParagraph"/>
      </w:pPr>
      <w:r>
        <w:t xml:space="preserve">Como péptido, la oxitocina es demasiado grande y demasiado hidrosoluble para atravesar la barrera hematoencefálica en cantidades apreciables. El espray nasal debería encontrar, a través de los nervios olfativo y trigémino de la mucosa nasal, una vía directa al cerebro. Si esto funciona y en qué medida es una de las cuestiones abiertas centrales del campo:</w:t>
      </w:r>
    </w:p>
    <w:p>
      <w:pPr>
        <w:numPr>
          <w:ilvl w:val="0"/>
          <w:numId w:val="1276"/>
        </w:numPr>
        <w:pStyle w:val="Compact"/>
      </w:pPr>
      <w:r>
        <w:rPr>
          <w:bCs/>
          <w:b/>
        </w:rPr>
        <w:t xml:space="preserve">Visión escéptica:</w:t>
      </w:r>
      <w:r>
        <w:t xml:space="preserve"> </w:t>
      </w:r>
      <w:r>
        <w:t xml:space="preserve">solo una fracción minúscula de la cantidad pulverizada llega al líquido cefalorraquídeo, mientras que la concentración en sangre sube muy por encima de los valores naturales. Por tanto, muchos de los efectos observados podrían deberse a acciones en el cuerpo, por ejemplo sobre el corazón o el intestino, que luego influyen indirectamente en el cerebro (Leng 2016, PMID 26049207).</w:t>
      </w:r>
    </w:p>
    <w:p>
      <w:pPr>
        <w:numPr>
          <w:ilvl w:val="0"/>
          <w:numId w:val="1276"/>
        </w:numPr>
        <w:pStyle w:val="Compact"/>
      </w:pPr>
      <w:r>
        <w:rPr>
          <w:bCs/>
          <w:b/>
        </w:rPr>
        <w:t xml:space="preserve">Hallazgos en monos:</w:t>
      </w:r>
      <w:r>
        <w:t xml:space="preserve"> </w:t>
      </w:r>
      <w:r>
        <w:t xml:space="preserve">en macacos rhesus, la oxitocina marcada llegó al líquido cefalorraquídeo tras la administración nasal y tras la intravenosa; la vía nasal no fue superior (Lee 2018, PMID 28289281). En un segundo estudio se encontró oxitocina marcada tras la administración nasal –no tras la intravenosa– en regiones cerebrales a lo largo de las vías olfativa y trigeminal (Lee 2020, PMID 32494001).</w:t>
      </w:r>
    </w:p>
    <w:p>
      <w:pPr>
        <w:numPr>
          <w:ilvl w:val="0"/>
          <w:numId w:val="1276"/>
        </w:numPr>
        <w:pStyle w:val="Compact"/>
      </w:pPr>
      <w:r>
        <w:rPr>
          <w:bCs/>
          <w:b/>
        </w:rPr>
        <w:t xml:space="preserve">Hallazgos en humanos:</w:t>
      </w:r>
      <w:r>
        <w:t xml:space="preserve"> </w:t>
      </w:r>
      <w:r>
        <w:t xml:space="preserve">un estudio comparó espray nasal, nebulizador e infusión. La disminución del flujo sanguíneo en la amígdala podía explicarse por completo por el aumento en sangre; al mismo tiempo hubo indicios de efectos directos por vía nasal en otras regiones (Martins 2020, PMID 32127545).</w:t>
      </w:r>
    </w:p>
    <w:p>
      <w:pPr>
        <w:numPr>
          <w:ilvl w:val="0"/>
          <w:numId w:val="1276"/>
        </w:numPr>
        <w:pStyle w:val="Compact"/>
      </w:pPr>
      <w:r>
        <w:rPr>
          <w:bCs/>
          <w:b/>
        </w:rPr>
        <w:t xml:space="preserve">Problemas de medición:</w:t>
      </w:r>
      <w:r>
        <w:t xml:space="preserve"> </w:t>
      </w:r>
      <w:r>
        <w:t xml:space="preserve">las concentraciones de oxitocina en sangre no reflejan los valores cerebrales en condiciones de reposo (Valstad 2017, PMID 28442403). Además, muchos estudios antiguos usaron métodos de medición que hoy se consideran poco fiables (Leng 2016, PMID 26049207).</w:t>
      </w:r>
    </w:p>
    <w:p>
      <w:pPr>
        <w:pStyle w:val="FirstParagraph"/>
      </w:pPr>
      <w:r>
        <w:t xml:space="preserve">Los especialistas que ven el campo en conjunto de forma positiva consideran ya demostrada una vía directa de la nariz al cerebro, pero subrayan que la dosis, la técnica de pulverización y el sexo de los participantes influyen mucho en los resultados (Quintana 2021, PMID 32807845). Para las lectoras y los lectores, esto significa que el que un espray nasal de oxitocina llegue al cerebro depende de muchos detalles, y ni siquiera los especialistas se ponen de acuerdo sobre la magnitud.</w:t>
      </w:r>
    </w:p>
    <w:bookmarkEnd w:id="817"/>
    <w:bookmarkStart w:id="818" w:name="Xf73f85eeb8b780968e94b810813939b8e938993"/>
    <w:p>
      <w:pPr>
        <w:pStyle w:val="Heading4"/>
      </w:pPr>
      <w:r>
        <w:t xml:space="preserve">Breve contexto: la oxitocina en obstetricia</w:t>
      </w:r>
    </w:p>
    <w:p>
      <w:pPr>
        <w:pStyle w:val="FirstParagraph"/>
      </w:pPr>
      <w:r>
        <w:t xml:space="preserve">Como infusión o inyección, la oxitocina es uno de los medicamentos más importantes del mundo; la Organización Mundial de la Salud la incluye en su lista de medicamentos esenciales. Se emplea para inducir o reforzar las contracciones y para prevenir hemorragias intensas tras el parto. Una revisión Cochrane con 24 estudios concluyó que la oxitocina administrada de forma preventiva reduce aproximadamente a la mitad el riesgo de una pérdida de sangre de 500 ml o más (riesgo relativo 0,51), con una calidad en parte baja de los estudios individuales (Salati 2019, PMID 31032882). Este uso corresponde exclusivamente a matronas y médicos; la dosificación y la vigilancia se rigen por la ficha técnica. Para la valoración del espray nasal en cuestiones psíquicas no tiene ninguna relevancia.</w:t>
      </w:r>
    </w:p>
    <w:bookmarkEnd w:id="818"/>
    <w:bookmarkEnd w:id="819"/>
    <w:bookmarkStart w:id="827" w:name="estudios-en-humanos-50"/>
    <w:p>
      <w:pPr>
        <w:pStyle w:val="Heading3"/>
      </w:pPr>
      <w:r>
        <w:t xml:space="preserve">Estudios en humanos</w:t>
      </w:r>
    </w:p>
    <w:p>
      <w:pPr>
        <w:pStyle w:val="FirstParagraph"/>
      </w:pPr>
      <w:r>
        <w:rPr>
          <w:bCs/>
          <w:b/>
        </w:rPr>
        <w:t xml:space="preserve">Magnitud de la evidencia disponible (consulta de octubre de 2026):</w:t>
      </w:r>
      <w:r>
        <w:t xml:space="preserve"> </w:t>
      </w:r>
      <w:r>
        <w:t xml:space="preserve">la búsqueda automatizada de este libro (término «intranasal oxytocin» en título o resumen) encontró</w:t>
      </w:r>
      <w:r>
        <w:t xml:space="preserve"> </w:t>
      </w:r>
      <w:r>
        <w:rPr>
          <w:bCs/>
          <w:b/>
        </w:rPr>
        <w:t xml:space="preserve">349</w:t>
      </w:r>
      <w:r>
        <w:t xml:space="preserve"> </w:t>
      </w:r>
      <w:r>
        <w:t xml:space="preserve">estudios en humanos en PubMed (</w:t>
      </w:r>
      <w:r>
        <w:rPr>
          <w:rStyle w:val="VerbatimChar"/>
        </w:rPr>
        <w:t xml:space="preserve">humanstudien_alle</w:t>
      </w:r>
      <w:r>
        <w:t xml:space="preserve">) y</w:t>
      </w:r>
      <w:r>
        <w:t xml:space="preserve"> </w:t>
      </w:r>
      <w:r>
        <w:rPr>
          <w:bCs/>
          <w:b/>
        </w:rPr>
        <w:t xml:space="preserve">263</w:t>
      </w:r>
      <w:r>
        <w:t xml:space="preserve"> </w:t>
      </w:r>
      <w:r>
        <w:t xml:space="preserve">registros en ClinicalTrials.gov, de ellos unos 20 todavía en fase de reclutamiento. A ello se suman al menos 15 metaanálisis y revisiones sistemáticas. Con ello, la oxitocina es el péptido más estudiado en humanos de esta parte del libro. Sin embargo, la gran mayoría de los estudios administró una sola dosis a, por lo general, entre 20 y 60 hombres jóvenes y sanos, y midió cambios a corto plazo en pruebas de laboratorio o en el escáner cerebral.</w:t>
      </w:r>
    </w:p>
    <w:p>
      <w:pPr>
        <w:pStyle w:val="BodyText"/>
      </w:pPr>
      <w:r>
        <w:t xml:space="preserve">Este capítulo ordena los estudios en cuatro grupos: estudios básicos en personas sanas con la posterior crisis de replicación, el autismo como principal campo de tratamiento, otras enfermedades psiquiátricas y, por último, metabolismo, dolor y sexualidad.</w:t>
      </w:r>
    </w:p>
    <w:bookmarkStart w:id="820" w:name="Xe2e67c9a037da6849c4a7dcd568d2c852bcf8fe"/>
    <w:p>
      <w:pPr>
        <w:pStyle w:val="Heading4"/>
      </w:pPr>
      <w:r>
        <w:t xml:space="preserve">Conducta social en personas sanas: confianza, estrés, emociones</w:t>
      </w:r>
    </w:p>
    <w:p>
      <w:pPr>
        <w:pStyle w:val="FirstParagraph"/>
      </w:pPr>
      <w:r>
        <w:rPr>
          <w:bCs/>
          <w:b/>
        </w:rPr>
        <w:t xml:space="preserve">Confianza.</w:t>
      </w:r>
      <w:r>
        <w:t xml:space="preserve"> </w:t>
      </w:r>
      <w:r>
        <w:t xml:space="preserve">El estudio que fundó el campo se publicó en 2005 en Nature: los hombres que habían inhalado oxitocina confiaron más dinero a un desconocido en un juego económico (Kosfeld 2005, PMID 15931222). En este «juego de la confianza», un inversor decide cuánto dinero deja a un fiduciario; la cantidad se multiplica y el fiduciario decide cuánto devuelve. La oxitocina no aumentó la disposición al riesgo en general, sino específicamente la disposición a asumir riesgos sociales.</w:t>
      </w:r>
    </w:p>
    <w:p>
      <w:pPr>
        <w:pStyle w:val="BodyText"/>
      </w:pPr>
      <w:r>
        <w:rPr>
          <w:bCs/>
          <w:b/>
        </w:rPr>
        <w:t xml:space="preserve">Estrés.</w:t>
      </w:r>
      <w:r>
        <w:t xml:space="preserve"> </w:t>
      </w:r>
      <w:r>
        <w:t xml:space="preserve">En un estudio con 37 hombres sanos, la oxitocina atenuó la ansiedad en una prueba de estrés estandarizada (hablar en público y hacer cálculo mental ante un auditorio). Los valores más bajos de la hormona del estrés cortisol los tuvieron los hombres que recibieron oxitocina y, además, el apoyo de su mejor amigo (Heinrichs 2003, PMID 14675803).</w:t>
      </w:r>
    </w:p>
    <w:p>
      <w:pPr>
        <w:pStyle w:val="BodyText"/>
      </w:pPr>
      <w:r>
        <w:rPr>
          <w:bCs/>
          <w:b/>
        </w:rPr>
        <w:t xml:space="preserve">Reconocer emociones.</w:t>
      </w:r>
      <w:r>
        <w:t xml:space="preserve"> </w:t>
      </w:r>
      <w:r>
        <w:t xml:space="preserve">Un metaanálisis de 33 estudios encontró que una dosis única mejoraba ligeramente en personas sanas el reconocimiento de las emociones básicas, sobre todo el miedo. En cambio, en personas con enfermedades psíquicas no se observó ningún efecto (Leppanen 2017, PMID 28467893).</w:t>
      </w:r>
    </w:p>
    <w:p>
      <w:pPr>
        <w:pStyle w:val="BodyText"/>
      </w:pPr>
      <w:r>
        <w:t xml:space="preserve">Cientos de estudios más comunicaron efectos sobre la mirada, la empatía, el recuerdo de rostros, la pertenencia al grupo, la mentira, la generosidad, los celos y mucho más. Muchos de estos hallazgos solo aparecieron en subgrupos, por ejemplo solo en hombres, solo en personas ansiosas o solo con determinadas variantes genéticas del receptor de oxitocina.</w:t>
      </w:r>
    </w:p>
    <w:bookmarkEnd w:id="820"/>
    <w:bookmarkStart w:id="821" w:name="la-crisis-de-replicación"/>
    <w:p>
      <w:pPr>
        <w:pStyle w:val="Heading4"/>
      </w:pPr>
      <w:r>
        <w:t xml:space="preserve">La crisis de replicación</w:t>
      </w:r>
    </w:p>
    <w:p>
      <w:pPr>
        <w:pStyle w:val="FirstParagraph"/>
      </w:pPr>
      <w:r>
        <w:t xml:space="preserve">A partir de 2015 aproximadamente aumentaron las dudas. El término crisis de replicación describe el problema de que muchos hallazgos publicados en psicología y medicina no se confirman cuando otros investigadores los repiten. La oxitocina se convirtió en un ejemplo paradigmático.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Estudio</w:t>
            </w:r>
          </w:p>
        </w:tc>
        <w:tc>
          <w:tcPr/>
          <w:p>
            <w:pPr>
              <w:pStyle w:val="Compact"/>
              <w:jc w:val="left"/>
            </w:pPr>
            <w:r>
              <w:t xml:space="preserve">Tipo</w:t>
            </w:r>
          </w:p>
        </w:tc>
        <w:tc>
          <w:tcPr/>
          <w:p>
            <w:pPr>
              <w:pStyle w:val="Compact"/>
              <w:jc w:val="left"/>
            </w:pPr>
            <w:r>
              <w:t xml:space="preserve">Mensaje central</w:t>
            </w:r>
          </w:p>
        </w:tc>
      </w:tr>
      <w:tr>
        <w:tc>
          <w:tcPr/>
          <w:p>
            <w:pPr>
              <w:pStyle w:val="Compact"/>
              <w:jc w:val="left"/>
            </w:pPr>
            <w:r>
              <w:t xml:space="preserve">Kosfeld 2005, PMID 15931222</w:t>
            </w:r>
          </w:p>
        </w:tc>
        <w:tc>
          <w:tcPr/>
          <w:p>
            <w:pPr>
              <w:pStyle w:val="Compact"/>
              <w:jc w:val="left"/>
            </w:pPr>
            <w:r>
              <w:t xml:space="preserve">estudio original, juego de la confianza</w:t>
            </w:r>
          </w:p>
        </w:tc>
        <w:tc>
          <w:tcPr/>
          <w:p>
            <w:pPr>
              <w:pStyle w:val="Compact"/>
              <w:jc w:val="left"/>
            </w:pPr>
            <w:r>
              <w:t xml:space="preserve">La oxitocina aumenta la confianza</w:t>
            </w:r>
          </w:p>
        </w:tc>
      </w:tr>
      <w:tr>
        <w:tc>
          <w:tcPr/>
          <w:p>
            <w:pPr>
              <w:pStyle w:val="Compact"/>
              <w:jc w:val="left"/>
            </w:pPr>
            <w:r>
              <w:t xml:space="preserve">Nave 2015, PMID 26581735</w:t>
            </w:r>
          </w:p>
        </w:tc>
        <w:tc>
          <w:tcPr/>
          <w:p>
            <w:pPr>
              <w:pStyle w:val="Compact"/>
              <w:jc w:val="left"/>
            </w:pPr>
            <w:r>
              <w:t xml:space="preserve">revisión crítica</w:t>
            </w:r>
          </w:p>
        </w:tc>
        <w:tc>
          <w:tcPr/>
          <w:p>
            <w:pPr>
              <w:pStyle w:val="Compact"/>
              <w:jc w:val="left"/>
            </w:pPr>
            <w:r>
              <w:t xml:space="preserve">El efecto sobre la confianza no pudo repetirse de forma fiable</w:t>
            </w:r>
          </w:p>
        </w:tc>
      </w:tr>
      <w:tr>
        <w:tc>
          <w:tcPr/>
          <w:p>
            <w:pPr>
              <w:pStyle w:val="Compact"/>
              <w:jc w:val="left"/>
            </w:pPr>
            <w:r>
              <w:t xml:space="preserve">Lane 2015, PMID 26368396</w:t>
            </w:r>
          </w:p>
        </w:tc>
        <w:tc>
          <w:tcPr/>
          <w:p>
            <w:pPr>
              <w:pStyle w:val="Compact"/>
              <w:jc w:val="left"/>
            </w:pPr>
            <w:r>
              <w:t xml:space="preserve">dos estudios de replicación (95 y 61 personas)</w:t>
            </w:r>
          </w:p>
        </w:tc>
        <w:tc>
          <w:tcPr/>
          <w:p>
            <w:pPr>
              <w:pStyle w:val="Compact"/>
              <w:jc w:val="left"/>
            </w:pPr>
            <w:r>
              <w:t xml:space="preserve">gran efecto en otra prueba de confianza no confirmado</w:t>
            </w:r>
          </w:p>
        </w:tc>
      </w:tr>
      <w:tr>
        <w:tc>
          <w:tcPr/>
          <w:p>
            <w:pPr>
              <w:pStyle w:val="Compact"/>
              <w:jc w:val="left"/>
            </w:pPr>
            <w:r>
              <w:t xml:space="preserve">Walum 2016, PMID 26210057</w:t>
            </w:r>
          </w:p>
        </w:tc>
        <w:tc>
          <w:tcPr/>
          <w:p>
            <w:pPr>
              <w:pStyle w:val="Compact"/>
              <w:jc w:val="left"/>
            </w:pPr>
            <w:r>
              <w:t xml:space="preserve">análisis estadístico del campo</w:t>
            </w:r>
          </w:p>
        </w:tc>
        <w:tc>
          <w:tcPr/>
          <w:p>
            <w:pPr>
              <w:pStyle w:val="Compact"/>
              <w:jc w:val="left"/>
            </w:pPr>
            <w:r>
              <w:t xml:space="preserve">estudios por lo general demasiado pequeños; la mayoría de los hallazgos publicados probablemente no son efectos reales</w:t>
            </w:r>
          </w:p>
        </w:tc>
      </w:tr>
      <w:tr>
        <w:tc>
          <w:tcPr/>
          <w:p>
            <w:pPr>
              <w:pStyle w:val="Compact"/>
              <w:jc w:val="left"/>
            </w:pPr>
            <w:r>
              <w:t xml:space="preserve">Mierop 2020, PMID 32633663</w:t>
            </w:r>
          </w:p>
        </w:tc>
        <w:tc>
          <w:tcPr/>
          <w:p>
            <w:pPr>
              <w:pStyle w:val="Compact"/>
              <w:jc w:val="left"/>
            </w:pPr>
            <w:r>
              <w:t xml:space="preserve">revisión sistemática</w:t>
            </w:r>
          </w:p>
        </w:tc>
        <w:tc>
          <w:tcPr/>
          <w:p>
            <w:pPr>
              <w:pStyle w:val="Compact"/>
              <w:jc w:val="left"/>
            </w:pPr>
            <w:r>
              <w:t xml:space="preserve">intentos de replicación de interacciones mayoritariamente fallidos; potencia estadística críticamente baja</w:t>
            </w:r>
          </w:p>
        </w:tc>
      </w:tr>
      <w:tr>
        <w:tc>
          <w:tcPr/>
          <w:p>
            <w:pPr>
              <w:pStyle w:val="Compact"/>
              <w:jc w:val="left"/>
            </w:pPr>
            <w:r>
              <w:t xml:space="preserve">Declerck 2020, PMID 32514040</w:t>
            </w:r>
          </w:p>
        </w:tc>
        <w:tc>
          <w:tcPr/>
          <w:p>
            <w:pPr>
              <w:pStyle w:val="Compact"/>
              <w:jc w:val="left"/>
            </w:pPr>
            <w:r>
              <w:t xml:space="preserve">estudio de replicación prerregistrado</w:t>
            </w:r>
          </w:p>
        </w:tc>
        <w:tc>
          <w:tcPr/>
          <w:p>
            <w:pPr>
              <w:pStyle w:val="Compact"/>
              <w:jc w:val="left"/>
            </w:pPr>
            <w:r>
              <w:t xml:space="preserve">sin efecto sobre la confianza en la condición original</w:t>
            </w:r>
          </w:p>
        </w:tc>
      </w:tr>
      <w:tr>
        <w:tc>
          <w:tcPr/>
          <w:p>
            <w:pPr>
              <w:pStyle w:val="Compact"/>
              <w:jc w:val="left"/>
            </w:pPr>
            <w:r>
              <w:t xml:space="preserve">Vogt 2026, PMID 42561025</w:t>
            </w:r>
          </w:p>
        </w:tc>
        <w:tc>
          <w:tcPr/>
          <w:p>
            <w:pPr>
              <w:pStyle w:val="Compact"/>
              <w:jc w:val="left"/>
            </w:pPr>
            <w:r>
              <w:t xml:space="preserve">estudio prerregistrado, 359 hombres con baja confianza de base</w:t>
            </w:r>
          </w:p>
        </w:tc>
        <w:tc>
          <w:tcPr/>
          <w:p>
            <w:pPr>
              <w:pStyle w:val="Compact"/>
              <w:jc w:val="left"/>
            </w:pPr>
            <w:r>
              <w:t xml:space="preserve">confianza aumentada en torno a un 15 %</w:t>
            </w:r>
          </w:p>
        </w:tc>
      </w:tr>
    </w:tbl>
    <w:p>
      <w:pPr>
        <w:pStyle w:val="BodyText"/>
      </w:pPr>
      <w:r>
        <w:t xml:space="preserve">Una revisión de 2015 concluyó que el conjunto de los datos no demuestra que la confianza humana esté relacionada de forma fiable con la oxitocina o sea causada por ella (Nave 2015, PMID 26581735). Un análisis estadístico de todos los estudios sobre el espray nasal fue más allá: los estudios serían por lo general demasiado pequeños para encontrar efectos realistas, y con alta probabilidad la mayoría de los hallazgos publicados no representarían efectos reales (Walum 2016, PMID 26210057).</w:t>
      </w:r>
    </w:p>
    <w:p>
      <w:pPr>
        <w:pStyle w:val="BodyText"/>
      </w:pPr>
      <w:r>
        <w:t xml:space="preserve">La prueba de fuego más importante fue una gran replicación prerregistrada del estudio de la confianza, con una potencia estadística superior al 95 %. En la condición que correspondía al estudio original, la oxitocina no mostró ningún efecto. Un análisis posterior apuntó a un efecto solo en personas con baja confianza de base (Declerck 2020, PMID 32514040). Justamente esta hipótesis la examinó en 2026 otro estudio prerregistrado con 359 hombres con baja confianza de base, que halló un aumento de la confianza de aproximadamente un 15 % (Vogt 2026, PMID 42561025).</w:t>
      </w:r>
    </w:p>
    <w:p>
      <w:pPr>
        <w:pStyle w:val="BodyText"/>
      </w:pPr>
      <w:r>
        <w:rPr>
          <w:bCs/>
          <w:b/>
        </w:rPr>
        <w:t xml:space="preserve">Qué significa esto:</w:t>
      </w:r>
      <w:r>
        <w:t xml:space="preserve"> </w:t>
      </w:r>
      <w:r>
        <w:t xml:space="preserve">el efecto original y amplio de que «la oxitocina hace más confiado» no se ha confirmado. Posiblemente exista un efecto menor en un subgrupo concreto y bajo determinadas condiciones. Eso es científicamente interesante, pero está lejos de un beneficio práctico. Estas experiencias han cambiado el campo: hoy los estudios se registran previamente con más frecuencia, son más grandes y comunican también resultados negativos. Una plataforma en línea presentada en 2026 pretende evaluar de forma continua la evidencia disponible (Iversen 2026, PMID 41389446).</w:t>
      </w:r>
    </w:p>
    <w:bookmarkEnd w:id="821"/>
    <w:bookmarkStart w:id="822" w:name="autismo"/>
    <w:p>
      <w:pPr>
        <w:pStyle w:val="Heading4"/>
      </w:pPr>
      <w:r>
        <w:t xml:space="preserve">Autismo</w:t>
      </w:r>
    </w:p>
    <w:p>
      <w:pPr>
        <w:pStyle w:val="FirstParagraph"/>
      </w:pPr>
      <w:r>
        <w:t xml:space="preserve">Los trastornos del espectro autista se caracterizan por dificultades en la comunicación social y por conductas restringidas y repetitivas. No existen medicamentos que modifiquen estos rasgos centrales. Por eso, la oxitocina se consideró durante mucho tiempo una gran esperanza, y en algunos países ya se recetaba a niños con autismo fuera de los estudios (Sikich 2021, PMID 34644471).</w:t>
      </w:r>
    </w:p>
    <w:p>
      <w:pPr>
        <w:pStyle w:val="BodyText"/>
      </w:pPr>
      <w:r>
        <w:rPr>
          <w:bCs/>
          <w:b/>
        </w:rPr>
        <w:t xml:space="preserve">Primeros estudios.</w:t>
      </w:r>
      <w:r>
        <w:t xml:space="preserve"> </w:t>
      </w:r>
      <w:r>
        <w:t xml:space="preserve">Una revisión sistemática de 2014 encontró siete estudios aleatorizados con un total de 101 personas con autismo, casi todas varones. Los estudios eran pequeños (mediana de 15 participantes) y tenían un riesgo de sesgo medio a alto. Casi todos comunicaron al menos un resultado positivo, sobre todo en la mirada o el reconocimiento de emociones (Preti 2014, PMID 24679173).</w:t>
      </w:r>
    </w:p>
    <w:p>
      <w:pPr>
        <w:pStyle w:val="BodyText"/>
      </w:pPr>
      <w:r>
        <w:rPr>
          <w:bCs/>
          <w:b/>
        </w:rPr>
        <w:t xml:space="preserve">Estudios de tratamiento de varias semanas.</w:t>
      </w:r>
      <w:r>
        <w:t xml:space="preserve"> </w:t>
      </w:r>
      <w:r>
        <w:t xml:space="preserve">Después siguieron estudios en los que niños y adultos recibieron oxitocina durante varias semanas: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Anagnostou 2012, PMID 23216716</w:t>
            </w:r>
          </w:p>
        </w:tc>
        <w:tc>
          <w:tcPr/>
          <w:p>
            <w:pPr>
              <w:pStyle w:val="Compact"/>
              <w:jc w:val="left"/>
            </w:pPr>
            <w:r>
              <w:t xml:space="preserve">19 adultos, ECA</w:t>
            </w:r>
          </w:p>
        </w:tc>
        <w:tc>
          <w:tcPr/>
          <w:p>
            <w:pPr>
              <w:pStyle w:val="Compact"/>
              <w:jc w:val="left"/>
            </w:pPr>
            <w:r>
              <w:t xml:space="preserve">6 semanas</w:t>
            </w:r>
          </w:p>
        </w:tc>
        <w:tc>
          <w:tcPr/>
          <w:p>
            <w:pPr>
              <w:pStyle w:val="Compact"/>
              <w:jc w:val="left"/>
            </w:pPr>
            <w:r>
              <w:t xml:space="preserve">objetivos principales no alcanzados; mejora en objetivos secundarios</w:t>
            </w:r>
          </w:p>
        </w:tc>
      </w:tr>
      <w:tr>
        <w:tc>
          <w:tcPr/>
          <w:p>
            <w:pPr>
              <w:pStyle w:val="Compact"/>
              <w:jc w:val="left"/>
            </w:pPr>
            <w:r>
              <w:t xml:space="preserve">Guastella 2015, PMID 25087908</w:t>
            </w:r>
          </w:p>
        </w:tc>
        <w:tc>
          <w:tcPr/>
          <w:p>
            <w:pPr>
              <w:pStyle w:val="Compact"/>
              <w:jc w:val="left"/>
            </w:pPr>
            <w:r>
              <w:t xml:space="preserve">50 adolescentes varones (12–18 años), ECA</w:t>
            </w:r>
          </w:p>
        </w:tc>
        <w:tc>
          <w:tcPr/>
          <w:p>
            <w:pPr>
              <w:pStyle w:val="Compact"/>
              <w:jc w:val="left"/>
            </w:pPr>
            <w:r>
              <w:t xml:space="preserve">8 semanas</w:t>
            </w:r>
          </w:p>
        </w:tc>
        <w:tc>
          <w:tcPr/>
          <w:p>
            <w:pPr>
              <w:pStyle w:val="Compact"/>
              <w:jc w:val="left"/>
            </w:pPr>
            <w:r>
              <w:t xml:space="preserve">sin beneficio en objetivos principales ni secundarios</w:t>
            </w:r>
          </w:p>
        </w:tc>
      </w:tr>
      <w:tr>
        <w:tc>
          <w:tcPr/>
          <w:p>
            <w:pPr>
              <w:pStyle w:val="Compact"/>
              <w:jc w:val="left"/>
            </w:pPr>
            <w:r>
              <w:t xml:space="preserve">Yatawara 2016, PMID 26503762</w:t>
            </w:r>
          </w:p>
        </w:tc>
        <w:tc>
          <w:tcPr/>
          <w:p>
            <w:pPr>
              <w:pStyle w:val="Compact"/>
              <w:jc w:val="left"/>
            </w:pPr>
            <w:r>
              <w:t xml:space="preserve">31 niños pequeños, estudio cruzado frente a placebo</w:t>
            </w:r>
          </w:p>
        </w:tc>
        <w:tc>
          <w:tcPr/>
          <w:p>
            <w:pPr>
              <w:pStyle w:val="Compact"/>
              <w:jc w:val="left"/>
            </w:pPr>
            <w:r>
              <w:t xml:space="preserve">5 semanas cada fase</w:t>
            </w:r>
          </w:p>
        </w:tc>
        <w:tc>
          <w:tcPr/>
          <w:p>
            <w:pPr>
              <w:pStyle w:val="Compact"/>
              <w:jc w:val="left"/>
            </w:pPr>
            <w:r>
              <w:t xml:space="preserve">capacidad de respuesta social mejorada según los padres</w:t>
            </w:r>
          </w:p>
        </w:tc>
      </w:tr>
      <w:tr>
        <w:tc>
          <w:tcPr/>
          <w:p>
            <w:pPr>
              <w:pStyle w:val="Compact"/>
              <w:jc w:val="left"/>
            </w:pPr>
            <w:r>
              <w:t xml:space="preserve">Parker 2017, PMID 28696286</w:t>
            </w:r>
          </w:p>
        </w:tc>
        <w:tc>
          <w:tcPr/>
          <w:p>
            <w:pPr>
              <w:pStyle w:val="Compact"/>
              <w:jc w:val="left"/>
            </w:pPr>
            <w:r>
              <w:t xml:space="preserve">32 niños (6–12 años), ECA</w:t>
            </w:r>
          </w:p>
        </w:tc>
        <w:tc>
          <w:tcPr/>
          <w:p>
            <w:pPr>
              <w:pStyle w:val="Compact"/>
              <w:jc w:val="left"/>
            </w:pPr>
            <w:r>
              <w:t xml:space="preserve">4 semanas</w:t>
            </w:r>
          </w:p>
        </w:tc>
        <w:tc>
          <w:tcPr/>
          <w:p>
            <w:pPr>
              <w:pStyle w:val="Compact"/>
              <w:jc w:val="left"/>
            </w:pPr>
            <w:r>
              <w:t xml:space="preserve">habilidades sociales mejoradas al considerar los valores basales en sangre; una concentración basal baja predijo la respuesta</w:t>
            </w:r>
          </w:p>
        </w:tc>
      </w:tr>
      <w:tr>
        <w:tc>
          <w:tcPr/>
          <w:p>
            <w:pPr>
              <w:pStyle w:val="Compact"/>
              <w:jc w:val="left"/>
            </w:pPr>
            <w:r>
              <w:t xml:space="preserve">SOARS-B (Sikich 2021), PMID 34644471</w:t>
            </w:r>
          </w:p>
        </w:tc>
        <w:tc>
          <w:tcPr/>
          <w:p>
            <w:pPr>
              <w:pStyle w:val="Compact"/>
              <w:jc w:val="left"/>
            </w:pPr>
            <w:r>
              <w:t xml:space="preserve">290 niños y adolescentes (3–17 años), ECA</w:t>
            </w:r>
          </w:p>
        </w:tc>
        <w:tc>
          <w:tcPr/>
          <w:p>
            <w:pPr>
              <w:pStyle w:val="Compact"/>
              <w:jc w:val="left"/>
            </w:pPr>
            <w:r>
              <w:t xml:space="preserve">24 semanas</w:t>
            </w:r>
          </w:p>
        </w:tc>
        <w:tc>
          <w:tcPr/>
          <w:p>
            <w:pPr>
              <w:pStyle w:val="Compact"/>
              <w:jc w:val="left"/>
            </w:pPr>
            <w:r>
              <w:t xml:space="preserve">sin diferencia: −3,7 frente a −3,5 puntos en retraimiento social</w:t>
            </w:r>
          </w:p>
        </w:tc>
      </w:tr>
      <w:tr>
        <w:tc>
          <w:tcPr/>
          <w:p>
            <w:pPr>
              <w:pStyle w:val="Compact"/>
              <w:jc w:val="left"/>
            </w:pPr>
            <w:r>
              <w:t xml:space="preserve">Guastella 2023, PMID 36302965</w:t>
            </w:r>
          </w:p>
        </w:tc>
        <w:tc>
          <w:tcPr/>
          <w:p>
            <w:pPr>
              <w:pStyle w:val="Compact"/>
              <w:jc w:val="left"/>
            </w:pPr>
            <w:r>
              <w:t xml:space="preserve">87 niños (3–12 años), ECA tras fase previa con placebo</w:t>
            </w:r>
          </w:p>
        </w:tc>
        <w:tc>
          <w:tcPr/>
          <w:p>
            <w:pPr>
              <w:pStyle w:val="Compact"/>
              <w:jc w:val="left"/>
            </w:pPr>
            <w:r>
              <w:t xml:space="preserve">12 semanas</w:t>
            </w:r>
          </w:p>
        </w:tc>
        <w:tc>
          <w:tcPr/>
          <w:p>
            <w:pPr>
              <w:pStyle w:val="Compact"/>
              <w:jc w:val="left"/>
            </w:pPr>
            <w:r>
              <w:t xml:space="preserve">sin efecto en conjunto; indicio de efecto en niños de 3 a 5 años</w:t>
            </w:r>
          </w:p>
        </w:tc>
      </w:tr>
    </w:tbl>
    <w:p>
      <w:pPr>
        <w:pStyle w:val="BodyText"/>
      </w:pPr>
      <w:r>
        <w:rPr>
          <w:bCs/>
          <w:b/>
        </w:rPr>
        <w:t xml:space="preserve">El estudio SOARS-B.</w:t>
      </w:r>
      <w:r>
        <w:t xml:space="preserve"> </w:t>
      </w:r>
      <w:r>
        <w:t xml:space="preserve">El estudio con diferencia más grande y concluyente es SOARS-B (Study of Oxytocin in Autism to Improve Reciprocal Social Behaviors), financiado por las autoridades sanitarias de EE. UU. y publicado en 2021 en el New England Journal of Medicine (Sikich 2021, PMID 34644471; NCT01944046). 290 niños y adolescentes de entre 3 y 17 años recibieron durante 24 semanas oxitocina diaria o un espray nasal de placebo. La variable principal fue una escala de retraimiento social (ABC-mSW, de 0 a 39 puntos).</w:t>
      </w:r>
    </w:p>
    <w:p>
      <w:pPr>
        <w:pStyle w:val="BodyText"/>
      </w:pPr>
      <w:r>
        <w:t xml:space="preserve">El resultado fue claramente negativo: el valor disminuyó 3,7 puntos con oxitocina y 3,5 puntos con placebo. La diferencia de 0,2 puntos no fue relevante ni estadística ni clínicamente. Tampoco hubo diferencias en los objetivos secundarios: otras dos medidas de función social y un test de inteligencia. Los efectos adversos fueron igual de frecuentes en ambos grupos.</w:t>
      </w:r>
    </w:p>
    <w:p>
      <w:pPr>
        <w:pStyle w:val="BodyText"/>
      </w:pPr>
      <w:r>
        <w:rPr>
          <w:bCs/>
          <w:b/>
        </w:rPr>
        <w:t xml:space="preserve">El estudio australiano en niños pequeños.</w:t>
      </w:r>
      <w:r>
        <w:t xml:space="preserve"> </w:t>
      </w:r>
      <w:r>
        <w:t xml:space="preserve">El grupo de Adam Guastella había encontrado antes un resultado positivo en niños pequeños (Yatawara 2016, PMID 26503762). Un estudio posterior más grande con 87 niños antepuso una fase previa de tres semanas con placebo para filtrar el fuerte efecto placebo. En conjunto, la oxitocina no mostró ningún efecto sobre la capacidad de respuesta social. Solo en el subgrupo de 3 a 5 años se apuntó una mejora según la valoración de los padres; la valoración médica y todas las demás medidas no mostraron beneficio (Guastella 2023, PMID 36302965). Llama la atención que, en el estudio de adolescentes de 2015, los padres que creían que su hijo recibía oxitocina comunicaron mejoras mayores, con independencia de lo que el hijo recibiera realmente (Guastella 2015, PMID 25087908).</w:t>
      </w:r>
    </w:p>
    <w:p>
      <w:pPr>
        <w:pStyle w:val="BodyText"/>
      </w:pPr>
      <w:r>
        <w:rPr>
          <w:bCs/>
          <w:b/>
        </w:rPr>
        <w:t xml:space="preserve">Efectos biológicos sin beneficio clínico.</w:t>
      </w:r>
      <w:r>
        <w:t xml:space="preserve"> </w:t>
      </w:r>
      <w:r>
        <w:t xml:space="preserve">Un estudio con 79 niños encontró, tras cuatro semanas de oxitocina, concentraciones más altas de oxitocina en saliva y cambios en el marcaje epigenético del gen del receptor (Moerkerke 2024, PMID 38167302). En cambio, en el escáner cerebral, el mismo grupo no mostró efectos significativos del tratamiento sobre el procesamiento de rostros (Moerkerke 2024, PMID 39709442). Estas señales biológicas son científicamente interesantes, pero no demuestran una mejora en la vida diaria.</w:t>
      </w:r>
    </w:p>
    <w:p>
      <w:pPr>
        <w:pStyle w:val="BodyText"/>
      </w:pPr>
      <w:r>
        <w:rPr>
          <w:bCs/>
          <w:b/>
        </w:rPr>
        <w:t xml:space="preserve">Metaanálisis.</w:t>
      </w:r>
      <w:r>
        <w:t xml:space="preserve"> </w:t>
      </w:r>
      <w:r>
        <w:t xml:space="preserve">Los resúmenes llegan a resultados distintos según los estudios que incluyen:</w:t>
      </w:r>
    </w:p>
    <w:p>
      <w:pPr>
        <w:numPr>
          <w:ilvl w:val="0"/>
          <w:numId w:val="1277"/>
        </w:numPr>
        <w:pStyle w:val="Compact"/>
      </w:pPr>
      <w:r>
        <w:t xml:space="preserve">Un metaanálisis de 17 estudios aleatorizados con 466 personas con trastornos del desarrollo no encontró efecto sobre el reconocimiento de emociones y sí un pequeño efecto sobre la comprensión de los pensamientos ajenos (Keech 2018, PMID 29032324).</w:t>
      </w:r>
    </w:p>
    <w:p>
      <w:pPr>
        <w:numPr>
          <w:ilvl w:val="0"/>
          <w:numId w:val="1277"/>
        </w:numPr>
        <w:pStyle w:val="Compact"/>
      </w:pPr>
      <w:r>
        <w:t xml:space="preserve">Un metaanálisis de 28 estudios con 726 personas con autismo, incluidos estudios no controlados, llegó a un juicio más positivo sobre la función social (Huang 2021, PMID 33400920). La inclusión de estudios no controlados hace que este resultado sea vulnerable a sesgos.</w:t>
      </w:r>
    </w:p>
    <w:p>
      <w:pPr>
        <w:numPr>
          <w:ilvl w:val="0"/>
          <w:numId w:val="1277"/>
        </w:numPr>
        <w:pStyle w:val="Compact"/>
      </w:pPr>
      <w:r>
        <w:t xml:space="preserve">El mayor metaanálisis hasta la fecha sobre todas las enfermedades psíquicas (42 estudios doble ciego, 1922 personas) no encontró en conjunto ningún efecto significativo. Tras excluir dos valores atípicos, el tamaño del efecto se situó cerca de cero (Bonnieux 2026, PMID 42134427).</w:t>
      </w:r>
    </w:p>
    <w:p>
      <w:pPr>
        <w:pStyle w:val="FirstParagraph"/>
      </w:pPr>
      <w:r>
        <w:rPr>
          <w:bCs/>
          <w:b/>
        </w:rPr>
        <w:t xml:space="preserve">Balance provisional sobre el autismo:</w:t>
      </w:r>
      <w:r>
        <w:t xml:space="preserve"> </w:t>
      </w:r>
      <w:r>
        <w:t xml:space="preserve">tras el gran estudio SOARS-B y el estudio australiano posterior, no hay ninguna prueba sólida de que el espray nasal de oxitocina mejore en la vida diaria la conducta social de niños y adolescentes con autismo. Los investigadores debaten si determinados subgrupos –niños muy pequeños, niños con concentraciones bajas de oxitocina– podrían beneficiarse, y proponen un enfoque personalizado (Boulton 2026, PMID 42144048). Hasta que esto se confirme en estudios propios, sigue siendo una hipótesis.</w:t>
      </w:r>
    </w:p>
    <w:bookmarkEnd w:id="822"/>
    <w:bookmarkStart w:id="823" w:name="otras-enfermedades-psíquicas"/>
    <w:p>
      <w:pPr>
        <w:pStyle w:val="Heading4"/>
      </w:pPr>
      <w:r>
        <w:t xml:space="preserve">Otras enfermedades psíquicas</w:t>
      </w:r>
    </w:p>
    <w:p>
      <w:pPr>
        <w:pStyle w:val="FirstParagraph"/>
      </w:pPr>
      <w:r>
        <w:rPr>
          <w:bCs/>
          <w:b/>
        </w:rPr>
        <w:t xml:space="preserve">Esquizofrenia.</w:t>
      </w:r>
      <w:r>
        <w:t xml:space="preserve"> </w:t>
      </w:r>
      <w:r>
        <w:t xml:space="preserve">En un estudio de doce semanas con 68 personas, la oxitocina no mejoró la cognición social (Jarskog 2017, PMID 28094169). Un metaanálisis de nueve estudios no encontró un efecto consistente sobre los llamados síntomas negativos, como la falta de impulso y el retraimiento social (Sabe 2021, PMID 33890987). El gran metaanálisis de 2026 vio en este grupo un efecto pequeño, apenas significativo (tamaño del efecto 0,12), y constató que los estudios con más mujeres tendían a mostrar efectos mayores (Bonnieux 2026, PMID 42134427).</w:t>
      </w:r>
    </w:p>
    <w:p>
      <w:pPr>
        <w:pStyle w:val="BodyText"/>
      </w:pPr>
      <w:r>
        <w:rPr>
          <w:bCs/>
          <w:b/>
        </w:rPr>
        <w:t xml:space="preserve">Alcohol.</w:t>
      </w:r>
      <w:r>
        <w:t xml:space="preserve"> </w:t>
      </w:r>
      <w:r>
        <w:t xml:space="preserve">En un estudio noruego con 40 personas en abstinencia alcohólica, la oxitocina no redujo de forma significativa la necesidad de sedantes (Melby 2019, PMID 30784955). Un metaanálisis de seis estudios aleatorizados sobre la dependencia del alcohol no encontró efecto; un análisis bayesiano incluso apoyaba moderadamente la ausencia de efecto (Santos 2026, PMID 42335670).</w:t>
      </w:r>
    </w:p>
    <w:p>
      <w:pPr>
        <w:pStyle w:val="BodyText"/>
      </w:pPr>
      <w:r>
        <w:rPr>
          <w:bCs/>
          <w:b/>
        </w:rPr>
        <w:t xml:space="preserve">Combinación con psicoterapia.</w:t>
      </w:r>
      <w:r>
        <w:t xml:space="preserve"> </w:t>
      </w:r>
      <w:r>
        <w:t xml:space="preserve">Una idea más reciente es administrar la oxitocina no sola, sino como potenciadora de una psicoterapia. Una revisión de 13 estudios con 518 participantes encontró indicios de menos síntomas depresivos y una mejor relación terapéutica, pero ningún efecto sobre los síntomas psiquiátricos en conjunto ni sobre la función social; solo pudieron combinarse cuatro estudios (Pérez-Arqueros 2025, PMID 39366103).</w:t>
      </w:r>
    </w:p>
    <w:p>
      <w:pPr>
        <w:pStyle w:val="BodyText"/>
      </w:pPr>
      <w:r>
        <w:rPr>
          <w:bCs/>
          <w:b/>
        </w:rPr>
        <w:t xml:space="preserve">Después del parto.</w:t>
      </w:r>
      <w:r>
        <w:t xml:space="preserve"> </w:t>
      </w:r>
      <w:r>
        <w:t xml:space="preserve">En 45 madres con depresión posparto (en parte subumbral), una dosis única aumentó el estado de ánimo positivo y la atención positiva hacia el bebé, pero no la sensibilidad en el trato (Riem 2025, PMID 40614394).</w:t>
      </w:r>
    </w:p>
    <w:bookmarkEnd w:id="823"/>
    <w:bookmarkStart w:id="824" w:name="metabolismo-peso-y-dolor"/>
    <w:p>
      <w:pPr>
        <w:pStyle w:val="Heading4"/>
      </w:pPr>
      <w:r>
        <w:t xml:space="preserve">Metabolismo, peso y dolor</w:t>
      </w:r>
    </w:p>
    <w:p>
      <w:pPr>
        <w:pStyle w:val="FirstParagraph"/>
      </w:pPr>
      <w:r>
        <w:rPr>
          <w:bCs/>
          <w:b/>
        </w:rPr>
        <w:t xml:space="preserve">Obesidad.</w:t>
      </w:r>
      <w:r>
        <w:t xml:space="preserve"> </w:t>
      </w:r>
      <w:r>
        <w:t xml:space="preserve">Como la oxitocina reduce en animales la ingesta de alimentos y aumenta el gasto energético, se evaluó como medicamento para adelgazar. Un metaanálisis encontró que una dosis única reducía la cantidad ingerida en una comida de prueba en personas sin enfermedad psíquica (Chen 2021, PMID 34600216). La prueba decisiva fue un estudio con 61 adultos con obesidad que se aplicaron durante ocho semanas, cuatro veces al día, oxitocina o placebo. El peso no cambió: +0,20 kg con oxitocina, +0,26 kg con placebo. Tampoco cambiaron la grasa corporal, la grasa hepática ni el gasto energético; solo en una comida de prueba los participantes comieron menos (Plessow 2024, PMID 38815173). Un pequeño estudio piloto en 21 personas mayores con sobrepeso y pérdida de masa muscular encontró un aumento de la masa muscular de 2,25 kg (Espinoza 2021, PMID 34029521); esto debe confirmarse en estudios más grandes.</w:t>
      </w:r>
    </w:p>
    <w:p>
      <w:pPr>
        <w:pStyle w:val="BodyText"/>
      </w:pPr>
      <w:r>
        <w:rPr>
          <w:bCs/>
          <w:b/>
        </w:rPr>
        <w:t xml:space="preserve">Síndrome de Prader-Willi.</w:t>
      </w:r>
      <w:r>
        <w:t xml:space="preserve"> </w:t>
      </w:r>
      <w:r>
        <w:t xml:space="preserve">En esta enfermedad genética rara, con hambre insaciable y oxitocina reducida en el hipotálamo, las expectativas eran especialmente altas. Un metaanálisis no encontró ningún efecto sobre la hiperfagia ni el peso (Shalma 2023, PMID 36774885). En un estudio con 23 niños, la hiperfagia y las conductas repetitivas mejoraron incluso más con placebo (Hollander 2021, PMID 33190843).</w:t>
      </w:r>
    </w:p>
    <w:p>
      <w:pPr>
        <w:pStyle w:val="BodyText"/>
      </w:pPr>
      <w:r>
        <w:rPr>
          <w:bCs/>
          <w:b/>
        </w:rPr>
        <w:t xml:space="preserve">Dolor.</w:t>
      </w:r>
      <w:r>
        <w:t xml:space="preserve"> </w:t>
      </w:r>
      <w:r>
        <w:t xml:space="preserve">Un metaanálisis de 15 estudios no encontró ningún efecto significativo sobre la intensidad del dolor ni sobre lo desagradable del dolor (Lopes 2023, PMID 36463692).</w:t>
      </w:r>
    </w:p>
    <w:bookmarkEnd w:id="824"/>
    <w:bookmarkStart w:id="825" w:name="sexualidad"/>
    <w:p>
      <w:pPr>
        <w:pStyle w:val="Heading4"/>
      </w:pPr>
      <w:r>
        <w:t xml:space="preserve">Sexualidad</w:t>
      </w:r>
    </w:p>
    <w:p>
      <w:pPr>
        <w:pStyle w:val="FirstParagraph"/>
      </w:pPr>
      <w:r>
        <w:t xml:space="preserve">La oxitocina se libera durante el orgasmo y en internet se promociona como medio para una vida amorosa más intensa. En un estudio de laboratorio con diez hombres, un espray nasal aumentó claramente la concentración de oxitocina en sangre, pero no modificó, según los cuestionarios, el deseo, la excitación, el orgasmo ni la fase de recuperación (Burri 2008, PMID 18375074). Un metaanálisis sobre medicamentos contra la disfunción sexual femenina, que incluía también estudios con oxitocina, encontró que alrededor de dos tercios de la mejoría se producían también con placebo (Weinberger 2018, PMID 29995725). No hay pruebas sólidas de un efecto sobre la sexualidad.</w:t>
      </w:r>
    </w:p>
    <w:bookmarkEnd w:id="825"/>
    <w:bookmarkStart w:id="826" w:name="el-déficit-de-oxitocina-como-enfermedad"/>
    <w:p>
      <w:pPr>
        <w:pStyle w:val="Heading4"/>
      </w:pPr>
      <w:r>
        <w:t xml:space="preserve">El déficit de oxitocina como enfermedad</w:t>
      </w:r>
    </w:p>
    <w:p>
      <w:pPr>
        <w:pStyle w:val="FirstParagraph"/>
      </w:pPr>
      <w:r>
        <w:t xml:space="preserve">Un campo nuevo y médicamente plausible es el déficit real de oxitocina. Las personas cuyo hipotálamo o hipófisis está dañado, por ejemplo por un tumor o una operación, presentan a menudo un déficit de vasopresina (antes llamado diabetes insípida central). Un estudio suizo utilizó la droga MDMA, que en personas sanas libera mucha oxitocina, como prueba de provocación. En 15 personas sanas, la oxitocina aumentó mucho; en 15 afectados, apenas; el área bajo la curva fue un 82 % mayor en las personas sanas, y los afectados apenas notaron los típicos efectos sociales y ansiolíticos (Atila 2023, PMID 37192642). Esto indica que muchas de estas personas presentan también un déficit de oxitocina. Un estudio en curso examina si una sustitución mediante espray nasal alivia sus molestias psíquicas (NCT06036004). También la kisspeptina se está estudiando como posible prueba para el déficit de oxitocina (Galbiati 2025, PMID 39965102; capítulo 2E04).</w:t>
      </w:r>
    </w:p>
    <w:bookmarkEnd w:id="826"/>
    <w:bookmarkEnd w:id="827"/>
    <w:bookmarkStart w:id="828" w:name="estudios-en-animales-y-de-laboratorio-50"/>
    <w:p>
      <w:pPr>
        <w:pStyle w:val="Heading3"/>
      </w:pPr>
      <w:r>
        <w:t xml:space="preserve">Estudios en animales y de laboratorio</w:t>
      </w:r>
    </w:p>
    <w:p>
      <w:pPr>
        <w:pStyle w:val="FirstParagraph"/>
      </w:pPr>
      <w:r>
        <w:t xml:space="preserve">El entusiasmo por la oxitocina se basa en hallazgos convincentes en animales: en los topillos de las praderas, el sistema de la oxitocina es necesario para el vínculo de pareja, y en roedores y ovejas, para la conducta materna. En ratones de un modelo de autismo, una sustancia que estimula el sistema de la oxitocina mejoró medidas de conducta social (Minakova 2019, PMID 30629642). En macacos rhesus, la oxitocina marcada llegó por vía nasal a determinadas regiones cerebrales (Lee 2020, PMID 32494001).</w:t>
      </w:r>
    </w:p>
    <w:p>
      <w:pPr>
        <w:pStyle w:val="BodyText"/>
      </w:pPr>
      <w:r>
        <w:t xml:space="preserve">Sin embargo, estos hallazgos solo pueden trasladarse de forma limitada: la distribución de los receptores de oxitocina en el cerebro difiere mucho entre especies, incluso entre especies de topillos estrechamente emparentadas. Muchos experimentos con animales administraron la oxitocina directamente en el cerebro, algo que no es posible en humanos.</w:t>
      </w:r>
    </w:p>
    <w:bookmarkEnd w:id="828"/>
    <w:bookmarkStart w:id="832" w:name="riesgos-y-efectos-adversos-50"/>
    <w:p>
      <w:pPr>
        <w:pStyle w:val="Heading3"/>
      </w:pPr>
      <w:r>
        <w:t xml:space="preserve">Riesgos y efectos adversos</w:t>
      </w:r>
    </w:p>
    <w:bookmarkStart w:id="829" w:name="demostrados-espray-nasal-en-estudios"/>
    <w:p>
      <w:pPr>
        <w:pStyle w:val="Heading4"/>
      </w:pPr>
      <w:r>
        <w:t xml:space="preserve">Demostrados: espray nasal en estudios</w:t>
      </w:r>
    </w:p>
    <w:p>
      <w:pPr>
        <w:pStyle w:val="FirstParagraph"/>
      </w:pPr>
      <w:r>
        <w:t xml:space="preserve">En los estudios controlados, el espray nasal de oxitocina se considera bien tolerado. Una revisión sistemática de 38 estudios aleatorizados con 1529 participantes no encontró, con el uso a corto plazo, efectos adversos más frecuentes que con placebo. Los participantes tampoco pudieron reconocer si habían recibido oxitocina o placebo (MacDonald 2011, PMID 21429671). En SOARS-B, los efectos adversos fueron igual de frecuentes en ambos grupos a lo largo de 24 semanas (Sikich 2021, PMID 34644471). En 95 hombres mayores no se produjeron cambios en la presión arterial ni en los valores de orina o sangre a lo largo de cuatro semanas (Rung 2021, PMID 33982141). En estudios con niños se comunicaron sed, aumento de la micción y estreñimiento (Yatawara 2016, PMID 26503762).</w:t>
      </w:r>
    </w:p>
    <w:bookmarkEnd w:id="829"/>
    <w:bookmarkStart w:id="830" w:name="posibles-y-a-tener-en-cuenta"/>
    <w:p>
      <w:pPr>
        <w:pStyle w:val="Heading4"/>
      </w:pPr>
      <w:r>
        <w:t xml:space="preserve">Posibles y a tener en cuenta</w:t>
      </w:r>
    </w:p>
    <w:p>
      <w:pPr>
        <w:numPr>
          <w:ilvl w:val="0"/>
          <w:numId w:val="1278"/>
        </w:numPr>
        <w:pStyle w:val="Compact"/>
      </w:pPr>
      <w:r>
        <w:rPr>
          <w:bCs/>
          <w:b/>
        </w:rPr>
        <w:t xml:space="preserve">Equilibrio hídrico:</w:t>
      </w:r>
      <w:r>
        <w:t xml:space="preserve"> </w:t>
      </w:r>
      <w:r>
        <w:t xml:space="preserve">la oxitocina se parece a la vasopresina y, en dosis altas, puede retener agua en el organismo. En obstetricia, la intoxicación hídrica con déficit de sodio es una complicación conocida y rara de las infusiones en dosis altas. Con el espray nasal se ha descrito un caso de aumento de la presión intracraneal con una ingesta de líquidos simultáneamente muy alta (Mayer-Hubner 1996, PMID 8596357).</w:t>
      </w:r>
    </w:p>
    <w:p>
      <w:pPr>
        <w:numPr>
          <w:ilvl w:val="0"/>
          <w:numId w:val="1278"/>
        </w:numPr>
        <w:pStyle w:val="Compact"/>
      </w:pPr>
      <w:r>
        <w:rPr>
          <w:bCs/>
          <w:b/>
        </w:rPr>
        <w:t xml:space="preserve">Circulación:</w:t>
      </w:r>
      <w:r>
        <w:t xml:space="preserve"> </w:t>
      </w:r>
      <w:r>
        <w:t xml:space="preserve">en doce hombres sanos, un espray nasal aumentó la actividad de los nervios que contraen los vasos sanguíneos y elevó ligeramente la presión diastólica (Meusel 2021, PMID 33296278).</w:t>
      </w:r>
    </w:p>
    <w:p>
      <w:pPr>
        <w:numPr>
          <w:ilvl w:val="0"/>
          <w:numId w:val="1278"/>
        </w:numPr>
        <w:pStyle w:val="Compact"/>
      </w:pPr>
      <w:r>
        <w:rPr>
          <w:bCs/>
          <w:b/>
        </w:rPr>
        <w:t xml:space="preserve">Embarazo:</w:t>
      </w:r>
      <w:r>
        <w:t xml:space="preserve"> </w:t>
      </w:r>
      <w:r>
        <w:t xml:space="preserve">como la oxitocina desencadena contracciones, su uso durante el embarazo fuera de control médico es peligroso.</w:t>
      </w:r>
    </w:p>
    <w:p>
      <w:pPr>
        <w:numPr>
          <w:ilvl w:val="0"/>
          <w:numId w:val="1278"/>
        </w:numPr>
        <w:pStyle w:val="Compact"/>
      </w:pPr>
      <w:r>
        <w:rPr>
          <w:bCs/>
          <w:b/>
        </w:rPr>
        <w:t xml:space="preserve">Uso prolongado:</w:t>
      </w:r>
      <w:r>
        <w:t xml:space="preserve"> </w:t>
      </w:r>
      <w:r>
        <w:t xml:space="preserve">faltan datos de más de seis meses, sobre todo en niños.</w:t>
      </w:r>
    </w:p>
    <w:p>
      <w:pPr>
        <w:numPr>
          <w:ilvl w:val="0"/>
          <w:numId w:val="1278"/>
        </w:numPr>
        <w:pStyle w:val="Compact"/>
      </w:pPr>
      <w:r>
        <w:rPr>
          <w:bCs/>
          <w:b/>
        </w:rPr>
        <w:t xml:space="preserve">Efectos sociales:</w:t>
      </w:r>
      <w:r>
        <w:t xml:space="preserve"> </w:t>
      </w:r>
      <w:r>
        <w:t xml:space="preserve">algunos estudios de laboratorio comunicaron que la oxitocina, en determinadas condiciones, también puede reforzar la envidia, la desconfianza hacia los extraños o la preferencia por el propio grupo. Estos hallazgos son tan inseguros como los positivos.</w:t>
      </w:r>
    </w:p>
    <w:bookmarkEnd w:id="830"/>
    <w:bookmarkStart w:id="831" w:name="mercado-gris-3"/>
    <w:p>
      <w:pPr>
        <w:pStyle w:val="Heading4"/>
      </w:pPr>
      <w:r>
        <w:t xml:space="preserve">Mercado gris</w:t>
      </w:r>
    </w:p>
    <w:p>
      <w:pPr>
        <w:pStyle w:val="FirstParagraph"/>
      </w:pPr>
      <w:r>
        <w:t xml:space="preserve">Los espráis nasales de oxitocina se venden en internet como «espray del amor» o «espray de la confianza». El contenido y la concentración de estos productos no están evaluados de forma independiente. Para ninguno de ellos hay pruebas de eficacia.</w:t>
      </w:r>
    </w:p>
    <w:bookmarkEnd w:id="831"/>
    <w:bookmarkEnd w:id="832"/>
    <w:bookmarkStart w:id="833" w:name="situación-legal-50"/>
    <w:p>
      <w:pPr>
        <w:pStyle w:val="Heading3"/>
      </w:pPr>
      <w:r>
        <w:t xml:space="preserve">Situación legal</w:t>
      </w:r>
    </w:p>
    <w:p>
      <w:pPr>
        <w:pStyle w:val="FirstParagraph"/>
      </w:pPr>
      <w:r>
        <w:rPr>
          <w:iCs/>
          <w:i/>
        </w:rPr>
        <w:t xml:space="preserve">Situación en 2026, compruébese la versión actual.</w:t>
      </w:r>
    </w:p>
    <w:p>
      <w:pPr>
        <w:numPr>
          <w:ilvl w:val="0"/>
          <w:numId w:val="1279"/>
        </w:numPr>
        <w:pStyle w:val="Compact"/>
      </w:pPr>
      <w:r>
        <w:rPr>
          <w:bCs/>
          <w:b/>
        </w:rPr>
        <w:t xml:space="preserve">UE, Alemania, Austria:</w:t>
      </w:r>
      <w:r>
        <w:t xml:space="preserve"> </w:t>
      </w:r>
      <w:r>
        <w:t xml:space="preserve">la oxitocina para infusión e inyección está autorizada como medicamento sujeto a prescripción para la obstetricia. No existe ningún espray nasal autorizado para usos psíquicos o sociales; los espráis autorizados antiguamente para favorecer el flujo de leche ya no se pueden conseguir en muchos lugares. Una prescripción para tratar el autismo u otras enfermedades sería un tratamiento individual fuera de la indicación autorizada (off-label), con las correspondientes obligaciones de información y responsabilidad.</w:t>
      </w:r>
    </w:p>
    <w:p>
      <w:pPr>
        <w:numPr>
          <w:ilvl w:val="0"/>
          <w:numId w:val="1279"/>
        </w:numPr>
        <w:pStyle w:val="Compact"/>
      </w:pPr>
      <w:r>
        <w:rPr>
          <w:bCs/>
          <w:b/>
        </w:rPr>
        <w:t xml:space="preserve">EE. UU.:</w:t>
      </w:r>
      <w:r>
        <w:t xml:space="preserve"> </w:t>
      </w:r>
      <w:r>
        <w:t xml:space="preserve">oxitocina inyectable (Pitocin y genéricos) autorizada para la obstetricia; ningún espray nasal autorizado. Las farmacias de formulación magistral elaboran espráis nasales con prescripción médica; su calidad no se controla como la de los medicamentos fabricados industrialmente.</w:t>
      </w:r>
    </w:p>
    <w:p>
      <w:pPr>
        <w:numPr>
          <w:ilvl w:val="0"/>
          <w:numId w:val="1279"/>
        </w:numPr>
        <w:pStyle w:val="Compact"/>
      </w:pPr>
      <w:r>
        <w:rPr>
          <w:bCs/>
          <w:b/>
        </w:rPr>
        <w:t xml:space="preserve">WADA:</w:t>
      </w:r>
      <w:r>
        <w:t xml:space="preserve"> </w:t>
      </w:r>
      <w:r>
        <w:t xml:space="preserve">no figura en la lista.</w:t>
      </w:r>
    </w:p>
    <w:bookmarkEnd w:id="833"/>
    <w:bookmarkStart w:id="834" w:name="estudios-en-curso-y-perspectivas-50"/>
    <w:p>
      <w:pPr>
        <w:pStyle w:val="Heading3"/>
      </w:pPr>
      <w:r>
        <w:t xml:space="preserve">Estudios en curso y perspectivas</w:t>
      </w:r>
    </w:p>
    <w:p>
      <w:pPr>
        <w:pStyle w:val="FirstParagraph"/>
      </w:pPr>
      <w:r>
        <w:rPr>
          <w:bCs/>
          <w:b/>
        </w:rPr>
        <w:t xml:space="preserve">Confirmado (estudios registrados):</w:t>
      </w:r>
      <w:r>
        <w:t xml:space="preserve"> </w:t>
      </w:r>
      <w:r>
        <w:t xml:space="preserve">entre los estudios en curso hay algunos de mayor tamaño que podrían responder a cuestiones abiertas concretas:</w:t>
      </w:r>
    </w:p>
    <w:p>
      <w:pPr>
        <w:numPr>
          <w:ilvl w:val="0"/>
          <w:numId w:val="1280"/>
        </w:numPr>
        <w:pStyle w:val="Compact"/>
      </w:pPr>
      <w:r>
        <w:rPr>
          <w:bCs/>
          <w:b/>
        </w:rPr>
        <w:t xml:space="preserve">Dolor crónico:</w:t>
      </w:r>
      <w:r>
        <w:t xml:space="preserve"> </w:t>
      </w:r>
      <w:r>
        <w:t xml:space="preserve">ha finalizado un estudio canadiense de fase 2/3 con 336 participantes (NCT04903002); los resultados están pendientes.</w:t>
      </w:r>
    </w:p>
    <w:p>
      <w:pPr>
        <w:numPr>
          <w:ilvl w:val="0"/>
          <w:numId w:val="1280"/>
        </w:numPr>
        <w:pStyle w:val="Compact"/>
      </w:pPr>
      <w:r>
        <w:rPr>
          <w:bCs/>
          <w:b/>
        </w:rPr>
        <w:t xml:space="preserve">Psicoterapia más oxitocina:</w:t>
      </w:r>
      <w:r>
        <w:t xml:space="preserve"> </w:t>
      </w:r>
      <w:r>
        <w:t xml:space="preserve">un estudio del Departamento de Asuntos de los Veteranos de EE. UU. con 240 personas examina la oxitocina como complemento de una terapia de pareja en el trastorno de estrés postraumático (NCT06194851, hasta 2028). En Alemania, varios estudios examinan la oxitocina como complemento del tratamiento psicosocial en la esquizofrenia (NCT06881810, con 98 personas; NCT07265180, en la Charité, con 120 personas y comparación de dosis).</w:t>
      </w:r>
    </w:p>
    <w:p>
      <w:pPr>
        <w:numPr>
          <w:ilvl w:val="0"/>
          <w:numId w:val="1280"/>
        </w:numPr>
        <w:pStyle w:val="Compact"/>
      </w:pPr>
      <w:r>
        <w:rPr>
          <w:bCs/>
          <w:b/>
        </w:rPr>
        <w:t xml:space="preserve">Déficit de oxitocina:</w:t>
      </w:r>
      <w:r>
        <w:t xml:space="preserve"> </w:t>
      </w:r>
      <w:r>
        <w:t xml:space="preserve">un estudio suizo con 112 personas examina una sustitución de oxitocina en el déficit de vasopresina (NCT06036004).</w:t>
      </w:r>
    </w:p>
    <w:p>
      <w:pPr>
        <w:numPr>
          <w:ilvl w:val="0"/>
          <w:numId w:val="1280"/>
        </w:numPr>
        <w:pStyle w:val="Compact"/>
      </w:pPr>
      <w:r>
        <w:rPr>
          <w:bCs/>
          <w:b/>
        </w:rPr>
        <w:t xml:space="preserve">Autismo y hueso:</w:t>
      </w:r>
      <w:r>
        <w:t xml:space="preserve"> </w:t>
      </w:r>
      <w:r>
        <w:t xml:space="preserve">un estudio con 96 niños investiga los efectos sobre la salud ósea (NCT05754073).</w:t>
      </w:r>
    </w:p>
    <w:p>
      <w:pPr>
        <w:numPr>
          <w:ilvl w:val="0"/>
          <w:numId w:val="1280"/>
        </w:numPr>
        <w:pStyle w:val="Compact"/>
      </w:pPr>
      <w:r>
        <w:rPr>
          <w:bCs/>
          <w:b/>
        </w:rPr>
        <w:t xml:space="preserve">Trastornos de la conducta alimentaria:</w:t>
      </w:r>
      <w:r>
        <w:t xml:space="preserve"> </w:t>
      </w:r>
      <w:r>
        <w:t xml:space="preserve">un estudio de fase 2 sobre el trastorno por atracón (NCT05664516).</w:t>
      </w:r>
    </w:p>
    <w:p>
      <w:pPr>
        <w:numPr>
          <w:ilvl w:val="0"/>
          <w:numId w:val="1280"/>
        </w:numPr>
        <w:pStyle w:val="Compact"/>
      </w:pPr>
      <w:r>
        <w:rPr>
          <w:bCs/>
          <w:b/>
        </w:rPr>
        <w:t xml:space="preserve">Desarrollo empresarial:</w:t>
      </w:r>
      <w:r>
        <w:t xml:space="preserve"> </w:t>
      </w:r>
      <w:r>
        <w:t xml:space="preserve">una empresa ha probado un espray nasal de oxitocina en dosis altas (TNX-1900) en la migraña crónica (NCT05679908, 88 personas, finalizado) y planea un estudio sobre el tratamiento del dolor tras operaciones de hipófisis (NCT07730294).</w:t>
      </w:r>
    </w:p>
    <w:p>
      <w:pPr>
        <w:pStyle w:val="FirstParagraph"/>
      </w:pPr>
      <w:r>
        <w:rPr>
          <w:bCs/>
          <w:b/>
        </w:rPr>
        <w:t xml:space="preserve">Valoración del autor:</w:t>
      </w:r>
      <w:r>
        <w:t xml:space="preserve"> </w:t>
      </w:r>
      <w:r>
        <w:t xml:space="preserve">la historia del espray nasal de oxitocina es una lección sobre los límites de los estudios pequeños. Tras dos décadas de investigación no existe ni una sola aplicación en la que se haya confirmado un beneficio en estudios grandes y bien hechos. Las líneas más prometedoras están hoy más acotadas: la oxitocina como complemento de una psicoterapia en lugar de como medicamento aislado, como sustitución en un déficit demostrado y de forma dirigida en subgrupos definidos de antemano. Una autorización para el autismo o la ansiedad social parece improbable en los próximos años.</w:t>
      </w:r>
    </w:p>
    <w:bookmarkEnd w:id="834"/>
    <w:bookmarkStart w:id="835" w:name="conclusión-50"/>
    <w:p>
      <w:pPr>
        <w:pStyle w:val="Heading3"/>
      </w:pPr>
      <w:r>
        <w:t xml:space="preserve">Conclusión</w:t>
      </w:r>
    </w:p>
    <w:p>
      <w:pPr>
        <w:pStyle w:val="FirstParagraph"/>
      </w:pPr>
      <w:r>
        <w:t xml:space="preserve">Como infusión, la oxitocina es un medicamento indispensable en obstetricia; como espray nasal, en cambio, es una herramienta de investigación sin beneficio terapéutico demostrado. El famoso hallazgo de que la oxitocina aumenta la confianza no resistió los estudios de replicación; como mucho, se apunta un pequeño efecto en personas con baja confianza de base. El mayor estudio sobre autismo, SOARS-B, con 290 niños y adolescentes, no encontró al cabo de 24 semanas ninguna diferencia frente al placebo, y también en la obesidad, la dependencia del alcohol, el síndrome de Prader-Willi y el dolor los resultados fueron negativos. En los estudios, el espray fue bien tolerado. Quien hoy compra un «espray del amor» o «de la confianza» adquiere una promesa que la investigación no cumple.</w:t>
      </w:r>
    </w:p>
    <w:bookmarkEnd w:id="835"/>
    <w:bookmarkEnd w:id="836"/>
    <w:bookmarkStart w:id="852" w:name="gonadorelina"/>
    <w:p>
      <w:pPr>
        <w:pStyle w:val="Heading2"/>
      </w:pPr>
      <w:r>
        <w:t xml:space="preserve">Gonadorelina</w:t>
      </w:r>
    </w:p>
    <w:bookmarkStart w:id="837" w:name="ficha-51"/>
    <w:p>
      <w:pPr>
        <w:pStyle w:val="Heading3"/>
      </w:pPr>
      <w:r>
        <w:t xml:space="preserve">Ficha</w:t>
      </w:r>
    </w:p>
    <w:p>
      <w:pPr>
        <w:numPr>
          <w:ilvl w:val="0"/>
          <w:numId w:val="1281"/>
        </w:numPr>
        <w:pStyle w:val="Compact"/>
      </w:pPr>
      <w:r>
        <w:rPr>
          <w:bCs/>
          <w:b/>
        </w:rPr>
        <w:t xml:space="preserve">Tipo/estructura:</w:t>
      </w:r>
      <w:r>
        <w:t xml:space="preserve"> </w:t>
      </w:r>
      <w:r>
        <w:t xml:space="preserve">péptido de diez aminoácidos, de fabricación sintética y con una secuencia idéntica a la de la hormona humana GnRH (hormona liberadora de gonadotropinas, también llamada LHRH o gonadoliberina).</w:t>
      </w:r>
    </w:p>
    <w:p>
      <w:pPr>
        <w:numPr>
          <w:ilvl w:val="0"/>
          <w:numId w:val="1281"/>
        </w:numPr>
        <w:pStyle w:val="Compact"/>
      </w:pPr>
      <w:r>
        <w:rPr>
          <w:bCs/>
          <w:b/>
        </w:rPr>
        <w:t xml:space="preserve">Origen:</w:t>
      </w:r>
      <w:r>
        <w:t xml:space="preserve"> </w:t>
      </w:r>
      <w:r>
        <w:t xml:space="preserve">la GnRH se aisló y se descifró a principios de la década de 1970 a partir de cerebros de cerdo y de oveja; los investigadores implicados, Andrew Schally y Roger Guillemin, recibieron por ello el Premio Nobel en 1977. Gonadorelina es la denominación común internacional de la hormona sintética.</w:t>
      </w:r>
    </w:p>
    <w:p>
      <w:pPr>
        <w:numPr>
          <w:ilvl w:val="0"/>
          <w:numId w:val="1281"/>
        </w:numPr>
        <w:pStyle w:val="Compact"/>
      </w:pPr>
      <w:r>
        <w:rPr>
          <w:bCs/>
          <w:b/>
        </w:rPr>
        <w:t xml:space="preserve">Mecanismo de acción:</w:t>
      </w:r>
      <w:r>
        <w:t xml:space="preserve"> </w:t>
      </w:r>
      <w:r>
        <w:t xml:space="preserve">agonista del receptor de GnRH de la hipófisis. Administrada en pulsos, estimula la secreción de LH y FSH; en administración continua, la frena.</w:t>
      </w:r>
    </w:p>
    <w:p>
      <w:pPr>
        <w:numPr>
          <w:ilvl w:val="0"/>
          <w:numId w:val="1281"/>
        </w:numPr>
        <w:pStyle w:val="Compact"/>
      </w:pPr>
      <w:r>
        <w:rPr>
          <w:bCs/>
          <w:b/>
        </w:rPr>
        <w:t xml:space="preserve">Formas farmacéuticas:</w:t>
      </w:r>
      <w:r>
        <w:t xml:space="preserve"> </w:t>
      </w:r>
      <w:r>
        <w:t xml:space="preserve">inyección intravenosa para pruebas funcionales; bomba portátil que cada 60 a 120 minutos libera una pequeña cantidad por vía subcutánea o intravenosa (terapia pulsátil); en algunos países, un espray nasal para lactantes con criptorquidia.</w:t>
      </w:r>
    </w:p>
    <w:p>
      <w:pPr>
        <w:numPr>
          <w:ilvl w:val="0"/>
          <w:numId w:val="1281"/>
        </w:numPr>
        <w:pStyle w:val="Compact"/>
      </w:pPr>
      <w:r>
        <w:rPr>
          <w:bCs/>
          <w:b/>
        </w:rPr>
        <w:t xml:space="preserve">Autorización en la UE:</w:t>
      </w:r>
      <w:r>
        <w:t xml:space="preserve"> </w:t>
      </w:r>
      <w:r>
        <w:t xml:space="preserve">autorizada a nivel nacional en algunos Estados miembros, por ejemplo como agente diagnóstico y para la terapia con bomba; los preparados y la disponibilidad varían de un país a otro.</w:t>
      </w:r>
    </w:p>
    <w:p>
      <w:pPr>
        <w:numPr>
          <w:ilvl w:val="0"/>
          <w:numId w:val="1281"/>
        </w:numPr>
        <w:pStyle w:val="Compact"/>
      </w:pPr>
      <w:r>
        <w:rPr>
          <w:bCs/>
          <w:b/>
        </w:rPr>
        <w:t xml:space="preserve">Autorización en EE. UU.:</w:t>
      </w:r>
      <w:r>
        <w:t xml:space="preserve"> </w:t>
      </w:r>
      <w:r>
        <w:t xml:space="preserve">los preparados anteriores (Factrel para diagnóstico, Lutrepulse para la bomba) ya no se comercializan. Según el conocimiento del autor, no existe actualmente ningún medicamento de uso humano autorizado y comercializado (compruébese la versión actual).</w:t>
      </w:r>
    </w:p>
    <w:p>
      <w:pPr>
        <w:numPr>
          <w:ilvl w:val="0"/>
          <w:numId w:val="1281"/>
        </w:numPr>
        <w:pStyle w:val="Compact"/>
      </w:pPr>
      <w:r>
        <w:rPr>
          <w:bCs/>
          <w:b/>
        </w:rPr>
        <w:t xml:space="preserve">WADA:</w:t>
      </w:r>
      <w:r>
        <w:t xml:space="preserve"> </w:t>
      </w:r>
      <w:r>
        <w:t xml:space="preserve">prohibida para los hombres (grupo S2, donde la gonadorelina se menciona nominalmente), en competición y fuera de ella (situación en 2026, compruébese la versión actual).</w:t>
      </w:r>
    </w:p>
    <w:p>
      <w:pPr>
        <w:numPr>
          <w:ilvl w:val="0"/>
          <w:numId w:val="1281"/>
        </w:numPr>
        <w:pStyle w:val="Compact"/>
      </w:pPr>
      <w:r>
        <w:rPr>
          <w:bCs/>
          <w:b/>
        </w:rPr>
        <w:t xml:space="preserve">Nivel de evidencia:</w:t>
      </w:r>
      <w:r>
        <w:t xml:space="preserve"> </w:t>
      </w:r>
      <w:r>
        <w:rPr>
          <w:bCs/>
          <w:b/>
        </w:rPr>
        <w:t xml:space="preserve">B</w:t>
      </w:r>
      <w:r>
        <w:t xml:space="preserve"> </w:t>
      </w:r>
      <w:r>
        <w:t xml:space="preserve">– medicamento autorizado con décadas de uso; sin embargo, los datos de eficacia proceden sobre todo de grandes series de casos, cohortes y unos pocos estudios aleatorizados pequeños.</w:t>
      </w:r>
    </w:p>
    <w:bookmarkEnd w:id="837"/>
    <w:bookmarkStart w:id="838" w:name="cómo-se-supone-que-actúa-51"/>
    <w:p>
      <w:pPr>
        <w:pStyle w:val="Heading3"/>
      </w:pPr>
      <w:r>
        <w:t xml:space="preserve">Cómo se supone que actúa</w:t>
      </w:r>
    </w:p>
    <w:p>
      <w:pPr>
        <w:pStyle w:val="FirstParagraph"/>
      </w:pPr>
      <w:r>
        <w:t xml:space="preserve">El eje hormonal de la reproducción comienza en el hipotálamo. Allí, neuronas especializadas secretan GnRH, no de forma uniforme, sino en pulsos aproximadamente cada una o dos horas. Cada pulso hace que la hipófisis libere las hormonas LH y FSH. Estas actúan sobre los ovarios y los testículos: regulan la maduración de los óvulos y la ovulación, la producción de espermatozoides y la producción de estrógenos y testosterona. El mensajero kisspeptina (capítulo 2E04) se sitúa todavía un escalón por encima y activa las neuronas de GnRH.</w:t>
      </w:r>
    </w:p>
    <w:p>
      <w:pPr>
        <w:pStyle w:val="BodyText"/>
      </w:pPr>
      <w:r>
        <w:t xml:space="preserve">El ritmo de los pulsos es decisivo. Esto se aprecia en una aparente contradicción:</w:t>
      </w:r>
    </w:p>
    <w:p>
      <w:pPr>
        <w:numPr>
          <w:ilvl w:val="0"/>
          <w:numId w:val="1282"/>
        </w:numPr>
        <w:pStyle w:val="Compact"/>
      </w:pPr>
      <w:r>
        <w:t xml:space="preserve">La</w:t>
      </w:r>
      <w:r>
        <w:t xml:space="preserve"> </w:t>
      </w:r>
      <w:r>
        <w:rPr>
          <w:bCs/>
          <w:b/>
        </w:rPr>
        <w:t xml:space="preserve">administración pulsátil</w:t>
      </w:r>
      <w:r>
        <w:t xml:space="preserve"> </w:t>
      </w:r>
      <w:r>
        <w:t xml:space="preserve">–una pequeña cantidad cada 60 a 120 minutos– imita el ritmo natural y</w:t>
      </w:r>
      <w:r>
        <w:t xml:space="preserve"> </w:t>
      </w:r>
      <w:r>
        <w:rPr>
          <w:bCs/>
          <w:b/>
        </w:rPr>
        <w:t xml:space="preserve">activa</w:t>
      </w:r>
      <w:r>
        <w:t xml:space="preserve"> </w:t>
      </w:r>
      <w:r>
        <w:t xml:space="preserve">el eje. En ello se basa la terapia con bomba en personas cuyo hipotálamo produce demasiada poca GnRH.</w:t>
      </w:r>
    </w:p>
    <w:p>
      <w:pPr>
        <w:numPr>
          <w:ilvl w:val="0"/>
          <w:numId w:val="1282"/>
        </w:numPr>
        <w:pStyle w:val="Compact"/>
      </w:pPr>
      <w:r>
        <w:t xml:space="preserve">La</w:t>
      </w:r>
      <w:r>
        <w:t xml:space="preserve"> </w:t>
      </w:r>
      <w:r>
        <w:rPr>
          <w:bCs/>
          <w:b/>
        </w:rPr>
        <w:t xml:space="preserve">estimulación continua</w:t>
      </w:r>
      <w:r>
        <w:t xml:space="preserve">, tras un breve aumento, hace que los receptores de la hipófisis se desactiven. El eje hormonal se</w:t>
      </w:r>
      <w:r>
        <w:t xml:space="preserve"> </w:t>
      </w:r>
      <w:r>
        <w:rPr>
          <w:bCs/>
          <w:b/>
        </w:rPr>
        <w:t xml:space="preserve">frena</w:t>
      </w:r>
      <w:r>
        <w:t xml:space="preserve">, hasta alcanzar valores de testosterona como tras una castración.</w:t>
      </w:r>
    </w:p>
    <w:p>
      <w:pPr>
        <w:pStyle w:val="FirstParagraph"/>
      </w:pPr>
      <w:r>
        <w:t xml:space="preserve">En el segundo principio se basan los análogos de la GnRH, como la leuprorelina, la triptorelina o la goserelina. Están modificados químicamente, actúan mucho más tiempo que la gonadorelina y se emplean como inyección de liberación prolongada contra el cáncer de próstata, la endometriosis, los miomas o la pubertad precoz. No son objeto de este capítulo, pero distorsionan considerablemente los datos disponibles (véase más abajo).</w:t>
      </w:r>
    </w:p>
    <w:p>
      <w:pPr>
        <w:pStyle w:val="BodyText"/>
      </w:pPr>
      <w:r>
        <w:t xml:space="preserve">La propia gonadorelina no es adecuada para un bloqueo continuo: se degrada en la sangre en pocos minutos.</w:t>
      </w:r>
    </w:p>
    <w:bookmarkEnd w:id="838"/>
    <w:bookmarkStart w:id="843" w:name="estudios-en-humanos-51"/>
    <w:p>
      <w:pPr>
        <w:pStyle w:val="Heading3"/>
      </w:pPr>
      <w:r>
        <w:t xml:space="preserve">Estudios en humanos</w:t>
      </w:r>
    </w:p>
    <w:p>
      <w:pPr>
        <w:pStyle w:val="FirstParagraph"/>
      </w:pPr>
      <w:r>
        <w:rPr>
          <w:bCs/>
          <w:b/>
        </w:rPr>
        <w:t xml:space="preserve">Magnitud de la evidencia disponible (consulta de octubre de 2026) y por qué las cifras engañan:</w:t>
      </w:r>
      <w:r>
        <w:t xml:space="preserve"> </w:t>
      </w:r>
      <w:r>
        <w:t xml:space="preserve">la búsqueda automatizada de este libro encontró</w:t>
      </w:r>
      <w:r>
        <w:t xml:space="preserve"> </w:t>
      </w:r>
      <w:r>
        <w:rPr>
          <w:bCs/>
          <w:b/>
        </w:rPr>
        <w:t xml:space="preserve">9</w:t>
      </w:r>
      <w:r>
        <w:t xml:space="preserve"> </w:t>
      </w:r>
      <w:r>
        <w:t xml:space="preserve">estudios en humanos en PubMed (</w:t>
      </w:r>
      <w:r>
        <w:rPr>
          <w:rStyle w:val="VerbatimChar"/>
        </w:rPr>
        <w:t xml:space="preserve">humanstudien_alle</w:t>
      </w:r>
      <w:r>
        <w:t xml:space="preserve">) y, en ClinicalTrials.gov, el máximo de</w:t>
      </w:r>
      <w:r>
        <w:t xml:space="preserve"> </w:t>
      </w:r>
      <w:r>
        <w:rPr>
          <w:bCs/>
          <w:b/>
        </w:rPr>
        <w:t xml:space="preserve">1000</w:t>
      </w:r>
      <w:r>
        <w:t xml:space="preserve"> </w:t>
      </w:r>
      <w:r>
        <w:t xml:space="preserve">registros en el que se interrumpe la consulta. Ambas cifras son inservibles para valorar la gonadorelina, y en sentidos opuestos:</w:t>
      </w:r>
    </w:p>
    <w:p>
      <w:pPr>
        <w:numPr>
          <w:ilvl w:val="0"/>
          <w:numId w:val="1283"/>
        </w:numPr>
        <w:pStyle w:val="Compact"/>
      </w:pPr>
      <w:r>
        <w:rPr>
          <w:bCs/>
          <w:b/>
        </w:rPr>
        <w:t xml:space="preserve">La cifra de registros está muy sobrestimada.</w:t>
      </w:r>
      <w:r>
        <w:t xml:space="preserve"> </w:t>
      </w:r>
      <w:r>
        <w:t xml:space="preserve">ClinicalTrials.gov asigna el término de búsqueda «gonadorelin» al término genérico «Gonadotropin-Releasing Hormone». Por ello aparecen todos los estudios con análogos y antagonistas de la GnRH. En los títulos de los 1000 resultados, la palabra «prostate» aparece 340 veces, «androgen deprivation» 57 veces, y la leuprorelina, la goserelina y la triptorelina juntas, bastante más de cien veces. Una revisión de los títulos solo arrojó unos diez registros que estudian realmente la GnRH nativa o la gonadorelina, por ejemplo como bomba, parche o prueba funcional.</w:t>
      </w:r>
    </w:p>
    <w:p>
      <w:pPr>
        <w:numPr>
          <w:ilvl w:val="0"/>
          <w:numId w:val="1283"/>
        </w:numPr>
        <w:pStyle w:val="Compact"/>
      </w:pPr>
      <w:r>
        <w:rPr>
          <w:bCs/>
          <w:b/>
        </w:rPr>
        <w:t xml:space="preserve">La cifra de PubMed está subestimada.</w:t>
      </w:r>
      <w:r>
        <w:t xml:space="preserve"> </w:t>
      </w:r>
      <w:r>
        <w:t xml:space="preserve">La mayoría de los estudios sobre la hormona idéntica a la endógena utilizan los términos «GnRH» o «LHRH» y no el nombre del principio activo. A la inversa, varios de los nueve resultados no se refieren en absoluto a la gonadorelina como tratamiento: un trabajo estudió un análogo de la GnRH en el cáncer de próstata (Steg 1985, PMID 2934695), y otros usaron la gonadorelina solo como sustancia de prueba, por ejemplo para examinar el efecto de un hipolipemiante o de la luz UV sobre el eje hormonal (Segarra 1996, PMID 8773342; Falkenbach 1997, PMID 9189734).</w:t>
      </w:r>
    </w:p>
    <w:p>
      <w:pPr>
        <w:pStyle w:val="FirstParagraph"/>
      </w:pPr>
      <w:r>
        <w:t xml:space="preserve">Por eso, este capítulo se basa en una búsqueda complementaria y dirigida de estudios sobre la terapia pulsátil con GnRH y sobre la prueba de GnRH.</w:t>
      </w:r>
    </w:p>
    <w:bookmarkStart w:id="839" w:name="diagnóstico-la-prueba-de-gnrh"/>
    <w:p>
      <w:pPr>
        <w:pStyle w:val="Heading4"/>
      </w:pPr>
      <w:r>
        <w:t xml:space="preserve">Diagnóstico: la prueba de GnRH</w:t>
      </w:r>
    </w:p>
    <w:p>
      <w:pPr>
        <w:pStyle w:val="FirstParagraph"/>
      </w:pPr>
      <w:r>
        <w:t xml:space="preserve">En la prueba de GnRH (también prueba de LHRH) se inyecta gonadorelina por vía intravenosa; a continuación se mide durante una o dos horas cuánto aumentan la LH y la FSH. La prueba es útil sobre todo en niños con pubertad demasiado temprana: un aumento claro de la LH indica que el eje hormonal del cerebro ya está activo (pubertad precoz central).</w:t>
      </w:r>
    </w:p>
    <w:p>
      <w:pPr>
        <w:pStyle w:val="BodyText"/>
      </w:pPr>
      <w:r>
        <w:t xml:space="preserve">En un análisis de 584 pruebas (314 de ellas diagnósticas), bastaba una única muestra de sangre 40 minutos después de la inyección para el diagnóstico: con un umbral de LH de 5 UI/l, la sensibilidad fue del 98 % y la especificidad del 100 % (Kandemir 2011, PMID 21448328). Una revisión señala limitaciones, por ejemplo en estadios puberales muy tempranos y en niños con sobrepeso, así como umbrales heterogéneos entre estudios (Ab Rahim 2020, PMID 32871650).</w:t>
      </w:r>
    </w:p>
    <w:p>
      <w:pPr>
        <w:pStyle w:val="BodyText"/>
      </w:pPr>
      <w:r>
        <w:t xml:space="preserve">Como la GnRH nativa es cara y en muchos lugares no está disponible, se utiliza cada vez más como sustituto un análogo de acción corta. En un estudio con 341 niñas, una prueba con triptorelina fue tan precisa como la prueba de gonadorelina (Chioma 2025, PMID 41384863).</w:t>
      </w:r>
    </w:p>
    <w:bookmarkEnd w:id="839"/>
    <w:bookmarkStart w:id="840" w:name="X784f0c5dfd320c5758ff664081cf5fbf2dbc3b9"/>
    <w:p>
      <w:pPr>
        <w:pStyle w:val="Heading4"/>
      </w:pPr>
      <w:r>
        <w:t xml:space="preserve">Deseo de tener hijos: la bomba de GnRH en mujeres</w:t>
      </w:r>
    </w:p>
    <w:p>
      <w:pPr>
        <w:pStyle w:val="FirstParagraph"/>
      </w:pPr>
      <w:r>
        <w:t xml:space="preserve">En la amenorrea hipotalámica falta la regla porque el cerebro produce demasiada poca GnRH, a menudo tras una gran pérdida de peso, deporte intenso o estrés, y con menos frecuencia por causas congénitas. Una pequeña bomba portátil puede sustituir el ritmo que falta.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Santoro 1990, PMID 2122733</w:t>
            </w:r>
          </w:p>
        </w:tc>
        <w:tc>
          <w:tcPr/>
          <w:p>
            <w:pPr>
              <w:pStyle w:val="Compact"/>
              <w:jc w:val="left"/>
            </w:pPr>
            <w:r>
              <w:t xml:space="preserve">109 mujeres con amenorrea hipotalámica, estudio multicéntrico con bomba intravenosa</w:t>
            </w:r>
          </w:p>
        </w:tc>
        <w:tc>
          <w:tcPr/>
          <w:p>
            <w:pPr>
              <w:pStyle w:val="Compact"/>
              <w:jc w:val="left"/>
            </w:pPr>
            <w:r>
              <w:t xml:space="preserve">varios ciclos</w:t>
            </w:r>
          </w:p>
        </w:tc>
        <w:tc>
          <w:tcPr/>
          <w:p>
            <w:pPr>
              <w:pStyle w:val="Compact"/>
              <w:jc w:val="left"/>
            </w:pPr>
            <w:r>
              <w:t xml:space="preserve">ovulación en el 91 % y el 96 %, respectivamente; embarazos múltiples 12 %</w:t>
            </w:r>
          </w:p>
        </w:tc>
      </w:tr>
      <w:tr>
        <w:tc>
          <w:tcPr/>
          <w:p>
            <w:pPr>
              <w:pStyle w:val="Compact"/>
              <w:jc w:val="left"/>
            </w:pPr>
            <w:r>
              <w:t xml:space="preserve">Filicori 1994, PMID 7962297</w:t>
            </w:r>
          </w:p>
        </w:tc>
        <w:tc>
          <w:tcPr/>
          <w:p>
            <w:pPr>
              <w:pStyle w:val="Compact"/>
              <w:jc w:val="left"/>
            </w:pPr>
            <w:r>
              <w:t xml:space="preserve">292 mujeres, 600 ciclos, distintas causas</w:t>
            </w:r>
          </w:p>
        </w:tc>
        <w:tc>
          <w:tcPr/>
          <w:p>
            <w:pPr>
              <w:pStyle w:val="Compact"/>
              <w:jc w:val="left"/>
            </w:pPr>
            <w:r>
              <w:t xml:space="preserve">1984–1993</w:t>
            </w:r>
          </w:p>
        </w:tc>
        <w:tc>
          <w:tcPr/>
          <w:p>
            <w:pPr>
              <w:pStyle w:val="Compact"/>
              <w:jc w:val="left"/>
            </w:pPr>
            <w:r>
              <w:t xml:space="preserve">ovulación en el 75 % de los ciclos; embarazo 18 % por ciclo; embarazos múltiples 3,8 %; abortos 30 %</w:t>
            </w:r>
          </w:p>
        </w:tc>
      </w:tr>
      <w:tr>
        <w:tc>
          <w:tcPr/>
          <w:p>
            <w:pPr>
              <w:pStyle w:val="Compact"/>
              <w:jc w:val="left"/>
            </w:pPr>
            <w:r>
              <w:t xml:space="preserve">Christin-Maitre 2007, PMID 17293247</w:t>
            </w:r>
          </w:p>
        </w:tc>
        <w:tc>
          <w:tcPr/>
          <w:p>
            <w:pPr>
              <w:pStyle w:val="Compact"/>
              <w:jc w:val="left"/>
            </w:pPr>
            <w:r>
              <w:t xml:space="preserve">248 mujeres, 829 ciclos, 24 centros franceses, retrospectivo</w:t>
            </w:r>
          </w:p>
        </w:tc>
        <w:tc>
          <w:tcPr/>
          <w:p>
            <w:pPr>
              <w:pStyle w:val="Compact"/>
              <w:jc w:val="left"/>
            </w:pPr>
            <w:r>
              <w:t xml:space="preserve">3 años</w:t>
            </w:r>
          </w:p>
        </w:tc>
        <w:tc>
          <w:tcPr/>
          <w:p>
            <w:pPr>
              <w:pStyle w:val="Compact"/>
              <w:jc w:val="left"/>
            </w:pPr>
            <w:r>
              <w:t xml:space="preserve">embarazo 25 % por ciclo; embarazos múltiples 8,8 %; ninguna hiperestimulación grave</w:t>
            </w:r>
          </w:p>
        </w:tc>
      </w:tr>
      <w:tr>
        <w:tc>
          <w:tcPr/>
          <w:p>
            <w:pPr>
              <w:pStyle w:val="Compact"/>
              <w:jc w:val="left"/>
            </w:pPr>
            <w:r>
              <w:t xml:space="preserve">Dubourdieu 2013, PMID 23298894</w:t>
            </w:r>
          </w:p>
        </w:tc>
        <w:tc>
          <w:tcPr/>
          <w:p>
            <w:pPr>
              <w:pStyle w:val="Compact"/>
              <w:jc w:val="left"/>
            </w:pPr>
            <w:r>
              <w:t xml:space="preserve">30 mujeres con amenorrea y SOP, ECA: bomba frente a gonadotropinas</w:t>
            </w:r>
          </w:p>
        </w:tc>
        <w:tc>
          <w:tcPr/>
          <w:p>
            <w:pPr>
              <w:pStyle w:val="Compact"/>
              <w:jc w:val="left"/>
            </w:pPr>
            <w:r>
              <w:t xml:space="preserve">un ciclo</w:t>
            </w:r>
          </w:p>
        </w:tc>
        <w:tc>
          <w:tcPr/>
          <w:p>
            <w:pPr>
              <w:pStyle w:val="Compact"/>
              <w:jc w:val="left"/>
            </w:pPr>
            <w:r>
              <w:t xml:space="preserve">embarazo clínico 46 % frente a 0 %</w:t>
            </w:r>
          </w:p>
        </w:tc>
      </w:tr>
      <w:tr>
        <w:tc>
          <w:tcPr/>
          <w:p>
            <w:pPr>
              <w:pStyle w:val="Compact"/>
              <w:jc w:val="left"/>
            </w:pPr>
            <w:r>
              <w:t xml:space="preserve">Quaas 2022, PMID 36378460</w:t>
            </w:r>
          </w:p>
        </w:tc>
        <w:tc>
          <w:tcPr/>
          <w:p>
            <w:pPr>
              <w:pStyle w:val="Compact"/>
              <w:jc w:val="left"/>
            </w:pPr>
            <w:r>
              <w:t xml:space="preserve">66 mujeres, 212 ciclos, centro suizo, retrospectivo</w:t>
            </w:r>
          </w:p>
        </w:tc>
        <w:tc>
          <w:tcPr/>
          <w:p>
            <w:pPr>
              <w:pStyle w:val="Compact"/>
              <w:jc w:val="left"/>
            </w:pPr>
            <w:r>
              <w:t xml:space="preserve">1996–2020</w:t>
            </w:r>
          </w:p>
        </w:tc>
        <w:tc>
          <w:tcPr/>
          <w:p>
            <w:pPr>
              <w:pStyle w:val="Compact"/>
              <w:jc w:val="left"/>
            </w:pPr>
            <w:r>
              <w:t xml:space="preserve">nacido vivo por tratamiento 65,9 %; un folículo en el 75 % de los ciclos; un embarazo gemelar</w:t>
            </w:r>
          </w:p>
        </w:tc>
      </w:tr>
    </w:tbl>
    <w:p>
      <w:pPr>
        <w:pStyle w:val="BodyText"/>
      </w:pPr>
      <w:r>
        <w:t xml:space="preserve">Las cifras muestran un panorama coherente: en mujeres cuyo problema reside realmente en el hipotálamo, la bomba lleva a una ovulación en la gran mayoría de los ciclos, a menudo con un solo óvulo en maduración. Como la hipófisis conserva su propia retroalimentación, la hiperestimulación y los embarazos múltiples son menos frecuentes que con las gonadotropinas inyectadas directamente (Quaas 2022, PMID 36378460). En mujeres con síndrome de ovario poliquístico o con sobrepeso, la bomba funciona peor, y los abortos fueron frecuentes en la mayor serie individual (Filicori 1994, PMID 7962297).</w:t>
      </w:r>
    </w:p>
    <w:p>
      <w:pPr>
        <w:pStyle w:val="BodyText"/>
      </w:pPr>
      <w:r>
        <w:t xml:space="preserve">Los inconvenientes son de tipo práctico: la bomba debe llevarse durante semanas. Con la administración intravenosa se produjeron complicaciones en el acceso, de media en el 7 % (Santoro 1990, PMID 2122733). Hoy se bombea casi siempre por vía subcutánea; en el estudio francés aparecieron reacciones alérgicas locales en el 1,7 % de los ciclos (Christin-Maitre 2007, PMID 17293247).</w:t>
      </w:r>
    </w:p>
    <w:p>
      <w:pPr>
        <w:pStyle w:val="BodyText"/>
      </w:pPr>
      <w:r>
        <w:t xml:space="preserve">Los datos son antiguos y en su mayoría no aleatorizados. Faltan grandes estudios comparativos con protocolos modernos de gonadotropinas. Aun así, los especialistas consideran la bomba un método especialmente fisiológico y seguro en la amenorrea hipotalámica con deseo de tener hijos (Quaas 2022, PMID 36378460), siempre que esté disponible.</w:t>
      </w:r>
    </w:p>
    <w:bookmarkEnd w:id="840"/>
    <w:bookmarkStart w:id="841" w:name="hombres-con-déficit-hormonal"/>
    <w:p>
      <w:pPr>
        <w:pStyle w:val="Heading4"/>
      </w:pPr>
      <w:r>
        <w:t xml:space="preserve">Hombres con déficit hormonal</w:t>
      </w:r>
    </w:p>
    <w:p>
      <w:pPr>
        <w:pStyle w:val="FirstParagraph"/>
      </w:pPr>
      <w:r>
        <w:t xml:space="preserve">También los hombres con déficit congénito de GnRH –por ejemplo en el síndrome de Kallmann, en el que además falta el sentido del olfato– pueden tratarse con la bomba para estimular el crecimiento testicular y la producción de espermatozoides.</w:t>
      </w:r>
    </w:p>
    <w:p>
      <w:pPr>
        <w:pStyle w:val="BodyText"/>
      </w:pPr>
      <w:r>
        <w:t xml:space="preserve">En un análisis de 26 hombres en un centro universitario alemán aparecieron espermatozoides en el eyaculado en 30 de 33 ciclos de tratamiento; en 15 de 18 casos con deseo de tener hijos, la pareja quedó embarazada. La bomba y las gonadotropinas inyectadas fueron igual de eficaces (Kliesch 1994, PMID 7921222). En chicos chinos en edad puberal, los testículos crecieron más con la bomba que con inyecciones de hCG (Gong 2015, PMID 25978110). Un pequeño estudio aleatorizado encontró indicios de que un tratamiento previo con FSH antes de la bomba podría mejorar la producción de espermatozoides: los siete hombres pretratados tuvieron después espermatozoides, frente a cuatro de seis sin pretratamiento (Dwyer 2013, PMID 24037890).</w:t>
      </w:r>
    </w:p>
    <w:bookmarkEnd w:id="841"/>
    <w:bookmarkStart w:id="842" w:name="lactantes-con-criptorquidia"/>
    <w:p>
      <w:pPr>
        <w:pStyle w:val="Heading4"/>
      </w:pPr>
      <w:r>
        <w:t xml:space="preserve">Lactantes con criptorquidia</w:t>
      </w:r>
    </w:p>
    <w:p>
      <w:pPr>
        <w:pStyle w:val="FirstParagraph"/>
      </w:pPr>
      <w:r>
        <w:t xml:space="preserve">En algunos países europeos se administra un espray nasal de gonadorelina antes o después de la operación de la criptorquidia (testículo no descendido) para favorecer la maduración de las células germinales. Un estudio aleatorizado con 62 lactantes comunicó hallazgos ecográficos más favorables tras el tratamiento combinado (Spinelli 2014, PMID 25106891). En cambio, otro estudio aleatorizado con 36 niños no encontró diferencias en el tamaño del pene, el volumen testicular ni los valores hormonales en el momento de la operación; no obstante, el tratamiento resultó seguro (Fiala 2022, PMID 35691791). El beneficio es discutido; lo prioritario es la operación temprana.</w:t>
      </w:r>
    </w:p>
    <w:bookmarkEnd w:id="842"/>
    <w:bookmarkEnd w:id="843"/>
    <w:bookmarkStart w:id="844" w:name="estudios-en-animales-y-de-laboratorio-51"/>
    <w:p>
      <w:pPr>
        <w:pStyle w:val="Heading3"/>
      </w:pPr>
      <w:r>
        <w:t xml:space="preserve">Estudios en animales y de laboratorio</w:t>
      </w:r>
    </w:p>
    <w:p>
      <w:pPr>
        <w:pStyle w:val="FirstParagraph"/>
      </w:pPr>
      <w:r>
        <w:t xml:space="preserve">La gonadorelina es una de las hormonas mejor comprendidas; sus fundamentos proceden de experimentos con animales de la década de 1970. Hoy, la investigación animal apenas desempeña ya un papel en la valoración en humanos. En veterinaria, la gonadorelina se utiliza ampliamente, sobre todo en el ganado bovino para controlar la ovulación. Estos preparados están autorizados para animales y no para personas.</w:t>
      </w:r>
    </w:p>
    <w:bookmarkEnd w:id="844"/>
    <w:bookmarkStart w:id="847" w:name="riesgos-y-efectos-adversos-51"/>
    <w:p>
      <w:pPr>
        <w:pStyle w:val="Heading3"/>
      </w:pPr>
      <w:r>
        <w:t xml:space="preserve">Riesgos y efectos adversos</w:t>
      </w:r>
    </w:p>
    <w:bookmarkStart w:id="845" w:name="demostrados-3"/>
    <w:p>
      <w:pPr>
        <w:pStyle w:val="Heading4"/>
      </w:pPr>
      <w:r>
        <w:t xml:space="preserve">Demostrados</w:t>
      </w:r>
    </w:p>
    <w:p>
      <w:pPr>
        <w:pStyle w:val="FirstParagraph"/>
      </w:pPr>
      <w:r>
        <w:t xml:space="preserve">La gonadorelina se considera bien tolerada. En los estudios sobre la terapia con bomba predominaron los problemas del acceso (inflamación, irritación venosa con la administración intravenosa) y las reacciones cutáneas locales (Santoro 1990, PMID 2122733; Christin-Maitre 2007, PMID 17293247). Se producen embarazos múltiples, aunque con menos frecuencia que con las gonadotropinas; las hiperestimulaciones graves son la excepción. En la prueba pueden aparecer transitoriamente cefalea, náuseas o sofocos. Las reacciones alérgicas se han descrito raramente. Los detalles figuran en la ficha técnica; su uso corresponde al ámbito médico.</w:t>
      </w:r>
    </w:p>
    <w:bookmarkEnd w:id="845"/>
    <w:bookmarkStart w:id="846" w:name="con-un-uso-incorrecto"/>
    <w:p>
      <w:pPr>
        <w:pStyle w:val="Heading4"/>
      </w:pPr>
      <w:r>
        <w:t xml:space="preserve">Con un uso incorrecto</w:t>
      </w:r>
    </w:p>
    <w:p>
      <w:pPr>
        <w:pStyle w:val="FirstParagraph"/>
      </w:pPr>
      <w:r>
        <w:t xml:space="preserve">Si la gonadorelina no se administra con el ritmo correcto, sino con demasiada frecuencia o de forma continua, puede suprimir el propio eje hormonal en lugar de estimularlo. No es un riesgo teórico, sino el mecanismo de acción de los análogos de la GnRH.</w:t>
      </w:r>
    </w:p>
    <w:bookmarkEnd w:id="846"/>
    <w:bookmarkEnd w:id="847"/>
    <w:bookmarkStart w:id="848" w:name="X21d688908b870827820a7267a0273281a666205"/>
    <w:p>
      <w:pPr>
        <w:pStyle w:val="Heading3"/>
      </w:pPr>
      <w:r>
        <w:t xml:space="preserve">Contexto: la gonadorelina en el culturismo</w:t>
      </w:r>
    </w:p>
    <w:p>
      <w:pPr>
        <w:pStyle w:val="FirstParagraph"/>
      </w:pPr>
      <w:r>
        <w:t xml:space="preserve">En foros de internet y en algunos proveedores de «optimización hormonal», la gonadorelina se promociona como parte de la llamada terapia poscíclica (post-cycle therapy, PCT). Se trata de la fase posterior a un ciclo de esteroides anabolizantes: las hormonas aportadas artificialmente han suprimido la producción propia de testosterona, y la gonadorelina debería «volver a poner en marcha» el eje hormonal. En EE. UU., según diversas informaciones, también se ofrece como sustituto de la hCG.</w:t>
      </w:r>
    </w:p>
    <w:p>
      <w:pPr>
        <w:pStyle w:val="BodyText"/>
      </w:pPr>
      <w:r>
        <w:t xml:space="preserve">Lo que se sabe al respecto:</w:t>
      </w:r>
    </w:p>
    <w:p>
      <w:pPr>
        <w:numPr>
          <w:ilvl w:val="0"/>
          <w:numId w:val="1284"/>
        </w:numPr>
        <w:pStyle w:val="Compact"/>
      </w:pPr>
      <w:r>
        <w:rPr>
          <w:bCs/>
          <w:b/>
        </w:rPr>
        <w:t xml:space="preserve">No hay estudios</w:t>
      </w:r>
      <w:r>
        <w:t xml:space="preserve"> </w:t>
      </w:r>
      <w:r>
        <w:t xml:space="preserve">sobre la gonadorelina en esta situación. Los datos sobre la PCT en general son escasos; casi solo se han estudiado antiestrógenos, hCG e inhibidores de la aromatasa, y también para ellos hay sobre todo datos observacionales. Desde el punto de vista científico, mayoritariamente no se recomienda una PCT (Smit 2026, PMID 42644333).</w:t>
      </w:r>
    </w:p>
    <w:p>
      <w:pPr>
        <w:numPr>
          <w:ilvl w:val="0"/>
          <w:numId w:val="1284"/>
        </w:numPr>
        <w:pStyle w:val="Compact"/>
      </w:pPr>
      <w:r>
        <w:rPr>
          <w:bCs/>
          <w:b/>
        </w:rPr>
        <w:t xml:space="preserve">La recuperación suele producirse por sí sola.</w:t>
      </w:r>
      <w:r>
        <w:t xml:space="preserve"> </w:t>
      </w:r>
      <w:r>
        <w:t xml:space="preserve">En el estudio neerlandés HAARLEM, con 100 deportistas de fuerza, la testosterona se había normalizado en la mayoría tres meses después del final del ciclo de esteroides; al cabo de un año seguía por debajo del rango normal en el 11 %, y en el 34 % el recuento de espermatozoides seguía siendo bajo (Smit 2021, PMID 33550376).</w:t>
      </w:r>
    </w:p>
    <w:p>
      <w:pPr>
        <w:numPr>
          <w:ilvl w:val="0"/>
          <w:numId w:val="1284"/>
        </w:numPr>
        <w:pStyle w:val="Compact"/>
      </w:pPr>
      <w:r>
        <w:rPr>
          <w:bCs/>
          <w:b/>
        </w:rPr>
        <w:t xml:space="preserve">El mecanismo de acción desaconseja un uso ingenuo.</w:t>
      </w:r>
      <w:r>
        <w:t xml:space="preserve"> </w:t>
      </w:r>
      <w:r>
        <w:t xml:space="preserve">Las inyecciones aisladas solo generan picos breves de LH; las administraciones frecuentes pueden más bien insensibilizar la hipófisis. Sin bomba y sin control analítico no cabe esperar un beneficio, y no puede descartarse un retraso de la recuperación.</w:t>
      </w:r>
    </w:p>
    <w:p>
      <w:pPr>
        <w:numPr>
          <w:ilvl w:val="0"/>
          <w:numId w:val="1284"/>
        </w:numPr>
        <w:pStyle w:val="Compact"/>
      </w:pPr>
      <w:r>
        <w:rPr>
          <w:bCs/>
          <w:b/>
        </w:rPr>
        <w:t xml:space="preserve">Quien tenga molestias tras el uso de esteroides</w:t>
      </w:r>
      <w:r>
        <w:t xml:space="preserve">, como falta de energía, pérdida de libido o un deseo de tener hijos no cumplido, debería consultarlo con un médico, idealmente en una consulta de andrología o endocrinología.</w:t>
      </w:r>
    </w:p>
    <w:p>
      <w:pPr>
        <w:pStyle w:val="FirstParagraph"/>
      </w:pPr>
      <w:r>
        <w:t xml:space="preserve">En el deporte, la gonadorelina está prohibida para los hombres. Los laboratorios antidopaje han desarrollado métodos de detección propios; una revisión describe la gonadorelina como ejemplo de un péptido del que se ha abusado en los últimos años en el deporte de competición (Torrini 2023, PMID 36858006).</w:t>
      </w:r>
    </w:p>
    <w:bookmarkEnd w:id="848"/>
    <w:bookmarkStart w:id="849" w:name="situación-legal-51"/>
    <w:p>
      <w:pPr>
        <w:pStyle w:val="Heading3"/>
      </w:pPr>
      <w:r>
        <w:t xml:space="preserve">Situación legal</w:t>
      </w:r>
    </w:p>
    <w:p>
      <w:pPr>
        <w:pStyle w:val="FirstParagraph"/>
      </w:pPr>
      <w:r>
        <w:rPr>
          <w:iCs/>
          <w:i/>
        </w:rPr>
        <w:t xml:space="preserve">Situación en 2026, compruébese la versión actual.</w:t>
      </w:r>
    </w:p>
    <w:p>
      <w:pPr>
        <w:numPr>
          <w:ilvl w:val="0"/>
          <w:numId w:val="1285"/>
        </w:numPr>
        <w:pStyle w:val="Compact"/>
      </w:pPr>
      <w:r>
        <w:rPr>
          <w:bCs/>
          <w:b/>
        </w:rPr>
        <w:t xml:space="preserve">UE:</w:t>
      </w:r>
      <w:r>
        <w:t xml:space="preserve"> </w:t>
      </w:r>
      <w:r>
        <w:t xml:space="preserve">sin autorización centralizada de la UE; autorizaciones nacionales en varios Estados miembros, entre otras como agente diagnóstico, para la terapia pulsátil con bomba y como espray nasal en la criptorquidia. Los preparados están sujetos a prescripción médica.</w:t>
      </w:r>
    </w:p>
    <w:p>
      <w:pPr>
        <w:numPr>
          <w:ilvl w:val="0"/>
          <w:numId w:val="1285"/>
        </w:numPr>
        <w:pStyle w:val="Compact"/>
      </w:pPr>
      <w:r>
        <w:rPr>
          <w:bCs/>
          <w:b/>
        </w:rPr>
        <w:t xml:space="preserve">Alemania:</w:t>
      </w:r>
      <w:r>
        <w:t xml:space="preserve"> </w:t>
      </w:r>
      <w:r>
        <w:t xml:space="preserve">los preparados para la prueba de GnRH y para la terapia con bomba estaban o están en el mercado; la disponibilidad actual fluctúa. El tratamiento se realiza en centros especializados.</w:t>
      </w:r>
    </w:p>
    <w:p>
      <w:pPr>
        <w:numPr>
          <w:ilvl w:val="0"/>
          <w:numId w:val="1285"/>
        </w:numPr>
        <w:pStyle w:val="Compact"/>
      </w:pPr>
      <w:r>
        <w:rPr>
          <w:bCs/>
          <w:b/>
        </w:rPr>
        <w:t xml:space="preserve">Austria:</w:t>
      </w:r>
      <w:r>
        <w:t xml:space="preserve"> </w:t>
      </w:r>
      <w:r>
        <w:t xml:space="preserve">sujeta a prescripción médica; compruebe la disponibilidad actual de cada preparado en la lista de especialidades farmacéuticas.</w:t>
      </w:r>
    </w:p>
    <w:p>
      <w:pPr>
        <w:numPr>
          <w:ilvl w:val="0"/>
          <w:numId w:val="1285"/>
        </w:numPr>
        <w:pStyle w:val="Compact"/>
      </w:pPr>
      <w:r>
        <w:rPr>
          <w:bCs/>
          <w:b/>
        </w:rPr>
        <w:t xml:space="preserve">EE. UU.:</w:t>
      </w:r>
      <w:r>
        <w:t xml:space="preserve"> </w:t>
      </w:r>
      <w:r>
        <w:t xml:space="preserve">los preparados de uso humano autorizados anteriormente han salido del mercado. Según diversas informaciones, farmacias de formulación magistral ofrecen gonadorelina; la evaluación regulatoria de estas preparaciones está en evolución. Los medicamentos veterinarios con gonadorelina no están destinados a personas.</w:t>
      </w:r>
    </w:p>
    <w:p>
      <w:pPr>
        <w:numPr>
          <w:ilvl w:val="0"/>
          <w:numId w:val="1285"/>
        </w:numPr>
        <w:pStyle w:val="Compact"/>
      </w:pPr>
      <w:r>
        <w:rPr>
          <w:bCs/>
          <w:b/>
        </w:rPr>
        <w:t xml:space="preserve">WADA:</w:t>
      </w:r>
      <w:r>
        <w:t xml:space="preserve"> </w:t>
      </w:r>
      <w:r>
        <w:t xml:space="preserve">S2 – prohibida para los hombres en competición y fuera de ella.</w:t>
      </w:r>
    </w:p>
    <w:bookmarkEnd w:id="849"/>
    <w:bookmarkStart w:id="850" w:name="estudios-en-curso-y-perspectivas-51"/>
    <w:p>
      <w:pPr>
        <w:pStyle w:val="Heading3"/>
      </w:pPr>
      <w:r>
        <w:t xml:space="preserve">Estudios en curso y perspectivas</w:t>
      </w:r>
    </w:p>
    <w:p>
      <w:pPr>
        <w:pStyle w:val="FirstParagraph"/>
      </w:pPr>
      <w:r>
        <w:rPr>
          <w:bCs/>
          <w:b/>
        </w:rPr>
        <w:t xml:space="preserve">Confirmado (estudios registrados):</w:t>
      </w:r>
      <w:r>
        <w:t xml:space="preserve"> </w:t>
      </w:r>
      <w:r>
        <w:t xml:space="preserve">entre los pocos registros que se refieren realmente a la GnRH nativa se encuentran:</w:t>
      </w:r>
    </w:p>
    <w:p>
      <w:pPr>
        <w:numPr>
          <w:ilvl w:val="0"/>
          <w:numId w:val="1286"/>
        </w:numPr>
        <w:pStyle w:val="Compact"/>
      </w:pPr>
      <w:r>
        <w:t xml:space="preserve">estudios finalizados del fabricante Ferring sobre un parche cutáneo que libera la GnRH de forma pulsátil a través de la piel mediante una corriente débil (NCT00296465, con 132 participantes, y NCT00796289, con 350). Según el conocimiento del autor, los resultados de estos estudios no se han publicado en PubMed, y el parche no llegó al mercado;</w:t>
      </w:r>
    </w:p>
    <w:p>
      <w:pPr>
        <w:numPr>
          <w:ilvl w:val="0"/>
          <w:numId w:val="1286"/>
        </w:numPr>
        <w:pStyle w:val="Compact"/>
      </w:pPr>
      <w:r>
        <w:t xml:space="preserve">un estudio retirado en 2025 sobre la administración de GnRH con una bomba de insulina moderna sin tubo (NCT07152730);</w:t>
      </w:r>
    </w:p>
    <w:p>
      <w:pPr>
        <w:numPr>
          <w:ilvl w:val="0"/>
          <w:numId w:val="1286"/>
        </w:numPr>
        <w:pStyle w:val="Compact"/>
      </w:pPr>
      <w:r>
        <w:t xml:space="preserve">estudios chinos sobre la bomba en el déficit hormonal congénito (NCT02310074) y en el SOP (NCT03989024), ambos con estado desconocido.</w:t>
      </w:r>
    </w:p>
    <w:p>
      <w:pPr>
        <w:pStyle w:val="FirstParagraph"/>
      </w:pPr>
      <w:r>
        <w:rPr>
          <w:bCs/>
          <w:b/>
        </w:rPr>
        <w:t xml:space="preserve">Valoración del autor:</w:t>
      </w:r>
      <w:r>
        <w:t xml:space="preserve"> </w:t>
      </w:r>
      <w:r>
        <w:t xml:space="preserve">la gonadorelina es un principio activo antiguo y bien comprendido, cuya importancia en el diagnóstico disminuye porque los análogos de acción corta son más baratos y están más disponibles. Para la terapia con bomba en la amenorrea hipotalámica y en el déficit hormonal congénito sigue siendo una opción fisiológica, cuyo futuro depende menos de nueva investigación que de si los fabricantes siguen abasteciendo estos mercados pequeños. Las bombas modernas sin tubo podrían hacer el tratamiento más cómodo. No hay pruebas de un beneficio en el contexto del culturismo.</w:t>
      </w:r>
    </w:p>
    <w:bookmarkEnd w:id="850"/>
    <w:bookmarkStart w:id="851" w:name="conclusión-51"/>
    <w:p>
      <w:pPr>
        <w:pStyle w:val="Heading3"/>
      </w:pPr>
      <w:r>
        <w:t xml:space="preserve">Conclusión</w:t>
      </w:r>
    </w:p>
    <w:p>
      <w:pPr>
        <w:pStyle w:val="FirstParagraph"/>
      </w:pPr>
      <w:r>
        <w:t xml:space="preserve">La gonadorelina es la réplica sintética de la GnRH endógena y se utiliza desde hace décadas en pruebas funcionales y en la terapia con bomba. Administrada con el ritmo pulsátil correcto, en grandes series de casos llevó a la ovulación en la mayoría de los ciclos en mujeres con amenorrea hipotalámica, con menos embarazos múltiples que con gonadotropinas, y a la producción de espermatozoides en hombres con déficit hormonal congénito. Los datos son antiguos y en su mayoría no aleatorizados; las cifras de los registros están enormemente distorsionadas por los análogos de la GnRH. Su uso en el ambiente del culturismo tras los ciclos de esteroides no está estudiado, contradice su mecanismo de acción y está prohibido en el deporte.</w:t>
      </w:r>
    </w:p>
    <w:bookmarkEnd w:id="851"/>
    <w:bookmarkEnd w:id="852"/>
    <w:bookmarkEnd w:id="853"/>
    <w:bookmarkStart w:id="933" w:name="X487845c5171cd42bf2ef759c9c70f19e05d2ac9"/>
    <w:p>
      <w:pPr>
        <w:pStyle w:val="Heading1"/>
      </w:pPr>
      <w:r>
        <w:t xml:space="preserve">Parte II · F – Colágeno, nutrición y cosmética</w:t>
      </w:r>
    </w:p>
    <w:p>
      <w:pPr>
        <w:pStyle w:val="FirstParagraph"/>
      </w:pPr>
      <w:r>
        <w:t xml:space="preserve">La mayoría de las personas no se encuentran con los péptidos de este grupo en la consulta médica, sino en el supermercado, en la droguería y en la publicidad: como bebida de colágeno, como yogur para la presión arterial, como cápsula deportiva o como «péptido antiedad» en una crema facial. Son de venta libre, se consideran inofensivos y se promocionan con estudios. Precisamente por eso merece la pena examinar con atención lo que muestran esos estudios.</w:t>
      </w:r>
    </w:p>
    <w:bookmarkStart w:id="854" w:name="qué-une-al-grupo"/>
    <w:p>
      <w:pPr>
        <w:pStyle w:val="Heading3"/>
      </w:pPr>
      <w:r>
        <w:t xml:space="preserve">Qué une al grupo</w:t>
      </w:r>
    </w:p>
    <w:p>
      <w:pPr>
        <w:pStyle w:val="FirstParagraph"/>
      </w:pPr>
      <w:r>
        <w:t xml:space="preserve">Las seis sustancias son o bien fragmentos de proteínas endógenas o presentes en los alimentos (péptidos de colágeno, lactotripéptidos de la leche, carnosina, GHK-Cu), o bien imitaciones dirigidas de ellas (Matrixyl, Argireline). Ninguna está autorizada como medicamento. Por eso no se evalúan según los criterios estrictos que rigen para los medicamentos, sino según las normas de los alimentos o los cosméticos.</w:t>
      </w:r>
    </w:p>
    <w:p>
      <w:pPr>
        <w:pStyle w:val="BodyText"/>
      </w:pPr>
      <w:r>
        <w:t xml:space="preserve">De ahí surgen patrones comunes que se repiten en todos los capítulos:</w:t>
      </w:r>
    </w:p>
    <w:p>
      <w:pPr>
        <w:numPr>
          <w:ilvl w:val="0"/>
          <w:numId w:val="1287"/>
        </w:numPr>
        <w:pStyle w:val="Compact"/>
      </w:pPr>
      <w:r>
        <w:rPr>
          <w:bCs/>
          <w:b/>
        </w:rPr>
        <w:t xml:space="preserve">Muchos estudios pequeños, pocos grandes.</w:t>
      </w:r>
      <w:r>
        <w:t xml:space="preserve"> </w:t>
      </w:r>
      <w:r>
        <w:t xml:space="preserve">Lo típico son entre 20 y 150 participantes durante 4 a 24 semanas. Nunca se han estudiado variables de resultado duras como las fracturas óseas, los infartos de miocardio o las prótesis articulares.</w:t>
      </w:r>
    </w:p>
    <w:p>
      <w:pPr>
        <w:numPr>
          <w:ilvl w:val="0"/>
          <w:numId w:val="1287"/>
        </w:numPr>
        <w:pStyle w:val="Compact"/>
      </w:pPr>
      <w:r>
        <w:rPr>
          <w:bCs/>
          <w:b/>
        </w:rPr>
        <w:t xml:space="preserve">Financiación por los fabricantes.</w:t>
      </w:r>
      <w:r>
        <w:t xml:space="preserve"> </w:t>
      </w:r>
      <w:r>
        <w:t xml:space="preserve">Una gran parte de los estudios fue pagada por fabricantes de materias primas o de productos. En el caso del colágeno, un metaanálisis muestra que el beneficio para la piel desaparece cuando solo se consideran los estudios con financiación independiente (Myung 2025, PMID 40324552).</w:t>
      </w:r>
    </w:p>
    <w:p>
      <w:pPr>
        <w:numPr>
          <w:ilvl w:val="0"/>
          <w:numId w:val="1287"/>
        </w:numPr>
        <w:pStyle w:val="Compact"/>
      </w:pPr>
      <w:r>
        <w:rPr>
          <w:bCs/>
          <w:b/>
        </w:rPr>
        <w:t xml:space="preserve">El problema del lugar de acción.</w:t>
      </w:r>
      <w:r>
        <w:t xml:space="preserve"> </w:t>
      </w:r>
      <w:r>
        <w:t xml:space="preserve">Un péptido tiene que llegar allí donde debe actuar. Los péptidos ingeridos se digieren en su mayor parte; los péptidos de las cremas solo atraviesan la barrera cutánea en pequeña medida. Por eso, en cada capítulo es central la cuestión de si el mecanismo demostrado en el laboratorio llega a operar realmente en el cuerpo.</w:t>
      </w:r>
    </w:p>
    <w:p>
      <w:pPr>
        <w:numPr>
          <w:ilvl w:val="0"/>
          <w:numId w:val="1287"/>
        </w:numPr>
        <w:pStyle w:val="Compact"/>
      </w:pPr>
      <w:r>
        <w:rPr>
          <w:bCs/>
          <w:b/>
        </w:rPr>
        <w:t xml:space="preserve">Productos combinados.</w:t>
      </w:r>
      <w:r>
        <w:t xml:space="preserve"> </w:t>
      </w:r>
      <w:r>
        <w:t xml:space="preserve">Muchos productos contienen varios principios activos. Un resultado positivo de un estudio no puede atribuirse entonces a un único péptido.</w:t>
      </w:r>
    </w:p>
    <w:bookmarkEnd w:id="854"/>
    <w:bookmarkStart w:id="855" w:name="Xef4f3e71975570d85279238f3d90ba376c95e7b"/>
    <w:p>
      <w:pPr>
        <w:pStyle w:val="Heading3"/>
      </w:pPr>
      <w:r>
        <w:t xml:space="preserve">Alimentos, cosméticos, medicamentos: tres mundos jurídicos</w:t>
      </w:r>
    </w:p>
    <w:p>
      <w:pPr>
        <w:pStyle w:val="FirstParagraph"/>
      </w:pPr>
      <w:r>
        <w:t xml:space="preserve">Que una sustancia se considere alimento, cosmético o medicamento no lo decide su química, sino su finalidad y su presentación. La Parte I explica con detalle el marco jurídico; para este grupo son importantes tres puntos:</w:t>
      </w:r>
    </w:p>
    <w:p>
      <w:pPr>
        <w:numPr>
          <w:ilvl w:val="0"/>
          <w:numId w:val="1288"/>
        </w:numPr>
        <w:pStyle w:val="Compact"/>
      </w:pPr>
      <w:r>
        <w:t xml:space="preserve">Los</w:t>
      </w:r>
      <w:r>
        <w:t xml:space="preserve"> </w:t>
      </w:r>
      <w:r>
        <w:rPr>
          <w:bCs/>
          <w:b/>
        </w:rPr>
        <w:t xml:space="preserve">alimentos y complementos alimenticios</w:t>
      </w:r>
      <w:r>
        <w:t xml:space="preserve"> </w:t>
      </w:r>
      <w:r>
        <w:t xml:space="preserve">(péptidos de colágeno, lactotripéptidos, carnosina) no necesitan en la UE ninguna autorización ni prueba de eficacia. A cambio, está estrictamente regulado con qué pueden hacer publicidad. Según el Reglamento sobre declaraciones de propiedades saludables (Reglamento (CE) n.º 1924/2006), las declaraciones relacionadas con la salud solo están permitidas si la Autoridad Europea de Seguridad Alimentaria (EFSA) las ha evaluado y la Comisión Europea las ha autorizado.</w:t>
      </w:r>
      <w:r>
        <w:t xml:space="preserve"> </w:t>
      </w:r>
      <w:r>
        <w:rPr>
          <w:bCs/>
          <w:b/>
        </w:rPr>
        <w:t xml:space="preserve">Para el colágeno, los péptidos de colágeno, los lactotripéptidos y la carnosina no existe ni una sola declaración de propiedades saludables autorizada.</w:t>
      </w:r>
      <w:r>
        <w:t xml:space="preserve"> </w:t>
      </w:r>
      <w:r>
        <w:t xml:space="preserve">La EFSA ha evaluado negativamente las declaraciones solicitadas, por ejemplo sobre las articulaciones en el caso del colágeno o sobre la presión arterial en el de los lactotripéptidos. Si aun así un envase de colágeno hace publicidad sobre la piel o los huesos, la declaración legalmente admisible se refiere por lo general a la vitamina C añadida, para la que está autorizada la declaración «contribuye a la formación normal de colágeno».</w:t>
      </w:r>
    </w:p>
    <w:p>
      <w:pPr>
        <w:numPr>
          <w:ilvl w:val="0"/>
          <w:numId w:val="1288"/>
        </w:numPr>
        <w:pStyle w:val="Compact"/>
      </w:pPr>
      <w:r>
        <w:t xml:space="preserve">Los</w:t>
      </w:r>
      <w:r>
        <w:t xml:space="preserve"> </w:t>
      </w:r>
      <w:r>
        <w:rPr>
          <w:bCs/>
          <w:b/>
        </w:rPr>
        <w:t xml:space="preserve">cosméticos</w:t>
      </w:r>
      <w:r>
        <w:t xml:space="preserve"> </w:t>
      </w:r>
      <w:r>
        <w:t xml:space="preserve">(GHK-Cu, Matrixyl, Argireline) están sujetos al Reglamento europeo sobre los productos cosméticos (Reglamento (CE) n.º 1223/2009). Solo pueden aplicarse externamente, deben ser seguros y no pueden atribuirse ningún efecto farmacológico. Las afirmaciones publicitarias deben poder justificarse, pero no existe una evaluación oficial de la eficacia antes de la venta.</w:t>
      </w:r>
    </w:p>
    <w:p>
      <w:pPr>
        <w:numPr>
          <w:ilvl w:val="0"/>
          <w:numId w:val="1288"/>
        </w:numPr>
        <w:pStyle w:val="Compact"/>
      </w:pPr>
      <w:r>
        <w:t xml:space="preserve">Los</w:t>
      </w:r>
      <w:r>
        <w:t xml:space="preserve"> </w:t>
      </w:r>
      <w:r>
        <w:rPr>
          <w:bCs/>
          <w:b/>
        </w:rPr>
        <w:t xml:space="preserve">medicamentos</w:t>
      </w:r>
      <w:r>
        <w:t xml:space="preserve"> </w:t>
      </w:r>
      <w:r>
        <w:t xml:space="preserve">deben demostrar su eficacia y seguridad en estudios y ser autorizados. Si un péptido cosmético se inyecta –como ocurre con el GHK-Cu y la Argireline en el mercado gris–, abandona el mundo de la cosmética: se convierte en un medicamento no autorizado, sin que existan para ello estudios ni controles de calidad.</w:t>
      </w:r>
    </w:p>
    <w:p>
      <w:pPr>
        <w:pStyle w:val="FirstParagraph"/>
      </w:pPr>
      <w:r>
        <w:t xml:space="preserve">En EE. UU. rigen principios similares; no obstante, allí los complementos alimenticios pueden anunciarse con «declaraciones de estructura y función» generales, siempre que lleven una advertencia de que la FDA no las ha evaluado (situación en 2026, compruébese la versión actual).</w:t>
      </w:r>
    </w:p>
    <w:bookmarkEnd w:id="855"/>
    <w:bookmarkStart w:id="856" w:name="visión-general-3"/>
    <w:p>
      <w:pPr>
        <w:pStyle w:val="Heading3"/>
      </w:pPr>
      <w:r>
        <w:t xml:space="preserve">Visión general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w:t>
            </w:r>
          </w:p>
        </w:tc>
        <w:tc>
          <w:tcPr/>
          <w:p>
            <w:pPr>
              <w:pStyle w:val="Compact"/>
              <w:jc w:val="left"/>
            </w:pPr>
            <w:r>
              <w:t xml:space="preserve">En resumen</w:t>
            </w:r>
          </w:p>
        </w:tc>
      </w:tr>
      <w:tr>
        <w:tc>
          <w:tcPr/>
          <w:p>
            <w:pPr>
              <w:pStyle w:val="Compact"/>
              <w:jc w:val="left"/>
            </w:pPr>
            <w:r>
              <w:t xml:space="preserve">Péptidos de colágeno</w:t>
            </w:r>
          </w:p>
        </w:tc>
        <w:tc>
          <w:tcPr/>
          <w:p>
            <w:pPr>
              <w:pStyle w:val="Compact"/>
              <w:jc w:val="left"/>
            </w:pPr>
            <w:r>
              <w:t xml:space="preserve">B</w:t>
            </w:r>
          </w:p>
        </w:tc>
        <w:tc>
          <w:tcPr/>
          <w:p>
            <w:pPr>
              <w:pStyle w:val="Compact"/>
              <w:jc w:val="left"/>
            </w:pPr>
            <w:r>
              <w:t xml:space="preserve">Alimento, sin declaración saludable</w:t>
            </w:r>
          </w:p>
        </w:tc>
        <w:tc>
          <w:tcPr/>
          <w:p>
            <w:pPr>
              <w:pStyle w:val="Compact"/>
              <w:jc w:val="left"/>
            </w:pPr>
            <w:r>
              <w:t xml:space="preserve">Pequeños efectos sobre el dolor articular; beneficio para la piel no demostrado en estudios independientes</w:t>
            </w:r>
          </w:p>
        </w:tc>
      </w:tr>
      <w:tr>
        <w:tc>
          <w:tcPr/>
          <w:p>
            <w:pPr>
              <w:pStyle w:val="Compact"/>
              <w:jc w:val="left"/>
            </w:pPr>
            <w:r>
              <w:t xml:space="preserve">Lactotripéptidos (VPP/IPP)</w:t>
            </w:r>
          </w:p>
        </w:tc>
        <w:tc>
          <w:tcPr/>
          <w:p>
            <w:pPr>
              <w:pStyle w:val="Compact"/>
              <w:jc w:val="left"/>
            </w:pPr>
            <w:r>
              <w:t xml:space="preserve">B</w:t>
            </w:r>
          </w:p>
        </w:tc>
        <w:tc>
          <w:tcPr/>
          <w:p>
            <w:pPr>
              <w:pStyle w:val="Compact"/>
              <w:jc w:val="left"/>
            </w:pPr>
            <w:r>
              <w:t xml:space="preserve">Alimento, declaración sobre la presión arterial rechazada</w:t>
            </w:r>
          </w:p>
        </w:tc>
        <w:tc>
          <w:tcPr/>
          <w:p>
            <w:pPr>
              <w:pStyle w:val="Compact"/>
              <w:jc w:val="left"/>
            </w:pPr>
            <w:r>
              <w:t xml:space="preserve">Reducción de la presión arterial de unos 1–4 mmHg, apenas demostrable en Europa</w:t>
            </w:r>
          </w:p>
        </w:tc>
      </w:tr>
      <w:tr>
        <w:tc>
          <w:tcPr/>
          <w:p>
            <w:pPr>
              <w:pStyle w:val="Compact"/>
              <w:jc w:val="left"/>
            </w:pPr>
            <w:r>
              <w:t xml:space="preserve">Carnosina</w:t>
            </w:r>
          </w:p>
        </w:tc>
        <w:tc>
          <w:tcPr/>
          <w:p>
            <w:pPr>
              <w:pStyle w:val="Compact"/>
              <w:jc w:val="left"/>
            </w:pPr>
            <w:r>
              <w:t xml:space="preserve">B</w:t>
            </w:r>
          </w:p>
        </w:tc>
        <w:tc>
          <w:tcPr/>
          <w:p>
            <w:pPr>
              <w:pStyle w:val="Compact"/>
              <w:jc w:val="left"/>
            </w:pPr>
            <w:r>
              <w:t xml:space="preserve">Complemento alimenticio, sin declaración saludable</w:t>
            </w:r>
          </w:p>
        </w:tc>
        <w:tc>
          <w:tcPr/>
          <w:p>
            <w:pPr>
              <w:pStyle w:val="Compact"/>
              <w:jc w:val="left"/>
            </w:pPr>
            <w:r>
              <w:t xml:space="preserve">Indicios sobre la glucemia; en el deporte, su precursor, la beta-alanina, está mejor documentado</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Cosmético; inyección no autorizada</w:t>
            </w:r>
          </w:p>
        </w:tc>
        <w:tc>
          <w:tcPr/>
          <w:p>
            <w:pPr>
              <w:pStyle w:val="Compact"/>
              <w:jc w:val="left"/>
            </w:pPr>
            <w:r>
              <w:t xml:space="preserve">Un antiguo estudio sobre heridas; apenas datos cutáneos; inyección no evaluada</w:t>
            </w:r>
          </w:p>
        </w:tc>
      </w:tr>
      <w:tr>
        <w:tc>
          <w:tcPr/>
          <w:p>
            <w:pPr>
              <w:pStyle w:val="Compact"/>
              <w:jc w:val="left"/>
            </w:pPr>
            <w:r>
              <w:t xml:space="preserve">Palmitoil pentapéptido-4 (Matrixyl)</w:t>
            </w:r>
          </w:p>
        </w:tc>
        <w:tc>
          <w:tcPr/>
          <w:p>
            <w:pPr>
              <w:pStyle w:val="Compact"/>
              <w:jc w:val="left"/>
            </w:pPr>
            <w:r>
              <w:t xml:space="preserve">B</w:t>
            </w:r>
          </w:p>
        </w:tc>
        <w:tc>
          <w:tcPr/>
          <w:p>
            <w:pPr>
              <w:pStyle w:val="Compact"/>
              <w:jc w:val="left"/>
            </w:pPr>
            <w:r>
              <w:t xml:space="preserve">Cosmético</w:t>
            </w:r>
          </w:p>
        </w:tc>
        <w:tc>
          <w:tcPr/>
          <w:p>
            <w:pPr>
              <w:pStyle w:val="Compact"/>
              <w:jc w:val="left"/>
            </w:pPr>
            <w:r>
              <w:t xml:space="preserve">Un estudio de hemicara de 2005; penetración cutánea incierta</w:t>
            </w:r>
          </w:p>
        </w:tc>
      </w:tr>
      <w:tr>
        <w:tc>
          <w:tcPr/>
          <w:p>
            <w:pPr>
              <w:pStyle w:val="Compact"/>
              <w:jc w:val="left"/>
            </w:pPr>
            <w:r>
              <w:t xml:space="preserve">Acetil hexapéptido-8 (Argireline)</w:t>
            </w:r>
          </w:p>
        </w:tc>
        <w:tc>
          <w:tcPr/>
          <w:p>
            <w:pPr>
              <w:pStyle w:val="Compact"/>
              <w:jc w:val="left"/>
            </w:pPr>
            <w:r>
              <w:t xml:space="preserve">B</w:t>
            </w:r>
          </w:p>
        </w:tc>
        <w:tc>
          <w:tcPr/>
          <w:p>
            <w:pPr>
              <w:pStyle w:val="Compact"/>
              <w:jc w:val="left"/>
            </w:pPr>
            <w:r>
              <w:t xml:space="preserve">Cosmético</w:t>
            </w:r>
          </w:p>
        </w:tc>
        <w:tc>
          <w:tcPr/>
          <w:p>
            <w:pPr>
              <w:pStyle w:val="Compact"/>
              <w:jc w:val="left"/>
            </w:pPr>
            <w:r>
              <w:t xml:space="preserve">«Bótox en tubo» no demostrado; apenas penetra en la piel</w:t>
            </w:r>
          </w:p>
        </w:tc>
      </w:tr>
    </w:tbl>
    <w:p>
      <w:pPr>
        <w:pStyle w:val="BodyText"/>
      </w:pPr>
      <w:r>
        <w:t xml:space="preserve">En este grupo, la clasificación B no significa expresamente que haya un efecto demostrado, sino solo que existen estudios aleatorizados.</w:t>
      </w:r>
    </w:p>
    <w:bookmarkEnd w:id="856"/>
    <w:bookmarkStart w:id="857" w:name="indicaciones-de-lectura-2"/>
    <w:p>
      <w:pPr>
        <w:pStyle w:val="Heading3"/>
      </w:pPr>
      <w:r>
        <w:t xml:space="preserve">Indicaciones de lectura</w:t>
      </w:r>
    </w:p>
    <w:p>
      <w:pPr>
        <w:pStyle w:val="FirstParagraph"/>
      </w:pPr>
      <w:r>
        <w:t xml:space="preserve">El capítulo sobre los</w:t>
      </w:r>
      <w:r>
        <w:t xml:space="preserve"> </w:t>
      </w:r>
      <w:r>
        <w:rPr>
          <w:bCs/>
          <w:b/>
        </w:rPr>
        <w:t xml:space="preserve">péptidos de colágeno</w:t>
      </w:r>
      <w:r>
        <w:t xml:space="preserve"> </w:t>
      </w:r>
      <w:r>
        <w:t xml:space="preserve">es el más extenso, porque es sobre ellos donde hay más estudios y porque con ellos se aprecia bien cómo interactúan los metaanálisis, la financiación por los fabricantes y el efecto placebo. Si solo lee un capítulo de este grupo, elija este. El capítulo sobre los</w:t>
      </w:r>
      <w:r>
        <w:t xml:space="preserve"> </w:t>
      </w:r>
      <w:r>
        <w:rPr>
          <w:bCs/>
          <w:b/>
        </w:rPr>
        <w:t xml:space="preserve">lactotripéptidos</w:t>
      </w:r>
      <w:r>
        <w:t xml:space="preserve"> </w:t>
      </w:r>
      <w:r>
        <w:t xml:space="preserve">es una lección sobre cómo un mecanismo de laboratorio convincente puede reducirse en estudios más grandes. Los tres</w:t>
      </w:r>
      <w:r>
        <w:t xml:space="preserve"> </w:t>
      </w:r>
      <w:r>
        <w:rPr>
          <w:bCs/>
          <w:b/>
        </w:rPr>
        <w:t xml:space="preserve">péptidos cosméticos</w:t>
      </w:r>
      <w:r>
        <w:t xml:space="preserve"> </w:t>
      </w:r>
      <w:r>
        <w:t xml:space="preserve">son más breves; comparten la misma pregunta central: si un principio activo de una crema llega realmente allí donde debe actuar. Los riesgos de las inyecciones del mercado gris se tratan con detalle en la Parte IV.</w:t>
      </w:r>
    </w:p>
    <w:bookmarkEnd w:id="857"/>
    <w:bookmarkStart w:id="873" w:name="Xb9469450ce1ba224ba959f20e68590d0ea028cd"/>
    <w:p>
      <w:pPr>
        <w:pStyle w:val="Heading2"/>
      </w:pPr>
      <w:r>
        <w:t xml:space="preserve">Péptidos de colágeno (colágeno hidrolizado)</w:t>
      </w:r>
    </w:p>
    <w:bookmarkStart w:id="858" w:name="ficha-52"/>
    <w:p>
      <w:pPr>
        <w:pStyle w:val="Heading3"/>
      </w:pPr>
      <w:r>
        <w:t xml:space="preserve">Ficha</w:t>
      </w:r>
    </w:p>
    <w:p>
      <w:pPr>
        <w:numPr>
          <w:ilvl w:val="0"/>
          <w:numId w:val="1289"/>
        </w:numPr>
        <w:pStyle w:val="Compact"/>
      </w:pPr>
      <w:r>
        <w:rPr>
          <w:bCs/>
          <w:b/>
        </w:rPr>
        <w:t xml:space="preserve">Tipo/estructura:</w:t>
      </w:r>
      <w:r>
        <w:t xml:space="preserve"> </w:t>
      </w:r>
      <w:r>
        <w:t xml:space="preserve">mezcla de péptidos de distinta longitud obtenida por escisión enzimática (hidrólisis) del colágeno o de la gelatina. Los productos típicos contienen fragmentos con una masa molecular media de unos 2000 a 5000 daltons. Son característicos los aminoácidos glicina, prolina e hidroxiprolina; falta el aminoácido esencial triptófano.</w:t>
      </w:r>
    </w:p>
    <w:p>
      <w:pPr>
        <w:numPr>
          <w:ilvl w:val="0"/>
          <w:numId w:val="1289"/>
        </w:numPr>
        <w:pStyle w:val="Compact"/>
      </w:pPr>
      <w:r>
        <w:rPr>
          <w:bCs/>
          <w:b/>
        </w:rPr>
        <w:t xml:space="preserve">Origen:</w:t>
      </w:r>
      <w:r>
        <w:t xml:space="preserve"> </w:t>
      </w:r>
      <w:r>
        <w:t xml:space="preserve">piel, huesos o escamas de vacuno, porcino, pollo y pescado, subproductos de la industria cárnica y pesquera. Muchos estudios utilizan materias primas de marca registrada (p. ej., Verisol, Fortigel, Bodybalance, Tendoforte) procedentes de unos pocos fabricantes.</w:t>
      </w:r>
    </w:p>
    <w:p>
      <w:pPr>
        <w:numPr>
          <w:ilvl w:val="0"/>
          <w:numId w:val="1289"/>
        </w:numPr>
        <w:pStyle w:val="Compact"/>
      </w:pPr>
      <w:r>
        <w:rPr>
          <w:bCs/>
          <w:b/>
        </w:rPr>
        <w:t xml:space="preserve">Mecanismo de acción:</w:t>
      </w:r>
      <w:r>
        <w:t xml:space="preserve"> </w:t>
      </w:r>
      <w:r>
        <w:t xml:space="preserve">aporte de componentes para el tejido conjuntivo propio; además, se debate si ciertos péptidos pequeños (sobre todo la prolil-hidroxiprolina) actúan como señales sobre las células del tejido conjuntivo.</w:t>
      </w:r>
    </w:p>
    <w:p>
      <w:pPr>
        <w:numPr>
          <w:ilvl w:val="0"/>
          <w:numId w:val="1289"/>
        </w:numPr>
        <w:pStyle w:val="Compact"/>
      </w:pPr>
      <w:r>
        <w:rPr>
          <w:bCs/>
          <w:b/>
        </w:rPr>
        <w:t xml:space="preserve">Diferenciación:</w:t>
      </w:r>
      <w:r>
        <w:t xml:space="preserve"> </w:t>
      </w:r>
      <w:r>
        <w:t xml:space="preserve">el colágeno de tipo II</w:t>
      </w:r>
      <w:r>
        <w:t xml:space="preserve"> </w:t>
      </w:r>
      <w:r>
        <w:rPr>
          <w:iCs/>
          <w:i/>
        </w:rPr>
        <w:t xml:space="preserve">no desnaturalizado</w:t>
      </w:r>
      <w:r>
        <w:t xml:space="preserve"> </w:t>
      </w:r>
      <w:r>
        <w:t xml:space="preserve">(p. ej., UC-II) es un producto distinto con otro mecanismo de acción y se comenta por separado más abajo.</w:t>
      </w:r>
    </w:p>
    <w:p>
      <w:pPr>
        <w:numPr>
          <w:ilvl w:val="0"/>
          <w:numId w:val="1289"/>
        </w:numPr>
        <w:pStyle w:val="Compact"/>
      </w:pPr>
      <w:r>
        <w:rPr>
          <w:bCs/>
          <w:b/>
        </w:rPr>
        <w:t xml:space="preserve">Autorización en la UE:</w:t>
      </w:r>
      <w:r>
        <w:t xml:space="preserve"> </w:t>
      </w:r>
      <w:r>
        <w:t xml:space="preserve">sin autorización como medicamento; comercializable como alimento o complemento alimenticio. Para el propio colágeno</w:t>
      </w:r>
      <w:r>
        <w:t xml:space="preserve"> </w:t>
      </w:r>
      <w:r>
        <w:rPr>
          <w:bCs/>
          <w:b/>
        </w:rPr>
        <w:t xml:space="preserve">no</w:t>
      </w:r>
      <w:r>
        <w:t xml:space="preserve"> </w:t>
      </w:r>
      <w:r>
        <w:t xml:space="preserve">existe ninguna declaración de propiedades saludables (health claim) autorizada.</w:t>
      </w:r>
    </w:p>
    <w:p>
      <w:pPr>
        <w:numPr>
          <w:ilvl w:val="0"/>
          <w:numId w:val="1289"/>
        </w:numPr>
        <w:pStyle w:val="Compact"/>
      </w:pPr>
      <w:r>
        <w:rPr>
          <w:bCs/>
          <w:b/>
        </w:rPr>
        <w:t xml:space="preserve">Autorización en EE. UU.:</w:t>
      </w:r>
      <w:r>
        <w:t xml:space="preserve"> </w:t>
      </w:r>
      <w:r>
        <w:t xml:space="preserve">sin autorización como medicamento; se comercializa como complemento alimenticio (dietary supplement).</w:t>
      </w:r>
    </w:p>
    <w:p>
      <w:pPr>
        <w:numPr>
          <w:ilvl w:val="0"/>
          <w:numId w:val="1289"/>
        </w:numPr>
        <w:pStyle w:val="Compact"/>
      </w:pPr>
      <w:r>
        <w:rPr>
          <w:bCs/>
          <w:b/>
        </w:rPr>
        <w:t xml:space="preserve">WADA:</w:t>
      </w:r>
      <w:r>
        <w:t xml:space="preserve"> </w:t>
      </w:r>
      <w:r>
        <w:t xml:space="preserve">no figura en la lista (situación en 2026, compruébese la versión actual).</w:t>
      </w:r>
    </w:p>
    <w:p>
      <w:pPr>
        <w:numPr>
          <w:ilvl w:val="0"/>
          <w:numId w:val="1289"/>
        </w:numPr>
        <w:pStyle w:val="Compact"/>
      </w:pPr>
      <w:r>
        <w:rPr>
          <w:bCs/>
          <w:b/>
        </w:rPr>
        <w:t xml:space="preserve">Nivel de evidencia:</w:t>
      </w:r>
      <w:r>
        <w:t xml:space="preserve"> </w:t>
      </w:r>
      <w:r>
        <w:rPr>
          <w:bCs/>
          <w:b/>
        </w:rPr>
        <w:t xml:space="preserve">B</w:t>
      </w:r>
      <w:r>
        <w:t xml:space="preserve"> </w:t>
      </w:r>
      <w:r>
        <w:t xml:space="preserve">– numerosos estudios aleatorizados y controlados con placebo, aunque en su mayoría pequeños, cortos y financiados por los fabricantes.</w:t>
      </w:r>
    </w:p>
    <w:bookmarkEnd w:id="858"/>
    <w:bookmarkStart w:id="859" w:name="cómo-se-supone-que-actúa-52"/>
    <w:p>
      <w:pPr>
        <w:pStyle w:val="Heading3"/>
      </w:pPr>
      <w:r>
        <w:t xml:space="preserve">Cómo se supone que actúa</w:t>
      </w:r>
    </w:p>
    <w:p>
      <w:pPr>
        <w:pStyle w:val="FirstParagraph"/>
      </w:pPr>
      <w:r>
        <w:t xml:space="preserve">El colágeno es la proteína más abundante del cuerpo humano. Forma el armazón de la piel, los tendones, los ligamentos, el cartílago y los huesos. Su unidad básica es una triple hélice de tres cadenas proteicas en las que se repite constantemente un patrón: glicina, luego un aminoácido cualquiera y luego, con frecuencia, prolina o hidroxiprolina. Con la edad disminuye la producción de colágeno en la piel y la red de colágeno se vuelve más frágil, lo que se aprecia en forma de arrugas y pérdida de firmeza.</w:t>
      </w:r>
    </w:p>
    <w:p>
      <w:pPr>
        <w:pStyle w:val="BodyText"/>
      </w:pPr>
      <w:r>
        <w:t xml:space="preserve">La publicidad sugiere a menudo una lógica sencilla: quien come colágeno forma colágeno. La digestión no funciona así. Las proteínas se descomponen en el estómago y el intestino delgado en gran medida en aminoácidos individuales y péptidos muy pequeños; a partir de ellos, el cuerpo vuelve a ensamblar sus proteínas según sus propias necesidades. Por tanto, el colágeno de la dieta no se «incorpora» como colágeno a la piel.</w:t>
      </w:r>
    </w:p>
    <w:p>
      <w:pPr>
        <w:pStyle w:val="BodyText"/>
      </w:pPr>
      <w:r>
        <w:t xml:space="preserve">Sin embargo, hay dos hipótesis serias de por qué los péptidos de colágeno podrían tener algún efecto:</w:t>
      </w:r>
    </w:p>
    <w:p>
      <w:pPr>
        <w:numPr>
          <w:ilvl w:val="0"/>
          <w:numId w:val="1290"/>
        </w:numPr>
        <w:pStyle w:val="Compact"/>
      </w:pPr>
      <w:r>
        <w:rPr>
          <w:bCs/>
          <w:b/>
        </w:rPr>
        <w:t xml:space="preserve">Péptidos señal.</w:t>
      </w:r>
      <w:r>
        <w:t xml:space="preserve"> </w:t>
      </w:r>
      <w:r>
        <w:t xml:space="preserve">Los dipéptidos y tripéptidos que contienen hidroxiprolina son inusualmente estables frente a las enzimas digestivas. Tras beber hidrolizado de gelatina, en voluntarios aumentó claramente la concentración en sangre de hidroxiprolina unida a péptidos, que alcanzó un máximo al cabo de una a dos horas; el componente principal fue el dipéptido prolil-hidroxiprolina (Iwai 2005, PMID 16076145). Algo similar se observó con un preparado con una alta proporción de tripéptidos (Yamamoto 2016, PMID 26934933). En cultivos celulares y en experimentos con animales, estos péptidos estimulan el crecimiento de las células del tejido conjuntivo (fibroblastos) y la formación de componentes de la matriz. No está demostrado con seguridad si las cantidades alcanzadas en la sangre humana bastan para provocar un efecto medible en la piel o el cartílago.</w:t>
      </w:r>
    </w:p>
    <w:p>
      <w:pPr>
        <w:numPr>
          <w:ilvl w:val="0"/>
          <w:numId w:val="1290"/>
        </w:numPr>
        <w:pStyle w:val="Compact"/>
      </w:pPr>
      <w:r>
        <w:rPr>
          <w:bCs/>
          <w:b/>
        </w:rPr>
        <w:t xml:space="preserve">Aporte de material de construcción.</w:t>
      </w:r>
      <w:r>
        <w:t xml:space="preserve"> </w:t>
      </w:r>
      <w:r>
        <w:t xml:space="preserve">Los péptidos de colágeno aportan grandes cantidades de glicina, prolina e hidroxiprolina. En un pequeño estudio con ocho hombres, el marcador sanguíneo de nueva formación de colágeno se duplicó cuando tomaron 15 g de gelatina enriquecida con vitamina C una hora antes de un breve esfuerzo de saltos (Shaw 2017, PMID 27852613). Esto respalda la idea de combinar en el tiempo los péptidos de colágeno con el esfuerzo, pero es un valor medido en sangre, no una prueba de tendones más fuertes.</w:t>
      </w:r>
    </w:p>
    <w:p>
      <w:pPr>
        <w:pStyle w:val="FirstParagraph"/>
      </w:pPr>
      <w:r>
        <w:t xml:space="preserve">Importante para situarlo: como fuente de proteínas, el colágeno es incompleto. Como le falta triptófano, en investigación se utiliza incluso deliberadamente una mezcla de péptidos a base de gelatina para reducir a corto plazo la concentración de triptófano en sangre (Stenbæk 2016, PMID 26655163). Para el desarrollo muscular, el colágeno es por tanto inferior a otras proteínas; más información al respecto, más abajo.</w:t>
      </w:r>
    </w:p>
    <w:bookmarkEnd w:id="859"/>
    <w:bookmarkStart w:id="867" w:name="estudios-en-humanos-52"/>
    <w:p>
      <w:pPr>
        <w:pStyle w:val="Heading3"/>
      </w:pPr>
      <w:r>
        <w:t xml:space="preserve">Estudios en humanos</w:t>
      </w:r>
    </w:p>
    <w:p>
      <w:pPr>
        <w:pStyle w:val="FirstParagraph"/>
      </w:pPr>
      <w:r>
        <w:t xml:space="preserve">La evidencia es amplia, pero heterogénea. La consulta en PubMed evaluada para este libro (colágeno hidrolizado o péptidos de colágeno en combinación con ingesta o suplementación, fecha de consulta octubre de 2026) arrojó 101 estudios en humanos. En ClinicalTrials.gov, la búsqueda «collagen peptides» encontró 237 registros; no obstante, una parte considerable de ellos trata otros temas (por ejemplo, implantes de colágeno en odontología o el medicamento antitumoral endostatina, un fragmento de colágeno). A ello se suman al menos una docena de metaanálisis.</w:t>
      </w:r>
    </w:p>
    <w:p>
      <w:pPr>
        <w:pStyle w:val="BodyText"/>
      </w:pPr>
      <w:r>
        <w:t xml:space="preserve">Tres características marcan casi todos los estudios y conviene tenerlas presentes al leerlos:</w:t>
      </w:r>
    </w:p>
    <w:p>
      <w:pPr>
        <w:numPr>
          <w:ilvl w:val="0"/>
          <w:numId w:val="1291"/>
        </w:numPr>
        <w:pStyle w:val="Compact"/>
      </w:pPr>
      <w:r>
        <w:rPr>
          <w:bCs/>
          <w:b/>
        </w:rPr>
        <w:t xml:space="preserve">Tamaños muestrales pequeños y corta duración:</w:t>
      </w:r>
      <w:r>
        <w:t xml:space="preserve"> </w:t>
      </w:r>
      <w:r>
        <w:t xml:space="preserve">en general, entre 40 y 150 participantes durante 8 a 24 semanas.</w:t>
      </w:r>
    </w:p>
    <w:p>
      <w:pPr>
        <w:numPr>
          <w:ilvl w:val="0"/>
          <w:numId w:val="1291"/>
        </w:numPr>
        <w:pStyle w:val="Compact"/>
      </w:pPr>
      <w:r>
        <w:rPr>
          <w:bCs/>
          <w:b/>
        </w:rPr>
        <w:t xml:space="preserve">Financiación por los fabricantes:</w:t>
      </w:r>
      <w:r>
        <w:t xml:space="preserve"> </w:t>
      </w:r>
      <w:r>
        <w:t xml:space="preserve">una gran parte de los estudios fue pagada por los fabricantes de materias primas o de productos, o coescrita por sus empleados. Con frecuencia se prueban mezclas de péptidos de marca registrada.</w:t>
      </w:r>
    </w:p>
    <w:p>
      <w:pPr>
        <w:numPr>
          <w:ilvl w:val="0"/>
          <w:numId w:val="1291"/>
        </w:numPr>
        <w:pStyle w:val="Compact"/>
      </w:pPr>
      <w:r>
        <w:rPr>
          <w:bCs/>
          <w:b/>
        </w:rPr>
        <w:t xml:space="preserve">Productos combinados:</w:t>
      </w:r>
      <w:r>
        <w:t xml:space="preserve"> </w:t>
      </w:r>
      <w:r>
        <w:t xml:space="preserve">muchas «bebidas de colágeno» contienen además vitamina C, zinc, biotina, ácido hialurónico o extractos vegetales. Un resultado positivo no puede atribuirse entonces solo al colágeno.</w:t>
      </w:r>
    </w:p>
    <w:bookmarkStart w:id="860" w:name="piel-hidratación-elasticidad-arrugas"/>
    <w:p>
      <w:pPr>
        <w:pStyle w:val="Heading4"/>
      </w:pPr>
      <w:r>
        <w:t xml:space="preserve">Piel: hidratación, elasticidad, arrugas</w:t>
      </w:r>
    </w:p>
    <w:p>
      <w:pPr>
        <w:pStyle w:val="FirstParagraph"/>
      </w:pPr>
      <w:r>
        <w:t xml:space="preserve">Los estudios sobre la piel son los más numerosos. Por lo general se mide con aparatos: corneómetro (hidratación del estrato córneo), cutómetro (elasticidad), réplicas cutáneas o cámaras 3D (profundidad de las arrugas), ecografía (densidad de la dermis).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Proksch 2014a, PMID 23949208</w:t>
            </w:r>
          </w:p>
        </w:tc>
        <w:tc>
          <w:tcPr/>
          <w:p>
            <w:pPr>
              <w:pStyle w:val="Compact"/>
              <w:jc w:val="left"/>
            </w:pPr>
            <w:r>
              <w:t xml:space="preserve">69 mujeres (35–55 años), 2,5 g o 5 g frente a placebo</w:t>
            </w:r>
          </w:p>
        </w:tc>
        <w:tc>
          <w:tcPr/>
          <w:p>
            <w:pPr>
              <w:pStyle w:val="Compact"/>
              <w:jc w:val="left"/>
            </w:pPr>
            <w:r>
              <w:t xml:space="preserve">8 semanas</w:t>
            </w:r>
          </w:p>
        </w:tc>
        <w:tc>
          <w:tcPr/>
          <w:p>
            <w:pPr>
              <w:pStyle w:val="Compact"/>
              <w:jc w:val="left"/>
            </w:pPr>
            <w:r>
              <w:t xml:space="preserve">Elasticidad significativamente mejor que con placebo en ambos grupos de dosis; hidratación no significativa</w:t>
            </w:r>
          </w:p>
        </w:tc>
      </w:tr>
      <w:tr>
        <w:tc>
          <w:tcPr/>
          <w:p>
            <w:pPr>
              <w:pStyle w:val="Compact"/>
              <w:jc w:val="left"/>
            </w:pPr>
            <w:r>
              <w:t xml:space="preserve">Proksch 2014b, PMID 24401291</w:t>
            </w:r>
          </w:p>
        </w:tc>
        <w:tc>
          <w:tcPr/>
          <w:p>
            <w:pPr>
              <w:pStyle w:val="Compact"/>
              <w:jc w:val="left"/>
            </w:pPr>
            <w:r>
              <w:t xml:space="preserve">114 mujeres (45–65 años), 2,5 g de Verisol frente a placebo</w:t>
            </w:r>
          </w:p>
        </w:tc>
        <w:tc>
          <w:tcPr/>
          <w:p>
            <w:pPr>
              <w:pStyle w:val="Compact"/>
              <w:jc w:val="left"/>
            </w:pPr>
            <w:r>
              <w:t xml:space="preserve">8 semanas</w:t>
            </w:r>
          </w:p>
        </w:tc>
        <w:tc>
          <w:tcPr/>
          <w:p>
            <w:pPr>
              <w:pStyle w:val="Compact"/>
              <w:jc w:val="left"/>
            </w:pPr>
            <w:r>
              <w:t xml:space="preserve">Volumen de arrugas perioculares −20 % frente a placebo; procolágeno I en muestras cutáneas +65 %</w:t>
            </w:r>
          </w:p>
        </w:tc>
      </w:tr>
      <w:tr>
        <w:tc>
          <w:tcPr/>
          <w:p>
            <w:pPr>
              <w:pStyle w:val="Compact"/>
              <w:jc w:val="left"/>
            </w:pPr>
            <w:r>
              <w:t xml:space="preserve">Kim 2018, PMID 29949889</w:t>
            </w:r>
          </w:p>
        </w:tc>
        <w:tc>
          <w:tcPr/>
          <w:p>
            <w:pPr>
              <w:pStyle w:val="Compact"/>
              <w:jc w:val="left"/>
            </w:pPr>
            <w:r>
              <w:t xml:space="preserve">64 personas, 1 g de péptido de bajo peso molecular frente a placebo</w:t>
            </w:r>
          </w:p>
        </w:tc>
        <w:tc>
          <w:tcPr/>
          <w:p>
            <w:pPr>
              <w:pStyle w:val="Compact"/>
              <w:jc w:val="left"/>
            </w:pPr>
            <w:r>
              <w:t xml:space="preserve">12 semanas</w:t>
            </w:r>
          </w:p>
        </w:tc>
        <w:tc>
          <w:tcPr/>
          <w:p>
            <w:pPr>
              <w:pStyle w:val="Compact"/>
              <w:jc w:val="left"/>
            </w:pPr>
            <w:r>
              <w:t xml:space="preserve">Hidratación y tres parámetros de arrugas mejores que con placebo; elasticidad en parte</w:t>
            </w:r>
          </w:p>
        </w:tc>
      </w:tr>
      <w:tr>
        <w:tc>
          <w:tcPr/>
          <w:p>
            <w:pPr>
              <w:pStyle w:val="Compact"/>
              <w:jc w:val="left"/>
            </w:pPr>
            <w:r>
              <w:t xml:space="preserve">Bolke 2019, PMID 31627309</w:t>
            </w:r>
          </w:p>
        </w:tc>
        <w:tc>
          <w:tcPr/>
          <w:p>
            <w:pPr>
              <w:pStyle w:val="Compact"/>
              <w:jc w:val="left"/>
            </w:pPr>
            <w:r>
              <w:t xml:space="preserve">72 mujeres a partir de 35 años, ampolla bebible con 2,5 g de péptidos más vitaminas, zinc y acerola frente a placebo</w:t>
            </w:r>
          </w:p>
        </w:tc>
        <w:tc>
          <w:tcPr/>
          <w:p>
            <w:pPr>
              <w:pStyle w:val="Compact"/>
              <w:jc w:val="left"/>
            </w:pPr>
            <w:r>
              <w:t xml:space="preserve">12 semanas</w:t>
            </w:r>
          </w:p>
        </w:tc>
        <w:tc>
          <w:tcPr/>
          <w:p>
            <w:pPr>
              <w:pStyle w:val="Compact"/>
              <w:jc w:val="left"/>
            </w:pPr>
            <w:r>
              <w:t xml:space="preserve">Hidratación, elasticidad, rugosidad y densidad mejores que con placebo (producto combinado)</w:t>
            </w:r>
          </w:p>
        </w:tc>
      </w:tr>
      <w:tr>
        <w:tc>
          <w:tcPr/>
          <w:p>
            <w:pPr>
              <w:pStyle w:val="Compact"/>
              <w:jc w:val="left"/>
            </w:pPr>
            <w:r>
              <w:t xml:space="preserve">Kim 2022, PMID 36516059</w:t>
            </w:r>
          </w:p>
        </w:tc>
        <w:tc>
          <w:tcPr/>
          <w:p>
            <w:pPr>
              <w:pStyle w:val="Compact"/>
              <w:jc w:val="left"/>
            </w:pPr>
            <w:r>
              <w:t xml:space="preserve">100 personas, péptidos de bajo peso molecular frente a placebo</w:t>
            </w:r>
          </w:p>
        </w:tc>
        <w:tc>
          <w:tcPr/>
          <w:p>
            <w:pPr>
              <w:pStyle w:val="Compact"/>
              <w:jc w:val="left"/>
            </w:pPr>
            <w:r>
              <w:t xml:space="preserve">12 semanas</w:t>
            </w:r>
          </w:p>
        </w:tc>
        <w:tc>
          <w:tcPr/>
          <w:p>
            <w:pPr>
              <w:pStyle w:val="Compact"/>
              <w:jc w:val="left"/>
            </w:pPr>
            <w:r>
              <w:t xml:space="preserve">Patas de gallo, rugosidad, elasticidad e hidratación mejores que con placebo (análisis de 84 personas)</w:t>
            </w:r>
          </w:p>
        </w:tc>
      </w:tr>
      <w:tr>
        <w:tc>
          <w:tcPr/>
          <w:p>
            <w:pPr>
              <w:pStyle w:val="Compact"/>
              <w:jc w:val="left"/>
            </w:pPr>
            <w:r>
              <w:t xml:space="preserve">Vleminckx 2024, PMID 39143887</w:t>
            </w:r>
          </w:p>
        </w:tc>
        <w:tc>
          <w:tcPr/>
          <w:p>
            <w:pPr>
              <w:pStyle w:val="Compact"/>
              <w:jc w:val="left"/>
            </w:pPr>
            <w:r>
              <w:t xml:space="preserve">85 mujeres de Asia oriental (43–65 años), 5 g frente a maltodextrina</w:t>
            </w:r>
          </w:p>
        </w:tc>
        <w:tc>
          <w:tcPr/>
          <w:p>
            <w:pPr>
              <w:pStyle w:val="Compact"/>
              <w:jc w:val="left"/>
            </w:pPr>
            <w:r>
              <w:t xml:space="preserve">12 semanas</w:t>
            </w:r>
          </w:p>
        </w:tc>
        <w:tc>
          <w:tcPr/>
          <w:p>
            <w:pPr>
              <w:pStyle w:val="Compact"/>
              <w:jc w:val="left"/>
            </w:pPr>
            <w:r>
              <w:t xml:space="preserve">Densidad cutánea e hidratación mejores que con placebo a los 84 días</w:t>
            </w:r>
          </w:p>
        </w:tc>
      </w:tr>
    </w:tbl>
    <w:p>
      <w:pPr>
        <w:pStyle w:val="BodyText"/>
      </w:pPr>
      <w:r>
        <w:t xml:space="preserve">Algunos estudios investigaron también la celulitis (105 mujeres, seis meses; mejora sobre todo en mujeres con peso normal, Schunck 2015, PMID 26561784) y las uñas quebradizas. Sin embargo, el estudio de las uñas fue abierto y sin grupo de control: 25 participantes, crecimiento de las uñas +12 %, uñas rotas −42 % (Hexsel 2017, PMID 28786550). Sin grupo de comparación no puede descartarse aquí un efecto placebo.</w:t>
      </w:r>
    </w:p>
    <w:p>
      <w:pPr>
        <w:pStyle w:val="BodyText"/>
      </w:pPr>
      <w:r>
        <w:t xml:space="preserve">En pacientes con úlceras por presión (decúbito) se probó, además del tratamiento estándar, un colágeno hidrolizado con una alta proporción de prolil-hidroxiprolina. En 120 participantes, la cicatrización de las heridas a las 16 semanas fue mejor en este grupo que con placebo (Sugihara 2018, PMID 30061579). Un pequeño estudio de 2026 en dermatitis atópica moderada comunicó un menor consumo de crema de corticoides con 5 g de péptidos de colágeno (0,94 g frente a 5,60 g; Proksch 2026, PMID 41758763); los propios autores reclaman estudios de confirmación más grandes.</w:t>
      </w:r>
    </w:p>
    <w:bookmarkEnd w:id="860"/>
    <w:bookmarkStart w:id="861" w:name="X2637fb55063f7e5c3e2a8e62ffc713afd43fbe1"/>
    <w:p>
      <w:pPr>
        <w:pStyle w:val="Heading4"/>
      </w:pPr>
      <w:r>
        <w:t xml:space="preserve">Los metaanálisis sobre la piel y la cuestión de la financiación</w:t>
      </w:r>
    </w:p>
    <w:p>
      <w:pPr>
        <w:pStyle w:val="FirstParagraph"/>
      </w:pPr>
      <w:r>
        <w:t xml:space="preserve">Si se agrupan los estudios sobre la piel, a primera vista resulta un panorama claro:</w:t>
      </w:r>
    </w:p>
    <w:p>
      <w:pPr>
        <w:numPr>
          <w:ilvl w:val="0"/>
          <w:numId w:val="1292"/>
        </w:numPr>
        <w:pStyle w:val="Compact"/>
      </w:pPr>
      <w:r>
        <w:t xml:space="preserve">19 estudios con 1125 participantes: efecto favorable sobre la hidratación, la elasticidad y las arrugas (de Miranda 2021, PMID 33742704).</w:t>
      </w:r>
    </w:p>
    <w:p>
      <w:pPr>
        <w:numPr>
          <w:ilvl w:val="0"/>
          <w:numId w:val="1292"/>
        </w:numPr>
        <w:pStyle w:val="Compact"/>
      </w:pPr>
      <w:r>
        <w:t xml:space="preserve">26 estudios con 1721 participantes: mejora significativa de la hidratación y la elasticidad; pero los autores señalan varias fuentes de sesgo y reclaman estudios grandes (Pu 2023, PMID 37432180).</w:t>
      </w:r>
    </w:p>
    <w:p>
      <w:pPr>
        <w:numPr>
          <w:ilvl w:val="0"/>
          <w:numId w:val="1292"/>
        </w:numPr>
        <w:pStyle w:val="Compact"/>
      </w:pPr>
      <w:r>
        <w:t xml:space="preserve">10 estudios con 646 participantes: hidratación y elasticidad mejoradas, con heterogeneidad media y un riesgo de sesgo mayoritariamente incierto (Danessa 2025, PMID 40826844).</w:t>
      </w:r>
    </w:p>
    <w:p>
      <w:pPr>
        <w:pStyle w:val="FirstParagraph"/>
      </w:pPr>
      <w:r>
        <w:t xml:space="preserve">Un metaanálisis de 2025 fue un paso más allá y separó los estudios según su financiador y su calidad. Considerando los 23 estudios con 1474 participantes, volvió a observarse una ventaja. Pero si solo se consideraban los estudios</w:t>
      </w:r>
      <w:r>
        <w:t xml:space="preserve"> </w:t>
      </w:r>
      <w:r>
        <w:rPr>
          <w:iCs/>
          <w:i/>
        </w:rPr>
        <w:t xml:space="preserve">sin</w:t>
      </w:r>
      <w:r>
        <w:t xml:space="preserve"> </w:t>
      </w:r>
      <w:r>
        <w:t xml:space="preserve">financiación de la industria, el efecto sobre la hidratación, la elasticidad y las arrugas desaparecía. Tampoco los estudios de alta calidad metodológica mostraron un efecto significativo en ninguna categoría; solo en los estudios de baja calidad se halló una mejora de la elasticidad. Las autoras y los autores concluyen que actualmente no hay pruebas clínicas que respalden el uso de preparados de colágeno para prevenir o tratar el envejecimiento cutáneo (Myung 2025, PMID 40324552).</w:t>
      </w:r>
    </w:p>
    <w:p>
      <w:pPr>
        <w:pStyle w:val="BodyText"/>
      </w:pPr>
      <w:r>
        <w:t xml:space="preserve">Este resultado no es un veredicto definitivo: el número de estudios independientes es pequeño, y la falta de significación estadística no significa automáticamente que no haya efecto. Pero muestra cuánto depende el balance global positivo de estudios que han financiado los propios proveedores. Para las lectoras y los lectores, esto significa que la afirmación «clínicamente demostrado» de un envase de colágeno se basa por lo general en estudios del propio proveedor de la materia prima.</w:t>
      </w:r>
    </w:p>
    <w:bookmarkEnd w:id="861"/>
    <w:bookmarkStart w:id="862" w:name="articulaciones-y-artrosis"/>
    <w:p>
      <w:pPr>
        <w:pStyle w:val="Heading4"/>
      </w:pPr>
      <w:r>
        <w:t xml:space="preserve">Articulaciones y artrosis</w:t>
      </w:r>
    </w:p>
    <w:p>
      <w:pPr>
        <w:pStyle w:val="FirstParagraph"/>
      </w:pPr>
      <w:r>
        <w:t xml:space="preserve">El segundo gran grupo de estudios se refiere al dolor articular, tanto en la artrosis como en personas deportivamente activas sin diagnóstico.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Clark 2008, PMID 18416885</w:t>
            </w:r>
          </w:p>
        </w:tc>
        <w:tc>
          <w:tcPr/>
          <w:p>
            <w:pPr>
              <w:pStyle w:val="Compact"/>
              <w:jc w:val="left"/>
            </w:pPr>
            <w:r>
              <w:t xml:space="preserve">147 deportistas con dolor articular relacionado con el esfuerzo, 10 g frente a placebo</w:t>
            </w:r>
          </w:p>
        </w:tc>
        <w:tc>
          <w:tcPr/>
          <w:p>
            <w:pPr>
              <w:pStyle w:val="Compact"/>
              <w:jc w:val="left"/>
            </w:pPr>
            <w:r>
              <w:t xml:space="preserve">24 semanas</w:t>
            </w:r>
          </w:p>
        </w:tc>
        <w:tc>
          <w:tcPr/>
          <w:p>
            <w:pPr>
              <w:pStyle w:val="Compact"/>
              <w:jc w:val="left"/>
            </w:pPr>
            <w:r>
              <w:t xml:space="preserve">Varios valores de dolor mejores que con placebo; solo 97 de 147 analizables</w:t>
            </w:r>
          </w:p>
        </w:tc>
      </w:tr>
      <w:tr>
        <w:tc>
          <w:tcPr/>
          <w:p>
            <w:pPr>
              <w:pStyle w:val="Compact"/>
              <w:jc w:val="left"/>
            </w:pPr>
            <w:r>
              <w:t xml:space="preserve">Bruyère 2012, PMID 22500661</w:t>
            </w:r>
          </w:p>
        </w:tc>
        <w:tc>
          <w:tcPr/>
          <w:p>
            <w:pPr>
              <w:pStyle w:val="Compact"/>
              <w:jc w:val="left"/>
            </w:pPr>
            <w:r>
              <w:t xml:space="preserve">200 personas a partir de 50 años con dolor articular, 1,2 g frente a placebo</w:t>
            </w:r>
          </w:p>
        </w:tc>
        <w:tc>
          <w:tcPr/>
          <w:p>
            <w:pPr>
              <w:pStyle w:val="Compact"/>
              <w:jc w:val="left"/>
            </w:pPr>
            <w:r>
              <w:t xml:space="preserve">6 meses</w:t>
            </w:r>
          </w:p>
        </w:tc>
        <w:tc>
          <w:tcPr/>
          <w:p>
            <w:pPr>
              <w:pStyle w:val="Compact"/>
              <w:jc w:val="left"/>
            </w:pPr>
            <w:r>
              <w:t xml:space="preserve">Tasa de respuesta 51,6 % frente a 36,5 % a los 6 meses; sin diferencia a los 3 meses</w:t>
            </w:r>
          </w:p>
        </w:tc>
      </w:tr>
      <w:tr>
        <w:tc>
          <w:tcPr/>
          <w:p>
            <w:pPr>
              <w:pStyle w:val="Compact"/>
              <w:jc w:val="left"/>
            </w:pPr>
            <w:r>
              <w:t xml:space="preserve">Kumar 2015, PMID 24852756</w:t>
            </w:r>
          </w:p>
        </w:tc>
        <w:tc>
          <w:tcPr/>
          <w:p>
            <w:pPr>
              <w:pStyle w:val="Compact"/>
              <w:jc w:val="left"/>
            </w:pPr>
            <w:r>
              <w:t xml:space="preserve">Artrosis de rodilla, péptidos de piel porcina o hueso bovino frente a placebo</w:t>
            </w:r>
          </w:p>
        </w:tc>
        <w:tc>
          <w:tcPr/>
          <w:p>
            <w:pPr>
              <w:pStyle w:val="Compact"/>
              <w:jc w:val="left"/>
            </w:pPr>
            <w:r>
              <w:t xml:space="preserve">13 semanas</w:t>
            </w:r>
          </w:p>
        </w:tc>
        <w:tc>
          <w:tcPr/>
          <w:p>
            <w:pPr>
              <w:pStyle w:val="Compact"/>
              <w:jc w:val="left"/>
            </w:pPr>
            <w:r>
              <w:t xml:space="preserve">Valores de WOMAC, dolor y calidad de vida mejores que con placebo</w:t>
            </w:r>
          </w:p>
        </w:tc>
      </w:tr>
      <w:tr>
        <w:tc>
          <w:tcPr/>
          <w:p>
            <w:pPr>
              <w:pStyle w:val="Compact"/>
              <w:jc w:val="left"/>
            </w:pPr>
            <w:r>
              <w:t xml:space="preserve">Zdzieblik 2017, PMID 28177710</w:t>
            </w:r>
          </w:p>
        </w:tc>
        <w:tc>
          <w:tcPr/>
          <w:p>
            <w:pPr>
              <w:pStyle w:val="Compact"/>
              <w:jc w:val="left"/>
            </w:pPr>
            <w:r>
              <w:t xml:space="preserve">139 deportistas con molestias de rodilla, 5 g frente a placebo</w:t>
            </w:r>
          </w:p>
        </w:tc>
        <w:tc>
          <w:tcPr/>
          <w:p>
            <w:pPr>
              <w:pStyle w:val="Compact"/>
              <w:jc w:val="left"/>
            </w:pPr>
            <w:r>
              <w:t xml:space="preserve">12 semanas</w:t>
            </w:r>
          </w:p>
        </w:tc>
        <w:tc>
          <w:tcPr/>
          <w:p>
            <w:pPr>
              <w:pStyle w:val="Compact"/>
              <w:jc w:val="left"/>
            </w:pPr>
            <w:r>
              <w:t xml:space="preserve">Dolor con el esfuerzo mejor que con placebo (p = 0,046); dolor en reposo, no</w:t>
            </w:r>
          </w:p>
        </w:tc>
      </w:tr>
      <w:tr>
        <w:tc>
          <w:tcPr/>
          <w:p>
            <w:pPr>
              <w:pStyle w:val="Compact"/>
              <w:jc w:val="left"/>
            </w:pPr>
            <w:r>
              <w:t xml:space="preserve">Bongers 2020, PMID 31990581</w:t>
            </w:r>
          </w:p>
        </w:tc>
        <w:tc>
          <w:tcPr/>
          <w:p>
            <w:pPr>
              <w:pStyle w:val="Compact"/>
              <w:jc w:val="left"/>
            </w:pPr>
            <w:r>
              <w:t xml:space="preserve">167 personas activas (mediana 63 años) con dolor de rodilla, 10 g frente a placebo</w:t>
            </w:r>
          </w:p>
        </w:tc>
        <w:tc>
          <w:tcPr/>
          <w:p>
            <w:pPr>
              <w:pStyle w:val="Compact"/>
              <w:jc w:val="left"/>
            </w:pPr>
            <w:r>
              <w:t xml:space="preserve">12 semanas</w:t>
            </w:r>
          </w:p>
        </w:tc>
        <w:tc>
          <w:tcPr/>
          <w:p>
            <w:pPr>
              <w:pStyle w:val="Compact"/>
              <w:jc w:val="left"/>
            </w:pPr>
            <w:r>
              <w:t xml:space="preserve">Sin diferencia: el dolor disminuyó igual en ambos grupos</w:t>
            </w:r>
          </w:p>
        </w:tc>
      </w:tr>
    </w:tbl>
    <w:p>
      <w:pPr>
        <w:pStyle w:val="BodyText"/>
      </w:pPr>
      <w:r>
        <w:t xml:space="preserve">El estudio de Bongers es notable porque es de los más grandes y comunica un resultado claramente negativo: el dolor y la función de la rodilla mejoraron, pero igual con placebo que con colágeno. Esto ilustra lo grande que es el efecto placebo en el dolor articular.</w:t>
      </w:r>
    </w:p>
    <w:p>
      <w:pPr>
        <w:pStyle w:val="BodyText"/>
      </w:pPr>
      <w:r>
        <w:t xml:space="preserve">Aun así, los metaanálisis llegan mayoritariamente a un resultado favorable:</w:t>
      </w:r>
    </w:p>
    <w:p>
      <w:pPr>
        <w:numPr>
          <w:ilvl w:val="0"/>
          <w:numId w:val="1293"/>
        </w:numPr>
        <w:pStyle w:val="Compact"/>
      </w:pPr>
      <w:r>
        <w:t xml:space="preserve">Un metaanálisis de estudios aleatorizados y controlados con placebo encontró una reducción significativa de la puntuación total del WOMAC (un cuestionario de artrosis) y de la puntuación del dolor en la escala visual analógica; sin embargo, las subescalas de dolor y de limitación funcional del WOMAC no difirieron significativamente (García-Coronado 2019, PMID 30368550).</w:t>
      </w:r>
    </w:p>
    <w:p>
      <w:pPr>
        <w:numPr>
          <w:ilvl w:val="0"/>
          <w:numId w:val="1293"/>
        </w:numPr>
        <w:pStyle w:val="Compact"/>
      </w:pPr>
      <w:r>
        <w:t xml:space="preserve">El análisis más amplio hasta la fecha incluyó 35 estudios con 3165 pacientes con artrosis. Los derivados del colágeno –aquí se agrupan el colágeno hidrolizado y el no desnaturalizado– tuvieron efectos pequeños a moderados sobre el dolor (diferencia de medias estandarizada −0,35) y la función (−0,31). Los efectos adversos y los abandonos no fueron más frecuentes que con el control (Liang 2024, PMID 38218227).</w:t>
      </w:r>
    </w:p>
    <w:p>
      <w:pPr>
        <w:numPr>
          <w:ilvl w:val="0"/>
          <w:numId w:val="1293"/>
        </w:numPr>
        <w:pStyle w:val="Compact"/>
      </w:pPr>
      <w:r>
        <w:t xml:space="preserve">Un análisis de solo cuatro estudios con 507 pacientes con artrosis de rodilla encontró también un alivio del dolor, pero calificó los cuatro estudios como de alto riesgo de sesgo (Lin 2023, PMID 37717022).</w:t>
      </w:r>
    </w:p>
    <w:p>
      <w:pPr>
        <w:numPr>
          <w:ilvl w:val="0"/>
          <w:numId w:val="1293"/>
        </w:numPr>
        <w:pStyle w:val="Compact"/>
      </w:pPr>
      <w:r>
        <w:t xml:space="preserve">Un metaanálisis actualizado con 11 estudios y 870 participantes comunicó mejoras de la función y el dolor, aunque con una heterogeneidad muy alta (I² 75 y 88 %, respectivamente) (Simental-Mendía 2025, PMID 39212129).</w:t>
      </w:r>
    </w:p>
    <w:p>
      <w:pPr>
        <w:pStyle w:val="FirstParagraph"/>
      </w:pPr>
      <w:r>
        <w:t xml:space="preserve">Para situarlo: una diferencia de medias estandarizada de aproximadamente 0,3 se considera un efecto pequeño. Está en un orden de magnitud similar al de algunos otros complementos alimenticios para la artrosis y es claramente menor que el efecto que se espera de un analgésico. Una gran revisión sobre complementos alimenticios en la artrosis encontró para el colágeno hidrolizado grandes efectos a corto plazo sobre el dolor, pero concluyó en conjunto que la calidad de la evidencia es muy baja y que ningún preparado mostró efectos clínicamente relevantes a largo plazo (Liu 2018, PMID 29018060).</w:t>
      </w:r>
    </w:p>
    <w:bookmarkEnd w:id="862"/>
    <w:bookmarkStart w:id="863" w:name="X0b7231ac822d442268ff4026b986c4cb9d48063"/>
    <w:p>
      <w:pPr>
        <w:pStyle w:val="Heading4"/>
      </w:pPr>
      <w:r>
        <w:t xml:space="preserve">Diferenciación: colágeno de tipo II no desnaturalizado (UC-II)</w:t>
      </w:r>
    </w:p>
    <w:p>
      <w:pPr>
        <w:pStyle w:val="FirstParagraph"/>
      </w:pPr>
      <w:r>
        <w:t xml:space="preserve">El colágeno de tipo II no desnaturalizado se obtiene de forma suave a partir de cartílago de pechuga de pollo, de modo que la estructura original del colágeno se conserva en parte. Se toma en cantidades muy pequeñas –en los estudios, 40 miligramos al día, es decir, entre una centésima y una doscientas cincuentava parte de las cantidades en gramos del colágeno hidrolizado–. No debe actuar como material de construcción, sino a través de la llamada tolerancia oral: el sistema inmunitario del intestino debería aprender a no tratar el colágeno del cartílago como objetivo de ataque. Esta idea procede de modelos animales de inflamación articular.</w:t>
      </w:r>
    </w:p>
    <w:p>
      <w:pPr>
        <w:pStyle w:val="BodyText"/>
      </w:pPr>
      <w:r>
        <w:t xml:space="preserve">Históricamente, el principio se probó primero en la artritis reumatoide. Un pequeño estudio con 60 pacientes comunicó en 1993 una disminución de las articulaciones inflamadas y dolorosas a la presión (Trentham 1993, PMID 8378772). Un estudio posterior más grande, con 274 participantes y cuatro dosis, solo encontró una ventaja significativa con la dosis más baja y según uno de tres criterios de valoración (Barnett 1998, PMID 9485087). Como terapia reumatológica, el enfoque no se ha impuesto.</w:t>
      </w:r>
    </w:p>
    <w:p>
      <w:pPr>
        <w:pStyle w:val="BodyText"/>
      </w:pPr>
      <w:r>
        <w:t xml:space="preserve">Para la artrosis y las molestias articulares existen sobre todo estudios cercanos a los fabricantes: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Lugo 2016, PMID 26822714</w:t>
            </w:r>
          </w:p>
        </w:tc>
        <w:tc>
          <w:tcPr/>
          <w:p>
            <w:pPr>
              <w:pStyle w:val="Compact"/>
              <w:jc w:val="left"/>
            </w:pPr>
            <w:r>
              <w:t xml:space="preserve">191 personas con artrosis de rodilla, UC-II frente a glucosamina/condroitina frente a placebo</w:t>
            </w:r>
          </w:p>
        </w:tc>
        <w:tc>
          <w:tcPr/>
          <w:p>
            <w:pPr>
              <w:pStyle w:val="Compact"/>
              <w:jc w:val="left"/>
            </w:pPr>
            <w:r>
              <w:t xml:space="preserve">180 días</w:t>
            </w:r>
          </w:p>
        </w:tc>
        <w:tc>
          <w:tcPr/>
          <w:p>
            <w:pPr>
              <w:pStyle w:val="Compact"/>
              <w:jc w:val="left"/>
            </w:pPr>
            <w:r>
              <w:t xml:space="preserve">Puntuación total WOMAC mejor que con placebo (p = 0,002) y que con glucosamina/condroitina (p = 0,04)</w:t>
            </w:r>
          </w:p>
        </w:tc>
      </w:tr>
      <w:tr>
        <w:tc>
          <w:tcPr/>
          <w:p>
            <w:pPr>
              <w:pStyle w:val="Compact"/>
              <w:jc w:val="left"/>
            </w:pPr>
            <w:r>
              <w:t xml:space="preserve">Lugo 2013, PMID 24153020</w:t>
            </w:r>
          </w:p>
        </w:tc>
        <w:tc>
          <w:tcPr/>
          <w:p>
            <w:pPr>
              <w:pStyle w:val="Compact"/>
              <w:jc w:val="left"/>
            </w:pPr>
            <w:r>
              <w:t xml:space="preserve">55 personas sanas con dolor de rodilla relacionado con el esfuerzo, UC-II frente a placebo</w:t>
            </w:r>
          </w:p>
        </w:tc>
        <w:tc>
          <w:tcPr/>
          <w:p>
            <w:pPr>
              <w:pStyle w:val="Compact"/>
              <w:jc w:val="left"/>
            </w:pPr>
            <w:r>
              <w:t xml:space="preserve">120 días</w:t>
            </w:r>
          </w:p>
        </w:tc>
        <w:tc>
          <w:tcPr/>
          <w:p>
            <w:pPr>
              <w:pStyle w:val="Compact"/>
              <w:jc w:val="left"/>
            </w:pPr>
            <w:r>
              <w:t xml:space="preserve">Extensión de rodilla 81,0° frente a 74,0°; esfuerzo sin dolor más prolongado</w:t>
            </w:r>
          </w:p>
        </w:tc>
      </w:tr>
      <w:tr>
        <w:tc>
          <w:tcPr/>
          <w:p>
            <w:pPr>
              <w:pStyle w:val="Compact"/>
              <w:jc w:val="left"/>
            </w:pPr>
            <w:r>
              <w:t xml:space="preserve">Yuenyongviwat 2025, PMID 40897777</w:t>
            </w:r>
          </w:p>
        </w:tc>
        <w:tc>
          <w:tcPr/>
          <w:p>
            <w:pPr>
              <w:pStyle w:val="Compact"/>
              <w:jc w:val="left"/>
            </w:pPr>
            <w:r>
              <w:t xml:space="preserve">68 personas con artrosis de rodilla, UC-II más colágeno hidrolizado frente a placebo</w:t>
            </w:r>
          </w:p>
        </w:tc>
        <w:tc>
          <w:tcPr/>
          <w:p>
            <w:pPr>
              <w:pStyle w:val="Compact"/>
              <w:jc w:val="left"/>
            </w:pPr>
            <w:r>
              <w:t xml:space="preserve">12 semanas</w:t>
            </w:r>
          </w:p>
        </w:tc>
        <w:tc>
          <w:tcPr/>
          <w:p>
            <w:pPr>
              <w:pStyle w:val="Compact"/>
              <w:jc w:val="left"/>
            </w:pPr>
            <w:r>
              <w:t xml:space="preserve">Sin diferencia en dolor, función ni medicación de rescate</w:t>
            </w:r>
          </w:p>
        </w:tc>
      </w:tr>
    </w:tbl>
    <w:p>
      <w:pPr>
        <w:pStyle w:val="BodyText"/>
      </w:pPr>
      <w:r>
        <w:t xml:space="preserve">El estudio más reciente procede de un grupo de trabajo independiente que señala expresamente que la mayoría de los estudios sobre colágeno anteriores fueron financiados por la industria. Encontró –como Bongers 2020– mejoras en ambos grupos, pero ninguna ventaja frente al placebo (Yuenyongviwat 2025, PMID 40897777, registrado como NCT06229951).</w:t>
      </w:r>
    </w:p>
    <w:p>
      <w:pPr>
        <w:pStyle w:val="BodyText"/>
      </w:pPr>
      <w:r>
        <w:t xml:space="preserve">Importante para las y los consumidores: el UC-II y el colágeno hidrolizado no son intercambiables. Quien lee estudios sobre uno de los productos no puede deducir de ellos nada sobre el otro.</w:t>
      </w:r>
    </w:p>
    <w:bookmarkEnd w:id="863"/>
    <w:bookmarkStart w:id="864" w:name="huesos"/>
    <w:p>
      <w:pPr>
        <w:pStyle w:val="Heading4"/>
      </w:pPr>
      <w:r>
        <w:t xml:space="preserve">Huesos</w:t>
      </w:r>
    </w:p>
    <w:p>
      <w:pPr>
        <w:pStyle w:val="FirstParagraph"/>
      </w:pPr>
      <w:r>
        <w:t xml:space="preserve">En cuanto a los huesos, los datos son escasos, pero interesantes: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König 2018, PMID 29337906</w:t>
            </w:r>
          </w:p>
        </w:tc>
        <w:tc>
          <w:tcPr/>
          <w:p>
            <w:pPr>
              <w:pStyle w:val="Compact"/>
              <w:jc w:val="left"/>
            </w:pPr>
            <w:r>
              <w:t xml:space="preserve">131 mujeres posmenopáusicas con densidad ósea reducida, 5 g frente a placebo</w:t>
            </w:r>
          </w:p>
        </w:tc>
        <w:tc>
          <w:tcPr/>
          <w:p>
            <w:pPr>
              <w:pStyle w:val="Compact"/>
              <w:jc w:val="left"/>
            </w:pPr>
            <w:r>
              <w:t xml:space="preserve">12 meses</w:t>
            </w:r>
          </w:p>
        </w:tc>
        <w:tc>
          <w:tcPr/>
          <w:p>
            <w:pPr>
              <w:pStyle w:val="Compact"/>
              <w:jc w:val="left"/>
            </w:pPr>
            <w:r>
              <w:t xml:space="preserve">T-score de columna +0,1 frente a −0,03; cuello femoral +0,09 frente a −0,01</w:t>
            </w:r>
          </w:p>
        </w:tc>
      </w:tr>
      <w:tr>
        <w:tc>
          <w:tcPr/>
          <w:p>
            <w:pPr>
              <w:pStyle w:val="Compact"/>
              <w:jc w:val="left"/>
            </w:pPr>
            <w:r>
              <w:t xml:space="preserve">Elam 2015, PMID 25314004</w:t>
            </w:r>
          </w:p>
        </w:tc>
        <w:tc>
          <w:tcPr/>
          <w:p>
            <w:pPr>
              <w:pStyle w:val="Compact"/>
              <w:jc w:val="left"/>
            </w:pPr>
            <w:r>
              <w:t xml:space="preserve">39 mujeres con osteopenia, quelato de calcio-colágeno más vitamina D frente a calcio más vitamina D</w:t>
            </w:r>
          </w:p>
        </w:tc>
        <w:tc>
          <w:tcPr/>
          <w:p>
            <w:pPr>
              <w:pStyle w:val="Compact"/>
              <w:jc w:val="left"/>
            </w:pPr>
            <w:r>
              <w:t xml:space="preserve">12 meses</w:t>
            </w:r>
          </w:p>
        </w:tc>
        <w:tc>
          <w:tcPr/>
          <w:p>
            <w:pPr>
              <w:pStyle w:val="Compact"/>
              <w:jc w:val="left"/>
            </w:pPr>
            <w:r>
              <w:t xml:space="preserve">Pérdida de densidad ósea corporal total −1,33 % frente a −3,75 % (quienes completaron el estudio)</w:t>
            </w:r>
          </w:p>
        </w:tc>
      </w:tr>
      <w:tr>
        <w:tc>
          <w:tcPr/>
          <w:p>
            <w:pPr>
              <w:pStyle w:val="Compact"/>
              <w:jc w:val="left"/>
            </w:pPr>
            <w:r>
              <w:t xml:space="preserve">Lampropoulou-Adamidou 2022, PMID 34980546</w:t>
            </w:r>
          </w:p>
        </w:tc>
        <w:tc>
          <w:tcPr/>
          <w:p>
            <w:pPr>
              <w:pStyle w:val="Compact"/>
              <w:jc w:val="left"/>
            </w:pPr>
            <w:r>
              <w:t xml:space="preserve">51 mujeres con osteopenia, 5 g de péptidos más calcio/vitamina D frente a calcio/vitamina D</w:t>
            </w:r>
          </w:p>
        </w:tc>
        <w:tc>
          <w:tcPr/>
          <w:p>
            <w:pPr>
              <w:pStyle w:val="Compact"/>
              <w:jc w:val="left"/>
            </w:pPr>
            <w:r>
              <w:t xml:space="preserve">12 meses</w:t>
            </w:r>
          </w:p>
        </w:tc>
        <w:tc>
          <w:tcPr/>
          <w:p>
            <w:pPr>
              <w:pStyle w:val="Compact"/>
              <w:jc w:val="left"/>
            </w:pPr>
            <w:r>
              <w:t xml:space="preserve">Mayor densidad ósea en tibia y columna lumbar con colágeno</w:t>
            </w:r>
          </w:p>
        </w:tc>
      </w:tr>
    </w:tbl>
    <w:p>
      <w:pPr>
        <w:pStyle w:val="BodyText"/>
      </w:pPr>
      <w:r>
        <w:t xml:space="preserve">Las diferencias son pequeñas, los estudios cortos, y ningún estudio ha investigado las fracturas óseas, la variable de resultado realmente decisiva. Los péptidos de colágeno no sustituyen a un tratamiento de la osteoporosis con reducción demostrada de las fracturas.</w:t>
      </w:r>
    </w:p>
    <w:bookmarkEnd w:id="864"/>
    <w:bookmarkStart w:id="865" w:name="músculos-y-tendones"/>
    <w:p>
      <w:pPr>
        <w:pStyle w:val="Heading4"/>
      </w:pPr>
      <w:r>
        <w:t xml:space="preserve">Músculos y tendones</w:t>
      </w:r>
    </w:p>
    <w:p>
      <w:pPr>
        <w:pStyle w:val="FirstParagraph"/>
      </w:pPr>
      <w:r>
        <w:t xml:space="preserve">En el deporte, los péptidos de colágeno se promocionan para dos objetivos distintos: el desarrollo muscular y el fortalecimiento de tendones y ligamentos.</w:t>
      </w:r>
    </w:p>
    <w:p>
      <w:pPr>
        <w:pStyle w:val="BodyText"/>
      </w:pPr>
      <w:r>
        <w:rPr>
          <w:bCs/>
          <w:b/>
        </w:rPr>
        <w:t xml:space="preserve">Desarrollo muscular.</w:t>
      </w:r>
      <w:r>
        <w:t xml:space="preserve"> </w:t>
      </w:r>
      <w:r>
        <w:t xml:space="preserve">El estudio más citado investigó a 53 hombres mayores con sarcopenia (pérdida de masa muscular relacionada con la edad) que hicieron doce semanas de entrenamiento de fuerza y recibieron además 15 g de péptidos de colágeno o placebo (dióxido de silicio). La masa libre de grasa aumentó 4,2 kg con colágeno y 2,9 kg con placebo (Zdzieblik 2015, PMID 26353786). El problema: el grupo placebo no recibió ninguna proteína. Así pues, la ventaja podría deberse simplemente al aporte adicional de proteínas.</w:t>
      </w:r>
    </w:p>
    <w:p>
      <w:pPr>
        <w:pStyle w:val="BodyText"/>
      </w:pPr>
      <w:r>
        <w:t xml:space="preserve">Justamente esta cuestión la responden las comparaciones con proteínas de alta calidad. En 22 mujeres mayores, la proteína de suero aumentó la síntesis de proteínas musculares tanto a corto plazo como a lo largo de seis días; los péptidos de colágeno, no (Oikawa 2020, PMID 31919527). En adultos jóvenes, el grosor muscular aumentó más tras diez semanas de entrenamiento de fuerza con proteína de suero que con colágeno, incluso cuando el colágeno se había enriquecido con leucina hasta el mismo contenido (Jacinto 2022, PMID 35042187). Un estudio con 25 hombres jóvenes no encontró con 2 × 15 g de colágeno al día una síntesis de proteínas musculares o del tejido conjuntivo mayor que con placebo (Kirmse 2024, PMID 39086044).</w:t>
      </w:r>
    </w:p>
    <w:p>
      <w:pPr>
        <w:pStyle w:val="BodyText"/>
      </w:pPr>
      <w:r>
        <w:rPr>
          <w:bCs/>
          <w:b/>
        </w:rPr>
        <w:t xml:space="preserve">Tendones.</w:t>
      </w:r>
      <w:r>
        <w:t xml:space="preserve"> </w:t>
      </w:r>
      <w:r>
        <w:t xml:space="preserve">Aquí los resultados son contradictorios: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Jerger 2023, PMID 37424319</w:t>
            </w:r>
          </w:p>
        </w:tc>
        <w:tc>
          <w:tcPr/>
          <w:p>
            <w:pPr>
              <w:pStyle w:val="Compact"/>
              <w:jc w:val="left"/>
            </w:pPr>
            <w:r>
              <w:t xml:space="preserve">50 hombres, entrenamiento de fuerza más 5 g frente a placebo</w:t>
            </w:r>
          </w:p>
        </w:tc>
        <w:tc>
          <w:tcPr/>
          <w:p>
            <w:pPr>
              <w:pStyle w:val="Compact"/>
              <w:jc w:val="left"/>
            </w:pPr>
            <w:r>
              <w:t xml:space="preserve">14 semanas</w:t>
            </w:r>
          </w:p>
        </w:tc>
        <w:tc>
          <w:tcPr/>
          <w:p>
            <w:pPr>
              <w:pStyle w:val="Compact"/>
              <w:jc w:val="left"/>
            </w:pPr>
            <w:r>
              <w:t xml:space="preserve">Sección transversal del tendón rotuliano más aumentada; rigidez y fuerza sin diferencia entre grupos</w:t>
            </w:r>
          </w:p>
        </w:tc>
      </w:tr>
      <w:tr>
        <w:tc>
          <w:tcPr/>
          <w:p>
            <w:pPr>
              <w:pStyle w:val="Compact"/>
              <w:jc w:val="left"/>
            </w:pPr>
            <w:r>
              <w:t xml:space="preserve">Balshaw 2023, PMID 37436929</w:t>
            </w:r>
          </w:p>
        </w:tc>
        <w:tc>
          <w:tcPr/>
          <w:p>
            <w:pPr>
              <w:pStyle w:val="Compact"/>
              <w:jc w:val="left"/>
            </w:pPr>
            <w:r>
              <w:t xml:space="preserve">39 hombres jóvenes, entrenamiento de fuerza más 15 g frente a placebo</w:t>
            </w:r>
          </w:p>
        </w:tc>
        <w:tc>
          <w:tcPr/>
          <w:p>
            <w:pPr>
              <w:pStyle w:val="Compact"/>
              <w:jc w:val="left"/>
            </w:pPr>
            <w:r>
              <w:t xml:space="preserve">15 semanas</w:t>
            </w:r>
          </w:p>
        </w:tc>
        <w:tc>
          <w:tcPr/>
          <w:p>
            <w:pPr>
              <w:pStyle w:val="Compact"/>
              <w:jc w:val="left"/>
            </w:pPr>
            <w:r>
              <w:t xml:space="preserve">Sin diferencias en el tamaño ni en la mecánica del tendón</w:t>
            </w:r>
          </w:p>
        </w:tc>
      </w:tr>
      <w:tr>
        <w:tc>
          <w:tcPr/>
          <w:p>
            <w:pPr>
              <w:pStyle w:val="Compact"/>
              <w:jc w:val="left"/>
            </w:pPr>
            <w:r>
              <w:t xml:space="preserve">Miyamoto 2025, PMID 40623147</w:t>
            </w:r>
          </w:p>
        </w:tc>
        <w:tc>
          <w:tcPr/>
          <w:p>
            <w:pPr>
              <w:pStyle w:val="Compact"/>
              <w:jc w:val="left"/>
            </w:pPr>
            <w:r>
              <w:t xml:space="preserve">50 hombres no entrenados, 10 g frente a placebo</w:t>
            </w:r>
          </w:p>
        </w:tc>
        <w:tc>
          <w:tcPr/>
          <w:p>
            <w:pPr>
              <w:pStyle w:val="Compact"/>
              <w:jc w:val="left"/>
            </w:pPr>
            <w:r>
              <w:t xml:space="preserve">16 semanas</w:t>
            </w:r>
          </w:p>
        </w:tc>
        <w:tc>
          <w:tcPr/>
          <w:p>
            <w:pPr>
              <w:pStyle w:val="Compact"/>
              <w:jc w:val="left"/>
            </w:pPr>
            <w:r>
              <w:t xml:space="preserve">Rigidez del gemelo y del tendón de Aquiles aumentada; sección transversal sin cambios</w:t>
            </w:r>
          </w:p>
        </w:tc>
      </w:tr>
      <w:tr>
        <w:tc>
          <w:tcPr/>
          <w:p>
            <w:pPr>
              <w:pStyle w:val="Compact"/>
              <w:jc w:val="left"/>
            </w:pPr>
            <w:r>
              <w:t xml:space="preserve">Praet 2019, PMID 30609761</w:t>
            </w:r>
          </w:p>
        </w:tc>
        <w:tc>
          <w:tcPr/>
          <w:p>
            <w:pPr>
              <w:pStyle w:val="Compact"/>
              <w:jc w:val="left"/>
            </w:pPr>
            <w:r>
              <w:t xml:space="preserve">20 personas con molestias del tendón de Aquiles, estudio cruzado con entrenamiento</w:t>
            </w:r>
          </w:p>
        </w:tc>
        <w:tc>
          <w:tcPr/>
          <w:p>
            <w:pPr>
              <w:pStyle w:val="Compact"/>
              <w:jc w:val="left"/>
            </w:pPr>
            <w:r>
              <w:t xml:space="preserve">6 meses</w:t>
            </w:r>
          </w:p>
        </w:tc>
        <w:tc>
          <w:tcPr/>
          <w:p>
            <w:pPr>
              <w:pStyle w:val="Compact"/>
              <w:jc w:val="left"/>
            </w:pPr>
            <w:r>
              <w:t xml:space="preserve">Mejora más rápida en el cuestionario de molestias en la fase con colágeno (estudio piloto)</w:t>
            </w:r>
          </w:p>
        </w:tc>
      </w:tr>
      <w:tr>
        <w:tc>
          <w:tcPr/>
          <w:p>
            <w:pPr>
              <w:pStyle w:val="Compact"/>
              <w:jc w:val="left"/>
            </w:pPr>
            <w:r>
              <w:t xml:space="preserve">Dressler 2018, PMID 29769831</w:t>
            </w:r>
          </w:p>
        </w:tc>
        <w:tc>
          <w:tcPr/>
          <w:p>
            <w:pPr>
              <w:pStyle w:val="Compact"/>
              <w:jc w:val="left"/>
            </w:pPr>
            <w:r>
              <w:t xml:space="preserve">50 deportistas con inestabilidad crónica de tobillo, 5 g frente a placebo</w:t>
            </w:r>
          </w:p>
        </w:tc>
        <w:tc>
          <w:tcPr/>
          <w:p>
            <w:pPr>
              <w:pStyle w:val="Compact"/>
              <w:jc w:val="left"/>
            </w:pPr>
            <w:r>
              <w:t xml:space="preserve">6 meses</w:t>
            </w:r>
          </w:p>
        </w:tc>
        <w:tc>
          <w:tcPr/>
          <w:p>
            <w:pPr>
              <w:pStyle w:val="Compact"/>
              <w:jc w:val="left"/>
            </w:pPr>
            <w:r>
              <w:t xml:space="preserve">Estabilidad subjetiva mejor; estabilidad mecánica sin cambios</w:t>
            </w:r>
          </w:p>
        </w:tc>
      </w:tr>
    </w:tbl>
    <w:p>
      <w:pPr>
        <w:pStyle w:val="BodyText"/>
      </w:pPr>
      <w:r>
        <w:t xml:space="preserve">Un metaanálisis de 19 estudios con 768 adultos sanos encontró, con la ingesta prolongada de colágeno combinada con entrenamiento, pequeñas ventajas en la masa libre de grasa, la morfología tendinosa, la arquitectura muscular y la fuerza máxima. La fiabilidad de la evidencia se calificó de moderada para la composición corporal, muy baja para la morfología tendinosa y baja para los demás resultados (Bischof 2024, PMID 39060741). Una revisión sistemática anterior concluyó que el colágeno no está a la altura de las fuentes de proteína de mayor calidad en cuanto a la síntesis de proteínas musculares (Khatri 2021, PMID 34491424).</w:t>
      </w:r>
    </w:p>
    <w:p>
      <w:pPr>
        <w:pStyle w:val="BodyText"/>
      </w:pPr>
      <w:r>
        <w:rPr>
          <w:bCs/>
          <w:b/>
        </w:rPr>
        <w:t xml:space="preserve">Balance provisional sobre el deporte:</w:t>
      </w:r>
      <w:r>
        <w:t xml:space="preserve"> </w:t>
      </w:r>
      <w:r>
        <w:t xml:space="preserve">para el desarrollo muscular hay fuentes de proteínas mejores y más baratas. Para los tendones y ligamentos, un beneficio es biológicamente plausible y algunos estudios lo sugieren, pero no está demostrado de forma sólida.</w:t>
      </w:r>
    </w:p>
    <w:bookmarkEnd w:id="865"/>
    <w:bookmarkStart w:id="866" w:name="otros-ámbitos-de-aplicación"/>
    <w:p>
      <w:pPr>
        <w:pStyle w:val="Heading4"/>
      </w:pPr>
      <w:r>
        <w:t xml:space="preserve">Otros ámbitos de aplicación</w:t>
      </w:r>
    </w:p>
    <w:p>
      <w:pPr>
        <w:pStyle w:val="FirstParagraph"/>
      </w:pPr>
      <w:r>
        <w:t xml:space="preserve">En estudios más pequeños se investigaron los péptidos de colágeno, entre otras cosas, en relación con la presión arterial y la función vascular, el sueño, el apetito, la gingivitis y las molestias intestinales. Un metaanálisis de 12 estudios controlados con placebo comunicó una reducción de la presión sistólica de 5,04 mmHg y del colesterol LDL de 4,09 mg/dl, aunque con una heterogeneidad extremadamente alta de los estudios individuales (I² 98,9 y 93,4 %, respectivamente) (Jalili 2023, PMID 35658958). Estos campos están demasiado poco estudiados para hacer afirmaciones sólidas.</w:t>
      </w:r>
    </w:p>
    <w:bookmarkEnd w:id="866"/>
    <w:bookmarkEnd w:id="867"/>
    <w:bookmarkStart w:id="868" w:name="estudios-en-animales-y-de-laboratorio-52"/>
    <w:p>
      <w:pPr>
        <w:pStyle w:val="Heading3"/>
      </w:pPr>
      <w:r>
        <w:t xml:space="preserve">Estudios en animales y de laboratorio</w:t>
      </w:r>
    </w:p>
    <w:p>
      <w:pPr>
        <w:pStyle w:val="FirstParagraph"/>
      </w:pPr>
      <w:r>
        <w:t xml:space="preserve">En cultivos celulares, los péptidos de colágeno, y en particular la prolil-hidroxiprolina, estimulan el crecimiento de los fibroblastos de la piel; en ratones y ratas mejoraron en experimentos la barrera cutánea, la densidad ósea y el metabolismo del cartílago. En muestras de piel humana en el laboratorio (ex vivo), los péptidos de colágeno favorecieron la formación de colágeno y glucosaminoglucanos (Asserin 2015, PMID 26362110). Una revisión sistemática de once estudios, en su mayoría experimentales, concluyó que los hidrolizados de colágeno estimulan los fibroblastos a concentraciones de 50 a 500 microgramos por mililitro sin resultar tóxicos (Inacio 2024, PMID 38892477). En experimentos con roedores con dietas hipercalóricas, un metaanálisis describió efectos sobre el peso y la masa grasa (Bischof 2026, PMID 41168365), un hallazgo que no está demostrado en humanos.</w:t>
      </w:r>
    </w:p>
    <w:p>
      <w:pPr>
        <w:pStyle w:val="BodyText"/>
      </w:pPr>
      <w:r>
        <w:t xml:space="preserve">Estos resultados hacen plausibles las hipótesis. Pero no demuestran que las concentraciones de péptidos alcanzadas en humanos tras la ingesta sean suficientes en el tejido diana.</w:t>
      </w:r>
    </w:p>
    <w:bookmarkEnd w:id="868"/>
    <w:bookmarkStart w:id="869" w:name="riesgos-y-efectos-adversos-52"/>
    <w:p>
      <w:pPr>
        <w:pStyle w:val="Heading3"/>
      </w:pPr>
      <w:r>
        <w:t xml:space="preserve">Riesgos y efectos adversos</w:t>
      </w:r>
    </w:p>
    <w:p>
      <w:pPr>
        <w:pStyle w:val="FirstParagraph"/>
      </w:pPr>
      <w:r>
        <w:rPr>
          <w:bCs/>
          <w:b/>
        </w:rPr>
        <w:t xml:space="preserve">Demostrados:</w:t>
      </w:r>
      <w:r>
        <w:t xml:space="preserve"> </w:t>
      </w:r>
      <w:r>
        <w:t xml:space="preserve">en los estudios aleatorizados, los efectos adversos no fueron más frecuentes que con placebo. El gran metaanálisis sobre artrosis no encontró un riesgo aumentado de acontecimientos adversos ni de abandonos (Liang 2024, PMID 38218227). Ocasionalmente se comunican sensación de plenitud, flatulencia o un sabor desagradable.</w:t>
      </w:r>
    </w:p>
    <w:p>
      <w:pPr>
        <w:pStyle w:val="BodyText"/>
      </w:pPr>
      <w:r>
        <w:rPr>
          <w:bCs/>
          <w:b/>
        </w:rPr>
        <w:t xml:space="preserve">A tener en cuenta:</w:t>
      </w:r>
    </w:p>
    <w:p>
      <w:pPr>
        <w:numPr>
          <w:ilvl w:val="0"/>
          <w:numId w:val="1294"/>
        </w:numPr>
        <w:pStyle w:val="Compact"/>
      </w:pPr>
      <w:r>
        <w:rPr>
          <w:bCs/>
          <w:b/>
        </w:rPr>
        <w:t xml:space="preserve">Alergias e intolerancias:</w:t>
      </w:r>
      <w:r>
        <w:t xml:space="preserve"> </w:t>
      </w:r>
      <w:r>
        <w:t xml:space="preserve">el colágeno de pescado puede ser problemático en caso de alergia al pescado; los productos de vacuno o porcino son relevantes para las personas que evitan estos animales por motivos religiosos o éticos. El origen figura en la lista de ingredientes.</w:t>
      </w:r>
    </w:p>
    <w:p>
      <w:pPr>
        <w:numPr>
          <w:ilvl w:val="0"/>
          <w:numId w:val="1294"/>
        </w:numPr>
        <w:pStyle w:val="Compact"/>
      </w:pPr>
      <w:r>
        <w:rPr>
          <w:bCs/>
          <w:b/>
        </w:rPr>
        <w:t xml:space="preserve">Oxalato y cálculos renales:</w:t>
      </w:r>
      <w:r>
        <w:t xml:space="preserve"> </w:t>
      </w:r>
      <w:r>
        <w:t xml:space="preserve">la hidroxiprolina se degrada en parte a oxalato en el organismo. En un estudio, la excreción urinaria de oxalato aumentó un 43 % con 30 g de gelatina al día en comparación con la proteína de suero; ya 5 a 10 g de gelatina produjeron cambios medibles (Knight 2006, PMID 17021603). Para las personas sanas, la relevancia no está clara. Las personas con cálculos renales de oxalato cálcico o con una hiperoxaluria congénita deberían consultar la ingesta con su médico (riesgo teórico, pero con fundamento biológico).</w:t>
      </w:r>
    </w:p>
    <w:p>
      <w:pPr>
        <w:numPr>
          <w:ilvl w:val="0"/>
          <w:numId w:val="1294"/>
        </w:numPr>
        <w:pStyle w:val="Compact"/>
      </w:pPr>
      <w:r>
        <w:rPr>
          <w:bCs/>
          <w:b/>
        </w:rPr>
        <w:t xml:space="preserve">Cantidad de proteínas:</w:t>
      </w:r>
      <w:r>
        <w:t xml:space="preserve"> </w:t>
      </w:r>
      <w:r>
        <w:t xml:space="preserve">en las enfermedades renales con restricción proteica, el colágeno también cuenta en el aporte diario de proteínas.</w:t>
      </w:r>
    </w:p>
    <w:p>
      <w:pPr>
        <w:numPr>
          <w:ilvl w:val="0"/>
          <w:numId w:val="1294"/>
        </w:numPr>
        <w:pStyle w:val="Compact"/>
      </w:pPr>
      <w:r>
        <w:rPr>
          <w:bCs/>
          <w:b/>
        </w:rPr>
        <w:t xml:space="preserve">Calidad del producto:</w:t>
      </w:r>
      <w:r>
        <w:t xml:space="preserve"> </w:t>
      </w:r>
      <w:r>
        <w:t xml:space="preserve">los complementos alimenticios no se evalúan en cuanto a su eficacia antes de la venta. El fabricante es responsable de su pureza y de la ausencia de contaminantes; el control alimentario solo realiza inspecciones por muestreo.</w:t>
      </w:r>
    </w:p>
    <w:p>
      <w:pPr>
        <w:numPr>
          <w:ilvl w:val="0"/>
          <w:numId w:val="1294"/>
        </w:numPr>
        <w:pStyle w:val="Compact"/>
      </w:pPr>
      <w:r>
        <w:rPr>
          <w:bCs/>
          <w:b/>
        </w:rPr>
        <w:t xml:space="preserve">Falsa seguridad:</w:t>
      </w:r>
      <w:r>
        <w:t xml:space="preserve"> </w:t>
      </w:r>
      <w:r>
        <w:t xml:space="preserve">el mayor riesgo práctico es que el colágeno se use en lugar de medidas eficaces, por ejemplo en lugar de la protección UV frente al envejecimiento cutáneo o en lugar de un tratamiento de la osteoporosis.</w:t>
      </w:r>
    </w:p>
    <w:bookmarkEnd w:id="869"/>
    <w:bookmarkStart w:id="870" w:name="situación-legal-52"/>
    <w:p>
      <w:pPr>
        <w:pStyle w:val="Heading3"/>
      </w:pPr>
      <w:r>
        <w:t xml:space="preserve">Situación legal</w:t>
      </w:r>
    </w:p>
    <w:p>
      <w:pPr>
        <w:numPr>
          <w:ilvl w:val="0"/>
          <w:numId w:val="1295"/>
        </w:numPr>
        <w:pStyle w:val="Compact"/>
      </w:pPr>
      <w:r>
        <w:rPr>
          <w:bCs/>
          <w:b/>
        </w:rPr>
        <w:t xml:space="preserve">UE / Austria / Alemania:</w:t>
      </w:r>
      <w:r>
        <w:t xml:space="preserve"> </w:t>
      </w:r>
      <w:r>
        <w:t xml:space="preserve">los péptidos de colágeno son alimentos. En Alemania, los complementos alimenticios deben notificarse a la Oficina Federal de Protección del Consumidor y Seguridad Alimentaria (BVL) antes de su primera venta; en Austria rigen normas propias. En ninguno de los dos países se evalúa la eficacia. Según el Reglamento europeo sobre declaraciones de propiedades saludables (Reglamento (CE) n.º 1924/2006), las declaraciones relacionadas con la salud solo están permitidas si están autorizadas en la lista de la UE.</w:t>
      </w:r>
      <w:r>
        <w:t xml:space="preserve"> </w:t>
      </w:r>
      <w:r>
        <w:rPr>
          <w:bCs/>
          <w:b/>
        </w:rPr>
        <w:t xml:space="preserve">Para el colágeno o los péptidos de colágeno no existe ninguna declaración de propiedades saludables autorizada.</w:t>
      </w:r>
      <w:r>
        <w:t xml:space="preserve"> </w:t>
      </w:r>
      <w:r>
        <w:t xml:space="preserve">La Autoridad Europea de Seguridad Alimentaria (EFSA) evaluó negativamente las declaraciones solicitadas, por ejemplo sobre la salud articular, porque no se había demostrado una relación causa-efecto. Por eso, muchos productos contienen vitamina C: para la vitamina C está autorizada la declaración de que contribuye a la formación normal de colágeno para el funcionamiento normal de la piel, el cartílago, los huesos, las encías, los dientes y los vasos sanguíneos. La frase publicitaria se refiere entonces jurídicamente a la vitamina, no al colágeno. Las afirmaciones sobre belleza («para una piel más firme») se mueven en una zona gris y los tribunales las valoran de forma diversa.</w:t>
      </w:r>
    </w:p>
    <w:p>
      <w:pPr>
        <w:numPr>
          <w:ilvl w:val="0"/>
          <w:numId w:val="1295"/>
        </w:numPr>
        <w:pStyle w:val="Compact"/>
      </w:pPr>
      <w:r>
        <w:rPr>
          <w:bCs/>
          <w:b/>
        </w:rPr>
        <w:t xml:space="preserve">EE. UU.:</w:t>
      </w:r>
      <w:r>
        <w:t xml:space="preserve"> </w:t>
      </w:r>
      <w:r>
        <w:t xml:space="preserve">los péptidos de colágeno se venden como dietary supplement. Los fabricantes pueden hacer las llamadas declaraciones de estructura y función («apoya una piel sana»), pero deben añadir la advertencia de que la FDA no ha evaluado la declaración. No se permiten promesas relacionadas con enfermedades.</w:t>
      </w:r>
    </w:p>
    <w:p>
      <w:pPr>
        <w:numPr>
          <w:ilvl w:val="0"/>
          <w:numId w:val="1295"/>
        </w:numPr>
        <w:pStyle w:val="Compact"/>
      </w:pPr>
      <w:r>
        <w:rPr>
          <w:bCs/>
          <w:b/>
        </w:rPr>
        <w:t xml:space="preserve">Deporte:</w:t>
      </w:r>
      <w:r>
        <w:t xml:space="preserve"> </w:t>
      </w:r>
      <w:r>
        <w:t xml:space="preserve">los péptidos de colágeno no figuran en la lista de prohibiciones de la WADA. Como con todos los complementos alimenticios, existe un riesgo residual de contaminación; las y los deportistas de alto rendimiento deberían fijarse en listas verificadas (p. ej., la Kölner Liste) (situación en 2026, compruébese la versión actual).</w:t>
      </w:r>
    </w:p>
    <w:bookmarkEnd w:id="870"/>
    <w:bookmarkStart w:id="871" w:name="estudios-en-curso-y-perspectivas-52"/>
    <w:p>
      <w:pPr>
        <w:pStyle w:val="Heading3"/>
      </w:pPr>
      <w:r>
        <w:t xml:space="preserve">Estudios en curso y perspectivas</w:t>
      </w:r>
    </w:p>
    <w:p>
      <w:pPr>
        <w:pStyle w:val="FirstParagraph"/>
      </w:pPr>
      <w:r>
        <w:rPr>
          <w:bCs/>
          <w:b/>
        </w:rPr>
        <w:t xml:space="preserve">Confirmado (estudios registrados, situación en octubre de 2026):</w:t>
      </w:r>
    </w:p>
    <w:p>
      <w:pPr>
        <w:numPr>
          <w:ilvl w:val="0"/>
          <w:numId w:val="1296"/>
        </w:numPr>
        <w:pStyle w:val="Compact"/>
      </w:pPr>
      <w:r>
        <w:rPr>
          <w:bCs/>
          <w:b/>
        </w:rPr>
        <w:t xml:space="preserve">Artrosis de rodilla:</w:t>
      </w:r>
      <w:r>
        <w:t xml:space="preserve"> </w:t>
      </w:r>
      <w:r>
        <w:t xml:space="preserve">un estudio del Istituto Ortopedico Rizzoli compara una formulación de colágeno hidrolizado con placebo en 204 participantes (NCT04998188). Un estudio más pequeño compara distintas formas de colágeno (NCT07800780).</w:t>
      </w:r>
    </w:p>
    <w:p>
      <w:pPr>
        <w:numPr>
          <w:ilvl w:val="0"/>
          <w:numId w:val="1296"/>
        </w:numPr>
        <w:pStyle w:val="Compact"/>
      </w:pPr>
      <w:r>
        <w:rPr>
          <w:bCs/>
          <w:b/>
        </w:rPr>
        <w:t xml:space="preserve">Prótesis de rodilla:</w:t>
      </w:r>
      <w:r>
        <w:t xml:space="preserve"> </w:t>
      </w:r>
      <w:r>
        <w:t xml:space="preserve">péptidos de colágeno tras una artroplastia total de rodilla, con remodelación del tejido conjuntivo y cicatrización de heridas como variables (NCT05823727).</w:t>
      </w:r>
    </w:p>
    <w:p>
      <w:pPr>
        <w:numPr>
          <w:ilvl w:val="0"/>
          <w:numId w:val="1296"/>
        </w:numPr>
        <w:pStyle w:val="Compact"/>
      </w:pPr>
      <w:r>
        <w:rPr>
          <w:bCs/>
          <w:b/>
        </w:rPr>
        <w:t xml:space="preserve">Piel:</w:t>
      </w:r>
      <w:r>
        <w:t xml:space="preserve"> </w:t>
      </w:r>
      <w:r>
        <w:t xml:space="preserve">una comparación del uso oral y tópico de colágeno, por separado y combinado, con 165 mujeres previstas (NCT07473037).</w:t>
      </w:r>
    </w:p>
    <w:p>
      <w:pPr>
        <w:numPr>
          <w:ilvl w:val="0"/>
          <w:numId w:val="1296"/>
        </w:numPr>
        <w:pStyle w:val="Compact"/>
      </w:pPr>
      <w:r>
        <w:rPr>
          <w:bCs/>
          <w:b/>
        </w:rPr>
        <w:t xml:space="preserve">Envejecimiento:</w:t>
      </w:r>
      <w:r>
        <w:t xml:space="preserve"> </w:t>
      </w:r>
      <w:r>
        <w:t xml:space="preserve">un estudio de la Universidad de Viena investiga los péptidos de colágeno y marcadores del envejecimiento celular en 125 participantes previstos (NCT07456449).</w:t>
      </w:r>
    </w:p>
    <w:p>
      <w:pPr>
        <w:numPr>
          <w:ilvl w:val="0"/>
          <w:numId w:val="1296"/>
        </w:numPr>
        <w:pStyle w:val="Compact"/>
      </w:pPr>
      <w:r>
        <w:rPr>
          <w:bCs/>
          <w:b/>
        </w:rPr>
        <w:t xml:space="preserve">Metabolismo:</w:t>
      </w:r>
      <w:r>
        <w:t xml:space="preserve"> </w:t>
      </w:r>
      <w:r>
        <w:t xml:space="preserve">un estudio del King’s College de Londres investiga la calidad de vida, el apetito y el control glucémico (NCT07229014).</w:t>
      </w:r>
    </w:p>
    <w:p>
      <w:pPr>
        <w:pStyle w:val="FirstParagraph"/>
      </w:pPr>
      <w:r>
        <w:rPr>
          <w:bCs/>
          <w:b/>
        </w:rPr>
        <w:t xml:space="preserve">Valoración:</w:t>
      </w:r>
      <w:r>
        <w:t xml:space="preserve"> </w:t>
      </w:r>
      <w:r>
        <w:t xml:space="preserve">la cuestión decisiva para los próximos años no es si habrá más estudios pequeños positivos –cabe esperarlo–, sino si estudios grandes, con financiación independiente y variables registradas de antemano confirman los efectos. El metaanálisis según la fuente de financiación (Myung 2025, PMID 40324552) ha hecho visible el listón para ello. Para el dolor articular, un efecto pequeño es lo que está mejor documentado; para la piel y los tendones, la situación sigue abierta. No cabe esperar una autorización como medicamento, ya que los productos ya son de venta libre como alimentos y ningún fabricante tendría que asumir el esfuerzo de un programa de autorización.</w:t>
      </w:r>
    </w:p>
    <w:bookmarkEnd w:id="871"/>
    <w:bookmarkStart w:id="872" w:name="conclusión-52"/>
    <w:p>
      <w:pPr>
        <w:pStyle w:val="Heading3"/>
      </w:pPr>
      <w:r>
        <w:t xml:space="preserve">Conclusión</w:t>
      </w:r>
    </w:p>
    <w:p>
      <w:pPr>
        <w:pStyle w:val="FirstParagraph"/>
      </w:pPr>
      <w:r>
        <w:t xml:space="preserve">Los péptidos de colágeno son un producto alimentario bien tolerado con una base de estudios amplia, pero metodológicamente débil. Para el dolor articular en la artrosis, los metaanálisis muestran efectos pequeños, aunque algunos estudios más grandes no encontraron diferencias frente al placebo. En la piel, el beneficio medido en los estudios de los fabricantes desaparece si solo se consideran los estudios con financiación independiente o de alta calidad metodológica. Para el desarrollo muscular, el colágeno es inferior a otras fuentes de proteínas; el colágeno de tipo II no desnaturalizado es un producto distinto con datos propios, también limitados. En la UE, el colágeno no puede promocionarse con declaraciones relacionadas con la salud: los mensajes publicitarios se refieren por lo general a la vitamina C añadida.</w:t>
      </w:r>
    </w:p>
    <w:bookmarkEnd w:id="872"/>
    <w:bookmarkEnd w:id="873"/>
    <w:bookmarkStart w:id="886" w:name="lactotripéptidos-vpp-e-ipp"/>
    <w:p>
      <w:pPr>
        <w:pStyle w:val="Heading2"/>
      </w:pPr>
      <w:r>
        <w:t xml:space="preserve">Lactotripéptidos (VPP e IPP)</w:t>
      </w:r>
    </w:p>
    <w:bookmarkStart w:id="874" w:name="ficha-53"/>
    <w:p>
      <w:pPr>
        <w:pStyle w:val="Heading3"/>
      </w:pPr>
      <w:r>
        <w:t xml:space="preserve">Ficha</w:t>
      </w:r>
    </w:p>
    <w:p>
      <w:pPr>
        <w:numPr>
          <w:ilvl w:val="0"/>
          <w:numId w:val="1297"/>
        </w:numPr>
        <w:pStyle w:val="Compact"/>
      </w:pPr>
      <w:r>
        <w:rPr>
          <w:bCs/>
          <w:b/>
        </w:rPr>
        <w:t xml:space="preserve">Tipo/estructura:</w:t>
      </w:r>
      <w:r>
        <w:t xml:space="preserve"> </w:t>
      </w:r>
      <w:r>
        <w:t xml:space="preserve">dos tripéptidos de tres aminoácidos cada uno: valina-prolina-prolina (VPP) e isoleucina-prolina-prolina (IPP). La doble prolina del extremo los hace relativamente resistentes a las enzimas digestivas.</w:t>
      </w:r>
    </w:p>
    <w:p>
      <w:pPr>
        <w:numPr>
          <w:ilvl w:val="0"/>
          <w:numId w:val="1297"/>
        </w:numPr>
        <w:pStyle w:val="Compact"/>
      </w:pPr>
      <w:r>
        <w:rPr>
          <w:bCs/>
          <w:b/>
        </w:rPr>
        <w:t xml:space="preserve">Origen:</w:t>
      </w:r>
      <w:r>
        <w:t xml:space="preserve"> </w:t>
      </w:r>
      <w:r>
        <w:t xml:space="preserve">fragmentos de la proteína láctea caseína. Se forman cuando la leche se fermenta con determinadas bacterias (sobre todo</w:t>
      </w:r>
      <w:r>
        <w:t xml:space="preserve"> </w:t>
      </w:r>
      <w:r>
        <w:rPr>
          <w:iCs/>
          <w:i/>
        </w:rPr>
        <w:t xml:space="preserve">Lactobacillus helveticus</w:t>
      </w:r>
      <w:r>
        <w:t xml:space="preserve">) o mediante escisión enzimática de la caseína con enzimas del hongo</w:t>
      </w:r>
      <w:r>
        <w:t xml:space="preserve"> </w:t>
      </w:r>
      <w:r>
        <w:rPr>
          <w:iCs/>
          <w:i/>
        </w:rPr>
        <w:t xml:space="preserve">Aspergillus oryzae</w:t>
      </w:r>
      <w:r>
        <w:t xml:space="preserve">. Productos conocidos fueron una bebida japonesa de leche fermentada (Calpis) y un producto lácteo finlandés (Evolus, de Valio).</w:t>
      </w:r>
    </w:p>
    <w:p>
      <w:pPr>
        <w:numPr>
          <w:ilvl w:val="0"/>
          <w:numId w:val="1297"/>
        </w:numPr>
        <w:pStyle w:val="Compact"/>
      </w:pPr>
      <w:r>
        <w:rPr>
          <w:bCs/>
          <w:b/>
        </w:rPr>
        <w:t xml:space="preserve">Mecanismo de acción:</w:t>
      </w:r>
      <w:r>
        <w:t xml:space="preserve"> </w:t>
      </w:r>
      <w:r>
        <w:t xml:space="preserve">se supone que inhiben la enzima convertidora de angiotensina (ECA), la misma enzima que bloquean los inhibidores de la ECA antihipertensivos como el ramipril o el enalapril, solo que muchas veces más débilmente.</w:t>
      </w:r>
    </w:p>
    <w:p>
      <w:pPr>
        <w:numPr>
          <w:ilvl w:val="0"/>
          <w:numId w:val="1297"/>
        </w:numPr>
        <w:pStyle w:val="Compact"/>
      </w:pPr>
      <w:r>
        <w:rPr>
          <w:bCs/>
          <w:b/>
        </w:rPr>
        <w:t xml:space="preserve">Autorización en la UE:</w:t>
      </w:r>
      <w:r>
        <w:t xml:space="preserve"> </w:t>
      </w:r>
      <w:r>
        <w:t xml:space="preserve">sin autorización como medicamento; como ingrediente alimentario o en complementos alimenticios. Ninguna declaración de propiedades saludables autorizada sobre la presión arterial.</w:t>
      </w:r>
    </w:p>
    <w:p>
      <w:pPr>
        <w:numPr>
          <w:ilvl w:val="0"/>
          <w:numId w:val="1297"/>
        </w:numPr>
        <w:pStyle w:val="Compact"/>
      </w:pPr>
      <w:r>
        <w:rPr>
          <w:bCs/>
          <w:b/>
        </w:rPr>
        <w:t xml:space="preserve">Autorización en EE. UU.:</w:t>
      </w:r>
      <w:r>
        <w:t xml:space="preserve"> </w:t>
      </w:r>
      <w:r>
        <w:t xml:space="preserve">sin autorización como medicamento; disponibles como complemento alimenticio.</w:t>
      </w:r>
    </w:p>
    <w:p>
      <w:pPr>
        <w:numPr>
          <w:ilvl w:val="0"/>
          <w:numId w:val="1297"/>
        </w:numPr>
        <w:pStyle w:val="Compact"/>
      </w:pPr>
      <w:r>
        <w:rPr>
          <w:bCs/>
          <w:b/>
        </w:rPr>
        <w:t xml:space="preserve">WADA:</w:t>
      </w:r>
      <w:r>
        <w:t xml:space="preserve"> </w:t>
      </w:r>
      <w:r>
        <w:t xml:space="preserve">no figuran en la lista (situación en 2026, compruébese la versión actual).</w:t>
      </w:r>
    </w:p>
    <w:p>
      <w:pPr>
        <w:numPr>
          <w:ilvl w:val="0"/>
          <w:numId w:val="1297"/>
        </w:numPr>
        <w:pStyle w:val="Compact"/>
      </w:pPr>
      <w:r>
        <w:rPr>
          <w:bCs/>
          <w:b/>
        </w:rPr>
        <w:t xml:space="preserve">Nivel de evidencia:</w:t>
      </w:r>
      <w:r>
        <w:t xml:space="preserve"> </w:t>
      </w:r>
      <w:r>
        <w:rPr>
          <w:bCs/>
          <w:b/>
        </w:rPr>
        <w:t xml:space="preserve">B</w:t>
      </w:r>
      <w:r>
        <w:t xml:space="preserve"> </w:t>
      </w:r>
      <w:r>
        <w:t xml:space="preserve">– unos 30 estudios aleatorizados con varios miles de participantes en total, pero todos pequeños, con resultados contradictorios y sin variables de resultado duras.</w:t>
      </w:r>
    </w:p>
    <w:bookmarkEnd w:id="874"/>
    <w:bookmarkStart w:id="875" w:name="cómo-se-supone-que-actúa-53"/>
    <w:p>
      <w:pPr>
        <w:pStyle w:val="Heading3"/>
      </w:pPr>
      <w:r>
        <w:t xml:space="preserve">Cómo se supone que actúa</w:t>
      </w:r>
    </w:p>
    <w:p>
      <w:pPr>
        <w:pStyle w:val="FirstParagraph"/>
      </w:pPr>
      <w:r>
        <w:t xml:space="preserve">La presión arterial está regulada, entre otros, por el sistema renina-angiotensina. Un paso central es la conversión de la angiotensina I, inactiva, en la angiotensina II, vasoconstrictora, mediante la enzima ECA. La misma enzima degrada además la bradicinina, una sustancia que dilata los vasos. Si se inhibe la ECA, se forma menos angiotensina II y más bradicinina, y la presión arterial baja. En este principio se basan los inhibidores de la ECA, uno de los grupos más importantes de antihipertensivos. Un dato histórico interesante: el primer inhibidor de la ECA, el captopril, se desarrolló a partir de un péptido del veneno de una serpiente.</w:t>
      </w:r>
    </w:p>
    <w:p>
      <w:pPr>
        <w:pStyle w:val="BodyText"/>
      </w:pPr>
      <w:r>
        <w:t xml:space="preserve">En la década de 1990, investigadores japoneses aislaron de la leche fermentada dos tripéptidos que inhiben la ECA en el tubo de ensayo. En ratas con hipertensión congénita, una única administración de la leche fermentada o de los péptidos aislados VPP e IPP redujo la presión sistólica durante algunas horas; en ratas con presión arterial normal no cambió nada (Nakamura 1995, PMID 7673515). De ahí surgió la idea de un «alimento antihipertensivo».</w:t>
      </w:r>
    </w:p>
    <w:p>
      <w:pPr>
        <w:pStyle w:val="BodyText"/>
      </w:pPr>
      <w:r>
        <w:t xml:space="preserve">Para que esto funcione, los péptidos deben llegar intactos al torrente sanguíneo. Un pequeño estudio mostró que, tras beber una bebida de yogur enriquecida, el IPP es realmente detectable intacto en la sangre, aunque en concentraciones del orden de picomoles por litro (Foltz 2007, PMID 17374660). Un estudio suizo con doce hombres sanos examinó entonces directamente si los péptidos inhiben la ECA en el organismo: tras siete días de leche fermentada, los marcadores de actividad de la ECA y la renina no cambiaron, mientras que un único comprimido de captopril redujo la actividad plasmática de la ECA en un 82 %. El IPP solo aumentó en sangre de forma breve y escasa, y el VPP quedó por debajo del límite de detección (Wuerzner 2009, PMID 19506528).</w:t>
      </w:r>
    </w:p>
    <w:p>
      <w:pPr>
        <w:pStyle w:val="BodyText"/>
      </w:pPr>
      <w:r>
        <w:t xml:space="preserve">Esto significa que el mecanismo, plausible en el laboratorio, no pudo demostrarse en humanos con las cantidades probadas. Por eso se debaten también otras vías, como una mejor función de la pared interna de los vasos a través del óxido nítrico. Hasta ahora proceden sobre todo de cultivos celulares y experimentos con animales.</w:t>
      </w:r>
    </w:p>
    <w:bookmarkEnd w:id="875"/>
    <w:bookmarkStart w:id="880" w:name="estudios-en-humanos-53"/>
    <w:p>
      <w:pPr>
        <w:pStyle w:val="Heading3"/>
      </w:pPr>
      <w:r>
        <w:t xml:space="preserve">Estudios en humanos</w:t>
      </w:r>
    </w:p>
    <w:p>
      <w:pPr>
        <w:pStyle w:val="FirstParagraph"/>
      </w:pPr>
      <w:r>
        <w:t xml:space="preserve">La consulta en PubMed evaluada para este libro (lactotripéptidos o valil-prolil-prolina, fecha de consulta octubre de 2026) arrojó 21 estudios en humanos; en ClinicalTrials.gov, la búsqueda «lactotripeptides» no encontró ningún registro. La mayoría de los estudios se realizaron antes de que se introdujera la obligación de registrar los estudios de nutrición. Los metaanálisis se basan en hasta 30 estudios aleatorizados, entre ellos muchos estudios japoneses que la consulta de PubMed no recoge por completo.</w:t>
      </w:r>
    </w:p>
    <w:bookmarkStart w:id="876" w:name="los-primeros-estudios-positivos"/>
    <w:p>
      <w:pPr>
        <w:pStyle w:val="Heading4"/>
      </w:pPr>
      <w:r>
        <w:t xml:space="preserve">Los primeros estudios positivos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Hata 1996, PMID 8901799</w:t>
            </w:r>
          </w:p>
        </w:tc>
        <w:tc>
          <w:tcPr/>
          <w:p>
            <w:pPr>
              <w:pStyle w:val="Compact"/>
              <w:jc w:val="left"/>
            </w:pPr>
            <w:r>
              <w:t xml:space="preserve">30 personas mayores con hipertensión (la mayoría con medicación), leche fermentada frente a leche acidificada</w:t>
            </w:r>
          </w:p>
        </w:tc>
        <w:tc>
          <w:tcPr/>
          <w:p>
            <w:pPr>
              <w:pStyle w:val="Compact"/>
              <w:jc w:val="left"/>
            </w:pPr>
            <w:r>
              <w:t xml:space="preserve">8 semanas</w:t>
            </w:r>
          </w:p>
        </w:tc>
        <w:tc>
          <w:tcPr/>
          <w:p>
            <w:pPr>
              <w:pStyle w:val="Compact"/>
              <w:jc w:val="left"/>
            </w:pPr>
            <w:r>
              <w:t xml:space="preserve">Sistólica −14,1 mmHg respecto al valor basal en el grupo de leche fermentada; placebo sin cambios</w:t>
            </w:r>
          </w:p>
        </w:tc>
      </w:tr>
      <w:tr>
        <w:tc>
          <w:tcPr/>
          <w:p>
            <w:pPr>
              <w:pStyle w:val="Compact"/>
              <w:jc w:val="left"/>
            </w:pPr>
            <w:r>
              <w:t xml:space="preserve">Seppo 2003, PMID 12540390</w:t>
            </w:r>
          </w:p>
        </w:tc>
        <w:tc>
          <w:tcPr/>
          <w:p>
            <w:pPr>
              <w:pStyle w:val="Compact"/>
              <w:jc w:val="left"/>
            </w:pPr>
            <w:r>
              <w:t xml:space="preserve">39 personas con hipertensión, leche fermentada frente a control</w:t>
            </w:r>
          </w:p>
        </w:tc>
        <w:tc>
          <w:tcPr/>
          <w:p>
            <w:pPr>
              <w:pStyle w:val="Compact"/>
              <w:jc w:val="left"/>
            </w:pPr>
            <w:r>
              <w:t xml:space="preserve">21 semanas</w:t>
            </w:r>
          </w:p>
        </w:tc>
        <w:tc>
          <w:tcPr/>
          <w:p>
            <w:pPr>
              <w:pStyle w:val="Compact"/>
              <w:jc w:val="left"/>
            </w:pPr>
            <w:r>
              <w:t xml:space="preserve">Diferencia sistólica 6,7 mmHg (p = 0,03), diastólica 3,6 mmHg (no significativa)</w:t>
            </w:r>
          </w:p>
        </w:tc>
      </w:tr>
      <w:tr>
        <w:tc>
          <w:tcPr/>
          <w:p>
            <w:pPr>
              <w:pStyle w:val="Compact"/>
              <w:jc w:val="left"/>
            </w:pPr>
            <w:r>
              <w:t xml:space="preserve">Tuomilehto 2004, PMID 15175633</w:t>
            </w:r>
          </w:p>
        </w:tc>
        <w:tc>
          <w:tcPr/>
          <w:p>
            <w:pPr>
              <w:pStyle w:val="Compact"/>
              <w:jc w:val="left"/>
            </w:pPr>
            <w:r>
              <w:t xml:space="preserve">60 personas con hipertensión leve, estudio cruzado</w:t>
            </w:r>
          </w:p>
        </w:tc>
        <w:tc>
          <w:tcPr/>
          <w:p>
            <w:pPr>
              <w:pStyle w:val="Compact"/>
              <w:jc w:val="left"/>
            </w:pPr>
            <w:r>
              <w:t xml:space="preserve">2 fases</w:t>
            </w:r>
          </w:p>
        </w:tc>
        <w:tc>
          <w:tcPr/>
          <w:p>
            <w:pPr>
              <w:pStyle w:val="Compact"/>
              <w:jc w:val="left"/>
            </w:pPr>
            <w:r>
              <w:t xml:space="preserve">Análisis global: diferencia sistólica de 2,6 mmHg, no significativa</w:t>
            </w:r>
          </w:p>
        </w:tc>
      </w:tr>
      <w:tr>
        <w:tc>
          <w:tcPr/>
          <w:p>
            <w:pPr>
              <w:pStyle w:val="Compact"/>
              <w:jc w:val="left"/>
            </w:pPr>
            <w:r>
              <w:t xml:space="preserve">Jauhiainen 2005, PMID 16364832</w:t>
            </w:r>
          </w:p>
        </w:tc>
        <w:tc>
          <w:tcPr/>
          <w:p>
            <w:pPr>
              <w:pStyle w:val="Compact"/>
              <w:jc w:val="left"/>
            </w:pPr>
            <w:r>
              <w:t xml:space="preserve">94 personas con hipertensión no tratada, leche fermentada frente a control, medición de 24 horas</w:t>
            </w:r>
          </w:p>
        </w:tc>
        <w:tc>
          <w:tcPr/>
          <w:p>
            <w:pPr>
              <w:pStyle w:val="Compact"/>
              <w:jc w:val="left"/>
            </w:pPr>
            <w:r>
              <w:t xml:space="preserve">10 semanas</w:t>
            </w:r>
          </w:p>
        </w:tc>
        <w:tc>
          <w:tcPr/>
          <w:p>
            <w:pPr>
              <w:pStyle w:val="Compact"/>
              <w:jc w:val="left"/>
            </w:pPr>
            <w:r>
              <w:t xml:space="preserve">Sistólica −4,1 mmHg, diastólica −1,8 mmHg frente al control</w:t>
            </w:r>
          </w:p>
        </w:tc>
      </w:tr>
    </w:tbl>
    <w:p>
      <w:pPr>
        <w:pStyle w:val="BodyText"/>
      </w:pPr>
      <w:r>
        <w:t xml:space="preserve">El primer estudio de Hata era pequeño, la mayoría de los participantes ya tomaba antihipertensivos y se comparó sobre todo con el valor basal. El estudio de Jauhiainen es metodológicamente más sólido porque utilizó la medición ambulatoria de la presión arterial de 24 horas, menos sensible al «efecto de bata blanca» en la consulta.</w:t>
      </w:r>
    </w:p>
    <w:bookmarkEnd w:id="876"/>
    <w:bookmarkStart w:id="877" w:name="X364b7df5105ddc6e8b26ddebf6e20282b8e0635"/>
    <w:p>
      <w:pPr>
        <w:pStyle w:val="Heading4"/>
      </w:pPr>
      <w:r>
        <w:t xml:space="preserve">Los estudios negativos de los Países Bajos</w:t>
      </w:r>
    </w:p>
    <w:p>
      <w:pPr>
        <w:pStyle w:val="FirstParagraph"/>
      </w:pPr>
      <w:r>
        <w:t xml:space="preserve">A partir de 2008 se publicaron varios estudios más grandes y cuidadosamente realizados en países europeos que no encontraron ningún efecto: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Engberink 2008, PMID 18086944</w:t>
            </w:r>
          </w:p>
        </w:tc>
        <w:tc>
          <w:tcPr/>
          <w:p>
            <w:pPr>
              <w:pStyle w:val="Compact"/>
              <w:jc w:val="left"/>
            </w:pPr>
            <w:r>
              <w:t xml:space="preserve">135 neerlandeses con presión sistólica elevada, tres formas de fabricación de LTP frente a placebo</w:t>
            </w:r>
          </w:p>
        </w:tc>
        <w:tc>
          <w:tcPr/>
          <w:p>
            <w:pPr>
              <w:pStyle w:val="Compact"/>
              <w:jc w:val="left"/>
            </w:pPr>
            <w:r>
              <w:t xml:space="preserve">8 semanas</w:t>
            </w:r>
          </w:p>
        </w:tc>
        <w:tc>
          <w:tcPr/>
          <w:p>
            <w:pPr>
              <w:pStyle w:val="Compact"/>
              <w:jc w:val="left"/>
            </w:pPr>
            <w:r>
              <w:t xml:space="preserve">Sin diferencia frente a placebo en la presión en consulta, domiciliaria y de 24 horas, la actividad de la ECA ni la angiotensina II</w:t>
            </w:r>
          </w:p>
        </w:tc>
      </w:tr>
      <w:tr>
        <w:tc>
          <w:tcPr/>
          <w:p>
            <w:pPr>
              <w:pStyle w:val="Compact"/>
              <w:jc w:val="left"/>
            </w:pPr>
            <w:r>
              <w:t xml:space="preserve">van der Zander 2008, PMID 19064533</w:t>
            </w:r>
          </w:p>
        </w:tc>
        <w:tc>
          <w:tcPr/>
          <w:p>
            <w:pPr>
              <w:pStyle w:val="Compact"/>
              <w:jc w:val="left"/>
            </w:pPr>
            <w:r>
              <w:t xml:space="preserve">275 neerlandeses con hipertensión, LTP de producción enzimática en bebida de yogur frente a placebo</w:t>
            </w:r>
          </w:p>
        </w:tc>
        <w:tc>
          <w:tcPr/>
          <w:p>
            <w:pPr>
              <w:pStyle w:val="Compact"/>
              <w:jc w:val="left"/>
            </w:pPr>
            <w:r>
              <w:t xml:space="preserve">8 semanas</w:t>
            </w:r>
          </w:p>
        </w:tc>
        <w:tc>
          <w:tcPr/>
          <w:p>
            <w:pPr>
              <w:pStyle w:val="Compact"/>
              <w:jc w:val="left"/>
            </w:pPr>
            <w:r>
              <w:t xml:space="preserve">Sin diferencia sistólica (p = 0,66) ni diastólica (p = 0,72)</w:t>
            </w:r>
          </w:p>
        </w:tc>
      </w:tr>
      <w:tr>
        <w:tc>
          <w:tcPr/>
          <w:p>
            <w:pPr>
              <w:pStyle w:val="Compact"/>
              <w:jc w:val="left"/>
            </w:pPr>
            <w:r>
              <w:t xml:space="preserve">van Mierlo 2009, PMID 19106238</w:t>
            </w:r>
          </w:p>
        </w:tc>
        <w:tc>
          <w:tcPr/>
          <w:p>
            <w:pPr>
              <w:pStyle w:val="Compact"/>
              <w:jc w:val="left"/>
            </w:pPr>
            <w:r>
              <w:t xml:space="preserve">2 estudios cruzados con 69 y 93 adultos no tratados, medición de 24 horas</w:t>
            </w:r>
          </w:p>
        </w:tc>
        <w:tc>
          <w:tcPr/>
          <w:p>
            <w:pPr>
              <w:pStyle w:val="Compact"/>
              <w:jc w:val="left"/>
            </w:pPr>
            <w:r>
              <w:t xml:space="preserve">4 semanas cada uno</w:t>
            </w:r>
          </w:p>
        </w:tc>
        <w:tc>
          <w:tcPr/>
          <w:p>
            <w:pPr>
              <w:pStyle w:val="Compact"/>
              <w:jc w:val="left"/>
            </w:pPr>
            <w:r>
              <w:t xml:space="preserve">Sin diferencia en la presión arterial de 24 horas</w:t>
            </w:r>
          </w:p>
        </w:tc>
      </w:tr>
      <w:tr>
        <w:tc>
          <w:tcPr/>
          <w:p>
            <w:pPr>
              <w:pStyle w:val="Compact"/>
              <w:jc w:val="left"/>
            </w:pPr>
            <w:r>
              <w:t xml:space="preserve">Usinger 2010, PMID 20147968</w:t>
            </w:r>
          </w:p>
        </w:tc>
        <w:tc>
          <w:tcPr/>
          <w:p>
            <w:pPr>
              <w:pStyle w:val="Compact"/>
              <w:jc w:val="left"/>
            </w:pPr>
            <w:r>
              <w:t xml:space="preserve">94 personas con presión arterial normal-alta o limítrofe, 150 o 300 ml de leche fermentada frente a placebo</w:t>
            </w:r>
          </w:p>
        </w:tc>
        <w:tc>
          <w:tcPr/>
          <w:p>
            <w:pPr>
              <w:pStyle w:val="Compact"/>
              <w:jc w:val="left"/>
            </w:pPr>
            <w:r>
              <w:t xml:space="preserve">8 semanas</w:t>
            </w:r>
          </w:p>
        </w:tc>
        <w:tc>
          <w:tcPr/>
          <w:p>
            <w:pPr>
              <w:pStyle w:val="Compact"/>
              <w:jc w:val="left"/>
            </w:pPr>
            <w:r>
              <w:t xml:space="preserve">Sin diferencia significativa en la presión arterial de 24 horas</w:t>
            </w:r>
          </w:p>
        </w:tc>
      </w:tr>
    </w:tbl>
    <w:p>
      <w:pPr>
        <w:pStyle w:val="BodyText"/>
      </w:pPr>
      <w:r>
        <w:t xml:space="preserve">Lo notable del estudio de Engberink: probó lactotripéptidos de tres fuentes, de leche fermentada concentrada, de producción enzimática y de síntesis química. Ninguna de las tres variantes redujo la presión arterial ni inhibió la ECA de forma medible. Una revisión resumió seis de estos estudios con 780 participantes del Reino Unido y los Países Bajos y concluyó que los datos más recientes no respaldan un papel de los lactotripéptidos en la regulación de la presión arterial (Geleijnse 2010, PMID 19884823).</w:t>
      </w:r>
    </w:p>
    <w:bookmarkEnd w:id="877"/>
    <w:bookmarkStart w:id="878" w:name="estudios-posteriores"/>
    <w:p>
      <w:pPr>
        <w:pStyle w:val="Heading4"/>
      </w:pPr>
      <w:r>
        <w:t xml:space="preserve">Estudios posteriores</w:t>
      </w:r>
    </w:p>
    <w:p>
      <w:pPr>
        <w:pStyle w:val="FirstParagraph"/>
      </w:pPr>
      <w:r>
        <w:t xml:space="preserve">También después de 2010 los resultados siguieron siendo dispares. En Finlandia, una dosis de 50 mg de lactotripéptidos al día redujo la presión arterial de 24 horas respecto al valor basal, pero no de forma significativa frente al placebo (−2,6 mmHg sistólica); 5 mg al día no tuvieron efecto (Jauhiainen 2012, PMID 22617279). Una grasa para untar con IPP, VPP y esteroles vegetales redujo la presión sistólica medida en casa más que el placebo (−4,1 frente a −0,5 mmHg), pero no el valor en consulta ni el de 24 horas (Turpeinen 2012, PMID 22398753). Estudios italianos comunicaron efectos favorables sobre la presión en consulta y la rigidez arterial (Cicero 2011, PMID 21753776; Cicero 2016, PMID 26683986), en uno de ellos sin efecto sobre la presión de 24 horas. En EE. UU., en un estudio con 91 personas con hipertensión en estadios 1 y 2, la presión sistólica diurna disminuyó 3,6 mmHg, y con placebo no (Germino 2010, PMID 20433527).</w:t>
      </w:r>
    </w:p>
    <w:p>
      <w:pPr>
        <w:pStyle w:val="BodyText"/>
      </w:pPr>
      <w:r>
        <w:t xml:space="preserve">Además hay pequeños estudios sobre la función vascular, la circulación cerebral, la fatiga muscular y el rendimiento cognitivo, por lo general con 15 a 50 participantes (p. ej., Akazawa 2018, PMID 29703414). Deben leerse como indicios, no como pruebas.</w:t>
      </w:r>
    </w:p>
    <w:bookmarkEnd w:id="878"/>
    <w:bookmarkStart w:id="879" w:name="X1a5329f23d70d37d70cd952345f036df9c2c587"/>
    <w:p>
      <w:pPr>
        <w:pStyle w:val="Heading4"/>
      </w:pPr>
      <w:r>
        <w:t xml:space="preserve">Metaanálisis: efecto pequeño, fuerte influencia del origen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Metaanálisis</w:t>
            </w:r>
          </w:p>
        </w:tc>
        <w:tc>
          <w:tcPr/>
          <w:p>
            <w:pPr>
              <w:pStyle w:val="Compact"/>
              <w:jc w:val="left"/>
            </w:pPr>
            <w:r>
              <w:t xml:space="preserve">Alcance</w:t>
            </w:r>
          </w:p>
        </w:tc>
        <w:tc>
          <w:tcPr/>
          <w:p>
            <w:pPr>
              <w:pStyle w:val="Compact"/>
              <w:jc w:val="left"/>
            </w:pPr>
            <w:r>
              <w:t xml:space="preserve">Efecto sobre la presión sistólica</w:t>
            </w:r>
          </w:p>
        </w:tc>
      </w:tr>
      <w:tr>
        <w:tc>
          <w:tcPr/>
          <w:p>
            <w:pPr>
              <w:pStyle w:val="Compact"/>
              <w:jc w:val="left"/>
            </w:pPr>
            <w:r>
              <w:t xml:space="preserve">Cicero 2011, PMID 20811398</w:t>
            </w:r>
          </w:p>
        </w:tc>
        <w:tc>
          <w:tcPr/>
          <w:p>
            <w:pPr>
              <w:pStyle w:val="Compact"/>
              <w:jc w:val="left"/>
            </w:pPr>
            <w:r>
              <w:t xml:space="preserve">18 estudios</w:t>
            </w:r>
          </w:p>
        </w:tc>
        <w:tc>
          <w:tcPr/>
          <w:p>
            <w:pPr>
              <w:pStyle w:val="Compact"/>
              <w:jc w:val="left"/>
            </w:pPr>
            <w:r>
              <w:t xml:space="preserve">−3,73 mmHg en total; Asia −6,93 mmHg; Europa −1,17 mmHg (no significativo)</w:t>
            </w:r>
          </w:p>
        </w:tc>
      </w:tr>
      <w:tr>
        <w:tc>
          <w:tcPr/>
          <w:p>
            <w:pPr>
              <w:pStyle w:val="Compact"/>
              <w:jc w:val="left"/>
            </w:pPr>
            <w:r>
              <w:t xml:space="preserve">Turpeinen 2013, PMID 23305234</w:t>
            </w:r>
          </w:p>
        </w:tc>
        <w:tc>
          <w:tcPr/>
          <w:p>
            <w:pPr>
              <w:pStyle w:val="Compact"/>
              <w:jc w:val="left"/>
            </w:pPr>
            <w:r>
              <w:t xml:space="preserve">19 estudios, unas 1500 personas</w:t>
            </w:r>
          </w:p>
        </w:tc>
        <w:tc>
          <w:tcPr/>
          <w:p>
            <w:pPr>
              <w:pStyle w:val="Compact"/>
              <w:jc w:val="left"/>
            </w:pPr>
            <w:r>
              <w:t xml:space="preserve">−4,0 mmHg</w:t>
            </w:r>
          </w:p>
        </w:tc>
      </w:tr>
      <w:tr>
        <w:tc>
          <w:tcPr/>
          <w:p>
            <w:pPr>
              <w:pStyle w:val="Compact"/>
              <w:jc w:val="left"/>
            </w:pPr>
            <w:r>
              <w:t xml:space="preserve">Qin 2013, PMID 23566677</w:t>
            </w:r>
          </w:p>
        </w:tc>
        <w:tc>
          <w:tcPr/>
          <w:p>
            <w:pPr>
              <w:pStyle w:val="Compact"/>
              <w:jc w:val="left"/>
            </w:pPr>
            <w:r>
              <w:t xml:space="preserve">28 brazos de estudio, 1919 personas</w:t>
            </w:r>
          </w:p>
        </w:tc>
        <w:tc>
          <w:tcPr/>
          <w:p>
            <w:pPr>
              <w:pStyle w:val="Compact"/>
              <w:jc w:val="left"/>
            </w:pPr>
            <w:r>
              <w:t xml:space="preserve">−1,66 mmHg; en la presión de 24 horas −1,30 mmHg</w:t>
            </w:r>
          </w:p>
        </w:tc>
      </w:tr>
      <w:tr>
        <w:tc>
          <w:tcPr/>
          <w:p>
            <w:pPr>
              <w:pStyle w:val="Compact"/>
              <w:jc w:val="left"/>
            </w:pPr>
            <w:r>
              <w:t xml:space="preserve">Cicero 2013, PMID 23382495</w:t>
            </w:r>
          </w:p>
        </w:tc>
        <w:tc>
          <w:tcPr/>
          <w:p>
            <w:pPr>
              <w:pStyle w:val="Compact"/>
              <w:jc w:val="left"/>
            </w:pPr>
            <w:r>
              <w:t xml:space="preserve">14 estudios europeos, 1306 personas</w:t>
            </w:r>
          </w:p>
        </w:tc>
        <w:tc>
          <w:tcPr/>
          <w:p>
            <w:pPr>
              <w:pStyle w:val="Compact"/>
              <w:jc w:val="left"/>
            </w:pPr>
            <w:r>
              <w:t xml:space="preserve">−1,28 mmHg</w:t>
            </w:r>
          </w:p>
        </w:tc>
      </w:tr>
      <w:tr>
        <w:tc>
          <w:tcPr/>
          <w:p>
            <w:pPr>
              <w:pStyle w:val="Compact"/>
              <w:jc w:val="left"/>
            </w:pPr>
            <w:r>
              <w:t xml:space="preserve">Fekete 2015, PMID 25608938</w:t>
            </w:r>
          </w:p>
        </w:tc>
        <w:tc>
          <w:tcPr/>
          <w:p>
            <w:pPr>
              <w:pStyle w:val="Compact"/>
              <w:jc w:val="left"/>
            </w:pPr>
            <w:r>
              <w:t xml:space="preserve">30 estudios</w:t>
            </w:r>
          </w:p>
        </w:tc>
        <w:tc>
          <w:tcPr/>
          <w:p>
            <w:pPr>
              <w:pStyle w:val="Compact"/>
              <w:jc w:val="left"/>
            </w:pPr>
            <w:r>
              <w:t xml:space="preserve">−2,95 mmHg; presión de 24 horas no significativa</w:t>
            </w:r>
          </w:p>
        </w:tc>
      </w:tr>
      <w:tr>
        <w:tc>
          <w:tcPr/>
          <w:p>
            <w:pPr>
              <w:pStyle w:val="Compact"/>
              <w:jc w:val="left"/>
            </w:pPr>
            <w:r>
              <w:t xml:space="preserve">Chanson-Rolle 2015, PMID 26536628</w:t>
            </w:r>
          </w:p>
        </w:tc>
        <w:tc>
          <w:tcPr/>
          <w:p>
            <w:pPr>
              <w:pStyle w:val="Compact"/>
              <w:jc w:val="left"/>
            </w:pPr>
            <w:r>
              <w:t xml:space="preserve">18 estudios japoneses, 1194 personas</w:t>
            </w:r>
          </w:p>
        </w:tc>
        <w:tc>
          <w:tcPr/>
          <w:p>
            <w:pPr>
              <w:pStyle w:val="Compact"/>
              <w:jc w:val="left"/>
            </w:pPr>
            <w:r>
              <w:t xml:space="preserve">−5,63 mmHg</w:t>
            </w:r>
          </w:p>
        </w:tc>
      </w:tr>
    </w:tbl>
    <w:p>
      <w:pPr>
        <w:pStyle w:val="BodyText"/>
      </w:pPr>
      <w:r>
        <w:t xml:space="preserve">Tres patrones recorren todos los análisis:</w:t>
      </w:r>
    </w:p>
    <w:p>
      <w:pPr>
        <w:numPr>
          <w:ilvl w:val="0"/>
          <w:numId w:val="1298"/>
        </w:numPr>
        <w:pStyle w:val="Compact"/>
      </w:pPr>
      <w:r>
        <w:rPr>
          <w:bCs/>
          <w:b/>
        </w:rPr>
        <w:t xml:space="preserve">El efecto es pequeño.</w:t>
      </w:r>
      <w:r>
        <w:t xml:space="preserve"> </w:t>
      </w:r>
      <w:r>
        <w:t xml:space="preserve">Agrupado, se sitúa por lo general entre 1 y 4 mmHg de presión sistólica, claramente menos de lo que consiguen los antihipertensivos autorizados.</w:t>
      </w:r>
    </w:p>
    <w:p>
      <w:pPr>
        <w:numPr>
          <w:ilvl w:val="0"/>
          <w:numId w:val="1298"/>
        </w:numPr>
        <w:pStyle w:val="Compact"/>
      </w:pPr>
      <w:r>
        <w:rPr>
          <w:bCs/>
          <w:b/>
        </w:rPr>
        <w:t xml:space="preserve">Los estudios asiáticos, sobre todo japoneses, muestran efectos claramente mayores que los europeos.</w:t>
      </w:r>
      <w:r>
        <w:t xml:space="preserve"> </w:t>
      </w:r>
      <w:r>
        <w:t xml:space="preserve">No está claro si se debe a diferencias genéticas, a la alimentación (por ejemplo, un mayor consumo de sal) o a diferencias metodológicas.</w:t>
      </w:r>
    </w:p>
    <w:p>
      <w:pPr>
        <w:numPr>
          <w:ilvl w:val="0"/>
          <w:numId w:val="1298"/>
        </w:numPr>
        <w:pStyle w:val="Compact"/>
      </w:pPr>
      <w:r>
        <w:rPr>
          <w:bCs/>
          <w:b/>
        </w:rPr>
        <w:t xml:space="preserve">Indicios de sesgo de publicación.</w:t>
      </w:r>
      <w:r>
        <w:t xml:space="preserve"> </w:t>
      </w:r>
      <w:r>
        <w:t xml:space="preserve">El metaanálisis de Fekete encontró tanto un sesgo de publicación como un «efecto de estudios pequeños»: los estudios pequeños mostraban efectos mayores. Tras la corrección, la reducción sistólica se redujo y la diastólica dejó de ser significativa. En la presión de 24 horas –el método de medición más fiable–, el efecto no fue significativo (Fekete 2015, PMID 25608938).</w:t>
      </w:r>
    </w:p>
    <w:p>
      <w:pPr>
        <w:pStyle w:val="FirstParagraph"/>
      </w:pPr>
      <w:r>
        <w:t xml:space="preserve">Falta un estudio que demuestre que los lactotripéptidos previenen infartos de miocardio, ictus o muertes. Dado lo pequeño del efecto, tampoco cabe esperar un estudio así.</w:t>
      </w:r>
    </w:p>
    <w:bookmarkEnd w:id="879"/>
    <w:bookmarkEnd w:id="880"/>
    <w:bookmarkStart w:id="881" w:name="estudios-en-animales-y-de-laboratorio-53"/>
    <w:p>
      <w:pPr>
        <w:pStyle w:val="Heading3"/>
      </w:pPr>
      <w:r>
        <w:t xml:space="preserve">Estudios en animales y de laboratorio</w:t>
      </w:r>
    </w:p>
    <w:p>
      <w:pPr>
        <w:pStyle w:val="FirstParagraph"/>
      </w:pPr>
      <w:r>
        <w:t xml:space="preserve">En ratas con hipertensión congénita (ratas SHR), el VPP y el IPP redujeron la presión arterial de forma dependiente de la dosis; en ratas con presión normal, no (Nakamura 1995, PMID 7673515). En cultivos celulares, el VPP y el IPP estimularon, a partir de concentraciones superiores a 100 nanomoles por litro, la formación de óxido nítrico en células vasculares, y en aortas de rata aisladas provocaron una vasodilatación (Hirota 2011, PMID 21221598). A modo de comparación: en la sangre humana se midieron, tras beber una bebida enriquecida, menos de 1 nanomol por litro de IPP (Foltz 2007, PMID 17374660). Los análisis por cristalografía de rayos X muestran que ambos péptidos se unen preferentemente a uno de los dos sitios activos de la molécula de ECA (Gregory 2024, PMID 37904282). En ratas y conejos, los estudios de toxicidad –incluidas investigaciones sobre el desarrollo renal de la descendencia, porque los inhibidores de la ECA pueden dañar al feto durante el embarazo– no encontraron efectos adversos con las dosis más altas probadas (Dent 2007, PMID 17383063). Un hidrolizado de proteína láctea con IPP no fue mutágeno en pruebas genotóxicas; la dosis más alta probada en el ensayo de 90 días en ratas era unas 141 veces superior a la ingesta máxima esperada (Ponstein-Simarro Doorten 2009, PMID 18955104).</w:t>
      </w:r>
    </w:p>
    <w:bookmarkEnd w:id="881"/>
    <w:bookmarkStart w:id="882" w:name="riesgos-y-efectos-adversos-53"/>
    <w:p>
      <w:pPr>
        <w:pStyle w:val="Heading3"/>
      </w:pPr>
      <w:r>
        <w:t xml:space="preserve">Riesgos y efectos adversos</w:t>
      </w:r>
    </w:p>
    <w:p>
      <w:pPr>
        <w:pStyle w:val="FirstParagraph"/>
      </w:pPr>
      <w:r>
        <w:rPr>
          <w:bCs/>
          <w:b/>
        </w:rPr>
        <w:t xml:space="preserve">Demostrados:</w:t>
      </w:r>
      <w:r>
        <w:t xml:space="preserve"> </w:t>
      </w:r>
      <w:r>
        <w:t xml:space="preserve">en los estudios en humanos no aparecieron más efectos adversos con lactotripéptidos que con placebo (p. ej., Jauhiainen 2005, PMID 16364832). Los péptidos proceden de la proteína láctea, que se consume desde siempre; las cantidades en los productos están en el rango de los miligramos.</w:t>
      </w:r>
    </w:p>
    <w:p>
      <w:pPr>
        <w:pStyle w:val="BodyText"/>
      </w:pPr>
      <w:r>
        <w:rPr>
          <w:bCs/>
          <w:b/>
        </w:rPr>
        <w:t xml:space="preserve">Teóricos o a tener en cuenta:</w:t>
      </w:r>
    </w:p>
    <w:p>
      <w:pPr>
        <w:numPr>
          <w:ilvl w:val="0"/>
          <w:numId w:val="1299"/>
        </w:numPr>
        <w:pStyle w:val="Compact"/>
      </w:pPr>
      <w:r>
        <w:rPr>
          <w:bCs/>
          <w:b/>
        </w:rPr>
        <w:t xml:space="preserve">Alergia a la leche:</w:t>
      </w:r>
      <w:r>
        <w:t xml:space="preserve"> </w:t>
      </w:r>
      <w:r>
        <w:t xml:space="preserve">los productos a base de leche o caseína no son adecuados en caso de alergia a las proteínas de la leche de vaca.</w:t>
      </w:r>
    </w:p>
    <w:p>
      <w:pPr>
        <w:numPr>
          <w:ilvl w:val="0"/>
          <w:numId w:val="1299"/>
        </w:numPr>
        <w:pStyle w:val="Compact"/>
      </w:pPr>
      <w:r>
        <w:rPr>
          <w:bCs/>
          <w:b/>
        </w:rPr>
        <w:t xml:space="preserve">Combinación con antihipertensivos:</w:t>
      </w:r>
      <w:r>
        <w:t xml:space="preserve"> </w:t>
      </w:r>
      <w:r>
        <w:t xml:space="preserve">dado su débil efecto, una potenciación relevante es improbable, pero no se ha estudiado sistemáticamente.</w:t>
      </w:r>
    </w:p>
    <w:p>
      <w:pPr>
        <w:numPr>
          <w:ilvl w:val="0"/>
          <w:numId w:val="1299"/>
        </w:numPr>
        <w:pStyle w:val="Compact"/>
      </w:pPr>
      <w:r>
        <w:rPr>
          <w:bCs/>
          <w:b/>
        </w:rPr>
        <w:t xml:space="preserve">Embarazo:</w:t>
      </w:r>
      <w:r>
        <w:t xml:space="preserve"> </w:t>
      </w:r>
      <w:r>
        <w:t xml:space="preserve">los inhibidores de la ECA están contraindicados durante el embarazo. Para los lactotripéptidos no se encontró un daño equivalente en experimentos con animales; faltan datos en humanos.</w:t>
      </w:r>
    </w:p>
    <w:p>
      <w:pPr>
        <w:numPr>
          <w:ilvl w:val="0"/>
          <w:numId w:val="1299"/>
        </w:numPr>
        <w:pStyle w:val="Compact"/>
      </w:pPr>
      <w:r>
        <w:rPr>
          <w:bCs/>
          <w:b/>
        </w:rPr>
        <w:t xml:space="preserve">El riesgo más importante:</w:t>
      </w:r>
      <w:r>
        <w:t xml:space="preserve"> </w:t>
      </w:r>
      <w:r>
        <w:t xml:space="preserve">quien trata una hipertensión que requiere tratamiento con una bebida láctea en lugar de con medidas eficaces renuncia a protegerse frente al infarto de miocardio y el ictus. La reducción de peso, menos sal, el ejercicio y –si es necesario– los medicamentos reducen la presión arterial de forma demostrada y en mayor medida.</w:t>
      </w:r>
    </w:p>
    <w:bookmarkEnd w:id="882"/>
    <w:bookmarkStart w:id="883" w:name="situación-legal-53"/>
    <w:p>
      <w:pPr>
        <w:pStyle w:val="Heading3"/>
      </w:pPr>
      <w:r>
        <w:t xml:space="preserve">Situación legal</w:t>
      </w:r>
    </w:p>
    <w:p>
      <w:pPr>
        <w:numPr>
          <w:ilvl w:val="0"/>
          <w:numId w:val="1300"/>
        </w:numPr>
        <w:pStyle w:val="Compact"/>
      </w:pPr>
      <w:r>
        <w:rPr>
          <w:bCs/>
          <w:b/>
        </w:rPr>
        <w:t xml:space="preserve">UE / Austria / Alemania:</w:t>
      </w:r>
      <w:r>
        <w:t xml:space="preserve"> </w:t>
      </w:r>
      <w:r>
        <w:t xml:space="preserve">los lactotripéptidos son ingredientes alimentarios. Las declaraciones relacionadas con la salud sobre la presión arterial</w:t>
      </w:r>
      <w:r>
        <w:t xml:space="preserve"> </w:t>
      </w:r>
      <w:r>
        <w:rPr>
          <w:bCs/>
          <w:b/>
        </w:rPr>
        <w:t xml:space="preserve">no están autorizadas</w:t>
      </w:r>
      <w:r>
        <w:t xml:space="preserve"> </w:t>
      </w:r>
      <w:r>
        <w:t xml:space="preserve">según el Reglamento sobre declaraciones de propiedades saludables (Reglamento (CE) n.º 1924/2006). La Autoridad Europea de Seguridad Alimentaria (EFSA) examinó solicitudes sobre los lactotripéptidos y el mantenimiento de una presión arterial normal y concluyó que no estaba suficientemente demostrada una relación causa-efecto. Fueron determinantes, entre otras cosas, los estudios europeos contradictorios. Por tanto, en la UE los productos no pueden anunciarse con «reduce la presión arterial» ni «contribuye a una presión arterial normal».</w:t>
      </w:r>
    </w:p>
    <w:p>
      <w:pPr>
        <w:numPr>
          <w:ilvl w:val="0"/>
          <w:numId w:val="1300"/>
        </w:numPr>
        <w:pStyle w:val="Compact"/>
      </w:pPr>
      <w:r>
        <w:rPr>
          <w:bCs/>
          <w:b/>
        </w:rPr>
        <w:t xml:space="preserve">Japón:</w:t>
      </w:r>
      <w:r>
        <w:t xml:space="preserve"> </w:t>
      </w:r>
      <w:r>
        <w:t xml:space="preserve">allí se comercializaron bebidas de este tipo como «alimentos para usos sanitarios específicos» (FOSHU) con una declaración sobre la presión arterial autorizada por las autoridades. Esto explica en parte por qué una gran parte de los estudios procede de Japón.</w:t>
      </w:r>
    </w:p>
    <w:p>
      <w:pPr>
        <w:numPr>
          <w:ilvl w:val="0"/>
          <w:numId w:val="1300"/>
        </w:numPr>
        <w:pStyle w:val="Compact"/>
      </w:pPr>
      <w:r>
        <w:rPr>
          <w:bCs/>
          <w:b/>
        </w:rPr>
        <w:t xml:space="preserve">EE. UU.:</w:t>
      </w:r>
      <w:r>
        <w:t xml:space="preserve"> </w:t>
      </w:r>
      <w:r>
        <w:t xml:space="preserve">de venta como complemento alimenticio; no se permiten declaraciones relacionadas con enfermedades.</w:t>
      </w:r>
    </w:p>
    <w:p>
      <w:pPr>
        <w:numPr>
          <w:ilvl w:val="0"/>
          <w:numId w:val="1300"/>
        </w:numPr>
        <w:pStyle w:val="Compact"/>
      </w:pPr>
      <w:r>
        <w:rPr>
          <w:bCs/>
          <w:b/>
        </w:rPr>
        <w:t xml:space="preserve">Deporte:</w:t>
      </w:r>
      <w:r>
        <w:t xml:space="preserve"> </w:t>
      </w:r>
      <w:r>
        <w:t xml:space="preserve">no figuran en la lista de prohibiciones de la WADA (situación en 2026, compruébese la versión actual).</w:t>
      </w:r>
    </w:p>
    <w:bookmarkEnd w:id="883"/>
    <w:bookmarkStart w:id="884" w:name="estudios-en-curso-y-perspectivas-53"/>
    <w:p>
      <w:pPr>
        <w:pStyle w:val="Heading3"/>
      </w:pPr>
      <w:r>
        <w:t xml:space="preserve">Estudios en curso y perspectivas</w:t>
      </w:r>
    </w:p>
    <w:p>
      <w:pPr>
        <w:pStyle w:val="FirstParagraph"/>
      </w:pPr>
      <w:r>
        <w:rPr>
          <w:bCs/>
          <w:b/>
        </w:rPr>
        <w:t xml:space="preserve">Confirmado:</w:t>
      </w:r>
      <w:r>
        <w:t xml:space="preserve"> </w:t>
      </w:r>
      <w:r>
        <w:t xml:space="preserve">en ClinicalTrials.gov no hay ningún estudio en curso registrado con el término «lactotripeptides». Con términos relacionados se encuentra un estudio finalizado sobre el IPP y la función vascular en la cardiopatía coronaria con 54 participantes (NCT00924157). La investigación sobre los lactotripéptidos ha decaído claramente desde aproximadamente 2015; los trabajos nuevos investigan sobre todo, de forma general, por qué las personas responden de manera diferente a los péptidos alimentarios.</w:t>
      </w:r>
    </w:p>
    <w:p>
      <w:pPr>
        <w:pStyle w:val="BodyText"/>
      </w:pPr>
      <w:r>
        <w:rPr>
          <w:bCs/>
          <w:b/>
        </w:rPr>
        <w:t xml:space="preserve">Valoración:</w:t>
      </w:r>
      <w:r>
        <w:t xml:space="preserve"> </w:t>
      </w:r>
      <w:r>
        <w:t xml:space="preserve">los lactotripéptidos son un ejemplo de manual de cómo un mecanismo convincente en el laboratorio y unos primeros estudios positivos pueden reducirse en investigaciones más grandes e independientes. Un pequeño efecto sobre la presión arterial es posible –sobre todo en poblaciones de estudio asiáticas–, pero para Europa no está demostrado de forma convincente. No se vislumbra un renacimiento.</w:t>
      </w:r>
    </w:p>
    <w:bookmarkEnd w:id="884"/>
    <w:bookmarkStart w:id="885" w:name="conclusión-53"/>
    <w:p>
      <w:pPr>
        <w:pStyle w:val="Heading3"/>
      </w:pPr>
      <w:r>
        <w:t xml:space="preserve">Conclusión</w:t>
      </w:r>
    </w:p>
    <w:p>
      <w:pPr>
        <w:pStyle w:val="FirstParagraph"/>
      </w:pPr>
      <w:r>
        <w:t xml:space="preserve">Los lactotripéptidos son dos pequeños péptidos lácteos que, en el tubo de ensayo, inhiben la enzima ECA, reguladora de la presión arterial. En los primeros estudios japoneses y finlandeses redujeron la presión arterial; en cambio, en varios estudios neerlandeses más grandes no, y en humanos no pudo demostrarse una inhibición medible de la ECA. Los metaanálisis arrojan una reducción de la presión sistólica de aproximadamente 1 a 4 mmHg, con indicios de sesgo de publicación y un efecto claramente menor en Europa. La EFSA rechazó una declaración sobre la presión arterial. Son inocuos, pero no sustituyen a un tratamiento de la hipertensión.</w:t>
      </w:r>
    </w:p>
    <w:bookmarkEnd w:id="885"/>
    <w:bookmarkEnd w:id="886"/>
    <w:bookmarkStart w:id="903" w:name="carnosina"/>
    <w:p>
      <w:pPr>
        <w:pStyle w:val="Heading2"/>
      </w:pPr>
      <w:r>
        <w:t xml:space="preserve">Carnosina</w:t>
      </w:r>
    </w:p>
    <w:bookmarkStart w:id="887" w:name="ficha-54"/>
    <w:p>
      <w:pPr>
        <w:pStyle w:val="Heading3"/>
      </w:pPr>
      <w:r>
        <w:t xml:space="preserve">Ficha</w:t>
      </w:r>
    </w:p>
    <w:p>
      <w:pPr>
        <w:numPr>
          <w:ilvl w:val="0"/>
          <w:numId w:val="1301"/>
        </w:numPr>
        <w:pStyle w:val="Compact"/>
      </w:pPr>
      <w:r>
        <w:rPr>
          <w:bCs/>
          <w:b/>
        </w:rPr>
        <w:t xml:space="preserve">Tipo/estructura:</w:t>
      </w:r>
      <w:r>
        <w:t xml:space="preserve"> </w:t>
      </w:r>
      <w:r>
        <w:t xml:space="preserve">dipéptido formado por los aminoácidos beta-alanina e histidina (β-alanil-L-histidina). Sustancias emparentadas son la anserina (en aves de corral y pescado) y la homocarnosina (en el cerebro); juntas se denominan dipéptidos que contienen histidina.</w:t>
      </w:r>
    </w:p>
    <w:p>
      <w:pPr>
        <w:numPr>
          <w:ilvl w:val="0"/>
          <w:numId w:val="1301"/>
        </w:numPr>
        <w:pStyle w:val="Compact"/>
      </w:pPr>
      <w:r>
        <w:rPr>
          <w:bCs/>
          <w:b/>
        </w:rPr>
        <w:t xml:space="preserve">Origen:</w:t>
      </w:r>
      <w:r>
        <w:t xml:space="preserve"> </w:t>
      </w:r>
      <w:r>
        <w:t xml:space="preserve">endógena, en altas concentraciones en la musculatura esquelética, y además en el corazón y el cerebro. Con la alimentación, la carnosina se ingiere sobre todo a través de la carne y el pescado; los alimentos vegetales prácticamente no la contienen. Para los complementos alimenticios se fabrica de forma sintética.</w:t>
      </w:r>
    </w:p>
    <w:p>
      <w:pPr>
        <w:numPr>
          <w:ilvl w:val="0"/>
          <w:numId w:val="1301"/>
        </w:numPr>
        <w:pStyle w:val="Compact"/>
      </w:pPr>
      <w:r>
        <w:rPr>
          <w:bCs/>
          <w:b/>
        </w:rPr>
        <w:t xml:space="preserve">Mecanismo de acción:</w:t>
      </w:r>
      <w:r>
        <w:t xml:space="preserve"> </w:t>
      </w:r>
      <w:r>
        <w:t xml:space="preserve">tampón frente a la acidificación del músculo; en el laboratorio, además, captación de productos reactivos de la degradación de azúcares y grasas (antiglicación) y efecto antioxidante.</w:t>
      </w:r>
    </w:p>
    <w:p>
      <w:pPr>
        <w:numPr>
          <w:ilvl w:val="0"/>
          <w:numId w:val="1301"/>
        </w:numPr>
        <w:pStyle w:val="Compact"/>
      </w:pPr>
      <w:r>
        <w:rPr>
          <w:bCs/>
          <w:b/>
        </w:rPr>
        <w:t xml:space="preserve">Principios activos relacionados:</w:t>
      </w:r>
      <w:r>
        <w:t xml:space="preserve"> </w:t>
      </w:r>
      <w:r>
        <w:t xml:space="preserve">beta-alanina (el precursor, un suplemento deportivo muy extendido); zinc-carnosina (polaprezinc, en Japón un medicamento contra las úlceras gástricas); N-acetilcarnosina (en colirios).</w:t>
      </w:r>
    </w:p>
    <w:p>
      <w:pPr>
        <w:numPr>
          <w:ilvl w:val="0"/>
          <w:numId w:val="1301"/>
        </w:numPr>
        <w:pStyle w:val="Compact"/>
      </w:pPr>
      <w:r>
        <w:rPr>
          <w:bCs/>
          <w:b/>
        </w:rPr>
        <w:t xml:space="preserve">Autorización en la UE:</w:t>
      </w:r>
      <w:r>
        <w:t xml:space="preserve"> </w:t>
      </w:r>
      <w:r>
        <w:t xml:space="preserve">sin autorización como medicamento para la carnosina; se comercializa como complemento alimenticio. Ninguna declaración de propiedades saludables autorizada.</w:t>
      </w:r>
    </w:p>
    <w:p>
      <w:pPr>
        <w:numPr>
          <w:ilvl w:val="0"/>
          <w:numId w:val="1301"/>
        </w:numPr>
        <w:pStyle w:val="Compact"/>
      </w:pPr>
      <w:r>
        <w:rPr>
          <w:bCs/>
          <w:b/>
        </w:rPr>
        <w:t xml:space="preserve">Autorización en EE. UU.:</w:t>
      </w:r>
      <w:r>
        <w:t xml:space="preserve"> </w:t>
      </w:r>
      <w:r>
        <w:t xml:space="preserve">sin autorización como medicamento; disponible como complemento alimenticio.</w:t>
      </w:r>
    </w:p>
    <w:p>
      <w:pPr>
        <w:numPr>
          <w:ilvl w:val="0"/>
          <w:numId w:val="1301"/>
        </w:numPr>
        <w:pStyle w:val="Compact"/>
      </w:pPr>
      <w:r>
        <w:rPr>
          <w:bCs/>
          <w:b/>
        </w:rPr>
        <w:t xml:space="preserve">WADA:</w:t>
      </w:r>
      <w:r>
        <w:t xml:space="preserve"> </w:t>
      </w:r>
      <w:r>
        <w:t xml:space="preserve">la carnosina y la beta-alanina no figuran en la lista (situación en 2026, compruébese la versión actual).</w:t>
      </w:r>
    </w:p>
    <w:p>
      <w:pPr>
        <w:numPr>
          <w:ilvl w:val="0"/>
          <w:numId w:val="1301"/>
        </w:numPr>
        <w:pStyle w:val="Compact"/>
      </w:pPr>
      <w:r>
        <w:rPr>
          <w:bCs/>
          <w:b/>
        </w:rPr>
        <w:t xml:space="preserve">Nivel de evidencia:</w:t>
      </w:r>
      <w:r>
        <w:t xml:space="preserve"> </w:t>
      </w:r>
      <w:r>
        <w:rPr>
          <w:bCs/>
          <w:b/>
        </w:rPr>
        <w:t xml:space="preserve">B</w:t>
      </w:r>
      <w:r>
        <w:t xml:space="preserve"> </w:t>
      </w:r>
      <w:r>
        <w:t xml:space="preserve">– varios estudios aleatorizados pequeños y un estudio más grande con casi 300 participantes; muchos resultados heterogéneos.</w:t>
      </w:r>
    </w:p>
    <w:bookmarkEnd w:id="887"/>
    <w:bookmarkStart w:id="890" w:name="cómo-se-supone-que-actúa-54"/>
    <w:p>
      <w:pPr>
        <w:pStyle w:val="Heading3"/>
      </w:pPr>
      <w:r>
        <w:t xml:space="preserve">Cómo se supone que actúa</w:t>
      </w:r>
    </w:p>
    <w:p>
      <w:pPr>
        <w:pStyle w:val="FirstParagraph"/>
      </w:pPr>
      <w:r>
        <w:t xml:space="preserve">En esfuerzos breves y muy intensos –una carrera de 400 metros o una regata de remo–, el músculo produce más ácido del que puede eliminar. La acidez aumenta y el trabajo muscular disminuye. La carnosina es, en el músculo, uno de los tampones que captan este ácido. En 18 remeros belgas de élite, el contenido de carnosina de la musculatura de la pantorrilla estaba estrechamente relacionado con la velocidad en distancias de 100 a 6000 metros (Baguet 2010, PMID 20671038).</w:t>
      </w:r>
    </w:p>
    <w:p>
      <w:pPr>
        <w:pStyle w:val="BodyText"/>
      </w:pPr>
      <w:r>
        <w:t xml:space="preserve">Además, en el laboratorio la carnosina tiene otras propiedades: capta moléculas reactivas que se forman con la glucemia elevada o durante la degradación de las grasas y que pueden dañar las proteínas (la llamada glicación y la peroxidación lipídica). De ahí se derivan las hipótesis de que la carnosina podría ser útil en la diabetes, el daño vascular y renal, el envejecimiento cerebral o el envejecimiento cutáneo.</w:t>
      </w:r>
    </w:p>
    <w:bookmarkStart w:id="888" w:name="X8a648d9748e7deb8bdb0fb89aedfae32a1c145a"/>
    <w:p>
      <w:pPr>
        <w:pStyle w:val="Heading4"/>
      </w:pPr>
      <w:r>
        <w:t xml:space="preserve">El problema de la absorción: la carnosinasa</w:t>
      </w:r>
    </w:p>
    <w:p>
      <w:pPr>
        <w:pStyle w:val="FirstParagraph"/>
      </w:pPr>
      <w:r>
        <w:t xml:space="preserve">En la sangre humana hay una enzima muy activa, la carnosinasa sérica (CN1), que descompone rápidamente la carnosina en beta-alanina e histidina. Los roedores prácticamente no tienen esta enzima en la sangre, un motivo importante por el que los resultados de los experimentos con animales solo son trasladables de forma limitada. Ya en 1991, un estudio mostró que una parte de la carnosina ingerida se absorbe sin cambios en el intestino (hasta el 14 % aparecía en la orina), pero en la sangre solo era detectable si se bloqueaba la carnosinasa en el tubo de la muestra. La cantidad en orina variaba mucho y era tanto menor cuanto más activa era la carnosinasa de la persona (Gardner 1991, PMID 1910085).</w:t>
      </w:r>
    </w:p>
    <w:p>
      <w:pPr>
        <w:pStyle w:val="BodyText"/>
      </w:pPr>
      <w:r>
        <w:t xml:space="preserve">En el estudio más grande hasta la fecha, con 2 g de carnosina al día, los valores de carnosina en los glóbulos rojos aproximadamente se duplicaron a las 6 y 12 semanas, y en la orina aumentaron unas siete veces (Baba 2024, PMID 39215872). Así pues, la carnosina llega al organismo, pero cuánta alcanza el músculo, el cerebro o el riñón sigue siendo en gran medida una incógnita.</w:t>
      </w:r>
    </w:p>
    <w:bookmarkEnd w:id="888"/>
    <w:bookmarkStart w:id="889" w:name="Xff00a271370339e0f0f8dec9bef4ede5b4495da"/>
    <w:p>
      <w:pPr>
        <w:pStyle w:val="Heading4"/>
      </w:pPr>
      <w:r>
        <w:t xml:space="preserve">Beta-alanina: el rodeo a través del precursor</w:t>
      </w:r>
    </w:p>
    <w:p>
      <w:pPr>
        <w:pStyle w:val="FirstParagraph"/>
      </w:pPr>
      <w:r>
        <w:t xml:space="preserve">Para el músculo se ha impuesto otra vía. El cuerpo produce la carnosina en la propia célula muscular a partir de beta-alanina e histidina; la beta-alanina es el componente limitante. Si se toma beta-alanina, el contenido de carnosina del músculo aumenta claramente. En un estudio temprano, cuatro semanas de beta-alanina aumentaron el contenido muscular de carnosina en un 42 a 64 % según las estimaciones; cantidades equimolares de carnosina tuvieron un efecto similar (Harris 2006, PMID 16554972). Tras la suspensión, el valor tardó entre 12 y 16 semanas en volver al nivel basal (Yamaguchi 2021, PMID 33148972). Prácticamente todas las personas responden a la beta-alanina (Rezende 2020, PMID 32922303).</w:t>
      </w:r>
    </w:p>
    <w:p>
      <w:pPr>
        <w:pStyle w:val="BodyText"/>
      </w:pPr>
      <w:r>
        <w:t xml:space="preserve">La beta-alanina no es un péptido, sino un aminoácido aislado. Aquí solo se trata brevemente porque aumenta el contenido muscular de carnosina de forma más fiable que la propia carnosina y por eso desempeña en el deporte un papel mucho mayor.</w:t>
      </w:r>
    </w:p>
    <w:bookmarkEnd w:id="889"/>
    <w:bookmarkEnd w:id="890"/>
    <w:bookmarkStart w:id="897" w:name="estudios-en-humanos-54"/>
    <w:p>
      <w:pPr>
        <w:pStyle w:val="Heading3"/>
      </w:pPr>
      <w:r>
        <w:t xml:space="preserve">Estudios en humanos</w:t>
      </w:r>
    </w:p>
    <w:p>
      <w:pPr>
        <w:pStyle w:val="FirstParagraph"/>
      </w:pPr>
      <w:r>
        <w:t xml:space="preserve">La consulta en PubMed evaluada para este libro (carnosina en el título, combinada con suplementación o administración oral, fecha de consulta octubre de 2026) arrojó 57 estudios en humanos; en ClinicalTrials.gov figuran 53 registros. Una parte de ellos se refiere en realidad a la beta-alanina o a la zinc-carnosina. Los estudios se reparten entre muchos campos de aplicación pequeños.</w:t>
      </w:r>
    </w:p>
    <w:bookmarkStart w:id="891" w:name="deporte-y-rendimiento-físico"/>
    <w:p>
      <w:pPr>
        <w:pStyle w:val="Heading4"/>
      </w:pPr>
      <w:r>
        <w:t xml:space="preserve">Deporte y rendimiento físico</w:t>
      </w:r>
    </w:p>
    <w:p>
      <w:pPr>
        <w:pStyle w:val="FirstParagraph"/>
      </w:pPr>
      <w:r>
        <w:t xml:space="preserve">En deportistas, los datos son mucho mejores para la</w:t>
      </w:r>
      <w:r>
        <w:t xml:space="preserve"> </w:t>
      </w:r>
      <w:r>
        <w:rPr>
          <w:bCs/>
          <w:b/>
        </w:rPr>
        <w:t xml:space="preserve">beta-alanina</w:t>
      </w:r>
      <w:r>
        <w:t xml:space="preserve"> </w:t>
      </w:r>
      <w:r>
        <w:t xml:space="preserve">que para la carnosina. Un metaanálisis de 40 estudios doble ciego y controlados con placebo con 1461 participantes encontró un efecto global pequeño (tamaño del efecto 0,18). Fue más claro en esfuerzos de 0,5 a 10 minutos de duración y en pruebas de capacidad hasta el agotamiento, y menor en el rendimiento en competición (Saunders 2017, PMID 27797728). Un ejemplo: en 15 velocistas, la beta-alanina aumentó el contenido de carnosina de los músculos de la pantorrilla entre un 37 y un 47 % y atenuó la fatiga en series de fuerza repetidas, pero no mejoró el tiempo en 400 metros (Derave 2007, PMID 17690198). Tampoco una duplicación de la carnosina muscular mejoró en ciclistas el tiempo en una prueba de una hora (Chung 2014, PMID 24457999), algo coherente, ya que en los esfuerzos de resistencia la amortiguación del ácido desempeña un papel menor.</w:t>
      </w:r>
    </w:p>
    <w:p>
      <w:pPr>
        <w:pStyle w:val="BodyText"/>
      </w:pPr>
      <w:r>
        <w:t xml:space="preserve">Sobre la</w:t>
      </w:r>
      <w:r>
        <w:t xml:space="preserve"> </w:t>
      </w:r>
      <w:r>
        <w:rPr>
          <w:bCs/>
          <w:b/>
        </w:rPr>
        <w:t xml:space="preserve">propia carnosina</w:t>
      </w:r>
      <w:r>
        <w:t xml:space="preserve"> </w:t>
      </w:r>
      <w:r>
        <w:t xml:space="preserve">solo hay pocos estudios de rendimiento. En el estudio NEAT (Nucleophilic Defense Against PM Toxicity, NCT03314987), 299 adultos recibieron 2 g de carnosina o placebo durante doce semanas. En la fuerza de prensión, la velocidad de la marcha y la mayoría de las pruebas no hubo diferencias; solo se observaron mejoras significativas en subgrupos concretos (determinados grupos de edad y sexo) en la elevación de talones y la prueba del escalón (O’Toole 2026, PMID 42308284). Estos hallazgos en subgrupos son propensos a aciertos casuales y deben confirmarse.</w:t>
      </w:r>
    </w:p>
    <w:bookmarkEnd w:id="891"/>
    <w:bookmarkStart w:id="892" w:name="diabetes-y-metabolismo"/>
    <w:p>
      <w:pPr>
        <w:pStyle w:val="Heading4"/>
      </w:pPr>
      <w:r>
        <w:t xml:space="preserve">Diabetes y metabolismo</w:t>
      </w:r>
    </w:p>
    <w:p>
      <w:pPr>
        <w:pStyle w:val="FirstParagraph"/>
      </w:pPr>
      <w:r>
        <w:t xml:space="preserve">Este es el campo médico más estudiado: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de Courten 2016, PMID 27040154</w:t>
            </w:r>
          </w:p>
        </w:tc>
        <w:tc>
          <w:tcPr/>
          <w:p>
            <w:pPr>
              <w:pStyle w:val="Compact"/>
              <w:jc w:val="left"/>
            </w:pPr>
            <w:r>
              <w:t xml:space="preserve">30 adultos con sobrepeso sin diabetes, 2 g frente a placebo</w:t>
            </w:r>
          </w:p>
        </w:tc>
        <w:tc>
          <w:tcPr/>
          <w:p>
            <w:pPr>
              <w:pStyle w:val="Compact"/>
              <w:jc w:val="left"/>
            </w:pPr>
            <w:r>
              <w:t xml:space="preserve">12 semanas</w:t>
            </w:r>
          </w:p>
        </w:tc>
        <w:tc>
          <w:tcPr/>
          <w:p>
            <w:pPr>
              <w:pStyle w:val="Compact"/>
              <w:jc w:val="left"/>
            </w:pPr>
            <w:r>
              <w:t xml:space="preserve">Aumento de la insulina en ayunas y de la resistencia a la insulina frenado con carnosina (estudio piloto)</w:t>
            </w:r>
          </w:p>
        </w:tc>
      </w:tr>
      <w:tr>
        <w:tc>
          <w:tcPr/>
          <w:p>
            <w:pPr>
              <w:pStyle w:val="Compact"/>
              <w:jc w:val="left"/>
            </w:pPr>
            <w:r>
              <w:t xml:space="preserve">Houjeghani 2018, PMID 29420997</w:t>
            </w:r>
          </w:p>
        </w:tc>
        <w:tc>
          <w:tcPr/>
          <w:p>
            <w:pPr>
              <w:pStyle w:val="Compact"/>
              <w:jc w:val="left"/>
            </w:pPr>
            <w:r>
              <w:t xml:space="preserve">54 personas con diabetes tipo 2, 1 g frente a placebo</w:t>
            </w:r>
          </w:p>
        </w:tc>
        <w:tc>
          <w:tcPr/>
          <w:p>
            <w:pPr>
              <w:pStyle w:val="Compact"/>
              <w:jc w:val="left"/>
            </w:pPr>
            <w:r>
              <w:t xml:space="preserve">12 semanas</w:t>
            </w:r>
          </w:p>
        </w:tc>
        <w:tc>
          <w:tcPr/>
          <w:p>
            <w:pPr>
              <w:pStyle w:val="Compact"/>
              <w:jc w:val="left"/>
            </w:pPr>
            <w:r>
              <w:t xml:space="preserve">Glucemia en ayunas −13,1 mg/dl, HbA1c −0,6 puntos porcentuales frente a placebo</w:t>
            </w:r>
          </w:p>
        </w:tc>
      </w:tr>
      <w:tr>
        <w:tc>
          <w:tcPr/>
          <w:p>
            <w:pPr>
              <w:pStyle w:val="Compact"/>
              <w:jc w:val="left"/>
            </w:pPr>
            <w:r>
              <w:t xml:space="preserve">Hariharan 2024, PMID 38172006</w:t>
            </w:r>
          </w:p>
        </w:tc>
        <w:tc>
          <w:tcPr/>
          <w:p>
            <w:pPr>
              <w:pStyle w:val="Compact"/>
              <w:jc w:val="left"/>
            </w:pPr>
            <w:r>
              <w:t xml:space="preserve">43 adultos con prediabetes o diabetes tipo 2, 2 g frente a placebo</w:t>
            </w:r>
          </w:p>
        </w:tc>
        <w:tc>
          <w:tcPr/>
          <w:p>
            <w:pPr>
              <w:pStyle w:val="Compact"/>
              <w:jc w:val="left"/>
            </w:pPr>
            <w:r>
              <w:t xml:space="preserve">14 semanas</w:t>
            </w:r>
          </w:p>
        </w:tc>
        <w:tc>
          <w:tcPr/>
          <w:p>
            <w:pPr>
              <w:pStyle w:val="Compact"/>
              <w:jc w:val="left"/>
            </w:pPr>
            <w:r>
              <w:t xml:space="preserve">Glucemia más baja 90 y 120 minutos después de una sobrecarga de glucosa; insulina sin cambios</w:t>
            </w:r>
          </w:p>
        </w:tc>
      </w:tr>
      <w:tr>
        <w:tc>
          <w:tcPr/>
          <w:p>
            <w:pPr>
              <w:pStyle w:val="Compact"/>
              <w:jc w:val="left"/>
            </w:pPr>
            <w:r>
              <w:t xml:space="preserve">Saadati 2023, PMID 38004228</w:t>
            </w:r>
          </w:p>
        </w:tc>
        <w:tc>
          <w:tcPr/>
          <w:p>
            <w:pPr>
              <w:pStyle w:val="Compact"/>
              <w:jc w:val="left"/>
            </w:pPr>
            <w:r>
              <w:t xml:space="preserve">49 adultos con prediabetes o diabetes tipo 2 bien controlada, 2 g frente a placebo</w:t>
            </w:r>
          </w:p>
        </w:tc>
        <w:tc>
          <w:tcPr/>
          <w:p>
            <w:pPr>
              <w:pStyle w:val="Compact"/>
              <w:jc w:val="left"/>
            </w:pPr>
            <w:r>
              <w:t xml:space="preserve">14 semanas</w:t>
            </w:r>
          </w:p>
        </w:tc>
        <w:tc>
          <w:tcPr/>
          <w:p>
            <w:pPr>
              <w:pStyle w:val="Compact"/>
              <w:jc w:val="left"/>
            </w:pPr>
            <w:r>
              <w:t xml:space="preserve">Sin efecto sobre la función vascular, la rigidez arterial, los lípidos, la presión arterial ni los valores hepáticos y renales</w:t>
            </w:r>
          </w:p>
        </w:tc>
      </w:tr>
      <w:tr>
        <w:tc>
          <w:tcPr/>
          <w:p>
            <w:pPr>
              <w:pStyle w:val="Compact"/>
              <w:jc w:val="left"/>
            </w:pPr>
            <w:r>
              <w:t xml:space="preserve">Elbarbary 2018, PMID 28744992</w:t>
            </w:r>
          </w:p>
        </w:tc>
        <w:tc>
          <w:tcPr/>
          <w:p>
            <w:pPr>
              <w:pStyle w:val="Compact"/>
              <w:jc w:val="left"/>
            </w:pPr>
            <w:r>
              <w:t xml:space="preserve">90 niños y adolescentes con diabetes tipo 1 y daño renal, 1 g frente a placebo</w:t>
            </w:r>
          </w:p>
        </w:tc>
        <w:tc>
          <w:tcPr/>
          <w:p>
            <w:pPr>
              <w:pStyle w:val="Compact"/>
              <w:jc w:val="left"/>
            </w:pPr>
            <w:r>
              <w:t xml:space="preserve">12 semanas</w:t>
            </w:r>
          </w:p>
        </w:tc>
        <w:tc>
          <w:tcPr/>
          <w:p>
            <w:pPr>
              <w:pStyle w:val="Compact"/>
              <w:jc w:val="left"/>
            </w:pPr>
            <w:r>
              <w:t xml:space="preserve">Albúmina en orina, HbA1c y marcadores de oxidación mejorados</w:t>
            </w:r>
          </w:p>
        </w:tc>
      </w:tr>
    </w:tbl>
    <w:p>
      <w:pPr>
        <w:pStyle w:val="BodyText"/>
      </w:pPr>
      <w:r>
        <w:t xml:space="preserve">Varios metaanálisis resumen estos estudios. Un análisis de cuatro estudios con 184 participantes encontró una reducción de la HbA1c de 0,92 puntos porcentuales, pero ningún efecto sobre la glucemia en ayunas, la resistencia a la insulina ni los lípidos (Peng 2020, PMID 31987255). Un metaanálisis bayesiano que consideró conjuntamente la carnosina y la beta-alanina estimó para los humanos una reducción de la HbA1c de 0,91 puntos porcentuales, basándose en solo cuatro estudios en humanos (Matthews 2021, PMID 34333586). Un metaanálisis más reciente con ocho estudios y 377 participantes con prediabetes o diabetes tipo 2 encontró mejoras en la glucemia en ayunas y la HbA1c, pero no en la insulina ni en el peso corporal (Li 2025, PMID 40999397).</w:t>
      </w:r>
    </w:p>
    <w:p>
      <w:pPr>
        <w:pStyle w:val="BodyText"/>
      </w:pPr>
      <w:r>
        <w:t xml:space="preserve">Sobre el papel, los efectos parecen notables, pero se apoyan en una base muy estrecha: pocos estudios, pequeños y cortos, a menudo de centros individuales, con resultados en parte contradictorios (compárense los estudios de 14 semanas de diseño similar de Hariharan 2024 y Saadati 2023, de los cuales uno encontró efectos favorables sobre la glucemia y el otro ningún efecto sobre los vasos y los parámetros metabólicos). Nunca se ha investigado si la carnosina previene a largo plazo las complicaciones de la diabetes.</w:t>
      </w:r>
    </w:p>
    <w:bookmarkEnd w:id="892"/>
    <w:bookmarkStart w:id="893" w:name="inflamación-y-estrés-oxidativo"/>
    <w:p>
      <w:pPr>
        <w:pStyle w:val="Heading4"/>
      </w:pPr>
      <w:r>
        <w:t xml:space="preserve">Inflamación y estrés oxidativo</w:t>
      </w:r>
    </w:p>
    <w:p>
      <w:pPr>
        <w:pStyle w:val="FirstParagraph"/>
      </w:pPr>
      <w:r>
        <w:t xml:space="preserve">Un metaanálisis de nueve estudios con 350 participantes encontró, con carnosina o dipéptidos que contienen histidina, valores más bajos del marcador inflamatorio PCR y del marcador de oxidación malondialdehído, pero ningún cambio en otros varios marcadores (Saadati 2024, PMID 38086332). No obstante, los valores de laboratorio son parámetros subrogados: no se sabe si van acompañados de un beneficio para la salud.</w:t>
      </w:r>
    </w:p>
    <w:bookmarkEnd w:id="893"/>
    <w:bookmarkStart w:id="894" w:name="cerebro-memoria-y-salud-mental"/>
    <w:p>
      <w:pPr>
        <w:pStyle w:val="Heading4"/>
      </w:pPr>
      <w:r>
        <w:t xml:space="preserve">Cerebro, memoria y salud mental</w:t>
      </w:r>
    </w:p>
    <w:p>
      <w:pPr>
        <w:numPr>
          <w:ilvl w:val="0"/>
          <w:numId w:val="1302"/>
        </w:numPr>
        <w:pStyle w:val="Compact"/>
      </w:pPr>
      <w:r>
        <w:rPr>
          <w:bCs/>
          <w:b/>
        </w:rPr>
        <w:t xml:space="preserve">Personas mayores:</w:t>
      </w:r>
      <w:r>
        <w:t xml:space="preserve"> </w:t>
      </w:r>
      <w:r>
        <w:t xml:space="preserve">en estudios japoneses de un mismo grupo de trabajo, personas mayores recibieron una mezcla de anserina y carnosina (3:1). En 39 personas mayores sanas, el recuerdo diferido de contenidos verbales se mantuvo mejor que con placebo (Hisatsune 2016, PMID 26682691). En 54 personas con deterioro cognitivo leve, una puntuación global de gravedad de la demencia fue más favorable con la mezcla; la mayoría de las demás pruebas no difirieron (Masuoka 2019, PMID 31319510).</w:t>
      </w:r>
    </w:p>
    <w:p>
      <w:pPr>
        <w:numPr>
          <w:ilvl w:val="0"/>
          <w:numId w:val="1302"/>
        </w:numPr>
        <w:pStyle w:val="Compact"/>
      </w:pPr>
      <w:r>
        <w:rPr>
          <w:bCs/>
          <w:b/>
        </w:rPr>
        <w:t xml:space="preserve">Adultos más jóvenes:</w:t>
      </w:r>
      <w:r>
        <w:t xml:space="preserve"> </w:t>
      </w:r>
      <w:r>
        <w:t xml:space="preserve">en un análisis posterior del estudio NEAT, la velocidad y la eficiencia en pruebas cognitivas solo mejoraron en el grupo de edad más joven (23–35 años) (O’Toole 2025, PMID 39919936).</w:t>
      </w:r>
    </w:p>
    <w:p>
      <w:pPr>
        <w:numPr>
          <w:ilvl w:val="0"/>
          <w:numId w:val="1302"/>
        </w:numPr>
        <w:pStyle w:val="Compact"/>
      </w:pPr>
      <w:r>
        <w:rPr>
          <w:bCs/>
          <w:b/>
        </w:rPr>
        <w:t xml:space="preserve">Resumen:</w:t>
      </w:r>
      <w:r>
        <w:t xml:space="preserve"> </w:t>
      </w:r>
      <w:r>
        <w:t xml:space="preserve">un metaanálisis de 2026 incluyó 13 estudios. La mayoría de las pruebas cognitivas no mostraron diferencias frente al placebo; los efectos agrupados favorables se basaban en parte en tres estudios del mismo grupo de investigación. Los autores califican la solidez de la evidencia de baja (Hsiao 2026, PMID 42123986). Otro metaanálisis encontró una reducción de las puntuaciones de depresión (fiabilidad moderada), pero subraya que se trata de estudios pequeños con un riesgo de sesgo moderado a alto (Kabthymer 2025, PMID 38545720).</w:t>
      </w:r>
    </w:p>
    <w:p>
      <w:pPr>
        <w:numPr>
          <w:ilvl w:val="0"/>
          <w:numId w:val="1302"/>
        </w:numPr>
        <w:pStyle w:val="Compact"/>
      </w:pPr>
      <w:r>
        <w:rPr>
          <w:bCs/>
          <w:b/>
        </w:rPr>
        <w:t xml:space="preserve">Autismo:</w:t>
      </w:r>
      <w:r>
        <w:t xml:space="preserve"> </w:t>
      </w:r>
      <w:r>
        <w:t xml:space="preserve">un estudio temprano con 31 niños comunicó mejoras en una escala conductual (Chez 2002, PMID 12585724). En cambio, un estudio aleatorizado posterior con 63 niños analizables no encontró diferencias en ninguna variable (Abraham 2020, PMID 33170378).</w:t>
      </w:r>
    </w:p>
    <w:bookmarkEnd w:id="894"/>
    <w:bookmarkStart w:id="895" w:name="otras-aplicaciones-4"/>
    <w:p>
      <w:pPr>
        <w:pStyle w:val="Heading4"/>
      </w:pPr>
      <w:r>
        <w:t xml:space="preserve">Otras aplicaciones</w:t>
      </w:r>
    </w:p>
    <w:p>
      <w:pPr>
        <w:numPr>
          <w:ilvl w:val="0"/>
          <w:numId w:val="1303"/>
        </w:numPr>
        <w:pStyle w:val="Compact"/>
      </w:pPr>
      <w:r>
        <w:rPr>
          <w:bCs/>
          <w:b/>
        </w:rPr>
        <w:t xml:space="preserve">Daño nervioso por quimioterapia:</w:t>
      </w:r>
      <w:r>
        <w:t xml:space="preserve"> </w:t>
      </w:r>
      <w:r>
        <w:t xml:space="preserve">en un estudio piloto aleatorizado con 65 pacientes con cáncer colorrectal, la neuropatía de grado 2 fue menos frecuente con quimioterapia con oxaliplatino más carnosina (1 de 30 frente a 19 de 31 sin carnosina) (Yehia 2019, PMID 30592963). El estudio no fue cegado ni tuvo placebo; falta una confirmación.</w:t>
      </w:r>
    </w:p>
    <w:p>
      <w:pPr>
        <w:numPr>
          <w:ilvl w:val="0"/>
          <w:numId w:val="1303"/>
        </w:numPr>
        <w:pStyle w:val="Compact"/>
      </w:pPr>
      <w:r>
        <w:rPr>
          <w:bCs/>
          <w:b/>
        </w:rPr>
        <w:t xml:space="preserve">Insuficiencia cardiaca:</w:t>
      </w:r>
      <w:r>
        <w:t xml:space="preserve"> </w:t>
      </w:r>
      <w:r>
        <w:t xml:space="preserve">en 50 pacientes con insuficiencia cardiaca grave, la distancia recorrida, el consumo máximo de oxígeno y la calidad de vida mejoraron con carnosina en comparación con el tratamiento estándar (Lombardi 2015, PMID 25287762), también sin placebo.</w:t>
      </w:r>
    </w:p>
    <w:p>
      <w:pPr>
        <w:numPr>
          <w:ilvl w:val="0"/>
          <w:numId w:val="1303"/>
        </w:numPr>
        <w:pStyle w:val="Compact"/>
      </w:pPr>
      <w:r>
        <w:rPr>
          <w:bCs/>
          <w:b/>
        </w:rPr>
        <w:t xml:space="preserve">Síndrome de la Guerra del Golfo:</w:t>
      </w:r>
      <w:r>
        <w:t xml:space="preserve"> </w:t>
      </w:r>
      <w:r>
        <w:t xml:space="preserve">en un pequeño estudio con 25 veteranos mejoró una prueba cognitiva; el cansancio y el dolor no cambiaron (Baraniuk 2013, PMID 23618477).</w:t>
      </w:r>
    </w:p>
    <w:p>
      <w:pPr>
        <w:numPr>
          <w:ilvl w:val="0"/>
          <w:numId w:val="1303"/>
        </w:numPr>
        <w:pStyle w:val="Compact"/>
      </w:pPr>
      <w:r>
        <w:rPr>
          <w:bCs/>
          <w:b/>
        </w:rPr>
        <w:t xml:space="preserve">Piel:</w:t>
      </w:r>
      <w:r>
        <w:t xml:space="preserve"> </w:t>
      </w:r>
      <w:r>
        <w:t xml:space="preserve">un estudio con una preparación de carnosina «no hidrolizable» comunicó mejoras cutáneas; procede del inventor de la formulación patentada y mezcla experimentos de laboratorio con un ensayo clínico (Babizhayev 2012, PMID 21756141).</w:t>
      </w:r>
    </w:p>
    <w:bookmarkEnd w:id="895"/>
    <w:bookmarkStart w:id="896" w:name="Xa4eda7510cfe1be76e86bc500e725af46599a1b"/>
    <w:p>
      <w:pPr>
        <w:pStyle w:val="Heading4"/>
      </w:pPr>
      <w:r>
        <w:t xml:space="preserve">Sustancias relacionadas: zinc-carnosina y N-acetilcarnosina</w:t>
      </w:r>
    </w:p>
    <w:p>
      <w:pPr>
        <w:pStyle w:val="FirstParagraph"/>
      </w:pPr>
      <w:r>
        <w:t xml:space="preserve">La</w:t>
      </w:r>
      <w:r>
        <w:t xml:space="preserve"> </w:t>
      </w:r>
      <w:r>
        <w:rPr>
          <w:bCs/>
          <w:b/>
        </w:rPr>
        <w:t xml:space="preserve">zinc-carnosina (polaprezinc)</w:t>
      </w:r>
      <w:r>
        <w:t xml:space="preserve"> </w:t>
      </w:r>
      <w:r>
        <w:t xml:space="preserve">es un compuesto de zinc y carnosina que en Japón se utiliza como medicamento contra las úlceras gástricas. En un estudio multicéntrico con 224 pacientes, a las ocho semanas fue tan eficaz como el medicamento de comparación rebamipida (tasa de curación del 81,5 % frente al 74,3 %, diferencia no significativa) (Shen 2022, PMID 35999163). Este efecto probablemente está muy ligado al zinc y no puede trasladarse a la carnosina pura.</w:t>
      </w:r>
    </w:p>
    <w:p>
      <w:pPr>
        <w:pStyle w:val="BodyText"/>
      </w:pPr>
      <w:r>
        <w:t xml:space="preserve">Los</w:t>
      </w:r>
      <w:r>
        <w:t xml:space="preserve"> </w:t>
      </w:r>
      <w:r>
        <w:rPr>
          <w:bCs/>
          <w:b/>
        </w:rPr>
        <w:t xml:space="preserve">colirios de N-acetilcarnosina</w:t>
      </w:r>
      <w:r>
        <w:t xml:space="preserve"> </w:t>
      </w:r>
      <w:r>
        <w:t xml:space="preserve">se promocionan en internet contra las cataratas. Una revisión Cochrane solo encontró dos posibles estudios con 114 participantes cuya metodología no era comprensible y concluyó que no hay pruebas convincentes de que las gotas reviertan las cataratas o impidan su progresión (Dubois 2017, PMID 28245346). El único tratamiento eficaz sigue siendo la cirugía.</w:t>
      </w:r>
    </w:p>
    <w:bookmarkEnd w:id="896"/>
    <w:bookmarkEnd w:id="897"/>
    <w:bookmarkStart w:id="898" w:name="estudios-en-animales-y-de-laboratorio-54"/>
    <w:p>
      <w:pPr>
        <w:pStyle w:val="Heading3"/>
      </w:pPr>
      <w:r>
        <w:t xml:space="preserve">Estudios en animales y de laboratorio</w:t>
      </w:r>
    </w:p>
    <w:p>
      <w:pPr>
        <w:pStyle w:val="FirstParagraph"/>
      </w:pPr>
      <w:r>
        <w:t xml:space="preserve">En cultivos celulares y en roedores, la carnosina tiene efecto antioxidante, inhibe la glicación de las proteínas y une aldehídos reactivos. En ratones y ratas mejoró en muchos experimentos la glucemia, el daño renal en la diabetes, la cicatrización de heridas y la función vascular. El metaanálisis de Matthews 2021 incluyó, además de cuatro estudios en humanos, 16 estudios en roedores y calificó de muy baja la fiabilidad de los datos en animales (Matthews 2021, PMID 34333586).</w:t>
      </w:r>
    </w:p>
    <w:p>
      <w:pPr>
        <w:pStyle w:val="BodyText"/>
      </w:pPr>
      <w:r>
        <w:t xml:space="preserve">Persiste un problema fundamental de traslación: los roedores prácticamente no tienen carnosinasa en la sangre. En ratones a los que se incorporó por ingeniería genética la enzima humana, la diabetes y el daño renal fueron más graves (Qiu 2020, PMID 32803273). Esto sugiere que, en humanos, la enzima podría limitar considerablemente el efecto de la carnosina aportada.</w:t>
      </w:r>
    </w:p>
    <w:bookmarkEnd w:id="898"/>
    <w:bookmarkStart w:id="899" w:name="riesgos-y-efectos-adversos-54"/>
    <w:p>
      <w:pPr>
        <w:pStyle w:val="Heading3"/>
      </w:pPr>
      <w:r>
        <w:t xml:space="preserve">Riesgos y efectos adversos</w:t>
      </w:r>
    </w:p>
    <w:p>
      <w:pPr>
        <w:pStyle w:val="FirstParagraph"/>
      </w:pPr>
      <w:r>
        <w:rPr>
          <w:bCs/>
          <w:b/>
        </w:rPr>
        <w:t xml:space="preserve">Demostrados:</w:t>
      </w:r>
      <w:r>
        <w:t xml:space="preserve"> </w:t>
      </w:r>
      <w:r>
        <w:t xml:space="preserve">en los estudios realizados hasta ahora –con cantidades diarias de hasta 2 g durante un máximo de 14 semanas– no se comunicaron efectos adversos relevantes. En el estudio NEAT, con casi 300 participantes, no se encontraron cambios en la función renal, hepática ni cardiaca ni en los electrolitos (Baba 2024, PMID 39215872).</w:t>
      </w:r>
    </w:p>
    <w:p>
      <w:pPr>
        <w:pStyle w:val="BodyText"/>
      </w:pPr>
      <w:r>
        <w:rPr>
          <w:bCs/>
          <w:b/>
        </w:rPr>
        <w:t xml:space="preserve">Beta-alanina:</w:t>
      </w:r>
      <w:r>
        <w:t xml:space="preserve"> </w:t>
      </w:r>
      <w:r>
        <w:t xml:space="preserve">el único efecto adverso comunicado con regularidad es un hormigueo cutáneo inofensivo pero desagradable (parestesia), por lo general en la cara y las manos, poco después de la toma. Una evaluación de riesgos con 101 estudios en humanos estimó que la probabilidad (odds) de este efecto con beta-alanina era unas nueve veces mayor que con placebo (odds ratio 8,9); las tasas de abandono no difirieron, y un pequeño aumento de un valor hepático se mantuvo dentro del rango normal (Dolan 2019, PMID 30980076).</w:t>
      </w:r>
    </w:p>
    <w:p>
      <w:pPr>
        <w:pStyle w:val="BodyText"/>
      </w:pPr>
      <w:r>
        <w:rPr>
          <w:bCs/>
          <w:b/>
        </w:rPr>
        <w:t xml:space="preserve">Teóricos o inciertos:</w:t>
      </w:r>
    </w:p>
    <w:p>
      <w:pPr>
        <w:numPr>
          <w:ilvl w:val="0"/>
          <w:numId w:val="1304"/>
        </w:numPr>
        <w:pStyle w:val="Compact"/>
      </w:pPr>
      <w:r>
        <w:t xml:space="preserve">Faltan datos a largo plazo de más de un año.</w:t>
      </w:r>
    </w:p>
    <w:p>
      <w:pPr>
        <w:numPr>
          <w:ilvl w:val="0"/>
          <w:numId w:val="1304"/>
        </w:numPr>
        <w:pStyle w:val="Compact"/>
      </w:pPr>
      <w:r>
        <w:t xml:space="preserve">No hay datos de seguridad para el embarazo, la lactancia ni los niños (salvo los pequeños estudios mencionados).</w:t>
      </w:r>
    </w:p>
    <w:p>
      <w:pPr>
        <w:numPr>
          <w:ilvl w:val="0"/>
          <w:numId w:val="1304"/>
        </w:numPr>
        <w:pStyle w:val="Compact"/>
      </w:pPr>
      <w:r>
        <w:t xml:space="preserve">Con medicamentos antidiabéticos es concebible una potenciación de la reducción de la glucemia, pero no está demostrada; los controles de glucemia y la consulta médica son razonables.</w:t>
      </w:r>
    </w:p>
    <w:p>
      <w:pPr>
        <w:numPr>
          <w:ilvl w:val="0"/>
          <w:numId w:val="1304"/>
        </w:numPr>
        <w:pStyle w:val="Compact"/>
      </w:pPr>
      <w:r>
        <w:t xml:space="preserve">Como con todos los complementos alimenticios, la calidad depende del fabricante.</w:t>
      </w:r>
    </w:p>
    <w:bookmarkEnd w:id="899"/>
    <w:bookmarkStart w:id="900" w:name="situación-legal-54"/>
    <w:p>
      <w:pPr>
        <w:pStyle w:val="Heading3"/>
      </w:pPr>
      <w:r>
        <w:t xml:space="preserve">Situación legal</w:t>
      </w:r>
    </w:p>
    <w:p>
      <w:pPr>
        <w:numPr>
          <w:ilvl w:val="0"/>
          <w:numId w:val="1305"/>
        </w:numPr>
        <w:pStyle w:val="Compact"/>
      </w:pPr>
      <w:r>
        <w:rPr>
          <w:bCs/>
          <w:b/>
        </w:rPr>
        <w:t xml:space="preserve">UE / Austria / Alemania:</w:t>
      </w:r>
      <w:r>
        <w:t xml:space="preserve"> </w:t>
      </w:r>
      <w:r>
        <w:t xml:space="preserve">la carnosina se comercializa como complemento alimenticio. Para la carnosina no existe ninguna declaración de propiedades saludables autorizada según el Reglamento sobre declaraciones de propiedades saludables (Reglamento (CE) n.º 1924/2006); por tanto, no se permiten afirmaciones publicitarias como «antiedad» o «protege las células». Si determinadas preparaciones deben clasificarse como nuevos alimentos (novel food) puede variar de un producto a otro; compruébese la situación actual. La zinc-carnosina no está autorizada como medicamento en la UE; los colirios de N-acetilcarnosina no tienen autorización como medicamento contra las cataratas.</w:t>
      </w:r>
    </w:p>
    <w:p>
      <w:pPr>
        <w:numPr>
          <w:ilvl w:val="0"/>
          <w:numId w:val="1305"/>
        </w:numPr>
        <w:pStyle w:val="Compact"/>
      </w:pPr>
      <w:r>
        <w:rPr>
          <w:bCs/>
          <w:b/>
        </w:rPr>
        <w:t xml:space="preserve">EE. UU.:</w:t>
      </w:r>
      <w:r>
        <w:t xml:space="preserve"> </w:t>
      </w:r>
      <w:r>
        <w:t xml:space="preserve">disponible como complemento alimenticio, sin autorización como medicamento.</w:t>
      </w:r>
    </w:p>
    <w:p>
      <w:pPr>
        <w:numPr>
          <w:ilvl w:val="0"/>
          <w:numId w:val="1305"/>
        </w:numPr>
        <w:pStyle w:val="Compact"/>
      </w:pPr>
      <w:r>
        <w:rPr>
          <w:bCs/>
          <w:b/>
        </w:rPr>
        <w:t xml:space="preserve">Japón:</w:t>
      </w:r>
      <w:r>
        <w:t xml:space="preserve"> </w:t>
      </w:r>
      <w:r>
        <w:t xml:space="preserve">el polaprezinc (zinc-carnosina) es un medicamento gástrico autorizado.</w:t>
      </w:r>
    </w:p>
    <w:p>
      <w:pPr>
        <w:numPr>
          <w:ilvl w:val="0"/>
          <w:numId w:val="1305"/>
        </w:numPr>
        <w:pStyle w:val="Compact"/>
      </w:pPr>
      <w:r>
        <w:rPr>
          <w:bCs/>
          <w:b/>
        </w:rPr>
        <w:t xml:space="preserve">Deporte:</w:t>
      </w:r>
      <w:r>
        <w:t xml:space="preserve"> </w:t>
      </w:r>
      <w:r>
        <w:t xml:space="preserve">ni la carnosina ni la beta-alanina figuran en la lista de prohibiciones de la WADA (situación en 2026, compruébese la versión actual).</w:t>
      </w:r>
    </w:p>
    <w:bookmarkEnd w:id="900"/>
    <w:bookmarkStart w:id="901" w:name="estudios-en-curso-y-perspectivas-54"/>
    <w:p>
      <w:pPr>
        <w:pStyle w:val="Heading3"/>
      </w:pPr>
      <w:r>
        <w:t xml:space="preserve">Estudios en curso y perspectivas</w:t>
      </w:r>
    </w:p>
    <w:p>
      <w:pPr>
        <w:pStyle w:val="FirstParagraph"/>
      </w:pPr>
      <w:r>
        <w:rPr>
          <w:bCs/>
          <w:b/>
        </w:rPr>
        <w:t xml:space="preserve">Confirmado (estudios registrados, situación en octubre de 2026):</w:t>
      </w:r>
    </w:p>
    <w:p>
      <w:pPr>
        <w:numPr>
          <w:ilvl w:val="0"/>
          <w:numId w:val="1306"/>
        </w:numPr>
        <w:pStyle w:val="Compact"/>
      </w:pPr>
      <w:r>
        <w:rPr>
          <w:bCs/>
          <w:b/>
        </w:rPr>
        <w:t xml:space="preserve">Enfermedad arterial periférica:</w:t>
      </w:r>
      <w:r>
        <w:t xml:space="preserve"> </w:t>
      </w:r>
      <w:r>
        <w:t xml:space="preserve">un estudio de fase 1/2 con 144 participantes previstos investiga la carnosina en los trastornos circulatorios de las piernas (NCT06480760); estudios anteriores más pequeños sobre el mismo tema figuran como finalizados o con estado desconocido.</w:t>
      </w:r>
    </w:p>
    <w:p>
      <w:pPr>
        <w:numPr>
          <w:ilvl w:val="0"/>
          <w:numId w:val="1306"/>
        </w:numPr>
        <w:pStyle w:val="Compact"/>
      </w:pPr>
      <w:r>
        <w:rPr>
          <w:bCs/>
          <w:b/>
        </w:rPr>
        <w:t xml:space="preserve">Geroterapia:</w:t>
      </w:r>
      <w:r>
        <w:t xml:space="preserve"> </w:t>
      </w:r>
      <w:r>
        <w:t xml:space="preserve">un pequeño estudio de fase 3 con 30 participantes examina combinaciones de sustancias para mejorar la esperanza de vida saludable, entre ellas la carnosina (NCT07475546).</w:t>
      </w:r>
    </w:p>
    <w:p>
      <w:pPr>
        <w:numPr>
          <w:ilvl w:val="0"/>
          <w:numId w:val="1306"/>
        </w:numPr>
        <w:pStyle w:val="Compact"/>
      </w:pPr>
      <w:r>
        <w:t xml:space="preserve">El estudio NEAT (NCT03314987) ha finalizado; son posibles nuevos análisis sobre los vasos y la contaminación atmosférica.</w:t>
      </w:r>
    </w:p>
    <w:p>
      <w:pPr>
        <w:pStyle w:val="FirstParagraph"/>
      </w:pPr>
      <w:r>
        <w:rPr>
          <w:bCs/>
          <w:b/>
        </w:rPr>
        <w:t xml:space="preserve">Valoración:</w:t>
      </w:r>
      <w:r>
        <w:t xml:space="preserve"> </w:t>
      </w:r>
      <w:r>
        <w:t xml:space="preserve">la carnosina es biológicamente interesante, pero los estudios en humanos son pequeños y heterogéneos. Para el deporte, el precursor beta-alanina es la vía mejor documentada. Para la diabetes y el envejecimiento cerebral harían falta estudios más grandes y largos con variables clínicas. Una línea de investigación son los derivados resistentes a la carnosinasa, que no se degradan de inmediato en la sangre, pero todavía se encuentran en fase de laboratorio.</w:t>
      </w:r>
    </w:p>
    <w:bookmarkEnd w:id="901"/>
    <w:bookmarkStart w:id="902" w:name="conclusión-54"/>
    <w:p>
      <w:pPr>
        <w:pStyle w:val="Heading3"/>
      </w:pPr>
      <w:r>
        <w:t xml:space="preserve">Conclusión</w:t>
      </w:r>
    </w:p>
    <w:p>
      <w:pPr>
        <w:pStyle w:val="FirstParagraph"/>
      </w:pPr>
      <w:r>
        <w:t xml:space="preserve">La carnosina es un dipéptido endógeno que amortigua el ácido en el músculo y que, en el laboratorio, protege a las células de los productos de degradación de azúcares y grasas. En humanos, la enzima carnosinasa la degrada rápidamente en la sangre, por lo que los resultados en animales solo son trasladables de forma limitada. Estudios pequeños y metaanálisis apuntan a una ligera mejora del control glucémico a largo plazo en la diabetes y a efectos sobre los marcadores inflamatorios; para el rendimiento, la memoria y el envejecimiento cutáneo, los datos son débiles o contradictorios. Para el rendimiento deportivo, el precursor beta-alanina está mejor estudiado y se asocia a pequeñas ventajas en esfuerzos breves e intensos. La carnosina se considera bien tolerada en las cantidades estudiadas.</w:t>
      </w:r>
    </w:p>
    <w:bookmarkEnd w:id="902"/>
    <w:bookmarkEnd w:id="903"/>
    <w:bookmarkStart w:id="913" w:name="ghk-cu-péptido-de-cobre"/>
    <w:p>
      <w:pPr>
        <w:pStyle w:val="Heading2"/>
      </w:pPr>
      <w:r>
        <w:t xml:space="preserve">GHK-Cu (péptido de cobre)</w:t>
      </w:r>
    </w:p>
    <w:bookmarkStart w:id="904" w:name="ficha-55"/>
    <w:p>
      <w:pPr>
        <w:pStyle w:val="Heading3"/>
      </w:pPr>
      <w:r>
        <w:t xml:space="preserve">Ficha</w:t>
      </w:r>
    </w:p>
    <w:p>
      <w:pPr>
        <w:numPr>
          <w:ilvl w:val="0"/>
          <w:numId w:val="1307"/>
        </w:numPr>
        <w:pStyle w:val="Compact"/>
      </w:pPr>
      <w:r>
        <w:rPr>
          <w:bCs/>
          <w:b/>
        </w:rPr>
        <w:t xml:space="preserve">Tipo/estructura:</w:t>
      </w:r>
      <w:r>
        <w:t xml:space="preserve"> </w:t>
      </w:r>
      <w:r>
        <w:t xml:space="preserve">tripéptido de glicina, histidina y lisina (Gly-His-Lys, abreviado GHK) que une firmemente un ion de cobre. En las listas de ingredientes cosméticos suele denominarse</w:t>
      </w:r>
      <w:r>
        <w:t xml:space="preserve"> </w:t>
      </w:r>
      <w:r>
        <w:rPr>
          <w:iCs/>
          <w:i/>
        </w:rPr>
        <w:t xml:space="preserve">Copper Tripeptide-1</w:t>
      </w:r>
      <w:r>
        <w:t xml:space="preserve">. Una forma emparentada sin cobre, pero con un resto de ácido graso, es el palmitoil tripéptido-1 (Pal-GHK), componente de «Matrixyl 3000».</w:t>
      </w:r>
    </w:p>
    <w:p>
      <w:pPr>
        <w:numPr>
          <w:ilvl w:val="0"/>
          <w:numId w:val="1307"/>
        </w:numPr>
        <w:pStyle w:val="Compact"/>
      </w:pPr>
      <w:r>
        <w:rPr>
          <w:bCs/>
          <w:b/>
        </w:rPr>
        <w:t xml:space="preserve">Origen:</w:t>
      </w:r>
      <w:r>
        <w:t xml:space="preserve"> </w:t>
      </w:r>
      <w:r>
        <w:t xml:space="preserve">endógeno. El GHK se descubrió en la década de 1970 en el plasma sanguíneo humano (Pickart 1973, PMID 4349963) y también está presente en la saliva y la orina. La secuencia GHK forma parte del colágeno y podría liberarse durante su degradación. Para los productos se fabrica de forma sintética.</w:t>
      </w:r>
    </w:p>
    <w:p>
      <w:pPr>
        <w:numPr>
          <w:ilvl w:val="0"/>
          <w:numId w:val="1307"/>
        </w:numPr>
        <w:pStyle w:val="Compact"/>
      </w:pPr>
      <w:r>
        <w:rPr>
          <w:bCs/>
          <w:b/>
        </w:rPr>
        <w:t xml:space="preserve">Mecanismo de acción:</w:t>
      </w:r>
      <w:r>
        <w:t xml:space="preserve"> </w:t>
      </w:r>
      <w:r>
        <w:t xml:space="preserve">se supone que estimula la cicatrización de heridas y la remodelación del tejido conjuntivo, entre otras cosas mediante el transporte de cobre al interior de las células y la estimulación de la formación de colágeno.</w:t>
      </w:r>
    </w:p>
    <w:p>
      <w:pPr>
        <w:numPr>
          <w:ilvl w:val="0"/>
          <w:numId w:val="1307"/>
        </w:numPr>
        <w:pStyle w:val="Compact"/>
      </w:pPr>
      <w:r>
        <w:rPr>
          <w:bCs/>
          <w:b/>
        </w:rPr>
        <w:t xml:space="preserve">Uso:</w:t>
      </w:r>
      <w:r>
        <w:t xml:space="preserve"> </w:t>
      </w:r>
      <w:r>
        <w:t xml:space="preserve">permitido como ingrediente de cosméticos (cremas, sérums, cuidado capilar). Además, se ofrece en el mercado gris como «research peptide» para inyección.</w:t>
      </w:r>
    </w:p>
    <w:p>
      <w:pPr>
        <w:numPr>
          <w:ilvl w:val="0"/>
          <w:numId w:val="1307"/>
        </w:numPr>
        <w:pStyle w:val="Compact"/>
      </w:pPr>
      <w:r>
        <w:rPr>
          <w:bCs/>
          <w:b/>
        </w:rPr>
        <w:t xml:space="preserve">Autorización en la UE:</w:t>
      </w:r>
      <w:r>
        <w:t xml:space="preserve"> </w:t>
      </w:r>
      <w:r>
        <w:t xml:space="preserve">sin autorización como medicamento. Utilizable como ingrediente cosmético.</w:t>
      </w:r>
    </w:p>
    <w:p>
      <w:pPr>
        <w:numPr>
          <w:ilvl w:val="0"/>
          <w:numId w:val="1307"/>
        </w:numPr>
        <w:pStyle w:val="Compact"/>
      </w:pPr>
      <w:r>
        <w:rPr>
          <w:bCs/>
          <w:b/>
        </w:rPr>
        <w:t xml:space="preserve">Autorización en EE. UU.:</w:t>
      </w:r>
      <w:r>
        <w:t xml:space="preserve"> </w:t>
      </w:r>
      <w:r>
        <w:t xml:space="preserve">sin autorización como medicamento; comercializado como ingrediente cosmético. Existen restricciones para la elaboración de preparaciones inyectables en farmacias (véase la situación legal).</w:t>
      </w:r>
    </w:p>
    <w:p>
      <w:pPr>
        <w:numPr>
          <w:ilvl w:val="0"/>
          <w:numId w:val="1307"/>
        </w:numPr>
        <w:pStyle w:val="Compact"/>
      </w:pPr>
      <w:r>
        <w:rPr>
          <w:bCs/>
          <w:b/>
        </w:rPr>
        <w:t xml:space="preserve">WADA:</w:t>
      </w:r>
      <w:r>
        <w:t xml:space="preserve"> </w:t>
      </w:r>
      <w:r>
        <w:t xml:space="preserve">no figura nominalmente. En caso de inyección, como principio activo no autorizado, puede aplicarse la categoría S0 («sustancias no aprobadas») (situación en 2026, compruébese la versión actual).</w:t>
      </w:r>
    </w:p>
    <w:p>
      <w:pPr>
        <w:numPr>
          <w:ilvl w:val="0"/>
          <w:numId w:val="1307"/>
        </w:numPr>
        <w:pStyle w:val="Compact"/>
      </w:pPr>
      <w:r>
        <w:rPr>
          <w:bCs/>
          <w:b/>
        </w:rPr>
        <w:t xml:space="preserve">Nivel de evidencia:</w:t>
      </w:r>
      <w:r>
        <w:t xml:space="preserve"> </w:t>
      </w:r>
      <w:r>
        <w:rPr>
          <w:bCs/>
          <w:b/>
        </w:rPr>
        <w:t xml:space="preserve">C</w:t>
      </w:r>
      <w:r>
        <w:t xml:space="preserve"> </w:t>
      </w:r>
      <w:r>
        <w:t xml:space="preserve">– un estudio aleatorizado antiguo sobre heridas y unos pocos estudios cutáneos muy pequeños; para los usos que hoy se promocionan (cosmética antiedad, inyecciones), no hay datos controlados sólidos en humanos.</w:t>
      </w:r>
    </w:p>
    <w:bookmarkEnd w:id="904"/>
    <w:bookmarkStart w:id="906" w:name="cómo-se-supone-que-actúa-55"/>
    <w:p>
      <w:pPr>
        <w:pStyle w:val="Heading3"/>
      </w:pPr>
      <w:r>
        <w:t xml:space="preserve">Cómo se supone que actúa</w:t>
      </w:r>
    </w:p>
    <w:p>
      <w:pPr>
        <w:pStyle w:val="FirstParagraph"/>
      </w:pPr>
      <w:r>
        <w:t xml:space="preserve">El GHK une el cobre con tanta fuerza que puede transportar este oligoelemento esencial al interior de las células. Varias enzimas importantes para el tejido conjuntivo necesitan cobre, por ejemplo la lisil oxidasa, que entrelaza las fibras de colágeno y elastina. Un trabajo temprano ya supuso en 1980 que el GHK ejerce su efecto sobre las células facilitando la captación de cobre (Pickart 1980, PMID 7453802).</w:t>
      </w:r>
    </w:p>
    <w:p>
      <w:pPr>
        <w:pStyle w:val="BodyText"/>
      </w:pPr>
      <w:r>
        <w:t xml:space="preserve">En cultivos celulares, el GHK-Cu estimuló la formación de colágeno por los fibroblastos ya a concentraciones extremadamente bajas; el máximo se situó en torno a un nanomol por litro (Maquart 1988, PMID 3169264). El descubridor del GHK, Loren Pickart, ha descrito en varias revisiones muchos otros efectos: sobre la cicatrización de heridas, el crecimiento del cabello, la inflamación, el crecimiento nervioso e incluso sobre la actividad de miles de genes (Pickart 2015, PMID 26236730; Pickart 2018, PMID 29986520). Estas afirmaciones se basan sobre todo en experimentos celulares y animales, así como en datos de expresión génica procedentes de bases de datos, y no en estudios en humanos. Además, muchas de estas revisiones proceden del entorno de las personas que también desarrollaron comercialmente el GHK-Cu, una circunstancia que las lectoras y los lectores deberían conocer al valorarlas.</w:t>
      </w:r>
    </w:p>
    <w:bookmarkStart w:id="905" w:name="atraviesa-el-péptido-la-piel"/>
    <w:p>
      <w:pPr>
        <w:pStyle w:val="Heading4"/>
      </w:pPr>
      <w:r>
        <w:t xml:space="preserve">¿Atraviesa el péptido la piel?</w:t>
      </w:r>
    </w:p>
    <w:p>
      <w:pPr>
        <w:pStyle w:val="FirstParagraph"/>
      </w:pPr>
      <w:r>
        <w:t xml:space="preserve">Para el uso cosmético es decisivo si el GHK-Cu supera la barrera cutánea. El estrato córneo de la piel es poco permeable para moléculas hidrosolubles y con carga, como el GHK. Una revisión de 2025 concluye que, en los experimentos celulares, el GHK podría considerarse sin duda un principio activo antiarrugas, pero que hay llamativamente pocos estudios clínicos; la unión al cobre y la adición de ácidos grasos mejoran la permeabilidad, y se investigan las microagujas y otros recursos (Mortazavi 2025, PMID 39963574). Un estudio en tres voluntarios encontró el Pal-GHK, emparentado, tras su aplicación en todas las capas del estrato córneo, aunque solo entre las células y en cantidad decreciente con la profundidad (Trzaska 2026, PMID 42790608). No está aclarado si llegan cantidades suficientes a las capas más profundas de la piel, donde se forma el colágeno.</w:t>
      </w:r>
    </w:p>
    <w:bookmarkEnd w:id="905"/>
    <w:bookmarkEnd w:id="906"/>
    <w:bookmarkStart w:id="907" w:name="estudios-en-humanos-55"/>
    <w:p>
      <w:pPr>
        <w:pStyle w:val="Heading3"/>
      </w:pPr>
      <w:r>
        <w:t xml:space="preserve">Estudios en humanos</w:t>
      </w:r>
    </w:p>
    <w:p>
      <w:pPr>
        <w:pStyle w:val="FirstParagraph"/>
      </w:pPr>
      <w:r>
        <w:t xml:space="preserve">La consulta en PubMed evaluada para este libro (GHK-Cu, tripéptido de cobre o péptido de cobre GHK en el título o el resumen, fecha de consulta octubre de 2026) arrojó solo</w:t>
      </w:r>
      <w:r>
        <w:t xml:space="preserve"> </w:t>
      </w:r>
      <w:r>
        <w:rPr>
          <w:bCs/>
          <w:b/>
        </w:rPr>
        <w:t xml:space="preserve">un</w:t>
      </w:r>
      <w:r>
        <w:t xml:space="preserve"> </w:t>
      </w:r>
      <w:r>
        <w:t xml:space="preserve">estudio en humanos. En ClinicalTrials.gov, la búsqueda arrojó 25 registros, pero casi todos se refieren a otros compuestos de cobre (por ejemplo, cobre-64 radiactivo para la obtención de imágenes). Solo un registro creíble estudia realmente el GHK o el GHK-Cu; otro registro sobre un gel de GHK-Cu para heridas procede de un promotor cuyos registros, según nuestra comprobación, son al parecer registros ficticios de ejemplo o de prueba, por lo que no se tiene en cuenta aquí. Una búsqueda ampliada arrojó además el estudio antiguo sobre heridas mencionado más abajo, así como casos clínicos aislados.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Mulder 1994, PMID 17147644</w:t>
            </w:r>
          </w:p>
        </w:tc>
        <w:tc>
          <w:tcPr/>
          <w:p>
            <w:pPr>
              <w:pStyle w:val="Compact"/>
              <w:jc w:val="left"/>
            </w:pPr>
            <w:r>
              <w:t xml:space="preserve">Personas con úlceras de pie diabético, multicéntrico, aleatorizado, evaluación ciega, gel de GHK-Cu frente a gel vehículo</w:t>
            </w:r>
          </w:p>
        </w:tc>
        <w:tc>
          <w:tcPr/>
          <w:p>
            <w:pPr>
              <w:pStyle w:val="Compact"/>
              <w:jc w:val="left"/>
            </w:pPr>
            <w:r>
              <w:t xml:space="preserve">n. d. en el resumen</w:t>
            </w:r>
          </w:p>
        </w:tc>
        <w:tc>
          <w:tcPr/>
          <w:p>
            <w:pPr>
              <w:pStyle w:val="Compact"/>
              <w:jc w:val="left"/>
            </w:pPr>
            <w:r>
              <w:t xml:space="preserve">Reducción mediana de la superficie de la herida 98,5 % frente a 60,8 %; infecciones 7 % frente a 34 %</w:t>
            </w:r>
          </w:p>
        </w:tc>
      </w:tr>
      <w:tr>
        <w:tc>
          <w:tcPr/>
          <w:p>
            <w:pPr>
              <w:pStyle w:val="Compact"/>
              <w:jc w:val="left"/>
            </w:pPr>
            <w:r>
              <w:t xml:space="preserve">Miller 2006, PMID 16847171</w:t>
            </w:r>
          </w:p>
        </w:tc>
        <w:tc>
          <w:tcPr/>
          <w:p>
            <w:pPr>
              <w:pStyle w:val="Compact"/>
              <w:jc w:val="left"/>
            </w:pPr>
            <w:r>
              <w:t xml:space="preserve">Cuidado de la piel tras tratamiento con láser de CO₂, aleatorizado, 13 analizables</w:t>
            </w:r>
          </w:p>
        </w:tc>
        <w:tc>
          <w:tcPr/>
          <w:p>
            <w:pPr>
              <w:pStyle w:val="Compact"/>
              <w:jc w:val="left"/>
            </w:pPr>
            <w:r>
              <w:t xml:space="preserve">12 semanas</w:t>
            </w:r>
          </w:p>
        </w:tc>
        <w:tc>
          <w:tcPr/>
          <w:p>
            <w:pPr>
              <w:pStyle w:val="Compact"/>
              <w:jc w:val="left"/>
            </w:pPr>
            <w:r>
              <w:t xml:space="preserve">Sin diferencia en enrojecimiento, arrugas ni calidad de la piel según medición y evaluación ciega; mayor satisfacción en el cuestionario</w:t>
            </w:r>
          </w:p>
        </w:tc>
      </w:tr>
      <w:tr>
        <w:tc>
          <w:tcPr/>
          <w:p>
            <w:pPr>
              <w:pStyle w:val="Compact"/>
              <w:jc w:val="left"/>
            </w:pPr>
            <w:r>
              <w:t xml:space="preserve">Byun 2016, PMID 27064823</w:t>
            </w:r>
          </w:p>
        </w:tc>
        <w:tc>
          <w:tcPr/>
          <w:p>
            <w:pPr>
              <w:pStyle w:val="Compact"/>
              <w:jc w:val="left"/>
            </w:pPr>
            <w:r>
              <w:t xml:space="preserve">1 hombre, mezcla de GHK-Cu, ácido hialurónico, extracto vegetal, ácido tranexámico y betaglucano con pulverizador</w:t>
            </w:r>
          </w:p>
        </w:tc>
        <w:tc>
          <w:tcPr/>
          <w:p>
            <w:pPr>
              <w:pStyle w:val="Compact"/>
              <w:jc w:val="left"/>
            </w:pPr>
            <w:r>
              <w:t xml:space="preserve">12 semanas</w:t>
            </w:r>
          </w:p>
        </w:tc>
        <w:tc>
          <w:tcPr/>
          <w:p>
            <w:pPr>
              <w:pStyle w:val="Compact"/>
              <w:jc w:val="left"/>
            </w:pPr>
            <w:r>
              <w:t xml:space="preserve">Menos arrugas perioculares; más colágeno en muestras cutáneas (caso aislado, producto combinado)</w:t>
            </w:r>
          </w:p>
        </w:tc>
      </w:tr>
    </w:tbl>
    <w:p>
      <w:pPr>
        <w:pStyle w:val="BodyText"/>
      </w:pPr>
      <w:r>
        <w:rPr>
          <w:bCs/>
          <w:b/>
        </w:rPr>
        <w:t xml:space="preserve">El estudio sobre heridas de 1994</w:t>
      </w:r>
      <w:r>
        <w:t xml:space="preserve"> </w:t>
      </w:r>
      <w:r>
        <w:t xml:space="preserve">es el único estudio controlado que mejoró una variable clínicamente relevante. Sin embargo, el preparado (desarrollado con el nombre de Iamin) no obtuvo autorización como medicamento. El resumen no indica ni el número de participantes ni la duración del estudio; en PubMed no se encuentran estudios de confirmación posteriores.</w:t>
      </w:r>
    </w:p>
    <w:p>
      <w:pPr>
        <w:pStyle w:val="BodyText"/>
      </w:pPr>
      <w:r>
        <w:rPr>
          <w:bCs/>
          <w:b/>
        </w:rPr>
        <w:t xml:space="preserve">El estudio con láser de 2006</w:t>
      </w:r>
      <w:r>
        <w:t xml:space="preserve"> </w:t>
      </w:r>
      <w:r>
        <w:t xml:space="preserve">es el único estudio aleatorizado con una pregunta cosmética recogido en PubMed. Con solo 13 pacientes analizables, era demasiado pequeño para detectar diferencias con seguridad, y objetivamente no encontró ninguna.</w:t>
      </w:r>
    </w:p>
    <w:p>
      <w:pPr>
        <w:pStyle w:val="BodyText"/>
      </w:pPr>
      <w:r>
        <w:rPr>
          <w:bCs/>
          <w:b/>
        </w:rPr>
        <w:t xml:space="preserve">Estudios cosméticos:</w:t>
      </w:r>
      <w:r>
        <w:t xml:space="preserve"> </w:t>
      </w:r>
      <w:r>
        <w:t xml:space="preserve">en libros especializados y material publicitario se citan estudios según los cuales las cremas con GHK-Cu habrían mejorado las arrugas, la densidad cutánea y la elasticidad. En su mayoría no se han publicado en revistas indexadas en PubMed o solo están disponibles como comunicaciones a congresos e informes de fabricantes, y no pudieron comprobarse en su versión original para este libro. Un metaanálisis de 2026 sobre péptidos orales y tópicos contra el envejecimiento cutáneo encontró que el beneficio sobre las arrugas se debía sobre todo a los péptidos tomados por vía</w:t>
      </w:r>
      <w:r>
        <w:t xml:space="preserve"> </w:t>
      </w:r>
      <w:r>
        <w:rPr>
          <w:iCs/>
          <w:i/>
        </w:rPr>
        <w:t xml:space="preserve">oral</w:t>
      </w:r>
      <w:r>
        <w:t xml:space="preserve">; el resumen no presenta resultados específicos para el GHK-Cu (Nukaly 2026, PMID 41924746).</w:t>
      </w:r>
    </w:p>
    <w:p>
      <w:pPr>
        <w:pStyle w:val="BodyText"/>
      </w:pPr>
      <w:r>
        <w:rPr>
          <w:bCs/>
          <w:b/>
        </w:rPr>
        <w:t xml:space="preserve">Inyecciones:</w:t>
      </w:r>
      <w:r>
        <w:t xml:space="preserve"> </w:t>
      </w:r>
      <w:r>
        <w:t xml:space="preserve">no existe ni un solo estudio controlado publicado en humanos sobre el GHK-Cu inyectado. Una revisión de ortopedia y medicina deportiva constata que no hay datos clínicos para su uso en enfermedades del aparato locomotor y que se desconocen la dosis, la frecuencia y la duración de un tratamiento (Mayfield 2026, PMID 41476424). Otra revisión sobre péptidos no autorizados en medicina deportiva concluye que faltan datos de seguridad sólidos en humanos y que existe un potencial de daño (Mendias 2026, PMID 41966639).</w:t>
      </w:r>
    </w:p>
    <w:bookmarkEnd w:id="907"/>
    <w:bookmarkStart w:id="908" w:name="estudios-en-animales-y-de-laboratorio-55"/>
    <w:p>
      <w:pPr>
        <w:pStyle w:val="Heading3"/>
      </w:pPr>
      <w:r>
        <w:t xml:space="preserve">Estudios en animales y de laboratorio</w:t>
      </w:r>
    </w:p>
    <w:p>
      <w:pPr>
        <w:pStyle w:val="FirstParagraph"/>
      </w:pPr>
      <w:r>
        <w:t xml:space="preserve">La bibliografía preclínica es amplia:</w:t>
      </w:r>
    </w:p>
    <w:p>
      <w:pPr>
        <w:numPr>
          <w:ilvl w:val="0"/>
          <w:numId w:val="1308"/>
        </w:numPr>
        <w:pStyle w:val="Compact"/>
      </w:pPr>
      <w:r>
        <w:rPr>
          <w:bCs/>
          <w:b/>
        </w:rPr>
        <w:t xml:space="preserve">Cultivo celular:</w:t>
      </w:r>
      <w:r>
        <w:t xml:space="preserve"> </w:t>
      </w:r>
      <w:r>
        <w:t xml:space="preserve">aumento de la formación de colágeno en fibroblastos (Maquart 1988, PMID 3169264); influencia sobre enzimas que forman y degradan el tejido conjuntivo.</w:t>
      </w:r>
    </w:p>
    <w:p>
      <w:pPr>
        <w:numPr>
          <w:ilvl w:val="0"/>
          <w:numId w:val="1308"/>
        </w:numPr>
        <w:pStyle w:val="Compact"/>
      </w:pPr>
      <w:r>
        <w:rPr>
          <w:bCs/>
          <w:b/>
        </w:rPr>
        <w:t xml:space="preserve">Cicatrización de heridas en animales:</w:t>
      </w:r>
      <w:r>
        <w:t xml:space="preserve"> </w:t>
      </w:r>
      <w:r>
        <w:t xml:space="preserve">en ratas con heridas mal irrigadas, la superficie de la herida se redujo a los 13 días un 64,5 % con gel de GHK-Cu, un 45,6 % con el gel vehículo y un 28,2 % sin tratamiento (Canapp 2003, PMID 14648529). En ratones, liposomas con GHK-Cu favorecieron la formación de nuevos vasos en piel escaldada y acortaron el tiempo de curación (Wang 2017, PMID 28370978).</w:t>
      </w:r>
    </w:p>
    <w:p>
      <w:pPr>
        <w:numPr>
          <w:ilvl w:val="0"/>
          <w:numId w:val="1308"/>
        </w:numPr>
        <w:pStyle w:val="Compact"/>
      </w:pPr>
      <w:r>
        <w:rPr>
          <w:bCs/>
          <w:b/>
        </w:rPr>
        <w:t xml:space="preserve">Otros órganos (en animales):</w:t>
      </w:r>
      <w:r>
        <w:t xml:space="preserve"> </w:t>
      </w:r>
      <w:r>
        <w:t xml:space="preserve">en ratones, el GHK-Cu inyectado en la cavidad abdominal atenuó una fibrosis pulmonar inducida experimentalmente (Ma 2020, PMID 31809714); otros estudios en ratones describen efectos en el daño pulmonar, la inflamación intestinal y la debilidad muscular tras el humo de tabaco. En ratas mejoró solo transitoriamente la curación tras la reconstrucción del ligamento cruzado (Fu 2015, PMID 25731775).</w:t>
      </w:r>
    </w:p>
    <w:p>
      <w:pPr>
        <w:numPr>
          <w:ilvl w:val="0"/>
          <w:numId w:val="1308"/>
        </w:numPr>
        <w:pStyle w:val="Compact"/>
      </w:pPr>
      <w:r>
        <w:rPr>
          <w:bCs/>
          <w:b/>
        </w:rPr>
        <w:t xml:space="preserve">Cerebro (en ratones):</w:t>
      </w:r>
      <w:r>
        <w:t xml:space="preserve"> </w:t>
      </w:r>
      <w:r>
        <w:t xml:space="preserve">una prepublicación de 2026 aún no revisada por pares describió en ratones viejos un mejor rendimiento de aprendizaje tras ocho semanas de administración por vía nasal, y tras una administración breve en la cavidad abdominal, solo transitoriamente y solo en machos (Mazzola 2026, PMID 42245779).</w:t>
      </w:r>
    </w:p>
    <w:p>
      <w:pPr>
        <w:pStyle w:val="FirstParagraph"/>
      </w:pPr>
      <w:r>
        <w:t xml:space="preserve">Estos hallazgos muestran una actividad biológica, pero no pueden trasladarse sin más a los humanos, y menos aún a cremas cosméticas con una permeabilidad cutánea incierta.</w:t>
      </w:r>
    </w:p>
    <w:bookmarkEnd w:id="908"/>
    <w:bookmarkStart w:id="909" w:name="riesgos-y-efectos-adversos-55"/>
    <w:p>
      <w:pPr>
        <w:pStyle w:val="Heading3"/>
      </w:pPr>
      <w:r>
        <w:t xml:space="preserve">Riesgos y efectos adversos</w:t>
      </w:r>
    </w:p>
    <w:p>
      <w:pPr>
        <w:pStyle w:val="FirstParagraph"/>
      </w:pPr>
      <w:r>
        <w:rPr>
          <w:bCs/>
          <w:b/>
        </w:rPr>
        <w:t xml:space="preserve">Uso cosmético (demostrado o probable):</w:t>
      </w:r>
      <w:r>
        <w:t xml:space="preserve"> </w:t>
      </w:r>
      <w:r>
        <w:t xml:space="preserve">el GHK-Cu se utiliza desde hace décadas en cosméticos; en los pocos estudios no se comunicaron efectos adversos relevantes. Como con cualquier ingrediente cosmético, son posibles irritaciones cutáneas y alergias de contacto. Los sérums con cobre pueden ser o no químicamente compatibles con otros principios activos (por ejemplo, la vitamina C o los ácidos); es una cuestión de formulación.</w:t>
      </w:r>
    </w:p>
    <w:p>
      <w:pPr>
        <w:pStyle w:val="BodyText"/>
      </w:pPr>
      <w:r>
        <w:rPr>
          <w:bCs/>
          <w:b/>
        </w:rPr>
        <w:t xml:space="preserve">Inyección (teórico, pero a tomar en serio):</w:t>
      </w:r>
    </w:p>
    <w:p>
      <w:pPr>
        <w:numPr>
          <w:ilvl w:val="0"/>
          <w:numId w:val="1309"/>
        </w:numPr>
        <w:pStyle w:val="Compact"/>
      </w:pPr>
      <w:r>
        <w:rPr>
          <w:bCs/>
          <w:b/>
        </w:rPr>
        <w:t xml:space="preserve">Sin datos de seguridad:</w:t>
      </w:r>
      <w:r>
        <w:t xml:space="preserve"> </w:t>
      </w:r>
      <w:r>
        <w:t xml:space="preserve">no hay datos sistemáticos sobre la tolerabilidad, la dosificación ni las consecuencias a largo plazo en humanos.</w:t>
      </w:r>
    </w:p>
    <w:p>
      <w:pPr>
        <w:numPr>
          <w:ilvl w:val="0"/>
          <w:numId w:val="1309"/>
        </w:numPr>
        <w:pStyle w:val="Compact"/>
      </w:pPr>
      <w:r>
        <w:rPr>
          <w:bCs/>
          <w:b/>
        </w:rPr>
        <w:t xml:space="preserve">Efectos celulares heterogéneos:</w:t>
      </w:r>
      <w:r>
        <w:t xml:space="preserve"> </w:t>
      </w:r>
      <w:r>
        <w:t xml:space="preserve">ya los primeros trabajos de laboratorio describieron que el GHK, según el sistema celular, puede favorecer el crecimiento, pero también resultar tóxico (Pickart 1980, PMID 7453802).</w:t>
      </w:r>
    </w:p>
    <w:p>
      <w:pPr>
        <w:numPr>
          <w:ilvl w:val="0"/>
          <w:numId w:val="1309"/>
        </w:numPr>
        <w:pStyle w:val="Compact"/>
      </w:pPr>
      <w:r>
        <w:rPr>
          <w:bCs/>
          <w:b/>
        </w:rPr>
        <w:t xml:space="preserve">Carga de cobre:</w:t>
      </w:r>
      <w:r>
        <w:t xml:space="preserve"> </w:t>
      </w:r>
      <w:r>
        <w:t xml:space="preserve">el cobre es tóxico en cantidades mayores. No se ha estudiado cuánto cobre permanece en el organismo con inyecciones repetidas. Las personas especialmente expuestas serían las que padecen la enfermedad de Wilson, una enfermedad congénita de acumulación de cobre.</w:t>
      </w:r>
    </w:p>
    <w:p>
      <w:pPr>
        <w:numPr>
          <w:ilvl w:val="0"/>
          <w:numId w:val="1309"/>
        </w:numPr>
        <w:pStyle w:val="Compact"/>
      </w:pPr>
      <w:r>
        <w:rPr>
          <w:bCs/>
          <w:b/>
        </w:rPr>
        <w:t xml:space="preserve">Señales de crecimiento:</w:t>
      </w:r>
      <w:r>
        <w:t xml:space="preserve"> </w:t>
      </w:r>
      <w:r>
        <w:t xml:space="preserve">en experimentos con animales, el GHK-Cu favorece la formación de nuevos vasos sanguíneos (angiogénesis). Se desconoce si esto supone un riesgo en presencia de tumores (riesgo teórico).</w:t>
      </w:r>
    </w:p>
    <w:p>
      <w:pPr>
        <w:numPr>
          <w:ilvl w:val="0"/>
          <w:numId w:val="1309"/>
        </w:numPr>
        <w:pStyle w:val="Compact"/>
      </w:pPr>
      <w:r>
        <w:rPr>
          <w:bCs/>
          <w:b/>
        </w:rPr>
        <w:t xml:space="preserve">Calidad del mercado gris:</w:t>
      </w:r>
      <w:r>
        <w:t xml:space="preserve"> </w:t>
      </w:r>
      <w:r>
        <w:t xml:space="preserve">los «research peptides» se fabrican sin control de calidad farmacéutico. Son posibles impurezas, cantidades erróneas o contaminación bacteriana; las inyecciones de productos no estériles pueden provocar abscesos e infecciones. Una revisión describe estos riesgos para los péptidos inyectables de «biohacking» en general (Moiz 2026, PMID 42757290). La Parte IV trata el tema con detalle.</w:t>
      </w:r>
    </w:p>
    <w:bookmarkEnd w:id="909"/>
    <w:bookmarkStart w:id="910" w:name="situación-legal-55"/>
    <w:p>
      <w:pPr>
        <w:pStyle w:val="Heading3"/>
      </w:pPr>
      <w:r>
        <w:t xml:space="preserve">Situación legal</w:t>
      </w:r>
    </w:p>
    <w:p>
      <w:pPr>
        <w:numPr>
          <w:ilvl w:val="0"/>
          <w:numId w:val="1310"/>
        </w:numPr>
        <w:pStyle w:val="Compact"/>
      </w:pPr>
      <w:r>
        <w:rPr>
          <w:bCs/>
          <w:b/>
        </w:rPr>
        <w:t xml:space="preserve">UE / Austria / Alemania:</w:t>
      </w:r>
      <w:r>
        <w:t xml:space="preserve"> </w:t>
      </w:r>
      <w:r>
        <w:t xml:space="preserve">el GHK-Cu (Copper Tripeptide-1) puede utilizarse como ingrediente de cosméticos; rige el Reglamento europeo sobre los productos cosméticos (Reglamento (CE) n.º 1223/2009). Los cosméticos solo pueden destinarse a la aplicación sobre la piel y sus anexos y no pueden atribuirse efectos farmacológicos; las afirmaciones publicitarias deben poder justificarse según el Reglamento (UE) n.º 655/2013. Un GHK-Cu destinado a inyección no es un cosmético, sino un medicamento no autorizado. Su venta para uso en humanos no está permitida; etiquetas como «solo para fines de investigación» no cambian nada.</w:t>
      </w:r>
    </w:p>
    <w:p>
      <w:pPr>
        <w:numPr>
          <w:ilvl w:val="0"/>
          <w:numId w:val="1310"/>
        </w:numPr>
        <w:pStyle w:val="Compact"/>
      </w:pPr>
      <w:r>
        <w:rPr>
          <w:bCs/>
          <w:b/>
        </w:rPr>
        <w:t xml:space="preserve">EE. UU.:</w:t>
      </w:r>
      <w:r>
        <w:t xml:space="preserve"> </w:t>
      </w:r>
      <w:r>
        <w:t xml:space="preserve">permitido en cosméticos. Según nuestra información, en 2023 la FDA incluyó el GHK-Cu inyectable en una lista de principios activos para los que ve importantes problemas de seguridad en la elaboración en farmacias (compounding); desde entonces se ha vuelto a debatir la clasificación de varios péptidos (situación en 2026, compruébese la versión actual).</w:t>
      </w:r>
    </w:p>
    <w:p>
      <w:pPr>
        <w:numPr>
          <w:ilvl w:val="0"/>
          <w:numId w:val="1310"/>
        </w:numPr>
        <w:pStyle w:val="Compact"/>
      </w:pPr>
      <w:r>
        <w:rPr>
          <w:bCs/>
          <w:b/>
        </w:rPr>
        <w:t xml:space="preserve">Deporte:</w:t>
      </w:r>
      <w:r>
        <w:t xml:space="preserve"> </w:t>
      </w:r>
      <w:r>
        <w:t xml:space="preserve">el GHK-Cu no figura nominalmente en la lista de la WADA. Las cremas cosméticas se consideran no problemáticas. El GHK-Cu inyectado, como sustancia no aprobada, podría entrar en la categoría S0; en caso de duda, las y los deportistas deberían consultar a la agencia nacional antidopaje (situación en 2026, compruébese la versión actual).</w:t>
      </w:r>
    </w:p>
    <w:bookmarkEnd w:id="910"/>
    <w:bookmarkStart w:id="911" w:name="estudios-en-curso-y-perspectivas-55"/>
    <w:p>
      <w:pPr>
        <w:pStyle w:val="Heading3"/>
      </w:pPr>
      <w:r>
        <w:t xml:space="preserve">Estudios en curso y perspectivas</w:t>
      </w:r>
    </w:p>
    <w:p>
      <w:pPr>
        <w:pStyle w:val="FirstParagraph"/>
      </w:pPr>
      <w:r>
        <w:rPr>
          <w:bCs/>
          <w:b/>
        </w:rPr>
        <w:t xml:space="preserve">Confirmado (estudios registrados, situación en octubre de 2026):</w:t>
      </w:r>
    </w:p>
    <w:p>
      <w:pPr>
        <w:numPr>
          <w:ilvl w:val="0"/>
          <w:numId w:val="1311"/>
        </w:numPr>
        <w:pStyle w:val="Compact"/>
      </w:pPr>
      <w:r>
        <w:rPr>
          <w:bCs/>
          <w:b/>
        </w:rPr>
        <w:t xml:space="preserve">Parche:</w:t>
      </w:r>
      <w:r>
        <w:t xml:space="preserve"> </w:t>
      </w:r>
      <w:r>
        <w:t xml:space="preserve">un estudio con 100 personas sanas previstas pretende investigar si un parche (X39) modifica las concentraciones de GHK y GHK-Cu en sangre; inicio previsto en 2027 (NCT07706361). El promotor es una empresa que comercializa el parche.</w:t>
      </w:r>
    </w:p>
    <w:p>
      <w:pPr>
        <w:pStyle w:val="FirstParagraph"/>
      </w:pPr>
      <w:r>
        <w:rPr>
          <w:bCs/>
          <w:b/>
        </w:rPr>
        <w:t xml:space="preserve">Valoración:</w:t>
      </w:r>
      <w:r>
        <w:t xml:space="preserve"> </w:t>
      </w:r>
      <w:r>
        <w:t xml:space="preserve">actualmente no se vislumbra ningún estudio serio y registrado sobre una variable médicamente relevante, por ejemplo la cicatrización de heridas, de donde proceden los únicos datos controlados positivos en humanos. Para el uso cosmético harían falta estudios independientes, suficientemente grandes y controlados con placebo con una crema sin otros principios activos. Para las inyecciones no se vislumbra ningún estudio serio; el interés lo alimentan sobre todo las redes sociales y el mercado gris.</w:t>
      </w:r>
    </w:p>
    <w:bookmarkEnd w:id="911"/>
    <w:bookmarkStart w:id="912" w:name="conclusión-55"/>
    <w:p>
      <w:pPr>
        <w:pStyle w:val="Heading3"/>
      </w:pPr>
      <w:r>
        <w:t xml:space="preserve">Conclusión</w:t>
      </w:r>
    </w:p>
    <w:p>
      <w:pPr>
        <w:pStyle w:val="FirstParagraph"/>
      </w:pPr>
      <w:r>
        <w:t xml:space="preserve">El GHK-Cu es un péptido de cobre endógeno que estimula la formación de colágeno en el laboratorio y acelera la cicatrización de heridas en experimentos con animales. En humanos solo hay un estudio aleatorizado antiguo sobre úlceras de pie diabético con resultado positivo y un minúsculo estudio cosmético sin efecto medible. No está aclarado si el GHK-Cu de las cremas llega a la piel en cantidad suficiente; las afirmaciones publicitarias se basan sobre todo en datos de laboratorio y en estudios de fabricantes no verificados de forma independiente. Como ingrediente cosmético es legal y se considera bien tolerado. Las inyecciones de GHK-Cu del mercado gris no están estudiadas ni autorizadas y conllevan riesgos evitables.</w:t>
      </w:r>
    </w:p>
    <w:bookmarkEnd w:id="912"/>
    <w:bookmarkEnd w:id="913"/>
    <w:bookmarkStart w:id="922" w:name="palmitoil-pentapéptido-4-matrixyl"/>
    <w:p>
      <w:pPr>
        <w:pStyle w:val="Heading2"/>
      </w:pPr>
      <w:r>
        <w:t xml:space="preserve">Palmitoil pentapéptido-4 (Matrixyl)</w:t>
      </w:r>
    </w:p>
    <w:bookmarkStart w:id="914" w:name="ficha-56"/>
    <w:p>
      <w:pPr>
        <w:pStyle w:val="Heading3"/>
      </w:pPr>
      <w:r>
        <w:t xml:space="preserve">Ficha</w:t>
      </w:r>
    </w:p>
    <w:p>
      <w:pPr>
        <w:numPr>
          <w:ilvl w:val="0"/>
          <w:numId w:val="1312"/>
        </w:numPr>
        <w:pStyle w:val="Compact"/>
      </w:pPr>
      <w:r>
        <w:rPr>
          <w:bCs/>
          <w:b/>
        </w:rPr>
        <w:t xml:space="preserve">Tipo/estructura:</w:t>
      </w:r>
      <w:r>
        <w:t xml:space="preserve"> </w:t>
      </w:r>
      <w:r>
        <w:t xml:space="preserve">pentapéptido de lisina, treonina, treonina, lisina y serina (KTTKS) al que va unido un ácido palmítico (un ácido graso de 16 átomos de carbono). Abreviatura Pal-KTTKS; antes figuraba como palmitoil pentapéptido-3. Nombre comercial de la materia prima: Matrixyl.</w:t>
      </w:r>
    </w:p>
    <w:p>
      <w:pPr>
        <w:numPr>
          <w:ilvl w:val="0"/>
          <w:numId w:val="1312"/>
        </w:numPr>
        <w:pStyle w:val="Compact"/>
      </w:pPr>
      <w:r>
        <w:rPr>
          <w:bCs/>
          <w:b/>
        </w:rPr>
        <w:t xml:space="preserve">Origen:</w:t>
      </w:r>
      <w:r>
        <w:t xml:space="preserve"> </w:t>
      </w:r>
      <w:r>
        <w:t xml:space="preserve">sintético. La secuencia KTTKS procede de la molécula precursora del colágeno de tipo I (procolágeno). El anexo de ácido graso pretende mejorar la penetración en la piel.</w:t>
      </w:r>
    </w:p>
    <w:p>
      <w:pPr>
        <w:numPr>
          <w:ilvl w:val="0"/>
          <w:numId w:val="1312"/>
        </w:numPr>
        <w:pStyle w:val="Compact"/>
      </w:pPr>
      <w:r>
        <w:rPr>
          <w:bCs/>
          <w:b/>
        </w:rPr>
        <w:t xml:space="preserve">Mecanismo de acción:</w:t>
      </w:r>
      <w:r>
        <w:t xml:space="preserve"> </w:t>
      </w:r>
      <w:r>
        <w:t xml:space="preserve">se supone que, como «matriquina» –un fragmento de la matriz del tejido conjuntivo con efecto señalizador–, estimula a los fibroblastos de la piel a formar colágeno y otros componentes de la matriz.</w:t>
      </w:r>
    </w:p>
    <w:p>
      <w:pPr>
        <w:numPr>
          <w:ilvl w:val="0"/>
          <w:numId w:val="1312"/>
        </w:numPr>
        <w:pStyle w:val="Compact"/>
      </w:pPr>
      <w:r>
        <w:rPr>
          <w:bCs/>
          <w:b/>
        </w:rPr>
        <w:t xml:space="preserve">Diferenciación:</w:t>
      </w:r>
      <w:r>
        <w:t xml:space="preserve"> </w:t>
      </w:r>
      <w:r>
        <w:t xml:space="preserve">«Matrixyl 3000» es un producto distinto, una combinación de palmitoil tripéptido-1 (Pal-GHK, véase el capítulo sobre el GHK-Cu) y palmitoil tetrapéptido-7.</w:t>
      </w:r>
    </w:p>
    <w:p>
      <w:pPr>
        <w:numPr>
          <w:ilvl w:val="0"/>
          <w:numId w:val="1312"/>
        </w:numPr>
        <w:pStyle w:val="Compact"/>
      </w:pPr>
      <w:r>
        <w:rPr>
          <w:bCs/>
          <w:b/>
        </w:rPr>
        <w:t xml:space="preserve">Autorización en la UE:</w:t>
      </w:r>
      <w:r>
        <w:t xml:space="preserve"> </w:t>
      </w:r>
      <w:r>
        <w:t xml:space="preserve">no es un medicamento; ingrediente cosmético.</w:t>
      </w:r>
    </w:p>
    <w:p>
      <w:pPr>
        <w:numPr>
          <w:ilvl w:val="0"/>
          <w:numId w:val="1312"/>
        </w:numPr>
        <w:pStyle w:val="Compact"/>
      </w:pPr>
      <w:r>
        <w:rPr>
          <w:bCs/>
          <w:b/>
        </w:rPr>
        <w:t xml:space="preserve">Autorización en EE. UU.:</w:t>
      </w:r>
      <w:r>
        <w:t xml:space="preserve"> </w:t>
      </w:r>
      <w:r>
        <w:t xml:space="preserve">no es un medicamento; ingrediente cosmético.</w:t>
      </w:r>
    </w:p>
    <w:p>
      <w:pPr>
        <w:numPr>
          <w:ilvl w:val="0"/>
          <w:numId w:val="1312"/>
        </w:numPr>
        <w:pStyle w:val="Compact"/>
      </w:pPr>
      <w:r>
        <w:rPr>
          <w:bCs/>
          <w:b/>
        </w:rPr>
        <w:t xml:space="preserve">WADA:</w:t>
      </w:r>
      <w:r>
        <w:t xml:space="preserve"> </w:t>
      </w:r>
      <w:r>
        <w:t xml:space="preserve">no figura en la lista; como componente cosmético, sin relevancia en el derecho deportivo (situación en 2026, compruébese la versión actual).</w:t>
      </w:r>
    </w:p>
    <w:p>
      <w:pPr>
        <w:numPr>
          <w:ilvl w:val="0"/>
          <w:numId w:val="1312"/>
        </w:numPr>
        <w:pStyle w:val="Compact"/>
      </w:pPr>
      <w:r>
        <w:rPr>
          <w:bCs/>
          <w:b/>
        </w:rPr>
        <w:t xml:space="preserve">Nivel de evidencia:</w:t>
      </w:r>
      <w:r>
        <w:t xml:space="preserve"> </w:t>
      </w:r>
      <w:r>
        <w:rPr>
          <w:bCs/>
          <w:b/>
        </w:rPr>
        <w:t xml:space="preserve">B</w:t>
      </w:r>
      <w:r>
        <w:t xml:space="preserve"> </w:t>
      </w:r>
      <w:r>
        <w:t xml:space="preserve">(débil) – un estudio aleatorizado de hemicara más grande de 2005 y un estudio aleatorizado muy pequeño; ningún estudio de confirmación independiente.</w:t>
      </w:r>
    </w:p>
    <w:bookmarkEnd w:id="914"/>
    <w:bookmarkStart w:id="915" w:name="cómo-se-supone-que-actúa-56"/>
    <w:p>
      <w:pPr>
        <w:pStyle w:val="Heading3"/>
      </w:pPr>
      <w:r>
        <w:t xml:space="preserve">Cómo se supone que actúa</w:t>
      </w:r>
    </w:p>
    <w:p>
      <w:pPr>
        <w:pStyle w:val="FirstParagraph"/>
      </w:pPr>
      <w:r>
        <w:t xml:space="preserve">Cuando el tejido conjuntivo se lesiona, unas enzimas descomponen el colágeno y otros componentes de la matriz en fragmentos. Algunos de estos fragmentos actúan como señal: indican a las células del tejido conjuntivo que hace falta una reparación. Estos fragmentos señalizadores se denominan matriquinas.</w:t>
      </w:r>
    </w:p>
    <w:p>
      <w:pPr>
        <w:pStyle w:val="BodyText"/>
      </w:pPr>
      <w:r>
        <w:t xml:space="preserve">En 1993, un grupo de trabajo describió que el pentapéptido KTTKS –un pequeño trozo del extremo del procolágeno de tipo I– aumenta con fuerza, en cultivos de fibroblastos, la formación de colágeno de tipo I y de tipo III y de fibronectina. KTTKS era la secuencia más pequeña que todavía desencadenaba este efecto (Katayama 1993, PMID 8486721). La industria cosmética retomó la idea: un péptido que señala a la piel una «necesidad de reparación» podría estimular la formación de colágeno, que disminuye con la edad.</w:t>
      </w:r>
    </w:p>
    <w:p>
      <w:pPr>
        <w:pStyle w:val="BodyText"/>
      </w:pPr>
      <w:r>
        <w:t xml:space="preserve">Sin embargo, el KTTKS puro apenas penetra en la piel. Al añadir un ácido graso (palmitoilación), la molécula se vuelve más liposoluble. En cultivo celular, el Pal-KTTKS estimuló la formación de colágeno por fibroblastos de la piel y de la córnea de forma dependiente de la concentración; el efecto apareció cerca de la concentración a partir de la cual las moléculas se agregan en nanoestructuras en forma de cinta (Jones 2013, PMID 23320752).</w:t>
      </w:r>
    </w:p>
    <w:p>
      <w:pPr>
        <w:pStyle w:val="BodyText"/>
      </w:pPr>
      <w:r>
        <w:t xml:space="preserve">Sigue sin aclararse cuánto Pal-KTTKS de una crema llega realmente a la dermis, donde se encuentran los fibroblastos. Para el Pal-GHK, emparentado, un estudio en voluntarios mostró que, tras su aplicación, solo se distribuye entre las células del estrato córneo y disminuye con la profundidad (Trzaska 2026, PMID 42790608). Para el propio Pal-KTTKS faltan en la bibliografía evaluada mediciones comparables en humanos.</w:t>
      </w:r>
    </w:p>
    <w:bookmarkEnd w:id="915"/>
    <w:bookmarkStart w:id="916" w:name="estudios-en-humanos-56"/>
    <w:p>
      <w:pPr>
        <w:pStyle w:val="Heading3"/>
      </w:pPr>
      <w:r>
        <w:t xml:space="preserve">Estudios en humanos</w:t>
      </w:r>
    </w:p>
    <w:p>
      <w:pPr>
        <w:pStyle w:val="FirstParagraph"/>
      </w:pPr>
      <w:r>
        <w:t xml:space="preserve">La consulta en PubMed evaluada para este libro (palmitoil pentapéptido o Matrixyl en el título o el resumen, fecha de consulta octubre de 2026) arrojó solo</w:t>
      </w:r>
      <w:r>
        <w:t xml:space="preserve"> </w:t>
      </w:r>
      <w:r>
        <w:rPr>
          <w:bCs/>
          <w:b/>
        </w:rPr>
        <w:t xml:space="preserve">un</w:t>
      </w:r>
      <w:r>
        <w:t xml:space="preserve"> </w:t>
      </w:r>
      <w:r>
        <w:t xml:space="preserve">trabajo clasificado como estudio en humanos; en ClinicalTrials.gov no figura ningún registro. En la revisión manual se encontraron otros dos estudios controlados, así como estudios con productos combinados.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Robinson 2005, PMID 18492182</w:t>
            </w:r>
          </w:p>
        </w:tc>
        <w:tc>
          <w:tcPr/>
          <w:p>
            <w:pPr>
              <w:pStyle w:val="Compact"/>
              <w:jc w:val="left"/>
            </w:pPr>
            <w:r>
              <w:t xml:space="preserve">93 mujeres de piel clara (35–55 años), crema hidratante con Pal-KTTKS en una hemicara frente a la misma crema sin principio activo en la otra, doble ciego</w:t>
            </w:r>
          </w:p>
        </w:tc>
        <w:tc>
          <w:tcPr/>
          <w:p>
            <w:pPr>
              <w:pStyle w:val="Compact"/>
              <w:jc w:val="left"/>
            </w:pPr>
            <w:r>
              <w:t xml:space="preserve">12 semanas</w:t>
            </w:r>
          </w:p>
        </w:tc>
        <w:tc>
          <w:tcPr/>
          <w:p>
            <w:pPr>
              <w:pStyle w:val="Compact"/>
              <w:jc w:val="left"/>
            </w:pPr>
            <w:r>
              <w:t xml:space="preserve">Reducción significativa de arrugas y líneas finas frente al lado de control, medida con análisis de imagen y por especialistas; buena tolerabilidad</w:t>
            </w:r>
          </w:p>
        </w:tc>
      </w:tr>
      <w:tr>
        <w:tc>
          <w:tcPr/>
          <w:p>
            <w:pPr>
              <w:pStyle w:val="Compact"/>
              <w:jc w:val="left"/>
            </w:pPr>
            <w:r>
              <w:t xml:space="preserve">Aruan 2023, PMID 36909866</w:t>
            </w:r>
          </w:p>
        </w:tc>
        <w:tc>
          <w:tcPr/>
          <w:p>
            <w:pPr>
              <w:pStyle w:val="Compact"/>
              <w:jc w:val="left"/>
            </w:pPr>
            <w:r>
              <w:t xml:space="preserve">21 mujeres indonesias (26–55 años), crema con palmitoil pentapéptido-4 frente a acetil hexapéptido-3 frente a placebo, doble ciego</w:t>
            </w:r>
          </w:p>
        </w:tc>
        <w:tc>
          <w:tcPr/>
          <w:p>
            <w:pPr>
              <w:pStyle w:val="Compact"/>
              <w:jc w:val="left"/>
            </w:pPr>
            <w:r>
              <w:t xml:space="preserve">8 semanas</w:t>
            </w:r>
          </w:p>
        </w:tc>
        <w:tc>
          <w:tcPr/>
          <w:p>
            <w:pPr>
              <w:pStyle w:val="Compact"/>
              <w:jc w:val="left"/>
            </w:pPr>
            <w:r>
              <w:t xml:space="preserve">Mejoras «en algunas participantes»; el palmitoil pentapéptido-4 obtuvo mejores resultados que los grupos de comparación; sin tamaños del efecto fiables en el resumen</w:t>
            </w:r>
          </w:p>
        </w:tc>
      </w:tr>
      <w:tr>
        <w:tc>
          <w:tcPr/>
          <w:p>
            <w:pPr>
              <w:pStyle w:val="Compact"/>
              <w:jc w:val="left"/>
            </w:pPr>
            <w:r>
              <w:t xml:space="preserve">Röper 2004, PMID 15127162</w:t>
            </w:r>
          </w:p>
        </w:tc>
        <w:tc>
          <w:tcPr/>
          <w:p>
            <w:pPr>
              <w:pStyle w:val="Compact"/>
              <w:jc w:val="left"/>
            </w:pPr>
            <w:r>
              <w:t xml:space="preserve">20 mujeres con cáncer de mama en radioterapia, crema con Matrixyl y otros principios activos frente a loción de dexpantenol</w:t>
            </w:r>
          </w:p>
        </w:tc>
        <w:tc>
          <w:tcPr/>
          <w:p>
            <w:pPr>
              <w:pStyle w:val="Compact"/>
              <w:jc w:val="left"/>
            </w:pPr>
            <w:r>
              <w:t xml:space="preserve">duración del tratamiento</w:t>
            </w:r>
          </w:p>
        </w:tc>
        <w:tc>
          <w:tcPr/>
          <w:p>
            <w:pPr>
              <w:pStyle w:val="Compact"/>
              <w:jc w:val="left"/>
            </w:pPr>
            <w:r>
              <w:t xml:space="preserve">Sin ventaja en las reacciones cutáneas; prurito más frecuente, una sospecha de reacción alérgica solo en el grupo de Matrixyl</w:t>
            </w:r>
          </w:p>
        </w:tc>
      </w:tr>
    </w:tbl>
    <w:p>
      <w:pPr>
        <w:pStyle w:val="BodyText"/>
      </w:pPr>
      <w:r>
        <w:rPr>
          <w:bCs/>
          <w:b/>
        </w:rPr>
        <w:t xml:space="preserve">Robinson 2005</w:t>
      </w:r>
      <w:r>
        <w:t xml:space="preserve"> </w:t>
      </w:r>
      <w:r>
        <w:t xml:space="preserve">es el estudio central. El diseño de hemicara es inteligente, porque cada participante es su propio control. La concentración en el producto era de 3 ppm (partes por millón). Limitaciones: el resumen no indica tamaños del efecto; el estudio se publicó en una revista especializada en cosmética y desde entonces no ha sido repetido de forma independiente. Solo se estudiaron mujeres de piel clara con fotoenvejecimiento; no se sabe si los resultados son trasladables a otros tipos de piel.</w:t>
      </w:r>
    </w:p>
    <w:p>
      <w:pPr>
        <w:pStyle w:val="BodyText"/>
      </w:pPr>
      <w:r>
        <w:rPr>
          <w:bCs/>
          <w:b/>
        </w:rPr>
        <w:t xml:space="preserve">Aruan 2023</w:t>
      </w:r>
      <w:r>
        <w:t xml:space="preserve">, con 21 participantes en tres grupos, era demasiado pequeño para obtener conclusiones fiables; los propios autores lo califican de punto de partida para estudios más grandes.</w:t>
      </w:r>
    </w:p>
    <w:p>
      <w:pPr>
        <w:pStyle w:val="BodyText"/>
      </w:pPr>
      <w:r>
        <w:rPr>
          <w:bCs/>
          <w:b/>
        </w:rPr>
        <w:t xml:space="preserve">Röper 2004</w:t>
      </w:r>
      <w:r>
        <w:t xml:space="preserve"> </w:t>
      </w:r>
      <w:r>
        <w:t xml:space="preserve">examinó un producto combinado en un contexto médico y no encontró ningún beneficio.</w:t>
      </w:r>
    </w:p>
    <w:p>
      <w:pPr>
        <w:pStyle w:val="BodyText"/>
      </w:pPr>
      <w:r>
        <w:rPr>
          <w:bCs/>
          <w:b/>
        </w:rPr>
        <w:t xml:space="preserve">Productos combinados:</w:t>
      </w:r>
      <w:r>
        <w:t xml:space="preserve"> </w:t>
      </w:r>
      <w:r>
        <w:t xml:space="preserve">en dos estudios de hemicara con 42 y 35 mujeres, productos de cuidado que contenían Pal-KTTKS junto con niacinamida, otro péptido, carnosina y en parte propionato de retinilo mejoraron la suavidad de la piel del contorno de ojos en comparación con la piel no tratada (Kaczvinsky 2009, PMID 19735523). Como se probaron varios principios activos a la vez y se compararon con «ningún tratamiento», el efecto no puede atribuirse al péptido.</w:t>
      </w:r>
    </w:p>
    <w:p>
      <w:pPr>
        <w:pStyle w:val="BodyText"/>
      </w:pPr>
      <w:r>
        <w:rPr>
          <w:bCs/>
          <w:b/>
        </w:rPr>
        <w:t xml:space="preserve">Metaanálisis:</w:t>
      </w:r>
      <w:r>
        <w:t xml:space="preserve"> </w:t>
      </w:r>
      <w:r>
        <w:t xml:space="preserve">un metaanálisis sobre péptidos orales y tópicos contra el envejecimiento cutáneo (19 estudios, 1341 participantes) encontró un efecto global modesto sobre las arrugas, debido sobre todo a los péptidos tomados por vía oral (Nukaly 2026, PMID 41924746). De ello no se deriva una prueba propia para los péptidos tópicos como el Pal-KTTKS.</w:t>
      </w:r>
    </w:p>
    <w:bookmarkEnd w:id="916"/>
    <w:bookmarkStart w:id="917" w:name="estudios-en-animales-y-de-laboratorio-56"/>
    <w:p>
      <w:pPr>
        <w:pStyle w:val="Heading3"/>
      </w:pPr>
      <w:r>
        <w:t xml:space="preserve">Estudios en animales y de laboratorio</w:t>
      </w:r>
    </w:p>
    <w:p>
      <w:pPr>
        <w:numPr>
          <w:ilvl w:val="0"/>
          <w:numId w:val="1313"/>
        </w:numPr>
        <w:pStyle w:val="Compact"/>
      </w:pPr>
      <w:r>
        <w:rPr>
          <w:bCs/>
          <w:b/>
        </w:rPr>
        <w:t xml:space="preserve">Cultivo celular:</w:t>
      </w:r>
      <w:r>
        <w:t xml:space="preserve"> </w:t>
      </w:r>
      <w:r>
        <w:t xml:space="preserve">el KTTKS y el Pal-KTTKS aumentan la formación de colágeno y fibronectina en fibroblastos (Katayama 1993, PMID 8486721; Jones 2013, PMID 23320752). En otro estudio celular, el Pal-KTTKS a baja concentración redujo la transformación de fibroblastos en miofibroblastos formadores de cicatrices; a mayor concentración, el efecto no fue significativo (Park 2017, PMID 30603464).</w:t>
      </w:r>
    </w:p>
    <w:p>
      <w:pPr>
        <w:numPr>
          <w:ilvl w:val="0"/>
          <w:numId w:val="1313"/>
        </w:numPr>
        <w:pStyle w:val="Compact"/>
      </w:pPr>
      <w:r>
        <w:rPr>
          <w:bCs/>
          <w:b/>
        </w:rPr>
        <w:t xml:space="preserve">Experimentos con animales:</w:t>
      </w:r>
      <w:r>
        <w:t xml:space="preserve"> </w:t>
      </w:r>
      <w:r>
        <w:t xml:space="preserve">en animales de laboratorio, parches y cremas con Matrixyl mejoraron la cicatrización de heridas cutáneas en comparación con controles no tratados (Kachooeian 2022, PMID 35874243).</w:t>
      </w:r>
    </w:p>
    <w:p>
      <w:pPr>
        <w:numPr>
          <w:ilvl w:val="0"/>
          <w:numId w:val="1313"/>
        </w:numPr>
        <w:pStyle w:val="Compact"/>
      </w:pPr>
      <w:r>
        <w:rPr>
          <w:bCs/>
          <w:b/>
        </w:rPr>
        <w:t xml:space="preserve">Nuevas variantes:</w:t>
      </w:r>
      <w:r>
        <w:t xml:space="preserve"> </w:t>
      </w:r>
      <w:r>
        <w:t xml:space="preserve">algunos grupos de investigación acoplan el KTTKS a otras moléculas para obtener variantes antibacterianas o con mayor estímulo del colágeno, hasta ahora exclusivamente en el laboratorio.</w:t>
      </w:r>
    </w:p>
    <w:bookmarkEnd w:id="917"/>
    <w:bookmarkStart w:id="918" w:name="riesgos-y-efectos-adversos-56"/>
    <w:p>
      <w:pPr>
        <w:pStyle w:val="Heading3"/>
      </w:pPr>
      <w:r>
        <w:t xml:space="preserve">Riesgos y efectos adversos</w:t>
      </w:r>
    </w:p>
    <w:p>
      <w:pPr>
        <w:pStyle w:val="FirstParagraph"/>
      </w:pPr>
      <w:r>
        <w:rPr>
          <w:bCs/>
          <w:b/>
        </w:rPr>
        <w:t xml:space="preserve">Demostrados:</w:t>
      </w:r>
      <w:r>
        <w:t xml:space="preserve"> </w:t>
      </w:r>
      <w:r>
        <w:t xml:space="preserve">en el estudio de Robinson, el péptido fue bien tolerado. En el estudio de radioterapia, el prurito fue más frecuente con el producto combinado con Matrixyl, y hubo una sospecha de reacción alérgica solo con este producto (Röper 2004, PMID 15127162); no está claro qué componente fue el responsable.</w:t>
      </w:r>
    </w:p>
    <w:p>
      <w:pPr>
        <w:pStyle w:val="BodyText"/>
      </w:pPr>
      <w:r>
        <w:rPr>
          <w:bCs/>
          <w:b/>
        </w:rPr>
        <w:t xml:space="preserve">En general:</w:t>
      </w:r>
      <w:r>
        <w:t xml:space="preserve"> </w:t>
      </w:r>
      <w:r>
        <w:t xml:space="preserve">como con cualquier componente cosmético, son posibles irritaciones y alergias de contacto, pero parecen ser raras. Un trabajo de la industria cosmética que examinó péptidos con herramientas bioinformáticas en cuanto a su potencial tóxico y alergénico encontró para el palmitoil pentapéptido-4 similitudes con proteínas del tejido conjuntivo de la piel, pero ningún indicio de estructuras de toxinas o alérgenos (Bjerke 2026, PMID 41953401). Estos análisis informáticos no sustituyen a la observación clínica.</w:t>
      </w:r>
    </w:p>
    <w:p>
      <w:pPr>
        <w:pStyle w:val="BodyText"/>
      </w:pPr>
      <w:r>
        <w:rPr>
          <w:bCs/>
          <w:b/>
        </w:rPr>
        <w:t xml:space="preserve">Teóricos:</w:t>
      </w:r>
      <w:r>
        <w:t xml:space="preserve"> </w:t>
      </w:r>
      <w:r>
        <w:t xml:space="preserve">una sustancia señalizadora que realmente estimule a los fibroblastos a formar colágeno podría ser indeseable en caso de tendencia a cicatrices hipertróficas. No hay casos clínicos al respecto; la escasa permeabilidad cutánea va en contra de un efecto relevante.</w:t>
      </w:r>
    </w:p>
    <w:bookmarkEnd w:id="918"/>
    <w:bookmarkStart w:id="919" w:name="situación-legal-56"/>
    <w:p>
      <w:pPr>
        <w:pStyle w:val="Heading3"/>
      </w:pPr>
      <w:r>
        <w:t xml:space="preserve">Situación legal</w:t>
      </w:r>
    </w:p>
    <w:p>
      <w:pPr>
        <w:numPr>
          <w:ilvl w:val="0"/>
          <w:numId w:val="1314"/>
        </w:numPr>
        <w:pStyle w:val="Compact"/>
      </w:pPr>
      <w:r>
        <w:rPr>
          <w:bCs/>
          <w:b/>
        </w:rPr>
        <w:t xml:space="preserve">UE / Austria / Alemania:</w:t>
      </w:r>
      <w:r>
        <w:t xml:space="preserve"> </w:t>
      </w:r>
      <w:r>
        <w:t xml:space="preserve">el palmitoil pentapéptido-4 es un ingrediente cosmético permitido según el Reglamento europeo sobre los productos cosméticos (Reglamento (CE) n.º 1223/2009). Los cosméticos no se someten a una evaluación oficial de su eficacia antes de la venta; el fabricante debe elaborar una evaluación de seguridad y poder justificar las afirmaciones publicitarias según el Reglamento (UE) n.º 655/2013. Por ello, afirmaciones como «actúa como un relleno de arrugas» o «regenera el colágeno» son jurídicamente delicadas si no están respaldadas por estudios con el producto.</w:t>
      </w:r>
    </w:p>
    <w:p>
      <w:pPr>
        <w:numPr>
          <w:ilvl w:val="0"/>
          <w:numId w:val="1314"/>
        </w:numPr>
        <w:pStyle w:val="Compact"/>
      </w:pPr>
      <w:r>
        <w:rPr>
          <w:bCs/>
          <w:b/>
        </w:rPr>
        <w:t xml:space="preserve">EE. UU.:</w:t>
      </w:r>
      <w:r>
        <w:t xml:space="preserve"> </w:t>
      </w:r>
      <w:r>
        <w:t xml:space="preserve">ingrediente cosmético sin evaluación previa por la FDA. Las afirmaciones publicitarias que prometen una modificación de la estructura de la piel pueden convertir jurídicamente un producto en un medicamento.</w:t>
      </w:r>
    </w:p>
    <w:p>
      <w:pPr>
        <w:numPr>
          <w:ilvl w:val="0"/>
          <w:numId w:val="1314"/>
        </w:numPr>
        <w:pStyle w:val="Compact"/>
      </w:pPr>
      <w:r>
        <w:rPr>
          <w:bCs/>
          <w:b/>
        </w:rPr>
        <w:t xml:space="preserve">Deporte:</w:t>
      </w:r>
      <w:r>
        <w:t xml:space="preserve"> </w:t>
      </w:r>
      <w:r>
        <w:t xml:space="preserve">sin relevancia (situación en 2026, compruébese la versión actual).</w:t>
      </w:r>
    </w:p>
    <w:bookmarkEnd w:id="919"/>
    <w:bookmarkStart w:id="920" w:name="estudios-en-curso-y-perspectivas-56"/>
    <w:p>
      <w:pPr>
        <w:pStyle w:val="Heading3"/>
      </w:pPr>
      <w:r>
        <w:t xml:space="preserve">Estudios en curso y perspectivas</w:t>
      </w:r>
    </w:p>
    <w:p>
      <w:pPr>
        <w:pStyle w:val="FirstParagraph"/>
      </w:pPr>
      <w:r>
        <w:rPr>
          <w:bCs/>
          <w:b/>
        </w:rPr>
        <w:t xml:space="preserve">Confirmado:</w:t>
      </w:r>
      <w:r>
        <w:t xml:space="preserve"> </w:t>
      </w:r>
      <w:r>
        <w:t xml:space="preserve">en ClinicalTrials.gov no hay ningún estudio registrado con «palmitoyl pentapeptide» (situación en octubre de 2026). Los estudios de eficacia cosmética no suelen registrarse, sino que los encargan los fabricantes y solo se publican en parte.</w:t>
      </w:r>
    </w:p>
    <w:p>
      <w:pPr>
        <w:pStyle w:val="BodyText"/>
      </w:pPr>
      <w:r>
        <w:rPr>
          <w:bCs/>
          <w:b/>
        </w:rPr>
        <w:t xml:space="preserve">Valoración:</w:t>
      </w:r>
      <w:r>
        <w:t xml:space="preserve"> </w:t>
      </w:r>
      <w:r>
        <w:t xml:space="preserve">el Matrixyl es uno de los «péptidos antiedad» más antiguos y más utilizados en cosmética. Su base científica –un trabajo en cultivo celular de 1993 y un estudio de hemicara de 2005– es sorprendentemente estrecha para un producto tan extendido. Los nuevos desarrollos se dirigen a una mejor penetración cutánea (microagujas, nanoestructuras) y a combinaciones con otros péptidos. Sin estudios independientes y suficientemente grandes con el principio activo aislado, el estado del conocimiento cambiará poco.</w:t>
      </w:r>
    </w:p>
    <w:bookmarkEnd w:id="920"/>
    <w:bookmarkStart w:id="921" w:name="conclusión-56"/>
    <w:p>
      <w:pPr>
        <w:pStyle w:val="Heading3"/>
      </w:pPr>
      <w:r>
        <w:t xml:space="preserve">Conclusión</w:t>
      </w:r>
    </w:p>
    <w:p>
      <w:pPr>
        <w:pStyle w:val="FirstParagraph"/>
      </w:pPr>
      <w:r>
        <w:t xml:space="preserve">El palmitoil pentapéptido-4 es un fragmento del precursor del colágeno unido a un ácido graso que, en el laboratorio, estimula a los fibroblastos a formar colágeno. En humanos, la eficacia se basa sobre todo en un estudio de hemicara con 93 mujeres de 2005, que mostró una reducción de las líneas finas, y en un estudio muy pequeño de 2023. No está aclarado cuánto principio activo llega realmente a las capas profundas de la piel. Como ingrediente cosmético se considera bien tolerado. Quien use productos con Matrixyl debería esperar un efecto pequeño y cosmético, no un sustituto de la protección UV ni de principios activos evaluados médicamente como los retinoides.</w:t>
      </w:r>
    </w:p>
    <w:bookmarkEnd w:id="921"/>
    <w:bookmarkEnd w:id="922"/>
    <w:bookmarkStart w:id="932" w:name="acetil-hexapéptido-8-argireline"/>
    <w:p>
      <w:pPr>
        <w:pStyle w:val="Heading2"/>
      </w:pPr>
      <w:r>
        <w:t xml:space="preserve">Acetil hexapéptido-8 (Argireline)</w:t>
      </w:r>
    </w:p>
    <w:bookmarkStart w:id="923" w:name="ficha-57"/>
    <w:p>
      <w:pPr>
        <w:pStyle w:val="Heading3"/>
      </w:pPr>
      <w:r>
        <w:t xml:space="preserve">Ficha</w:t>
      </w:r>
    </w:p>
    <w:p>
      <w:pPr>
        <w:numPr>
          <w:ilvl w:val="0"/>
          <w:numId w:val="1315"/>
        </w:numPr>
        <w:pStyle w:val="Compact"/>
      </w:pPr>
      <w:r>
        <w:rPr>
          <w:bCs/>
          <w:b/>
        </w:rPr>
        <w:t xml:space="preserve">Tipo/estructura:</w:t>
      </w:r>
      <w:r>
        <w:t xml:space="preserve"> </w:t>
      </w:r>
      <w:r>
        <w:t xml:space="preserve">hexapéptido con la secuencia glutamato-glutamato-metionina-glutamina-arginina-arginina (Ac-EEMQRR-NH₂), acetilado en el extremo inicial y amidado en el final. Antes se denominaba acetil hexapéptido-3; nombre comercial de la materia prima: Argireline.</w:t>
      </w:r>
    </w:p>
    <w:p>
      <w:pPr>
        <w:numPr>
          <w:ilvl w:val="0"/>
          <w:numId w:val="1315"/>
        </w:numPr>
        <w:pStyle w:val="Compact"/>
      </w:pPr>
      <w:r>
        <w:rPr>
          <w:bCs/>
          <w:b/>
        </w:rPr>
        <w:t xml:space="preserve">Origen:</w:t>
      </w:r>
      <w:r>
        <w:t xml:space="preserve"> </w:t>
      </w:r>
      <w:r>
        <w:t xml:space="preserve">sintético, diseñado de forma dirigida a principios de la década de 2000. La secuencia imita el fragmento inicial de la proteína neuronal SNAP-25.</w:t>
      </w:r>
    </w:p>
    <w:p>
      <w:pPr>
        <w:numPr>
          <w:ilvl w:val="0"/>
          <w:numId w:val="1315"/>
        </w:numPr>
        <w:pStyle w:val="Compact"/>
      </w:pPr>
      <w:r>
        <w:rPr>
          <w:bCs/>
          <w:b/>
        </w:rPr>
        <w:t xml:space="preserve">Mecanismo de acción:</w:t>
      </w:r>
      <w:r>
        <w:t xml:space="preserve"> </w:t>
      </w:r>
      <w:r>
        <w:t xml:space="preserve">se supone que atenúa la liberación del mensajero acetilcolina en la unión entre nervio y músculo y alisa así las arrugas de expresión, un punto de acción similar al de la toxina botulínica, solo que mucho más débil. De ahí el término publicitario «bótox en tubo».</w:t>
      </w:r>
    </w:p>
    <w:p>
      <w:pPr>
        <w:numPr>
          <w:ilvl w:val="0"/>
          <w:numId w:val="1315"/>
        </w:numPr>
        <w:pStyle w:val="Compact"/>
      </w:pPr>
      <w:r>
        <w:rPr>
          <w:bCs/>
          <w:b/>
        </w:rPr>
        <w:t xml:space="preserve">Autorización en la UE:</w:t>
      </w:r>
      <w:r>
        <w:t xml:space="preserve"> </w:t>
      </w:r>
      <w:r>
        <w:t xml:space="preserve">no es un medicamento; ingrediente cosmético.</w:t>
      </w:r>
    </w:p>
    <w:p>
      <w:pPr>
        <w:numPr>
          <w:ilvl w:val="0"/>
          <w:numId w:val="1315"/>
        </w:numPr>
        <w:pStyle w:val="Compact"/>
      </w:pPr>
      <w:r>
        <w:rPr>
          <w:bCs/>
          <w:b/>
        </w:rPr>
        <w:t xml:space="preserve">Autorización en EE. UU.:</w:t>
      </w:r>
      <w:r>
        <w:t xml:space="preserve"> </w:t>
      </w:r>
      <w:r>
        <w:t xml:space="preserve">no es un medicamento; ingrediente cosmético.</w:t>
      </w:r>
    </w:p>
    <w:p>
      <w:pPr>
        <w:numPr>
          <w:ilvl w:val="0"/>
          <w:numId w:val="1315"/>
        </w:numPr>
        <w:pStyle w:val="Compact"/>
      </w:pPr>
      <w:r>
        <w:rPr>
          <w:bCs/>
          <w:b/>
        </w:rPr>
        <w:t xml:space="preserve">WADA:</w:t>
      </w:r>
      <w:r>
        <w:t xml:space="preserve"> </w:t>
      </w:r>
      <w:r>
        <w:t xml:space="preserve">no figura en la lista (situación en 2026, compruébese la versión actual).</w:t>
      </w:r>
    </w:p>
    <w:p>
      <w:pPr>
        <w:numPr>
          <w:ilvl w:val="0"/>
          <w:numId w:val="1315"/>
        </w:numPr>
        <w:pStyle w:val="Compact"/>
      </w:pPr>
      <w:r>
        <w:rPr>
          <w:bCs/>
          <w:b/>
        </w:rPr>
        <w:t xml:space="preserve">Nivel de evidencia:</w:t>
      </w:r>
      <w:r>
        <w:t xml:space="preserve"> </w:t>
      </w:r>
      <w:r>
        <w:rPr>
          <w:bCs/>
          <w:b/>
        </w:rPr>
        <w:t xml:space="preserve">B</w:t>
      </w:r>
      <w:r>
        <w:t xml:space="preserve"> </w:t>
      </w:r>
      <w:r>
        <w:t xml:space="preserve">(débil) – algunos estudios aleatorizados pequeños, en su mayoría de corta duración y con resultados heterogéneos.</w:t>
      </w:r>
    </w:p>
    <w:bookmarkEnd w:id="923"/>
    <w:bookmarkStart w:id="924" w:name="cómo-se-supone-que-actúa-57"/>
    <w:p>
      <w:pPr>
        <w:pStyle w:val="Heading3"/>
      </w:pPr>
      <w:r>
        <w:t xml:space="preserve">Cómo se supone que actúa</w:t>
      </w:r>
    </w:p>
    <w:p>
      <w:pPr>
        <w:pStyle w:val="FirstParagraph"/>
      </w:pPr>
      <w:r>
        <w:t xml:space="preserve">Para que un músculo se contraiga, una neurona debe liberar el mensajero acetilcolina. Para ello, pequeñas vesículas llenas del mensajero se fusionan con la membrana celular. Esta fusión está mediada por un complejo proteico, el complejo SNARE, en el que participa, entre otras, la proteína SNAP-25. La toxina botulínica de tipo A corta la SNAP-25 y paraliza así durante meses la liberación del mensajero: el músculo se relaja y la arruga que hay encima se alisa.</w:t>
      </w:r>
    </w:p>
    <w:p>
      <w:pPr>
        <w:pStyle w:val="BodyText"/>
      </w:pPr>
      <w:r>
        <w:t xml:space="preserve">La Argireline se diseñó como imitación del fragmento inicial de la SNAP-25. La idea: el péptido corto compite con la SNAP-25 auténtica por su lugar en el complejo SNARE y altera su formación. En la primera descripción, la Argireline inhibió en experimentos celulares la liberación de mensajeros con una</w:t>
      </w:r>
      <w:r>
        <w:t xml:space="preserve"> </w:t>
      </w:r>
      <w:r>
        <w:rPr>
          <w:iCs/>
          <w:i/>
        </w:rPr>
        <w:t xml:space="preserve">potencia</w:t>
      </w:r>
      <w:r>
        <w:t xml:space="preserve"> </w:t>
      </w:r>
      <w:r>
        <w:t xml:space="preserve">similar a la de la toxina botulínica A, pero, como era de esperar, alcanzó una</w:t>
      </w:r>
      <w:r>
        <w:t xml:space="preserve"> </w:t>
      </w:r>
      <w:r>
        <w:rPr>
          <w:iCs/>
          <w:i/>
        </w:rPr>
        <w:t xml:space="preserve">eficacia</w:t>
      </w:r>
      <w:r>
        <w:t xml:space="preserve"> </w:t>
      </w:r>
      <w:r>
        <w:t xml:space="preserve">mucho menor, es decir, un efecto máximo claramente menor (Blanes-Mira 2002, PMID 18498523).</w:t>
      </w:r>
    </w:p>
    <w:p>
      <w:pPr>
        <w:pStyle w:val="BodyText"/>
      </w:pPr>
      <w:r>
        <w:t xml:space="preserve">El problema decisivo: para actuar, la Argireline de una crema tendría que atravesar la epidermis y la dermis hasta llegar a las terminaciones nerviosas de los músculos faciales. La molécula es hidrosoluble, tiene carga eléctrica y es relativamente grande para la piel. En un experimento de laboratorio con piel de donantes de cuerpos, a las 24 horas la mayor parte permanecía en la superficie cutánea; el 0,22 % del péptido aplicado se encontró en el estrato córneo, el 0,01 % en la epidermis, y en la dermis y por debajo no se detectó nada (Kraeling 2015, PMID 24754410). Una revisión de 2025 constata que sigue sin estar claro si el péptido llega siquiera a la unión neuromuscular (Zdrada-Nowak 2025, PMID 40565185).</w:t>
      </w:r>
    </w:p>
    <w:p>
      <w:pPr>
        <w:pStyle w:val="BodyText"/>
      </w:pPr>
      <w:r>
        <w:t xml:space="preserve">Esto no excluye efectos sobre la piel –por ejemplo, sobre la hidratación o a través de terminaciones nerviosas de las capas superiores de la piel–, pero hace poco probable el «mecanismo bótox» anunciado cuando se aplica sobre la piel.</w:t>
      </w:r>
    </w:p>
    <w:bookmarkEnd w:id="924"/>
    <w:bookmarkStart w:id="926" w:name="estudios-en-humanos-57"/>
    <w:p>
      <w:pPr>
        <w:pStyle w:val="Heading3"/>
      </w:pPr>
      <w:r>
        <w:t xml:space="preserve">Estudios en humanos</w:t>
      </w:r>
    </w:p>
    <w:p>
      <w:pPr>
        <w:pStyle w:val="FirstParagraph"/>
      </w:pPr>
      <w:r>
        <w:t xml:space="preserve">La consulta en PubMed evaluada para este libro (acetil hexapéptido o Argireline en el título o el resumen, fecha de consulta octubre de 2026) arrojó tres trabajos clasificados como estudios en humanos; en ClinicalTrials.gov figuran siete registros. En la revisión se encontraron algunos otros estudios pequeños.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Blanes-Mira 2002, PMID 18498523</w:t>
            </w:r>
          </w:p>
        </w:tc>
        <w:tc>
          <w:tcPr/>
          <w:p>
            <w:pPr>
              <w:pStyle w:val="Compact"/>
              <w:jc w:val="left"/>
            </w:pPr>
            <w:r>
              <w:t xml:space="preserve">mujeres sanas, emulsión con un 10 % de Argireline (datos escasos en el resumen)</w:t>
            </w:r>
          </w:p>
        </w:tc>
        <w:tc>
          <w:tcPr/>
          <w:p>
            <w:pPr>
              <w:pStyle w:val="Compact"/>
              <w:jc w:val="left"/>
            </w:pPr>
            <w:r>
              <w:t xml:space="preserve">30 días</w:t>
            </w:r>
          </w:p>
        </w:tc>
        <w:tc>
          <w:tcPr/>
          <w:p>
            <w:pPr>
              <w:pStyle w:val="Compact"/>
              <w:jc w:val="left"/>
            </w:pPr>
            <w:r>
              <w:t xml:space="preserve">Profundidad de las arrugas reducida hasta un 30 %</w:t>
            </w:r>
          </w:p>
        </w:tc>
      </w:tr>
      <w:tr>
        <w:tc>
          <w:tcPr/>
          <w:p>
            <w:pPr>
              <w:pStyle w:val="Compact"/>
              <w:jc w:val="left"/>
            </w:pPr>
            <w:r>
              <w:t xml:space="preserve">Wang 2013, PMID 23417317</w:t>
            </w:r>
          </w:p>
        </w:tc>
        <w:tc>
          <w:tcPr/>
          <w:p>
            <w:pPr>
              <w:pStyle w:val="Compact"/>
              <w:jc w:val="left"/>
            </w:pPr>
            <w:r>
              <w:t xml:space="preserve">60 adultos chinos con arrugas perioculares, Argireline frente a placebo en proporción 3:1</w:t>
            </w:r>
          </w:p>
        </w:tc>
        <w:tc>
          <w:tcPr/>
          <w:p>
            <w:pPr>
              <w:pStyle w:val="Compact"/>
              <w:jc w:val="left"/>
            </w:pPr>
            <w:r>
              <w:t xml:space="preserve">4 semanas</w:t>
            </w:r>
          </w:p>
        </w:tc>
        <w:tc>
          <w:tcPr/>
          <w:p>
            <w:pPr>
              <w:pStyle w:val="Compact"/>
              <w:jc w:val="left"/>
            </w:pPr>
            <w:r>
              <w:t xml:space="preserve">«Eficacia global» subjetiva 48,9 % frente a 0 %; valores de rugosidad en réplicas cutáneas reducidos</w:t>
            </w:r>
          </w:p>
        </w:tc>
      </w:tr>
      <w:tr>
        <w:tc>
          <w:tcPr/>
          <w:p>
            <w:pPr>
              <w:pStyle w:val="Compact"/>
              <w:jc w:val="left"/>
            </w:pPr>
            <w:r>
              <w:t xml:space="preserve">Raikou 2017, PMID 28150423</w:t>
            </w:r>
          </w:p>
        </w:tc>
        <w:tc>
          <w:tcPr/>
          <w:p>
            <w:pPr>
              <w:pStyle w:val="Compact"/>
              <w:jc w:val="left"/>
            </w:pPr>
            <w:r>
              <w:t xml:space="preserve">24 personas sanas, cuatro grupos: Argireline, tripéptido-10 citrulina, ambos o ninguno</w:t>
            </w:r>
          </w:p>
        </w:tc>
        <w:tc>
          <w:tcPr/>
          <w:p>
            <w:pPr>
              <w:pStyle w:val="Compact"/>
              <w:jc w:val="left"/>
            </w:pPr>
            <w:r>
              <w:t xml:space="preserve">60 días</w:t>
            </w:r>
          </w:p>
        </w:tc>
        <w:tc>
          <w:tcPr/>
          <w:p>
            <w:pPr>
              <w:pStyle w:val="Compact"/>
              <w:jc w:val="left"/>
            </w:pPr>
            <w:r>
              <w:t xml:space="preserve">Algunos parámetros de arrugas y la pérdida de agua de la piel mejores con Argireline</w:t>
            </w:r>
          </w:p>
        </w:tc>
      </w:tr>
      <w:tr>
        <w:tc>
          <w:tcPr/>
          <w:p>
            <w:pPr>
              <w:pStyle w:val="Compact"/>
              <w:jc w:val="left"/>
            </w:pPr>
            <w:r>
              <w:t xml:space="preserve">Henseler 2023, PMID 38024099</w:t>
            </w:r>
          </w:p>
        </w:tc>
        <w:tc>
          <w:tcPr/>
          <w:p>
            <w:pPr>
              <w:pStyle w:val="Compact"/>
              <w:jc w:val="left"/>
            </w:pPr>
            <w:r>
              <w:t xml:space="preserve">19 mujeres, comparación de hemicaras: sérum de ácido hialurónico con frente a sin Argireline, doble ciego</w:t>
            </w:r>
          </w:p>
        </w:tc>
        <w:tc>
          <w:tcPr/>
          <w:p>
            <w:pPr>
              <w:pStyle w:val="Compact"/>
              <w:jc w:val="left"/>
            </w:pPr>
            <w:r>
              <w:t xml:space="preserve">4 semanas</w:t>
            </w:r>
          </w:p>
        </w:tc>
        <w:tc>
          <w:tcPr/>
          <w:p>
            <w:pPr>
              <w:pStyle w:val="Compact"/>
              <w:jc w:val="left"/>
            </w:pPr>
            <w:r>
              <w:t xml:space="preserve">Sin diferencia significativa entre las hemicaras</w:t>
            </w:r>
          </w:p>
        </w:tc>
      </w:tr>
      <w:tr>
        <w:tc>
          <w:tcPr/>
          <w:p>
            <w:pPr>
              <w:pStyle w:val="Compact"/>
              <w:jc w:val="left"/>
            </w:pPr>
            <w:r>
              <w:t xml:space="preserve">Aruan 2023, PMID 36909866</w:t>
            </w:r>
          </w:p>
        </w:tc>
        <w:tc>
          <w:tcPr/>
          <w:p>
            <w:pPr>
              <w:pStyle w:val="Compact"/>
              <w:jc w:val="left"/>
            </w:pPr>
            <w:r>
              <w:t xml:space="preserve">21 mujeres, acetil hexapéptido-3 frente a palmitoil pentapéptido-4 frente a placebo</w:t>
            </w:r>
          </w:p>
        </w:tc>
        <w:tc>
          <w:tcPr/>
          <w:p>
            <w:pPr>
              <w:pStyle w:val="Compact"/>
              <w:jc w:val="left"/>
            </w:pPr>
            <w:r>
              <w:t xml:space="preserve">8 semanas</w:t>
            </w:r>
          </w:p>
        </w:tc>
        <w:tc>
          <w:tcPr/>
          <w:p>
            <w:pPr>
              <w:pStyle w:val="Compact"/>
              <w:jc w:val="left"/>
            </w:pPr>
            <w:r>
              <w:t xml:space="preserve">El palmitoil pentapéptido-4 obtuvo mejores resultados que la Argireline y el placebo</w:t>
            </w:r>
          </w:p>
        </w:tc>
      </w:tr>
    </w:tbl>
    <w:p>
      <w:pPr>
        <w:pStyle w:val="BodyText"/>
      </w:pPr>
      <w:r>
        <w:rPr>
          <w:bCs/>
          <w:b/>
        </w:rPr>
        <w:t xml:space="preserve">Para situar los estudios positivos:</w:t>
      </w:r>
    </w:p>
    <w:p>
      <w:pPr>
        <w:numPr>
          <w:ilvl w:val="0"/>
          <w:numId w:val="1316"/>
        </w:numPr>
        <w:pStyle w:val="Compact"/>
      </w:pPr>
      <w:r>
        <w:t xml:space="preserve">La primera descripción de 2002 procede de los desarrolladores y no indica en el resumen ni el número de participantes ni un grupo de control. Probó una concentración del 10 %, muy por encima de lo que una evaluación de seguridad estadounidense consideró después suficientemente estudiado (véanse los riesgos).</w:t>
      </w:r>
    </w:p>
    <w:p>
      <w:pPr>
        <w:numPr>
          <w:ilvl w:val="0"/>
          <w:numId w:val="1316"/>
        </w:numPr>
        <w:pStyle w:val="Compact"/>
      </w:pPr>
      <w:r>
        <w:t xml:space="preserve">El estudio chino (Wang 2013) es el más grande. Los grupos tenían tamaños desiguales (unos 45 frente a 15), la valoración principal era subjetiva, y los mismos datos clínicos aparecen junto con experimentos en ratones en otra publicación del mismo grupo (Wang 2013, PMID 23607739). En las comparaciones con el valor basal, solo el grupo de Argireline mostró valores de rugosidad decrecientes; el resumen no comunica una comparación estadística directa entre los grupos.</w:t>
      </w:r>
    </w:p>
    <w:p>
      <w:pPr>
        <w:numPr>
          <w:ilvl w:val="0"/>
          <w:numId w:val="1316"/>
        </w:numPr>
        <w:pStyle w:val="Compact"/>
      </w:pPr>
      <w:r>
        <w:t xml:space="preserve">El estudio de Raikou solo tenía seis participantes por grupo y una gran cantidad de comparaciones individuales; algunas diferencias fueron significativas y otras no.</w:t>
      </w:r>
    </w:p>
    <w:p>
      <w:pPr>
        <w:pStyle w:val="FirstParagraph"/>
      </w:pPr>
      <w:r>
        <w:rPr>
          <w:bCs/>
          <w:b/>
        </w:rPr>
        <w:t xml:space="preserve">El estudio negativo:</w:t>
      </w:r>
      <w:r>
        <w:t xml:space="preserve"> </w:t>
      </w:r>
      <w:r>
        <w:t xml:space="preserve">un estudio doble ciego de hemicara de una consulta de cirugía plástica, con medición objetiva mediante cámara (Henseler 2023), no encontró ninguna diferencia entre la hemicara con y sin Argireline. Los responsables del estudio concluyeron que no se había demostrado un efecto y que la Argireline no debe considerarse una alternativa a la toxina botulínica. No obstante, con 19 participantes, también este estudio era pequeño.</w:t>
      </w:r>
    </w:p>
    <w:bookmarkStart w:id="925" w:name="otras-aplicaciones-5"/>
    <w:p>
      <w:pPr>
        <w:pStyle w:val="Heading4"/>
      </w:pPr>
      <w:r>
        <w:t xml:space="preserve">Otras aplicaciones</w:t>
      </w:r>
    </w:p>
    <w:p>
      <w:pPr>
        <w:numPr>
          <w:ilvl w:val="0"/>
          <w:numId w:val="1317"/>
        </w:numPr>
        <w:pStyle w:val="Compact"/>
      </w:pPr>
      <w:r>
        <w:rPr>
          <w:bCs/>
          <w:b/>
        </w:rPr>
        <w:t xml:space="preserve">Blefaroespasmo:</w:t>
      </w:r>
      <w:r>
        <w:t xml:space="preserve"> </w:t>
      </w:r>
      <w:r>
        <w:t xml:space="preserve">en esta enfermedad neurológica, los músculos de los párpados sufren espasmos involuntarios; el tratamiento estándar es la inyección de toxina botulínica cada tres meses. En un estudio piloto con 24 pacientes, una crema de Argireline debía prolongar la duración del efecto de la inyección. Hubo una tendencia no significativa (3,7 frente a 3,0 meses hasta la reaparición de los síntomas) y ningún efecto adverso relevante (Lungu 2013, PMID 23146065; registrado como NCT00942851). Un estudio posterior se interrumpió tras ocho participantes (NCT01750346).</w:t>
      </w:r>
    </w:p>
    <w:p>
      <w:pPr>
        <w:numPr>
          <w:ilvl w:val="0"/>
          <w:numId w:val="1317"/>
        </w:numPr>
        <w:pStyle w:val="Compact"/>
      </w:pPr>
      <w:r>
        <w:rPr>
          <w:bCs/>
          <w:b/>
        </w:rPr>
        <w:t xml:space="preserve">Parches de microagujas:</w:t>
      </w:r>
      <w:r>
        <w:t xml:space="preserve"> </w:t>
      </w:r>
      <w:r>
        <w:t xml:space="preserve">en un estudio coreano de hemicara con 52 mujeres, un parche de microagujas de ácido hialurónico con Argireline mejoró las arrugas más que el parche solo (An 2019, PMID 33911590). Aquí el péptido se introduce en la piel mediante agujas diminutas; el resultado no es trasladable a las cremas normales.</w:t>
      </w:r>
    </w:p>
    <w:p>
      <w:pPr>
        <w:numPr>
          <w:ilvl w:val="0"/>
          <w:numId w:val="1317"/>
        </w:numPr>
        <w:pStyle w:val="Compact"/>
      </w:pPr>
      <w:r>
        <w:rPr>
          <w:bCs/>
          <w:b/>
        </w:rPr>
        <w:t xml:space="preserve">Productos combinados:</w:t>
      </w:r>
      <w:r>
        <w:t xml:space="preserve"> </w:t>
      </w:r>
      <w:r>
        <w:t xml:space="preserve">muchos estudios prueban sérums que contienen Argireline junto con retinol, ácido hialurónico u otros péptidos. Su resultado no puede atribuirse al péptido aislado.</w:t>
      </w:r>
    </w:p>
    <w:p>
      <w:pPr>
        <w:numPr>
          <w:ilvl w:val="0"/>
          <w:numId w:val="1317"/>
        </w:numPr>
        <w:pStyle w:val="Compact"/>
      </w:pPr>
      <w:r>
        <w:rPr>
          <w:bCs/>
          <w:b/>
        </w:rPr>
        <w:t xml:space="preserve">Estudios minúsculos registrados:</w:t>
      </w:r>
      <w:r>
        <w:t xml:space="preserve"> </w:t>
      </w:r>
      <w:r>
        <w:t xml:space="preserve">en ClinicalTrials.gov figuran, entre otros, un estudio finalizado sobre piel grasa con 14 participantes (NCT02597777) y un estudio denominado de fase 3 sobre arrugas perioculares con 70 participantes (NCT01381484); no pudo aclararse de forma inequívoca si este último corresponde al estudio chino mencionado más arriba.</w:t>
      </w:r>
    </w:p>
    <w:bookmarkEnd w:id="925"/>
    <w:bookmarkEnd w:id="926"/>
    <w:bookmarkStart w:id="927" w:name="estudios-en-animales-y-de-laboratorio-57"/>
    <w:p>
      <w:pPr>
        <w:pStyle w:val="Heading3"/>
      </w:pPr>
      <w:r>
        <w:t xml:space="preserve">Estudios en animales y de laboratorio</w:t>
      </w:r>
    </w:p>
    <w:p>
      <w:pPr>
        <w:numPr>
          <w:ilvl w:val="0"/>
          <w:numId w:val="1318"/>
        </w:numPr>
        <w:pStyle w:val="Compact"/>
      </w:pPr>
      <w:r>
        <w:rPr>
          <w:bCs/>
          <w:b/>
        </w:rPr>
        <w:t xml:space="preserve">Experimentos celulares:</w:t>
      </w:r>
      <w:r>
        <w:t xml:space="preserve"> </w:t>
      </w:r>
      <w:r>
        <w:t xml:space="preserve">inhibición de la liberación de mensajeros y alteración de la formación del complejo SNARE (Blanes-Mira 2002, PMID 18498523). En cultivos de fibroblastos cutáneos humanos y otras líneas celulares, la Argireline inhibió la proliferación celular de forma dependiente de la dosis, aunque solo a concentraciones entre 18 y 10.000 veces superiores a las de la sustancia de comparación doxorrubicina, un medicamento antitumoral (Grosicki 2014, PMID 24644551).</w:t>
      </w:r>
    </w:p>
    <w:p>
      <w:pPr>
        <w:numPr>
          <w:ilvl w:val="0"/>
          <w:numId w:val="1318"/>
        </w:numPr>
        <w:pStyle w:val="Compact"/>
      </w:pPr>
      <w:r>
        <w:rPr>
          <w:bCs/>
          <w:b/>
        </w:rPr>
        <w:t xml:space="preserve">Experimentos con animales:</w:t>
      </w:r>
      <w:r>
        <w:t xml:space="preserve"> </w:t>
      </w:r>
      <w:r>
        <w:t xml:space="preserve">en ratones con envejecimiento acelerado artificialmente (mediante D-galactosa), la proporción de fibras de colágeno de tipo I en la piel aumentó con Argireline (Wang 2013, PMID 23464592).</w:t>
      </w:r>
    </w:p>
    <w:p>
      <w:pPr>
        <w:numPr>
          <w:ilvl w:val="0"/>
          <w:numId w:val="1318"/>
        </w:numPr>
        <w:pStyle w:val="Compact"/>
      </w:pPr>
      <w:r>
        <w:rPr>
          <w:bCs/>
          <w:b/>
        </w:rPr>
        <w:t xml:space="preserve">Permeabilidad cutánea:</w:t>
      </w:r>
      <w:r>
        <w:t xml:space="preserve"> </w:t>
      </w:r>
      <w:r>
        <w:t xml:space="preserve">además del estudio en piel de donantes (Kraeling 2015, PMID 24754410), numerosos trabajos de laboratorio investigan emulsiones, microagujas, iontoforesis y modificaciones químicas para introducir más principio activo en la piel.</w:t>
      </w:r>
    </w:p>
    <w:bookmarkEnd w:id="927"/>
    <w:bookmarkStart w:id="928" w:name="riesgos-y-efectos-adversos-57"/>
    <w:p>
      <w:pPr>
        <w:pStyle w:val="Heading3"/>
      </w:pPr>
      <w:r>
        <w:t xml:space="preserve">Riesgos y efectos adversos</w:t>
      </w:r>
    </w:p>
    <w:p>
      <w:pPr>
        <w:pStyle w:val="FirstParagraph"/>
      </w:pPr>
      <w:r>
        <w:rPr>
          <w:bCs/>
          <w:b/>
        </w:rPr>
        <w:t xml:space="preserve">Como crema (demostrado):</w:t>
      </w:r>
      <w:r>
        <w:t xml:space="preserve"> </w:t>
      </w:r>
      <w:r>
        <w:t xml:space="preserve">en los estudios no se observaron efectos adversos relevantes; como con cualquier componente cosmético, son posibles irritaciones cutáneas y alergias. El panel independiente de expertos estadounidense sobre la seguridad de los ingredientes cosméticos (Cosmetic Ingredient Review) concluyó en 2025 que el acetil hexapéptido-8 es seguro en las concentraciones habituales actuales de hasta el 0,005 %. Para concentraciones más altas, los datos disponibles no bastaban para una valoración de seguridad (Johnson 2025, PMID 40673537).</w:t>
      </w:r>
    </w:p>
    <w:p>
      <w:pPr>
        <w:pStyle w:val="BodyText"/>
      </w:pPr>
      <w:r>
        <w:rPr>
          <w:bCs/>
          <w:b/>
        </w:rPr>
        <w:t xml:space="preserve">Como inyección:</w:t>
      </w:r>
      <w:r>
        <w:t xml:space="preserve"> </w:t>
      </w:r>
      <w:r>
        <w:t xml:space="preserve">la Argireline también se inyecta a veces en la piel, por ejemplo en centros de estética o mediante productos del mercado gris. Para ello no hay autorización ni estudios. Un caso clínico describe a una mujer de 45 años en la que, tras inyecciones de Argireline en la frente y las sienes, aparecieron enrojecimiento, nódulos y abscesos; la causa fue una infección por la bacteria de difícil tratamiento</w:t>
      </w:r>
      <w:r>
        <w:t xml:space="preserve"> </w:t>
      </w:r>
      <w:r>
        <w:rPr>
          <w:iCs/>
          <w:i/>
        </w:rPr>
        <w:t xml:space="preserve">Mycobacterium abscessus</w:t>
      </w:r>
      <w:r>
        <w:t xml:space="preserve">, que requirió un tratamiento antibiótico de cinco meses (Chen 2021, PMID 33748252). Aquí el riesgo reside menos en el propio péptido que en los productos y procedimientos no estériles.</w:t>
      </w:r>
    </w:p>
    <w:p>
      <w:pPr>
        <w:pStyle w:val="BodyText"/>
      </w:pPr>
      <w:r>
        <w:rPr>
          <w:bCs/>
          <w:b/>
        </w:rPr>
        <w:t xml:space="preserve">Teóricos:</w:t>
      </w:r>
      <w:r>
        <w:t xml:space="preserve"> </w:t>
      </w:r>
      <w:r>
        <w:t xml:space="preserve">si la Argireline llegara en cantidad apreciable a las uniones neuromusculares, serían concebibles –como con la toxina botulínica– debilidades musculares no deseadas. No hay indicios de ello con la aplicación externa.</w:t>
      </w:r>
    </w:p>
    <w:bookmarkEnd w:id="928"/>
    <w:bookmarkStart w:id="929" w:name="situación-legal-57"/>
    <w:p>
      <w:pPr>
        <w:pStyle w:val="Heading3"/>
      </w:pPr>
      <w:r>
        <w:t xml:space="preserve">Situación legal</w:t>
      </w:r>
    </w:p>
    <w:p>
      <w:pPr>
        <w:numPr>
          <w:ilvl w:val="0"/>
          <w:numId w:val="1319"/>
        </w:numPr>
        <w:pStyle w:val="Compact"/>
      </w:pPr>
      <w:r>
        <w:rPr>
          <w:bCs/>
          <w:b/>
        </w:rPr>
        <w:t xml:space="preserve">UE / Austria / Alemania:</w:t>
      </w:r>
      <w:r>
        <w:t xml:space="preserve"> </w:t>
      </w:r>
      <w:r>
        <w:t xml:space="preserve">el acetil hexapéptido-8 es un ingrediente cosmético permitido según el Reglamento europeo sobre los productos cosméticos (Reglamento (CE) n.º 1223/2009). Las afirmaciones publicitarias deben poder justificarse según el Reglamento (UE) n.º 655/2013. Las comparaciones con la toxina botulínica («como el bótox») son engañosas si sugieren un efecto comparable. Una inyección no es un uso cosmético; un producto destinado a inyección sería un medicamento o un producto sanitario no autorizado y no puede distribuirse como tal.</w:t>
      </w:r>
    </w:p>
    <w:p>
      <w:pPr>
        <w:numPr>
          <w:ilvl w:val="0"/>
          <w:numId w:val="1319"/>
        </w:numPr>
        <w:pStyle w:val="Compact"/>
      </w:pPr>
      <w:r>
        <w:rPr>
          <w:bCs/>
          <w:b/>
        </w:rPr>
        <w:t xml:space="preserve">EE. UU.:</w:t>
      </w:r>
      <w:r>
        <w:t xml:space="preserve"> </w:t>
      </w:r>
      <w:r>
        <w:t xml:space="preserve">ingrediente cosmético sin evaluación previa por la FDA; las afirmaciones que prometen un efecto muscular pueden convertir jurídicamente un producto en un medicamento.</w:t>
      </w:r>
    </w:p>
    <w:p>
      <w:pPr>
        <w:numPr>
          <w:ilvl w:val="0"/>
          <w:numId w:val="1319"/>
        </w:numPr>
        <w:pStyle w:val="Compact"/>
      </w:pPr>
      <w:r>
        <w:rPr>
          <w:bCs/>
          <w:b/>
        </w:rPr>
        <w:t xml:space="preserve">Deporte:</w:t>
      </w:r>
      <w:r>
        <w:t xml:space="preserve"> </w:t>
      </w:r>
      <w:r>
        <w:t xml:space="preserve">sin relevancia (situación en 2026, compruébese la versión actual).</w:t>
      </w:r>
    </w:p>
    <w:bookmarkEnd w:id="929"/>
    <w:bookmarkStart w:id="930" w:name="estudios-en-curso-y-perspectivas-57"/>
    <w:p>
      <w:pPr>
        <w:pStyle w:val="Heading3"/>
      </w:pPr>
      <w:r>
        <w:t xml:space="preserve">Estudios en curso y perspectivas</w:t>
      </w:r>
    </w:p>
    <w:p>
      <w:pPr>
        <w:pStyle w:val="FirstParagraph"/>
      </w:pPr>
      <w:r>
        <w:rPr>
          <w:bCs/>
          <w:b/>
        </w:rPr>
        <w:t xml:space="preserve">Confirmado:</w:t>
      </w:r>
      <w:r>
        <w:t xml:space="preserve"> </w:t>
      </w:r>
      <w:r>
        <w:t xml:space="preserve">en ClinicalTrials.gov no figura (situación en octubre de 2026) ningún estudio en curso con acetil hexapéptido-8 como principio activo único; los registros listados están finalizados o interrumpidos. Los estudios de eficacia cosmética rara vez se registran.</w:t>
      </w:r>
    </w:p>
    <w:p>
      <w:pPr>
        <w:pStyle w:val="BodyText"/>
      </w:pPr>
      <w:r>
        <w:rPr>
          <w:bCs/>
          <w:b/>
        </w:rPr>
        <w:t xml:space="preserve">Valoración:</w:t>
      </w:r>
      <w:r>
        <w:t xml:space="preserve"> </w:t>
      </w:r>
      <w:r>
        <w:t xml:space="preserve">la Argireline es un ejemplo de péptido de diseño racional cuyo hallazgo de laboratorio es convincente, pero cuyo camino hasta el lugar de acción sigue sin resolverse. Por ello, la investigación se centra en sistemas de transporte como las microagujas y los nanotransportadores. Si estos logran un efecto visible para las usuarias y los usuarios y que vaya más allá del de un buen producto hidratante tendrán que demostrarlo estudios más grandes e independientes. Según el conocimiento actual, no cabe esperar una verdadera alternativa a la toxina botulínica.</w:t>
      </w:r>
    </w:p>
    <w:bookmarkEnd w:id="930"/>
    <w:bookmarkStart w:id="931" w:name="conclusión-57"/>
    <w:p>
      <w:pPr>
        <w:pStyle w:val="Heading3"/>
      </w:pPr>
      <w:r>
        <w:t xml:space="preserve">Conclusión</w:t>
      </w:r>
    </w:p>
    <w:p>
      <w:pPr>
        <w:pStyle w:val="FirstParagraph"/>
      </w:pPr>
      <w:r>
        <w:t xml:space="preserve">El acetil hexapéptido-8 es un péptido sintético que, en el laboratorio, inhibe la liberación de mensajeros en las neuronas de forma similar a la toxina botulínica, pero mucho más débil. Desde las cremas apenas penetra en la piel; en un experimento de laboratorio permaneció casi por completo en las capas superficiales. Estudios pequeños y cortos –en parte de los desarrolladores, en parte con productos combinados– comunican menos arrugas finas; en cambio, un estudio ciego de hemicara con medición objetiva no encontró ninguna diferencia. Como crema se considera segura en las concentraciones habituales; las inyecciones no están estudiadas ni autorizadas y pueden provocar infecciones graves. El término publicitario «bótox en tubo» no está respaldado por los datos.</w:t>
      </w:r>
    </w:p>
    <w:bookmarkEnd w:id="931"/>
    <w:bookmarkEnd w:id="932"/>
    <w:bookmarkEnd w:id="933"/>
    <w:bookmarkStart w:id="974" w:name="parte-iii-la-gran-comparación"/>
    <w:p>
      <w:pPr>
        <w:pStyle w:val="Heading1"/>
      </w:pPr>
      <w:r>
        <w:t xml:space="preserve">Parte III – La gran comparación</w:t>
      </w:r>
    </w:p>
    <w:p>
      <w:pPr>
        <w:pStyle w:val="FirstParagraph"/>
      </w:pPr>
      <w:r>
        <w:t xml:space="preserve">En la Parte II se examinó cada péptido por separado. Esta parte pone los resultados uno junto a otro y responde a tres preguntas: ¿qué tan bien estudiado está un péptido en comparación con los demás? ¿Cómo se comparan entre sí los medicamentos para adelgazar y para la diabetes? ¿Y qué queda de las promesas de internet si solo se admiten los estudios en humanos?</w:t>
      </w:r>
    </w:p>
    <w:p>
      <w:pPr>
        <w:pStyle w:val="BodyText"/>
      </w:pPr>
      <w:r>
        <w:t xml:space="preserve">Las tablas son resúmenes. Las fuentes y las limitaciones de cada cifra figuran en los capítulos de la Parte II. Todos los datos sobre autorización y estatus antidopaje reflejan la situación en 2026 y conviene comprobarlos en su versión actual.</w:t>
      </w:r>
    </w:p>
    <w:bookmarkStart w:id="946" w:name="todos-los-péptidos-de-un-vistazo"/>
    <w:p>
      <w:pPr>
        <w:pStyle w:val="Heading2"/>
      </w:pPr>
      <w:r>
        <w:t xml:space="preserve">Todos los péptidos de un vistazo</w:t>
      </w:r>
    </w:p>
    <w:bookmarkStart w:id="934" w:name="cómo-leer-las-tablas"/>
    <w:p>
      <w:pPr>
        <w:pStyle w:val="Heading3"/>
      </w:pPr>
      <w:r>
        <w:t xml:space="preserve">Cómo leer las tablas</w:t>
      </w:r>
    </w:p>
    <w:p>
      <w:pPr>
        <w:pStyle w:val="FirstParagraph"/>
      </w:pPr>
      <w:r>
        <w:t xml:space="preserve">Para cada grupo de la Parte II siguen dos tablas: la primera con el nivel de evidencia, la autorización y la magnitud de la evidencia disponible; la segunda con el resultado de estudio más importante y el riesgo principal.</w:t>
      </w:r>
    </w:p>
    <w:p>
      <w:pPr>
        <w:pStyle w:val="BodyText"/>
      </w:pPr>
      <w:r>
        <w:rPr>
          <w:bCs/>
          <w:b/>
        </w:rPr>
        <w:t xml:space="preserve">Nivel de evidencia</w:t>
      </w:r>
      <w:r>
        <w:t xml:space="preserve"> </w:t>
      </w:r>
      <w:r>
        <w:t xml:space="preserve">(como en la Parte II):</w:t>
      </w:r>
    </w:p>
    <w:p>
      <w:pPr>
        <w:numPr>
          <w:ilvl w:val="0"/>
          <w:numId w:val="1320"/>
        </w:numPr>
        <w:pStyle w:val="Compact"/>
      </w:pPr>
      <w:r>
        <w:rPr>
          <w:bCs/>
          <w:b/>
        </w:rPr>
        <w:t xml:space="preserve">A</w:t>
      </w:r>
      <w:r>
        <w:t xml:space="preserve">: varios estudios aleatorizados grandes en humanos, por lo general con autorización</w:t>
      </w:r>
    </w:p>
    <w:p>
      <w:pPr>
        <w:numPr>
          <w:ilvl w:val="0"/>
          <w:numId w:val="1320"/>
        </w:numPr>
        <w:pStyle w:val="Compact"/>
      </w:pPr>
      <w:r>
        <w:rPr>
          <w:bCs/>
          <w:b/>
        </w:rPr>
        <w:t xml:space="preserve">B</w:t>
      </w:r>
      <w:r>
        <w:t xml:space="preserve">: estudios aleatorizados aislados en humanos</w:t>
      </w:r>
    </w:p>
    <w:p>
      <w:pPr>
        <w:numPr>
          <w:ilvl w:val="0"/>
          <w:numId w:val="1320"/>
        </w:numPr>
        <w:pStyle w:val="Compact"/>
      </w:pPr>
      <w:r>
        <w:rPr>
          <w:bCs/>
          <w:b/>
        </w:rPr>
        <w:t xml:space="preserve">C</w:t>
      </w:r>
      <w:r>
        <w:t xml:space="preserve">: solo estudios en humanos pequeños o no controlados</w:t>
      </w:r>
    </w:p>
    <w:p>
      <w:pPr>
        <w:numPr>
          <w:ilvl w:val="0"/>
          <w:numId w:val="1320"/>
        </w:numPr>
        <w:pStyle w:val="Compact"/>
      </w:pPr>
      <w:r>
        <w:rPr>
          <w:bCs/>
          <w:b/>
        </w:rPr>
        <w:t xml:space="preserve">D</w:t>
      </w:r>
      <w:r>
        <w:t xml:space="preserve">: solo estudios en animales y de laboratorio</w:t>
      </w:r>
    </w:p>
    <w:p>
      <w:pPr>
        <w:pStyle w:val="FirstParagraph"/>
      </w:pPr>
      <w:r>
        <w:t xml:space="preserve">El nivel describe</w:t>
      </w:r>
      <w:r>
        <w:t xml:space="preserve"> </w:t>
      </w:r>
      <w:r>
        <w:rPr>
          <w:iCs/>
          <w:i/>
        </w:rPr>
        <w:t xml:space="preserve">qué tan bien</w:t>
      </w:r>
      <w:r>
        <w:t xml:space="preserve"> </w:t>
      </w:r>
      <w:r>
        <w:t xml:space="preserve">está estudiado algo, no</w:t>
      </w:r>
      <w:r>
        <w:t xml:space="preserve"> </w:t>
      </w:r>
      <w:r>
        <w:rPr>
          <w:iCs/>
          <w:i/>
        </w:rPr>
        <w:t xml:space="preserve">si</w:t>
      </w:r>
      <w:r>
        <w:t xml:space="preserve"> </w:t>
      </w:r>
      <w:r>
        <w:t xml:space="preserve">funciona, y solo es válido para el uso estudiado.</w:t>
      </w:r>
    </w:p>
    <w:p>
      <w:pPr>
        <w:pStyle w:val="BodyText"/>
      </w:pPr>
      <w:r>
        <w:rPr>
          <w:bCs/>
          <w:b/>
        </w:rPr>
        <w:t xml:space="preserve">Estudios en humanos / registros:</w:t>
      </w:r>
      <w:r>
        <w:t xml:space="preserve"> </w:t>
      </w:r>
      <w:r>
        <w:t xml:space="preserve">las cifras proceden de la consulta automatizada realizada para este libro (octubre de 2026, metodología en el anexo): publicaciones clasificadas como estudios en humanos en PubMed y registros en el registro de estudios ClinicalTrials.gov. Solo indican el orden de magnitud, dependen mucho del término de búsqueda e incluyen en parte resultados ajenos al tema, mientras que pueden faltar trabajos antiguos publicados con otros nombres. Cuando una cifra induce claramente a error, se marca con «(nota)» y se explica bajo la tabla. No se cuentan los registros de un promotor cuyos registros resultaron ser, al comprobarlos, registros ficticios de ejemplo o de prueba.</w:t>
      </w:r>
    </w:p>
    <w:bookmarkEnd w:id="934"/>
    <w:bookmarkStart w:id="935" w:name="a.-metabolismo-y-peso"/>
    <w:p>
      <w:pPr>
        <w:pStyle w:val="Heading3"/>
      </w:pPr>
      <w:r>
        <w:t xml:space="preserve">A. Metabolismo y peso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 UE / EE. UU.</w:t>
            </w:r>
          </w:p>
        </w:tc>
        <w:tc>
          <w:tcPr/>
          <w:p>
            <w:pPr>
              <w:pStyle w:val="Compact"/>
              <w:jc w:val="left"/>
            </w:pPr>
            <w:r>
              <w:t xml:space="preserve">Estudios en humanos / registros</w:t>
            </w:r>
          </w:p>
        </w:tc>
      </w:tr>
      <w:tr>
        <w:tc>
          <w:tcPr/>
          <w:p>
            <w:pPr>
              <w:pStyle w:val="Compact"/>
              <w:jc w:val="left"/>
            </w:pPr>
            <w:r>
              <w:t xml:space="preserve">Exenatida</w:t>
            </w:r>
          </w:p>
        </w:tc>
        <w:tc>
          <w:tcPr/>
          <w:p>
            <w:pPr>
              <w:pStyle w:val="Compact"/>
              <w:jc w:val="left"/>
            </w:pPr>
            <w:r>
              <w:t xml:space="preserve">A</w:t>
            </w:r>
          </w:p>
        </w:tc>
        <w:tc>
          <w:tcPr/>
          <w:p>
            <w:pPr>
              <w:pStyle w:val="Compact"/>
              <w:jc w:val="left"/>
            </w:pPr>
            <w:r>
              <w:t xml:space="preserve">sí / sí</w:t>
            </w:r>
          </w:p>
        </w:tc>
        <w:tc>
          <w:tcPr/>
          <w:p>
            <w:pPr>
              <w:pStyle w:val="Compact"/>
              <w:jc w:val="left"/>
            </w:pPr>
            <w:r>
              <w:t xml:space="preserve">437 / 379</w:t>
            </w:r>
          </w:p>
        </w:tc>
      </w:tr>
      <w:tr>
        <w:tc>
          <w:tcPr/>
          <w:p>
            <w:pPr>
              <w:pStyle w:val="Compact"/>
              <w:jc w:val="left"/>
            </w:pPr>
            <w:r>
              <w:t xml:space="preserve">Liraglutida</w:t>
            </w:r>
          </w:p>
        </w:tc>
        <w:tc>
          <w:tcPr/>
          <w:p>
            <w:pPr>
              <w:pStyle w:val="Compact"/>
              <w:jc w:val="left"/>
            </w:pPr>
            <w:r>
              <w:t xml:space="preserve">A</w:t>
            </w:r>
          </w:p>
        </w:tc>
        <w:tc>
          <w:tcPr/>
          <w:p>
            <w:pPr>
              <w:pStyle w:val="Compact"/>
              <w:jc w:val="left"/>
            </w:pPr>
            <w:r>
              <w:t xml:space="preserve">sí / sí (también genéricos)</w:t>
            </w:r>
          </w:p>
        </w:tc>
        <w:tc>
          <w:tcPr/>
          <w:p>
            <w:pPr>
              <w:pStyle w:val="Compact"/>
              <w:jc w:val="left"/>
            </w:pPr>
            <w:r>
              <w:t xml:space="preserve">613 / 517</w:t>
            </w:r>
          </w:p>
        </w:tc>
      </w:tr>
      <w:tr>
        <w:tc>
          <w:tcPr/>
          <w:p>
            <w:pPr>
              <w:pStyle w:val="Compact"/>
              <w:jc w:val="left"/>
            </w:pPr>
            <w:r>
              <w:t xml:space="preserve">Dulaglutida</w:t>
            </w:r>
          </w:p>
        </w:tc>
        <w:tc>
          <w:tcPr/>
          <w:p>
            <w:pPr>
              <w:pStyle w:val="Compact"/>
              <w:jc w:val="left"/>
            </w:pPr>
            <w:r>
              <w:t xml:space="preserve">A</w:t>
            </w:r>
          </w:p>
        </w:tc>
        <w:tc>
          <w:tcPr/>
          <w:p>
            <w:pPr>
              <w:pStyle w:val="Compact"/>
              <w:jc w:val="left"/>
            </w:pPr>
            <w:r>
              <w:t xml:space="preserve">sí / sí</w:t>
            </w:r>
          </w:p>
        </w:tc>
        <w:tc>
          <w:tcPr/>
          <w:p>
            <w:pPr>
              <w:pStyle w:val="Compact"/>
              <w:jc w:val="left"/>
            </w:pPr>
            <w:r>
              <w:t xml:space="preserve">158 / 143</w:t>
            </w:r>
          </w:p>
        </w:tc>
      </w:tr>
      <w:tr>
        <w:tc>
          <w:tcPr/>
          <w:p>
            <w:pPr>
              <w:pStyle w:val="Compact"/>
              <w:jc w:val="left"/>
            </w:pPr>
            <w:r>
              <w:t xml:space="preserve">Semaglutida</w:t>
            </w:r>
          </w:p>
        </w:tc>
        <w:tc>
          <w:tcPr/>
          <w:p>
            <w:pPr>
              <w:pStyle w:val="Compact"/>
              <w:jc w:val="left"/>
            </w:pPr>
            <w:r>
              <w:t xml:space="preserve">A</w:t>
            </w:r>
          </w:p>
        </w:tc>
        <w:tc>
          <w:tcPr/>
          <w:p>
            <w:pPr>
              <w:pStyle w:val="Compact"/>
              <w:jc w:val="left"/>
            </w:pPr>
            <w:r>
              <w:t xml:space="preserve">sí / sí (inyección y comprimido)</w:t>
            </w:r>
          </w:p>
        </w:tc>
        <w:tc>
          <w:tcPr/>
          <w:p>
            <w:pPr>
              <w:pStyle w:val="Compact"/>
              <w:jc w:val="left"/>
            </w:pPr>
            <w:r>
              <w:t xml:space="preserve">342 / 793</w:t>
            </w:r>
          </w:p>
        </w:tc>
      </w:tr>
      <w:tr>
        <w:tc>
          <w:tcPr/>
          <w:p>
            <w:pPr>
              <w:pStyle w:val="Compact"/>
              <w:jc w:val="left"/>
            </w:pPr>
            <w:r>
              <w:t xml:space="preserve">Tirzepatida</w:t>
            </w:r>
          </w:p>
        </w:tc>
        <w:tc>
          <w:tcPr/>
          <w:p>
            <w:pPr>
              <w:pStyle w:val="Compact"/>
              <w:jc w:val="left"/>
            </w:pPr>
            <w:r>
              <w:t xml:space="preserve">A</w:t>
            </w:r>
          </w:p>
        </w:tc>
        <w:tc>
          <w:tcPr/>
          <w:p>
            <w:pPr>
              <w:pStyle w:val="Compact"/>
              <w:jc w:val="left"/>
            </w:pPr>
            <w:r>
              <w:t xml:space="preserve">sí / sí</w:t>
            </w:r>
          </w:p>
        </w:tc>
        <w:tc>
          <w:tcPr/>
          <w:p>
            <w:pPr>
              <w:pStyle w:val="Compact"/>
              <w:jc w:val="left"/>
            </w:pPr>
            <w:r>
              <w:t xml:space="preserve">144 / 307</w:t>
            </w:r>
          </w:p>
        </w:tc>
      </w:tr>
      <w:tr>
        <w:tc>
          <w:tcPr/>
          <w:p>
            <w:pPr>
              <w:pStyle w:val="Compact"/>
              <w:jc w:val="left"/>
            </w:pPr>
            <w:r>
              <w:t xml:space="preserve">Retatrutida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10 / 32</w:t>
            </w:r>
          </w:p>
        </w:tc>
      </w:tr>
      <w:tr>
        <w:tc>
          <w:tcPr/>
          <w:p>
            <w:pPr>
              <w:pStyle w:val="Compact"/>
              <w:jc w:val="left"/>
            </w:pPr>
            <w:r>
              <w:t xml:space="preserve">Survodutida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10 / 29</w:t>
            </w:r>
          </w:p>
        </w:tc>
      </w:tr>
      <w:tr>
        <w:tc>
          <w:tcPr/>
          <w:p>
            <w:pPr>
              <w:pStyle w:val="Compact"/>
              <w:jc w:val="left"/>
            </w:pPr>
            <w:r>
              <w:t xml:space="preserve">Mazdutida</w:t>
            </w:r>
          </w:p>
        </w:tc>
        <w:tc>
          <w:tcPr/>
          <w:p>
            <w:pPr>
              <w:pStyle w:val="Compact"/>
              <w:jc w:val="left"/>
            </w:pPr>
            <w:r>
              <w:t xml:space="preserve">A</w:t>
            </w:r>
          </w:p>
        </w:tc>
        <w:tc>
          <w:tcPr/>
          <w:p>
            <w:pPr>
              <w:pStyle w:val="Compact"/>
              <w:jc w:val="left"/>
            </w:pPr>
            <w:r>
              <w:t xml:space="preserve">no / no (solo China, 2025)</w:t>
            </w:r>
          </w:p>
        </w:tc>
        <w:tc>
          <w:tcPr/>
          <w:p>
            <w:pPr>
              <w:pStyle w:val="Compact"/>
              <w:jc w:val="left"/>
            </w:pPr>
            <w:r>
              <w:t xml:space="preserve">9 / 44</w:t>
            </w:r>
          </w:p>
        </w:tc>
      </w:tr>
      <w:tr>
        <w:tc>
          <w:tcPr/>
          <w:p>
            <w:pPr>
              <w:pStyle w:val="Compact"/>
              <w:jc w:val="left"/>
            </w:pPr>
            <w:r>
              <w:t xml:space="preserve">Cagrilintida / CagriSema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15 / 44</w:t>
            </w:r>
          </w:p>
        </w:tc>
      </w:tr>
      <w:tr>
        <w:tc>
          <w:tcPr/>
          <w:p>
            <w:pPr>
              <w:pStyle w:val="Compact"/>
              <w:jc w:val="left"/>
            </w:pPr>
            <w:r>
              <w:t xml:space="preserve">Amicretina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4 / 1 (nota)</w:t>
            </w:r>
          </w:p>
        </w:tc>
      </w:tr>
      <w:tr>
        <w:tc>
          <w:tcPr/>
          <w:p>
            <w:pPr>
              <w:pStyle w:val="Compact"/>
              <w:jc w:val="left"/>
            </w:pPr>
            <w:r>
              <w:t xml:space="preserve">Maridebart cafraglutida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2 / 28</w:t>
            </w:r>
          </w:p>
        </w:tc>
      </w:tr>
      <w:tr>
        <w:tc>
          <w:tcPr/>
          <w:p>
            <w:pPr>
              <w:pStyle w:val="Compact"/>
              <w:jc w:val="left"/>
            </w:pPr>
            <w:r>
              <w:t xml:space="preserve">Pramlintida</w:t>
            </w:r>
          </w:p>
        </w:tc>
        <w:tc>
          <w:tcPr/>
          <w:p>
            <w:pPr>
              <w:pStyle w:val="Compact"/>
              <w:jc w:val="left"/>
            </w:pPr>
            <w:r>
              <w:t xml:space="preserve">A</w:t>
            </w:r>
          </w:p>
        </w:tc>
        <w:tc>
          <w:tcPr/>
          <w:p>
            <w:pPr>
              <w:pStyle w:val="Compact"/>
              <w:jc w:val="left"/>
            </w:pPr>
            <w:r>
              <w:t xml:space="preserve">no / sí</w:t>
            </w:r>
          </w:p>
        </w:tc>
        <w:tc>
          <w:tcPr/>
          <w:p>
            <w:pPr>
              <w:pStyle w:val="Compact"/>
              <w:jc w:val="left"/>
            </w:pPr>
            <w:r>
              <w:t xml:space="preserve">76 / 64</w:t>
            </w:r>
          </w:p>
        </w:tc>
      </w:tr>
      <w:tr>
        <w:tc>
          <w:tcPr/>
          <w:p>
            <w:pPr>
              <w:pStyle w:val="Compact"/>
              <w:jc w:val="left"/>
            </w:pPr>
            <w:r>
              <w:t xml:space="preserve">Setmelanotida</w:t>
            </w:r>
          </w:p>
        </w:tc>
        <w:tc>
          <w:tcPr/>
          <w:p>
            <w:pPr>
              <w:pStyle w:val="Compact"/>
              <w:jc w:val="left"/>
            </w:pPr>
            <w:r>
              <w:t xml:space="preserve">A</w:t>
            </w:r>
          </w:p>
        </w:tc>
        <w:tc>
          <w:tcPr/>
          <w:p>
            <w:pPr>
              <w:pStyle w:val="Compact"/>
              <w:jc w:val="left"/>
            </w:pPr>
            <w:r>
              <w:t xml:space="preserve">sí / sí (formas genéticas raras)</w:t>
            </w:r>
          </w:p>
        </w:tc>
        <w:tc>
          <w:tcPr/>
          <w:p>
            <w:pPr>
              <w:pStyle w:val="Compact"/>
              <w:jc w:val="left"/>
            </w:pPr>
            <w:r>
              <w:t xml:space="preserve">15 / 27</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Orforglipron (no es un péptido)</w:t>
            </w:r>
          </w:p>
        </w:tc>
        <w:tc>
          <w:tcPr/>
          <w:p>
            <w:pPr>
              <w:pStyle w:val="Compact"/>
              <w:jc w:val="left"/>
            </w:pPr>
            <w:r>
              <w:t xml:space="preserve">A</w:t>
            </w:r>
          </w:p>
        </w:tc>
        <w:tc>
          <w:tcPr/>
          <w:p>
            <w:pPr>
              <w:pStyle w:val="Compact"/>
              <w:jc w:val="left"/>
            </w:pPr>
            <w:r>
              <w:t xml:space="preserve">no / solicitud presentada (compruébese)</w:t>
            </w:r>
          </w:p>
        </w:tc>
        <w:tc>
          <w:tcPr/>
          <w:p>
            <w:pPr>
              <w:pStyle w:val="Compact"/>
              <w:jc w:val="left"/>
            </w:pPr>
            <w:r>
              <w:t xml:space="preserve">20 / 53</w:t>
            </w:r>
          </w:p>
        </w:tc>
      </w:tr>
    </w:tbl>
    <w:p>
      <w:pPr>
        <w:pStyle w:val="BodyText"/>
      </w:pPr>
      <w:r>
        <w:t xml:space="preserve">Nota a la tabla: en el caso de la</w:t>
      </w:r>
      <w:r>
        <w:t xml:space="preserve"> </w:t>
      </w:r>
      <w:r>
        <w:rPr>
          <w:bCs/>
          <w:b/>
        </w:rPr>
        <w:t xml:space="preserve">amicretina</w:t>
      </w:r>
      <w:r>
        <w:t xml:space="preserve">, la búsqueda en el registro solo encontró un registro; con el nombre zenagamtida y el código de desarrollo hay registrados unos 30 estudios, entre ellos el programa de fase 3 iniciado en 2026. En el de la</w:t>
      </w:r>
      <w:r>
        <w:t xml:space="preserve"> </w:t>
      </w:r>
      <w:r>
        <w:rPr>
          <w:bCs/>
          <w:b/>
        </w:rPr>
        <w:t xml:space="preserve">mazdutida</w:t>
      </w:r>
      <w:r>
        <w:t xml:space="preserve">, los estudios proceden casi exclusivamente de China; en el del</w:t>
      </w:r>
      <w:r>
        <w:t xml:space="preserve"> </w:t>
      </w:r>
      <w:r>
        <w:rPr>
          <w:bCs/>
          <w:b/>
        </w:rPr>
        <w:t xml:space="preserve">orforglipron</w:t>
      </w:r>
      <w:r>
        <w:t xml:space="preserve">, la autorización estaba pendiente al cierre de la redacción.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Péptido</w:t>
            </w:r>
          </w:p>
        </w:tc>
        <w:tc>
          <w:tcPr/>
          <w:p>
            <w:pPr>
              <w:pStyle w:val="Compact"/>
              <w:jc w:val="left"/>
            </w:pPr>
            <w:r>
              <w:t xml:space="preserve">Resultado clave</w:t>
            </w:r>
          </w:p>
        </w:tc>
        <w:tc>
          <w:tcPr/>
          <w:p>
            <w:pPr>
              <w:pStyle w:val="Compact"/>
              <w:jc w:val="left"/>
            </w:pPr>
            <w:r>
              <w:t xml:space="preserve">Riesgo principal</w:t>
            </w:r>
          </w:p>
        </w:tc>
      </w:tr>
      <w:tr>
        <w:tc>
          <w:tcPr/>
          <w:p>
            <w:pPr>
              <w:pStyle w:val="Compact"/>
              <w:jc w:val="left"/>
            </w:pPr>
            <w:r>
              <w:t xml:space="preserve">Exenatida</w:t>
            </w:r>
          </w:p>
        </w:tc>
        <w:tc>
          <w:tcPr/>
          <w:p>
            <w:pPr>
              <w:pStyle w:val="Compact"/>
              <w:jc w:val="left"/>
            </w:pPr>
            <w:r>
              <w:t xml:space="preserve">EXSCEL: riesgo cardiovascular no aumentado, pero tampoco reducido significativamente (HR 0,91; PMID 28910237)</w:t>
            </w:r>
          </w:p>
        </w:tc>
        <w:tc>
          <w:tcPr/>
          <w:p>
            <w:pPr>
              <w:pStyle w:val="Compact"/>
              <w:jc w:val="left"/>
            </w:pPr>
            <w:r>
              <w:t xml:space="preserve">Náuseas, nódulos, anticuerpos</w:t>
            </w:r>
          </w:p>
        </w:tc>
      </w:tr>
      <w:tr>
        <w:tc>
          <w:tcPr/>
          <w:p>
            <w:pPr>
              <w:pStyle w:val="Compact"/>
              <w:jc w:val="left"/>
            </w:pPr>
            <w:r>
              <w:t xml:space="preserve">Liraglutida</w:t>
            </w:r>
          </w:p>
        </w:tc>
        <w:tc>
          <w:tcPr/>
          <w:p>
            <w:pPr>
              <w:pStyle w:val="Compact"/>
              <w:jc w:val="left"/>
            </w:pPr>
            <w:r>
              <w:t xml:space="preserve">LEADER: 13 % menos acontecimientos cardiovasculares (PMID 27295427); SCALE: −8,4 frente a −2,8 kg (PMID 26132939)</w:t>
            </w:r>
          </w:p>
        </w:tc>
        <w:tc>
          <w:tcPr/>
          <w:p>
            <w:pPr>
              <w:pStyle w:val="Compact"/>
              <w:jc w:val="left"/>
            </w:pPr>
            <w:r>
              <w:t xml:space="preserve">Molestias gastrointestinales, vesícula biliar</w:t>
            </w:r>
          </w:p>
        </w:tc>
      </w:tr>
      <w:tr>
        <w:tc>
          <w:tcPr/>
          <w:p>
            <w:pPr>
              <w:pStyle w:val="Compact"/>
              <w:jc w:val="left"/>
            </w:pPr>
            <w:r>
              <w:t xml:space="preserve">Dulaglutida</w:t>
            </w:r>
          </w:p>
        </w:tc>
        <w:tc>
          <w:tcPr/>
          <w:p>
            <w:pPr>
              <w:pStyle w:val="Compact"/>
              <w:jc w:val="left"/>
            </w:pPr>
            <w:r>
              <w:t xml:space="preserve">REWIND: 12 % menos acontecimientos cardiovasculares graves en 9901 participantes (PMID 31189511)</w:t>
            </w:r>
          </w:p>
        </w:tc>
        <w:tc>
          <w:tcPr/>
          <w:p>
            <w:pPr>
              <w:pStyle w:val="Compact"/>
              <w:jc w:val="left"/>
            </w:pPr>
            <w:r>
              <w:t xml:space="preserve">Gastrointestinal; hipoglucemia en combinación</w:t>
            </w:r>
          </w:p>
        </w:tc>
      </w:tr>
      <w:tr>
        <w:tc>
          <w:tcPr/>
          <w:p>
            <w:pPr>
              <w:pStyle w:val="Compact"/>
              <w:jc w:val="left"/>
            </w:pPr>
            <w:r>
              <w:t xml:space="preserve">Semaglutida</w:t>
            </w:r>
          </w:p>
        </w:tc>
        <w:tc>
          <w:tcPr/>
          <w:p>
            <w:pPr>
              <w:pStyle w:val="Compact"/>
              <w:jc w:val="left"/>
            </w:pPr>
            <w:r>
              <w:t xml:space="preserve">STEP 1: −14,9 % frente a −2,4 % (PMID 33567185); SELECT: 20 % menos acontecimientos cardiovasculares (PMID 37952131)</w:t>
            </w:r>
          </w:p>
        </w:tc>
        <w:tc>
          <w:tcPr/>
          <w:p>
            <w:pPr>
              <w:pStyle w:val="Compact"/>
              <w:jc w:val="left"/>
            </w:pPr>
            <w:r>
              <w:t xml:space="preserve">Gastrointestinal, vesícula biliar, señal rara de NAION, falsificaciones</w:t>
            </w:r>
          </w:p>
        </w:tc>
      </w:tr>
      <w:tr>
        <w:tc>
          <w:tcPr/>
          <w:p>
            <w:pPr>
              <w:pStyle w:val="Compact"/>
              <w:jc w:val="left"/>
            </w:pPr>
            <w:r>
              <w:t xml:space="preserve">Tirzepatida</w:t>
            </w:r>
          </w:p>
        </w:tc>
        <w:tc>
          <w:tcPr/>
          <w:p>
            <w:pPr>
              <w:pStyle w:val="Compact"/>
              <w:jc w:val="left"/>
            </w:pPr>
            <w:r>
              <w:t xml:space="preserve">SURMOUNT-5: −20,2 % frente a −13,7 % con semaglutida (PMID 40353578)</w:t>
            </w:r>
          </w:p>
        </w:tc>
        <w:tc>
          <w:tcPr/>
          <w:p>
            <w:pPr>
              <w:pStyle w:val="Compact"/>
              <w:jc w:val="left"/>
            </w:pPr>
            <w:r>
              <w:t xml:space="preserve">Gastrointestinal, vías biliares; recuperación del peso tras suspenderla</w:t>
            </w:r>
          </w:p>
        </w:tc>
      </w:tr>
      <w:tr>
        <w:tc>
          <w:tcPr/>
          <w:p>
            <w:pPr>
              <w:pStyle w:val="Compact"/>
              <w:jc w:val="left"/>
            </w:pPr>
            <w:r>
              <w:t xml:space="preserve">Retatrutida</w:t>
            </w:r>
          </w:p>
        </w:tc>
        <w:tc>
          <w:tcPr/>
          <w:p>
            <w:pPr>
              <w:pStyle w:val="Compact"/>
              <w:jc w:val="left"/>
            </w:pPr>
            <w:r>
              <w:t xml:space="preserve">TRIUMPH-1: hasta −25,0 % frente a −3,9 % a las 80 semanas (PMID 42814954)</w:t>
            </w:r>
          </w:p>
        </w:tc>
        <w:tc>
          <w:tcPr/>
          <w:p>
            <w:pPr>
              <w:pStyle w:val="Compact"/>
              <w:jc w:val="left"/>
            </w:pPr>
            <w:r>
              <w:t xml:space="preserve">Gastrointestinal, disestesias cutáneas, más abandonos con dosis alta</w:t>
            </w:r>
          </w:p>
        </w:tc>
      </w:tr>
      <w:tr>
        <w:tc>
          <w:tcPr/>
          <w:p>
            <w:pPr>
              <w:pStyle w:val="Compact"/>
              <w:jc w:val="left"/>
            </w:pPr>
            <w:r>
              <w:t xml:space="preserve">Survodutida</w:t>
            </w:r>
          </w:p>
        </w:tc>
        <w:tc>
          <w:tcPr/>
          <w:p>
            <w:pPr>
              <w:pStyle w:val="Compact"/>
              <w:jc w:val="left"/>
            </w:pPr>
            <w:r>
              <w:t xml:space="preserve">SYNCHRONIZE-1: hasta −13,0 % frente a −5,4 % a las 76 semanas (PMID 42253238)</w:t>
            </w:r>
          </w:p>
        </w:tc>
        <w:tc>
          <w:tcPr/>
          <w:p>
            <w:pPr>
              <w:pStyle w:val="Compact"/>
              <w:jc w:val="left"/>
            </w:pPr>
            <w:r>
              <w:t xml:space="preserve">molestias gastrointestinales muy frecuentes</w:t>
            </w:r>
          </w:p>
        </w:tc>
      </w:tr>
      <w:tr>
        <w:tc>
          <w:tcPr/>
          <w:p>
            <w:pPr>
              <w:pStyle w:val="Compact"/>
              <w:jc w:val="left"/>
            </w:pPr>
            <w:r>
              <w:t xml:space="preserve">Mazdutida</w:t>
            </w:r>
          </w:p>
        </w:tc>
        <w:tc>
          <w:tcPr/>
          <w:p>
            <w:pPr>
              <w:pStyle w:val="Compact"/>
              <w:jc w:val="left"/>
            </w:pPr>
            <w:r>
              <w:t xml:space="preserve">GLORY-1: hasta −14,0 % frente a +0,3 % a las 48 semanas (PMID 40421736)</w:t>
            </w:r>
          </w:p>
        </w:tc>
        <w:tc>
          <w:tcPr/>
          <w:p>
            <w:pPr>
              <w:pStyle w:val="Compact"/>
              <w:jc w:val="left"/>
            </w:pPr>
            <w:r>
              <w:t xml:space="preserve">Gastrointestinal, sobre todo vómitos</w:t>
            </w:r>
          </w:p>
        </w:tc>
      </w:tr>
      <w:tr>
        <w:tc>
          <w:tcPr/>
          <w:p>
            <w:pPr>
              <w:pStyle w:val="Compact"/>
              <w:jc w:val="left"/>
            </w:pPr>
            <w:r>
              <w:t xml:space="preserve">Cagrilintida / CagriSema</w:t>
            </w:r>
          </w:p>
        </w:tc>
        <w:tc>
          <w:tcPr/>
          <w:p>
            <w:pPr>
              <w:pStyle w:val="Compact"/>
              <w:jc w:val="left"/>
            </w:pPr>
            <w:r>
              <w:t xml:space="preserve">REDEFINE 1: −20,4 % frente a −3,0 % a las 68 semanas (PMID 40544433)</w:t>
            </w:r>
          </w:p>
        </w:tc>
        <w:tc>
          <w:tcPr/>
          <w:p>
            <w:pPr>
              <w:pStyle w:val="Compact"/>
              <w:jc w:val="left"/>
            </w:pPr>
            <w:r>
              <w:t xml:space="preserve">Molestias gastrointestinales en torno al 80 %</w:t>
            </w:r>
          </w:p>
        </w:tc>
      </w:tr>
      <w:tr>
        <w:tc>
          <w:tcPr/>
          <w:p>
            <w:pPr>
              <w:pStyle w:val="Compact"/>
              <w:jc w:val="left"/>
            </w:pPr>
            <w:r>
              <w:t xml:space="preserve">Amicretina</w:t>
            </w:r>
          </w:p>
        </w:tc>
        <w:tc>
          <w:tcPr/>
          <w:p>
            <w:pPr>
              <w:pStyle w:val="Compact"/>
              <w:jc w:val="left"/>
            </w:pPr>
            <w:r>
              <w:t xml:space="preserve">Fase 1b/2a: hasta −24,3 % frente a −1,1 % a las 36 semanas (PMID 40550231)</w:t>
            </w:r>
          </w:p>
        </w:tc>
        <w:tc>
          <w:tcPr/>
          <w:p>
            <w:pPr>
              <w:pStyle w:val="Compact"/>
              <w:jc w:val="left"/>
            </w:pPr>
            <w:r>
              <w:t xml:space="preserve">Gastrointestinal; consecuencias a largo plazo desconocidas</w:t>
            </w:r>
          </w:p>
        </w:tc>
      </w:tr>
      <w:tr>
        <w:tc>
          <w:tcPr/>
          <w:p>
            <w:pPr>
              <w:pStyle w:val="Compact"/>
              <w:jc w:val="left"/>
            </w:pPr>
            <w:r>
              <w:t xml:space="preserve">Maridebart cafraglutida</w:t>
            </w:r>
          </w:p>
        </w:tc>
        <w:tc>
          <w:tcPr/>
          <w:p>
            <w:pPr>
              <w:pStyle w:val="Compact"/>
              <w:jc w:val="left"/>
            </w:pPr>
            <w:r>
              <w:t xml:space="preserve">Fase 2: −12,3 a −16,2 % frente a −2,5 % a las 52 semanas (PMID 40549887)</w:t>
            </w:r>
          </w:p>
        </w:tc>
        <w:tc>
          <w:tcPr/>
          <w:p>
            <w:pPr>
              <w:pStyle w:val="Compact"/>
              <w:jc w:val="left"/>
            </w:pPr>
            <w:r>
              <w:t xml:space="preserve">Gastrointestinal; duración de acción muy larga</w:t>
            </w:r>
          </w:p>
        </w:tc>
      </w:tr>
      <w:tr>
        <w:tc>
          <w:tcPr/>
          <w:p>
            <w:pPr>
              <w:pStyle w:val="Compact"/>
              <w:jc w:val="left"/>
            </w:pPr>
            <w:r>
              <w:t xml:space="preserve">Pramlintida</w:t>
            </w:r>
          </w:p>
        </w:tc>
        <w:tc>
          <w:tcPr/>
          <w:p>
            <w:pPr>
              <w:pStyle w:val="Compact"/>
              <w:jc w:val="left"/>
            </w:pPr>
            <w:r>
              <w:t xml:space="preserve">HbA1c −0,62 puntos porcentuales, peso −1,4 kg (PMID 12610038)</w:t>
            </w:r>
          </w:p>
        </w:tc>
        <w:tc>
          <w:tcPr/>
          <w:p>
            <w:pPr>
              <w:pStyle w:val="Compact"/>
              <w:jc w:val="left"/>
            </w:pPr>
            <w:r>
              <w:t xml:space="preserve">hipoglucemia grave con insulina, náuseas</w:t>
            </w:r>
          </w:p>
        </w:tc>
      </w:tr>
      <w:tr>
        <w:tc>
          <w:tcPr/>
          <w:p>
            <w:pPr>
              <w:pStyle w:val="Compact"/>
              <w:jc w:val="left"/>
            </w:pPr>
            <w:r>
              <w:t xml:space="preserve">Setmelanotida</w:t>
            </w:r>
          </w:p>
        </w:tc>
        <w:tc>
          <w:tcPr/>
          <w:p>
            <w:pPr>
              <w:pStyle w:val="Compact"/>
              <w:jc w:val="left"/>
            </w:pPr>
            <w:r>
              <w:t xml:space="preserve">TRANSCEND: IMC −16,5 % frente a +3,3 % en la obesidad hipotalámica (PMID 42418774)</w:t>
            </w:r>
          </w:p>
        </w:tc>
        <w:tc>
          <w:tcPr/>
          <w:p>
            <w:pPr>
              <w:pStyle w:val="Compact"/>
              <w:jc w:val="left"/>
            </w:pPr>
            <w:r>
              <w:t xml:space="preserve">Lugar de inyección, oscurecimiento de la piel, náuseas</w:t>
            </w:r>
          </w:p>
        </w:tc>
      </w:tr>
      <w:tr>
        <w:tc>
          <w:tcPr/>
          <w:p>
            <w:pPr>
              <w:pStyle w:val="Compact"/>
              <w:jc w:val="left"/>
            </w:pPr>
            <w:r>
              <w:t xml:space="preserve">AOD-9604</w:t>
            </w:r>
          </w:p>
        </w:tc>
        <w:tc>
          <w:tcPr/>
          <w:p>
            <w:pPr>
              <w:pStyle w:val="Compact"/>
              <w:jc w:val="left"/>
            </w:pPr>
            <w:r>
              <w:t xml:space="preserve">Solo datos en animales: en ratones, menor aumento de peso (PMID 11673763)</w:t>
            </w:r>
          </w:p>
        </w:tc>
        <w:tc>
          <w:tcPr/>
          <w:p>
            <w:pPr>
              <w:pStyle w:val="Compact"/>
              <w:jc w:val="left"/>
            </w:pPr>
            <w:r>
              <w:t xml:space="preserve">Efecto en humanos desconocido</w:t>
            </w:r>
          </w:p>
        </w:tc>
      </w:tr>
      <w:tr>
        <w:tc>
          <w:tcPr/>
          <w:p>
            <w:pPr>
              <w:pStyle w:val="Compact"/>
              <w:jc w:val="left"/>
            </w:pPr>
            <w:r>
              <w:t xml:space="preserve">Orforglipron</w:t>
            </w:r>
          </w:p>
        </w:tc>
        <w:tc>
          <w:tcPr/>
          <w:p>
            <w:pPr>
              <w:pStyle w:val="Compact"/>
              <w:jc w:val="left"/>
            </w:pPr>
            <w:r>
              <w:t xml:space="preserve">ATTAIN-1: hasta −11,2 % frente a −2,1 % como comprimido (PMID 40960239)</w:t>
            </w:r>
          </w:p>
        </w:tc>
        <w:tc>
          <w:tcPr/>
          <w:p>
            <w:pPr>
              <w:pStyle w:val="Compact"/>
              <w:jc w:val="left"/>
            </w:pPr>
            <w:r>
              <w:t xml:space="preserve">Gastrointestinal, algo más de abandonos que con semaglutida en comprimido</w:t>
            </w:r>
          </w:p>
        </w:tc>
      </w:tr>
    </w:tbl>
    <w:bookmarkEnd w:id="935"/>
    <w:bookmarkStart w:id="936" w:name="X4c4fd37dabada98caba77684bf0f14593b9c10c"/>
    <w:p>
      <w:pPr>
        <w:pStyle w:val="Heading3"/>
      </w:pPr>
      <w:r>
        <w:t xml:space="preserve">B. Curación, regeneración y sistema inmunitario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 UE / EE. UU.</w:t>
            </w:r>
          </w:p>
        </w:tc>
        <w:tc>
          <w:tcPr/>
          <w:p>
            <w:pPr>
              <w:pStyle w:val="Compact"/>
              <w:jc w:val="left"/>
            </w:pPr>
            <w:r>
              <w:t xml:space="preserve">Estudios en humanos / registros</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0 / 4 (nota)</w:t>
            </w:r>
          </w:p>
        </w:tc>
      </w:tr>
      <w:tr>
        <w:tc>
          <w:tcPr/>
          <w:p>
            <w:pPr>
              <w:pStyle w:val="Compact"/>
              <w:jc w:val="left"/>
            </w:pPr>
            <w:r>
              <w:t xml:space="preserve">TB-500 / timosina beta 4</w:t>
            </w:r>
          </w:p>
        </w:tc>
        <w:tc>
          <w:tcPr/>
          <w:p>
            <w:pPr>
              <w:pStyle w:val="Compact"/>
              <w:jc w:val="left"/>
            </w:pPr>
            <w:r>
              <w:t xml:space="preserve">B (Tβ4) / D (TB-500)</w:t>
            </w:r>
          </w:p>
        </w:tc>
        <w:tc>
          <w:tcPr/>
          <w:p>
            <w:pPr>
              <w:pStyle w:val="Compact"/>
              <w:jc w:val="left"/>
            </w:pPr>
            <w:r>
              <w:t xml:space="preserve">no / no</w:t>
            </w:r>
          </w:p>
        </w:tc>
        <w:tc>
          <w:tcPr/>
          <w:p>
            <w:pPr>
              <w:pStyle w:val="Compact"/>
              <w:jc w:val="left"/>
            </w:pPr>
            <w:r>
              <w:t xml:space="preserve">9 / 18 (nota)</w:t>
            </w:r>
          </w:p>
        </w:tc>
      </w:tr>
      <w:tr>
        <w:tc>
          <w:tcPr/>
          <w:p>
            <w:pPr>
              <w:pStyle w:val="Compact"/>
              <w:jc w:val="left"/>
            </w:pPr>
            <w:r>
              <w:t xml:space="preserve">Timosina alfa 1</w:t>
            </w:r>
          </w:p>
        </w:tc>
        <w:tc>
          <w:tcPr/>
          <w:p>
            <w:pPr>
              <w:pStyle w:val="Compact"/>
              <w:jc w:val="left"/>
            </w:pPr>
            <w:r>
              <w:t xml:space="preserve">B</w:t>
            </w:r>
          </w:p>
        </w:tc>
        <w:tc>
          <w:tcPr/>
          <w:p>
            <w:pPr>
              <w:pStyle w:val="Compact"/>
              <w:jc w:val="left"/>
            </w:pPr>
            <w:r>
              <w:t xml:space="preserve">no / no (autorizada en China, entre otros)</w:t>
            </w:r>
          </w:p>
        </w:tc>
        <w:tc>
          <w:tcPr/>
          <w:p>
            <w:pPr>
              <w:pStyle w:val="Compact"/>
              <w:jc w:val="left"/>
            </w:pPr>
            <w:r>
              <w:t xml:space="preserve">90 / 66</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91 / 20 (nota)</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5 / 5</w:t>
            </w:r>
          </w:p>
        </w:tc>
      </w:tr>
      <w:tr>
        <w:tc>
          <w:tcPr/>
          <w:p>
            <w:pPr>
              <w:pStyle w:val="Compact"/>
              <w:jc w:val="left"/>
            </w:pPr>
            <w:r>
              <w:t xml:space="preserve">Larazotida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4 / 10 (nota)</w:t>
            </w:r>
          </w:p>
        </w:tc>
      </w:tr>
      <w:tr>
        <w:tc>
          <w:tcPr/>
          <w:p>
            <w:pPr>
              <w:pStyle w:val="Compact"/>
              <w:jc w:val="left"/>
            </w:pPr>
            <w:r>
              <w:t xml:space="preserve">Timalina</w:t>
            </w:r>
          </w:p>
        </w:tc>
        <w:tc>
          <w:tcPr/>
          <w:p>
            <w:pPr>
              <w:pStyle w:val="Compact"/>
              <w:jc w:val="left"/>
            </w:pPr>
            <w:r>
              <w:t xml:space="preserve">C</w:t>
            </w:r>
          </w:p>
        </w:tc>
        <w:tc>
          <w:tcPr/>
          <w:p>
            <w:pPr>
              <w:pStyle w:val="Compact"/>
              <w:jc w:val="left"/>
            </w:pPr>
            <w:r>
              <w:t xml:space="preserve">no / no (autorizada en Rusia)</w:t>
            </w:r>
          </w:p>
        </w:tc>
        <w:tc>
          <w:tcPr/>
          <w:p>
            <w:pPr>
              <w:pStyle w:val="Compact"/>
              <w:jc w:val="left"/>
            </w:pPr>
            <w:r>
              <w:t xml:space="preserve">17 / 0</w:t>
            </w:r>
          </w:p>
        </w:tc>
      </w:tr>
    </w:tbl>
    <w:p>
      <w:pPr>
        <w:pStyle w:val="BodyText"/>
      </w:pPr>
      <w:r>
        <w:t xml:space="preserve">Notas a la tabla: en el caso del</w:t>
      </w:r>
      <w:r>
        <w:t xml:space="preserve"> </w:t>
      </w:r>
      <w:r>
        <w:rPr>
          <w:bCs/>
          <w:b/>
        </w:rPr>
        <w:t xml:space="preserve">BPC-157</w:t>
      </w:r>
      <w:r>
        <w:t xml:space="preserve">, ninguna publicación cumplió los criterios de filtro de la búsqueda automática; en realidad hay tres pequeñas investigaciones no controladas con unas 30 personas en total. En el del</w:t>
      </w:r>
      <w:r>
        <w:t xml:space="preserve"> </w:t>
      </w:r>
      <w:r>
        <w:rPr>
          <w:bCs/>
          <w:b/>
        </w:rPr>
        <w:t xml:space="preserve">TB-500</w:t>
      </w:r>
      <w:r>
        <w:t xml:space="preserve">, los resultados se refieren a la proteína completa timosina beta 4 (solo seis de ellos como principio activo); ninguno estudia el TB-500. En el del</w:t>
      </w:r>
      <w:r>
        <w:t xml:space="preserve"> </w:t>
      </w:r>
      <w:r>
        <w:rPr>
          <w:bCs/>
          <w:b/>
        </w:rPr>
        <w:t xml:space="preserve">LL-37</w:t>
      </w:r>
      <w:r>
        <w:t xml:space="preserve">, la mayoría de los resultados solo miden el LL-37 como valor de laboratorio, por ejemplo en estudios sobre la vitamina D; los estudios en los que se administró el propio LL-37 son solo cinco en PubMed y dos en el registro. En el de la</w:t>
      </w:r>
      <w:r>
        <w:t xml:space="preserve"> </w:t>
      </w:r>
      <w:r>
        <w:rPr>
          <w:bCs/>
          <w:b/>
        </w:rPr>
        <w:t xml:space="preserve">larazotida</w:t>
      </w:r>
      <w:r>
        <w:t xml:space="preserve">, la búsqueda encontró 29 registros, 19 de los cuales se refieren a otro medicamento con el mismo código de desarrollo anterior; la tabla indica la cifra depurada.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Péptido</w:t>
            </w:r>
          </w:p>
        </w:tc>
        <w:tc>
          <w:tcPr/>
          <w:p>
            <w:pPr>
              <w:pStyle w:val="Compact"/>
              <w:jc w:val="left"/>
            </w:pPr>
            <w:r>
              <w:t xml:space="preserve">Resultado clave</w:t>
            </w:r>
          </w:p>
        </w:tc>
        <w:tc>
          <w:tcPr/>
          <w:p>
            <w:pPr>
              <w:pStyle w:val="Compact"/>
              <w:jc w:val="left"/>
            </w:pPr>
            <w:r>
              <w:t xml:space="preserve">Riesgo principal</w:t>
            </w:r>
          </w:p>
        </w:tc>
      </w:tr>
      <w:tr>
        <w:tc>
          <w:tcPr/>
          <w:p>
            <w:pPr>
              <w:pStyle w:val="Compact"/>
              <w:jc w:val="left"/>
            </w:pPr>
            <w:r>
              <w:t xml:space="preserve">BPC-157</w:t>
            </w:r>
          </w:p>
        </w:tc>
        <w:tc>
          <w:tcPr/>
          <w:p>
            <w:pPr>
              <w:pStyle w:val="Compact"/>
              <w:jc w:val="left"/>
            </w:pPr>
            <w:r>
              <w:t xml:space="preserve">Tres investigaciones piloto no controladas; evidencia muy baja según una revisión (PMID 42885452)</w:t>
            </w:r>
          </w:p>
        </w:tc>
        <w:tc>
          <w:tcPr/>
          <w:p>
            <w:pPr>
              <w:pStyle w:val="Compact"/>
              <w:jc w:val="left"/>
            </w:pPr>
            <w:r>
              <w:t xml:space="preserve">seguridad a largo plazo desconocida, calidad del mercado gris</w:t>
            </w:r>
          </w:p>
        </w:tc>
      </w:tr>
      <w:tr>
        <w:tc>
          <w:tcPr/>
          <w:p>
            <w:pPr>
              <w:pStyle w:val="Compact"/>
              <w:jc w:val="left"/>
            </w:pPr>
            <w:r>
              <w:t xml:space="preserve">TB-500 / timosina beta 4</w:t>
            </w:r>
          </w:p>
        </w:tc>
        <w:tc>
          <w:tcPr/>
          <w:p>
            <w:pPr>
              <w:pStyle w:val="Compact"/>
              <w:jc w:val="left"/>
            </w:pPr>
            <w:r>
              <w:t xml:space="preserve">Tβ4 tras infarto de miocardio: tamaño del infarto no significativamente menor (PMID 41229390); TB-500 sin evaluar</w:t>
            </w:r>
          </w:p>
        </w:tc>
        <w:tc>
          <w:tcPr/>
          <w:p>
            <w:pPr>
              <w:pStyle w:val="Compact"/>
              <w:jc w:val="left"/>
            </w:pPr>
            <w:r>
              <w:t xml:space="preserve">contenido incierto, teóricamente promoción tumoral</w:t>
            </w:r>
          </w:p>
        </w:tc>
      </w:tr>
      <w:tr>
        <w:tc>
          <w:tcPr/>
          <w:p>
            <w:pPr>
              <w:pStyle w:val="Compact"/>
              <w:jc w:val="left"/>
            </w:pPr>
            <w:r>
              <w:t xml:space="preserve">Timosina alfa 1</w:t>
            </w:r>
          </w:p>
        </w:tc>
        <w:tc>
          <w:tcPr/>
          <w:p>
            <w:pPr>
              <w:pStyle w:val="Compact"/>
              <w:jc w:val="left"/>
            </w:pPr>
            <w:r>
              <w:t xml:space="preserve">TESTS en la sepsis: mortalidad a 28 días 23,4 % frente a 24,1 %, sin diferencia (PMID 39814420)</w:t>
            </w:r>
          </w:p>
        </w:tc>
        <w:tc>
          <w:tcPr/>
          <w:p>
            <w:pPr>
              <w:pStyle w:val="Compact"/>
              <w:jc w:val="left"/>
            </w:pPr>
            <w:r>
              <w:t xml:space="preserve">posibles desventajas en subgrupos; mercado gris</w:t>
            </w:r>
          </w:p>
        </w:tc>
      </w:tr>
      <w:tr>
        <w:tc>
          <w:tcPr/>
          <w:p>
            <w:pPr>
              <w:pStyle w:val="Compact"/>
              <w:jc w:val="left"/>
            </w:pPr>
            <w:r>
              <w:t xml:space="preserve">KPV</w:t>
            </w:r>
          </w:p>
        </w:tc>
        <w:tc>
          <w:tcPr/>
          <w:p>
            <w:pPr>
              <w:pStyle w:val="Compact"/>
              <w:jc w:val="left"/>
            </w:pPr>
            <w:r>
              <w:t xml:space="preserve">Solo datos en animales: menos inflamación intestinal en ratones (PMID 18061177)</w:t>
            </w:r>
          </w:p>
        </w:tc>
        <w:tc>
          <w:tcPr/>
          <w:p>
            <w:pPr>
              <w:pStyle w:val="Compact"/>
              <w:jc w:val="left"/>
            </w:pPr>
            <w:r>
              <w:t xml:space="preserve">perfil en humanos completamente desconocido</w:t>
            </w:r>
          </w:p>
        </w:tc>
      </w:tr>
      <w:tr>
        <w:tc>
          <w:tcPr/>
          <w:p>
            <w:pPr>
              <w:pStyle w:val="Compact"/>
              <w:jc w:val="left"/>
            </w:pPr>
            <w:r>
              <w:t xml:space="preserve">LL-37</w:t>
            </w:r>
          </w:p>
        </w:tc>
        <w:tc>
          <w:tcPr/>
          <w:p>
            <w:pPr>
              <w:pStyle w:val="Compact"/>
              <w:jc w:val="left"/>
            </w:pPr>
            <w:r>
              <w:t xml:space="preserve">HEAL LL-37: las úlceras de pierna no cicatrizaron mejor que con placebo (PMID 34687253)</w:t>
            </w:r>
          </w:p>
        </w:tc>
        <w:tc>
          <w:tcPr/>
          <w:p>
            <w:pPr>
              <w:pStyle w:val="Compact"/>
              <w:jc w:val="left"/>
            </w:pPr>
            <w:r>
              <w:t xml:space="preserve">reacciones inflamatorias y autoinmunitarias</w:t>
            </w:r>
          </w:p>
        </w:tc>
      </w:tr>
      <w:tr>
        <w:tc>
          <w:tcPr/>
          <w:p>
            <w:pPr>
              <w:pStyle w:val="Compact"/>
              <w:jc w:val="left"/>
            </w:pPr>
            <w:r>
              <w:t xml:space="preserve">ARA-290</w:t>
            </w:r>
          </w:p>
        </w:tc>
        <w:tc>
          <w:tcPr/>
          <w:p>
            <w:pPr>
              <w:pStyle w:val="Compact"/>
              <w:jc w:val="left"/>
            </w:pPr>
            <w:r>
              <w:t xml:space="preserve">Fase 2b: fibras nerviosas aumentadas solo con una de tres dosis (PMID 28475703)</w:t>
            </w:r>
          </w:p>
        </w:tc>
        <w:tc>
          <w:tcPr/>
          <w:p>
            <w:pPr>
              <w:pStyle w:val="Compact"/>
              <w:jc w:val="left"/>
            </w:pPr>
            <w:r>
              <w:t xml:space="preserve">apenas datos más allá de doce semanas</w:t>
            </w:r>
          </w:p>
        </w:tc>
      </w:tr>
      <w:tr>
        <w:tc>
          <w:tcPr/>
          <w:p>
            <w:pPr>
              <w:pStyle w:val="Compact"/>
              <w:jc w:val="left"/>
            </w:pPr>
            <w:r>
              <w:t xml:space="preserve">Larazotida</w:t>
            </w:r>
          </w:p>
        </w:tc>
        <w:tc>
          <w:tcPr/>
          <w:p>
            <w:pPr>
              <w:pStyle w:val="Compact"/>
              <w:jc w:val="left"/>
            </w:pPr>
            <w:r>
              <w:t xml:space="preserve">Solo la menor de tres dosis fue mejor que placebo (PMID 25683116); fase 3 interrumpida</w:t>
            </w:r>
          </w:p>
        </w:tc>
        <w:tc>
          <w:tcPr/>
          <w:p>
            <w:pPr>
              <w:pStyle w:val="Compact"/>
              <w:jc w:val="left"/>
            </w:pPr>
            <w:r>
              <w:t xml:space="preserve">relajación de la dieta sin gluten</w:t>
            </w:r>
          </w:p>
        </w:tc>
      </w:tr>
      <w:tr>
        <w:tc>
          <w:tcPr/>
          <w:p>
            <w:pPr>
              <w:pStyle w:val="Compact"/>
              <w:jc w:val="left"/>
            </w:pPr>
            <w:r>
              <w:t xml:space="preserve">Timalina</w:t>
            </w:r>
          </w:p>
        </w:tc>
        <w:tc>
          <w:tcPr/>
          <w:p>
            <w:pPr>
              <w:pStyle w:val="Compact"/>
              <w:jc w:val="left"/>
            </w:pPr>
            <w:r>
              <w:t xml:space="preserve">Observación ruso-ucraniana: menor mortalidad, asignación poco clara (PMID 14523363)</w:t>
            </w:r>
          </w:p>
        </w:tc>
        <w:tc>
          <w:tcPr/>
          <w:p>
            <w:pPr>
              <w:pStyle w:val="Compact"/>
              <w:jc w:val="left"/>
            </w:pPr>
            <w:r>
              <w:t xml:space="preserve">extracto animal, riesgos de lote</w:t>
            </w:r>
          </w:p>
        </w:tc>
      </w:tr>
    </w:tbl>
    <w:bookmarkEnd w:id="936"/>
    <w:bookmarkStart w:id="937" w:name="c.-eje-de-la-hormona-del-crecimiento"/>
    <w:p>
      <w:pPr>
        <w:pStyle w:val="Heading3"/>
      </w:pPr>
      <w:r>
        <w:t xml:space="preserve">C. Eje de la hormona del crecimiento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 UE / EE. UU.</w:t>
            </w:r>
          </w:p>
        </w:tc>
        <w:tc>
          <w:tcPr/>
          <w:p>
            <w:pPr>
              <w:pStyle w:val="Compact"/>
              <w:jc w:val="left"/>
            </w:pPr>
            <w:r>
              <w:t xml:space="preserve">Estudios en humanos / registros</w:t>
            </w:r>
          </w:p>
        </w:tc>
      </w:tr>
      <w:tr>
        <w:tc>
          <w:tcPr/>
          <w:p>
            <w:pPr>
              <w:pStyle w:val="Compact"/>
              <w:jc w:val="left"/>
            </w:pPr>
            <w:r>
              <w:t xml:space="preserve">Sermorelina</w:t>
            </w:r>
          </w:p>
        </w:tc>
        <w:tc>
          <w:tcPr/>
          <w:p>
            <w:pPr>
              <w:pStyle w:val="Compact"/>
              <w:jc w:val="left"/>
            </w:pPr>
            <w:r>
              <w:t xml:space="preserve">B</w:t>
            </w:r>
          </w:p>
        </w:tc>
        <w:tc>
          <w:tcPr/>
          <w:p>
            <w:pPr>
              <w:pStyle w:val="Compact"/>
              <w:jc w:val="left"/>
            </w:pPr>
            <w:r>
              <w:t xml:space="preserve">no / antes sí, retirada del mercado</w:t>
            </w:r>
          </w:p>
        </w:tc>
        <w:tc>
          <w:tcPr/>
          <w:p>
            <w:pPr>
              <w:pStyle w:val="Compact"/>
              <w:jc w:val="left"/>
            </w:pPr>
            <w:r>
              <w:t xml:space="preserve">0 / 27 (nota)</w:t>
            </w:r>
          </w:p>
        </w:tc>
      </w:tr>
      <w:tr>
        <w:tc>
          <w:tcPr/>
          <w:p>
            <w:pPr>
              <w:pStyle w:val="Compact"/>
              <w:jc w:val="left"/>
            </w:pPr>
            <w:r>
              <w:t xml:space="preserve">Tesamorelina</w:t>
            </w:r>
          </w:p>
        </w:tc>
        <w:tc>
          <w:tcPr/>
          <w:p>
            <w:pPr>
              <w:pStyle w:val="Compact"/>
              <w:jc w:val="left"/>
            </w:pPr>
            <w:r>
              <w:t xml:space="preserve">A</w:t>
            </w:r>
          </w:p>
        </w:tc>
        <w:tc>
          <w:tcPr/>
          <w:p>
            <w:pPr>
              <w:pStyle w:val="Compact"/>
              <w:jc w:val="left"/>
            </w:pPr>
            <w:r>
              <w:t xml:space="preserve">no / sí (lipodistrofia por VIH)</w:t>
            </w:r>
          </w:p>
        </w:tc>
        <w:tc>
          <w:tcPr/>
          <w:p>
            <w:pPr>
              <w:pStyle w:val="Compact"/>
              <w:jc w:val="left"/>
            </w:pPr>
            <w:r>
              <w:t xml:space="preserve">23 / 23</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2 / 1</w:t>
            </w:r>
          </w:p>
        </w:tc>
      </w:tr>
      <w:tr>
        <w:tc>
          <w:tcPr/>
          <w:p>
            <w:pPr>
              <w:pStyle w:val="Compact"/>
              <w:jc w:val="left"/>
            </w:pPr>
            <w:r>
              <w:t xml:space="preserve">Ipamorelina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2 / 3</w:t>
            </w:r>
          </w:p>
        </w:tc>
      </w:tr>
      <w:tr>
        <w:tc>
          <w:tcPr/>
          <w:p>
            <w:pPr>
              <w:pStyle w:val="Compact"/>
              <w:jc w:val="left"/>
            </w:pPr>
            <w:r>
              <w:t xml:space="preserve">GHRP-2</w:t>
            </w:r>
          </w:p>
        </w:tc>
        <w:tc>
          <w:tcPr/>
          <w:p>
            <w:pPr>
              <w:pStyle w:val="Compact"/>
              <w:jc w:val="left"/>
            </w:pPr>
            <w:r>
              <w:t xml:space="preserve">B</w:t>
            </w:r>
          </w:p>
        </w:tc>
        <w:tc>
          <w:tcPr/>
          <w:p>
            <w:pPr>
              <w:pStyle w:val="Compact"/>
              <w:jc w:val="left"/>
            </w:pPr>
            <w:r>
              <w:t xml:space="preserve">no / no (Japón: agente diagnóstico)</w:t>
            </w:r>
          </w:p>
        </w:tc>
        <w:tc>
          <w:tcPr/>
          <w:p>
            <w:pPr>
              <w:pStyle w:val="Compact"/>
              <w:jc w:val="left"/>
            </w:pPr>
            <w:r>
              <w:t xml:space="preserve">55 / 0 (nota)</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40 / 0 (nota)</w:t>
            </w:r>
          </w:p>
        </w:tc>
      </w:tr>
      <w:tr>
        <w:tc>
          <w:tcPr/>
          <w:p>
            <w:pPr>
              <w:pStyle w:val="Compact"/>
              <w:jc w:val="left"/>
            </w:pPr>
            <w:r>
              <w:t xml:space="preserve">Hexarelina</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58 / 0 (nota)</w:t>
            </w:r>
          </w:p>
        </w:tc>
      </w:tr>
      <w:tr>
        <w:tc>
          <w:tcPr/>
          <w:p>
            <w:pPr>
              <w:pStyle w:val="Compact"/>
              <w:jc w:val="left"/>
            </w:pPr>
            <w:r>
              <w:t xml:space="preserve">Macimorelina</w:t>
            </w:r>
          </w:p>
        </w:tc>
        <w:tc>
          <w:tcPr/>
          <w:p>
            <w:pPr>
              <w:pStyle w:val="Compact"/>
              <w:jc w:val="left"/>
            </w:pPr>
            <w:r>
              <w:t xml:space="preserve">A</w:t>
            </w:r>
          </w:p>
        </w:tc>
        <w:tc>
          <w:tcPr/>
          <w:p>
            <w:pPr>
              <w:pStyle w:val="Compact"/>
              <w:jc w:val="left"/>
            </w:pPr>
            <w:r>
              <w:t xml:space="preserve">sí / sí (solo agente diagnóstico)</w:t>
            </w:r>
          </w:p>
        </w:tc>
        <w:tc>
          <w:tcPr/>
          <w:p>
            <w:pPr>
              <w:pStyle w:val="Compact"/>
              <w:jc w:val="left"/>
            </w:pPr>
            <w:r>
              <w:t xml:space="preserve">4 / 6</w:t>
            </w:r>
          </w:p>
        </w:tc>
      </w:tr>
      <w:tr>
        <w:tc>
          <w:tcPr/>
          <w:p>
            <w:pPr>
              <w:pStyle w:val="Compact"/>
              <w:jc w:val="left"/>
            </w:pPr>
            <w:r>
              <w:t xml:space="preserve">Mecasermina (IGF-1)</w:t>
            </w:r>
          </w:p>
        </w:tc>
        <w:tc>
          <w:tcPr/>
          <w:p>
            <w:pPr>
              <w:pStyle w:val="Compact"/>
              <w:jc w:val="left"/>
            </w:pPr>
            <w:r>
              <w:t xml:space="preserve">A</w:t>
            </w:r>
          </w:p>
        </w:tc>
        <w:tc>
          <w:tcPr/>
          <w:p>
            <w:pPr>
              <w:pStyle w:val="Compact"/>
              <w:jc w:val="left"/>
            </w:pPr>
            <w:r>
              <w:t xml:space="preserve">sí / sí</w:t>
            </w:r>
          </w:p>
        </w:tc>
        <w:tc>
          <w:tcPr/>
          <w:p>
            <w:pPr>
              <w:pStyle w:val="Compact"/>
              <w:jc w:val="left"/>
            </w:pPr>
            <w:r>
              <w:t xml:space="preserve">21 / 37</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Ibutamoreno (no es un péptido)</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19 / 8</w:t>
            </w:r>
          </w:p>
        </w:tc>
      </w:tr>
    </w:tbl>
    <w:p>
      <w:pPr>
        <w:pStyle w:val="BodyText"/>
      </w:pPr>
      <w:r>
        <w:t xml:space="preserve">Notas a la tabla: en el caso de la</w:t>
      </w:r>
      <w:r>
        <w:t xml:space="preserve"> </w:t>
      </w:r>
      <w:r>
        <w:rPr>
          <w:bCs/>
          <w:b/>
        </w:rPr>
        <w:t xml:space="preserve">sermorelina</w:t>
      </w:r>
      <w:r>
        <w:t xml:space="preserve">, la búsqueda por nombre no encuentra ningún estudio en humanos, porque la mayoría de los trabajos se publicaron como «GHRH(1-29)» o «GRF 1-29»; con una búsqueda dirigida son varias docenas de estudios pequeños, en su mayoría anteriores a 2000. En cambio, muchos de los 27 resultados del registro se refieren a la tesamorelina o a pruebas de GHRH en general. En el de</w:t>
      </w:r>
      <w:r>
        <w:t xml:space="preserve"> </w:t>
      </w:r>
      <w:r>
        <w:rPr>
          <w:bCs/>
          <w:b/>
        </w:rPr>
        <w:t xml:space="preserve">GHRP-2, GHRP-6 y hexarelina</w:t>
      </w:r>
      <w:r>
        <w:t xml:space="preserve">, casi todos los trabajos usan la sustancia solo como sustancia de prueba única para investigar la regulación hormonal; no dicen nada sobre un beneficio.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Péptido</w:t>
            </w:r>
          </w:p>
        </w:tc>
        <w:tc>
          <w:tcPr/>
          <w:p>
            <w:pPr>
              <w:pStyle w:val="Compact"/>
              <w:jc w:val="left"/>
            </w:pPr>
            <w:r>
              <w:t xml:space="preserve">Resultado clave</w:t>
            </w:r>
          </w:p>
        </w:tc>
        <w:tc>
          <w:tcPr/>
          <w:p>
            <w:pPr>
              <w:pStyle w:val="Compact"/>
              <w:jc w:val="left"/>
            </w:pPr>
            <w:r>
              <w:t xml:space="preserve">Riesgo principal</w:t>
            </w:r>
          </w:p>
        </w:tc>
      </w:tr>
      <w:tr>
        <w:tc>
          <w:tcPr/>
          <w:p>
            <w:pPr>
              <w:pStyle w:val="Compact"/>
              <w:jc w:val="left"/>
            </w:pPr>
            <w:r>
              <w:t xml:space="preserve">Sermorelina</w:t>
            </w:r>
          </w:p>
        </w:tc>
        <w:tc>
          <w:tcPr/>
          <w:p>
            <w:pPr>
              <w:pStyle w:val="Compact"/>
              <w:jc w:val="left"/>
            </w:pPr>
            <w:r>
              <w:t xml:space="preserve">110 niños con déficit de GH: crecimiento de 4,1 a 7,2 cm/año (PMID 8772599)</w:t>
            </w:r>
          </w:p>
        </w:tc>
        <w:tc>
          <w:tcPr/>
          <w:p>
            <w:pPr>
              <w:pStyle w:val="Compact"/>
              <w:jc w:val="left"/>
            </w:pPr>
            <w:r>
              <w:t xml:space="preserve">Rubefacción; consecuencias a largo plazo en adultos sin aclarar</w:t>
            </w:r>
          </w:p>
        </w:tc>
      </w:tr>
      <w:tr>
        <w:tc>
          <w:tcPr/>
          <w:p>
            <w:pPr>
              <w:pStyle w:val="Compact"/>
              <w:jc w:val="left"/>
            </w:pPr>
            <w:r>
              <w:t xml:space="preserve">Tesamorelina</w:t>
            </w:r>
          </w:p>
        </w:tc>
        <w:tc>
          <w:tcPr/>
          <w:p>
            <w:pPr>
              <w:pStyle w:val="Compact"/>
              <w:jc w:val="left"/>
            </w:pPr>
            <w:r>
              <w:t xml:space="preserve">Dos estudios de fase 3 con 806 personas: grasa abdominal visceral −15,4 % frente a placebo (PMID 20554713)</w:t>
            </w:r>
          </w:p>
        </w:tc>
        <w:tc>
          <w:tcPr/>
          <w:p>
            <w:pPr>
              <w:pStyle w:val="Compact"/>
              <w:jc w:val="left"/>
            </w:pPr>
            <w:r>
              <w:t xml:space="preserve">Dolor articular, retención de líquidos, glucemia</w:t>
            </w:r>
          </w:p>
        </w:tc>
      </w:tr>
      <w:tr>
        <w:tc>
          <w:tcPr/>
          <w:p>
            <w:pPr>
              <w:pStyle w:val="Compact"/>
              <w:jc w:val="left"/>
            </w:pPr>
            <w:r>
              <w:t xml:space="preserve">CJC-1295</w:t>
            </w:r>
          </w:p>
        </w:tc>
        <w:tc>
          <w:tcPr/>
          <w:p>
            <w:pPr>
              <w:pStyle w:val="Compact"/>
              <w:jc w:val="left"/>
            </w:pPr>
            <w:r>
              <w:t xml:space="preserve">Inyección única: GH multiplicada por 2 a 10, IGF-1 por 1,5 a 3 (PMID 16352683)</w:t>
            </w:r>
          </w:p>
        </w:tc>
        <w:tc>
          <w:tcPr/>
          <w:p>
            <w:pPr>
              <w:pStyle w:val="Compact"/>
              <w:jc w:val="left"/>
            </w:pPr>
            <w:r>
              <w:t xml:space="preserve">estimulación continua no estudiada, contenido incierto</w:t>
            </w:r>
          </w:p>
        </w:tc>
      </w:tr>
      <w:tr>
        <w:tc>
          <w:tcPr/>
          <w:p>
            <w:pPr>
              <w:pStyle w:val="Compact"/>
              <w:jc w:val="left"/>
            </w:pPr>
            <w:r>
              <w:t xml:space="preserve">Ipamorelina</w:t>
            </w:r>
          </w:p>
        </w:tc>
        <w:tc>
          <w:tcPr/>
          <w:p>
            <w:pPr>
              <w:pStyle w:val="Compact"/>
              <w:jc w:val="left"/>
            </w:pPr>
            <w:r>
              <w:t xml:space="preserve">Fase 2 tras cirugía intestinal: sin beneficio significativo (PMID 25331030)</w:t>
            </w:r>
          </w:p>
        </w:tc>
        <w:tc>
          <w:tcPr/>
          <w:p>
            <w:pPr>
              <w:pStyle w:val="Compact"/>
              <w:jc w:val="left"/>
            </w:pPr>
            <w:r>
              <w:t xml:space="preserve">sin datos sobre uso continuado; moléculas modificadas</w:t>
            </w:r>
          </w:p>
        </w:tc>
      </w:tr>
      <w:tr>
        <w:tc>
          <w:tcPr/>
          <w:p>
            <w:pPr>
              <w:pStyle w:val="Compact"/>
              <w:jc w:val="left"/>
            </w:pPr>
            <w:r>
              <w:t xml:space="preserve">GHRP-2</w:t>
            </w:r>
          </w:p>
        </w:tc>
        <w:tc>
          <w:tcPr/>
          <w:p>
            <w:pPr>
              <w:pStyle w:val="Compact"/>
              <w:jc w:val="left"/>
            </w:pPr>
            <w:r>
              <w:t xml:space="preserve">Como prueba, distinguió de forma fiable el déficit de GH de las personas sanas (PMID 17609397)</w:t>
            </w:r>
          </w:p>
        </w:tc>
        <w:tc>
          <w:tcPr/>
          <w:p>
            <w:pPr>
              <w:pStyle w:val="Compact"/>
              <w:jc w:val="left"/>
            </w:pPr>
            <w:r>
              <w:t xml:space="preserve">Hambre voraz, aumento de hormonas del estrés</w:t>
            </w:r>
          </w:p>
        </w:tc>
      </w:tr>
      <w:tr>
        <w:tc>
          <w:tcPr/>
          <w:p>
            <w:pPr>
              <w:pStyle w:val="Compact"/>
              <w:jc w:val="left"/>
            </w:pPr>
            <w:r>
              <w:t xml:space="preserve">GHRP-6</w:t>
            </w:r>
          </w:p>
        </w:tc>
        <w:tc>
          <w:tcPr/>
          <w:p>
            <w:pPr>
              <w:pStyle w:val="Compact"/>
              <w:jc w:val="left"/>
            </w:pPr>
            <w:r>
              <w:t xml:space="preserve">Una prueba combinada detectó de forma fiable el déficit de GH (PMID 11030292)</w:t>
            </w:r>
          </w:p>
        </w:tc>
        <w:tc>
          <w:tcPr/>
          <w:p>
            <w:pPr>
              <w:pStyle w:val="Compact"/>
              <w:jc w:val="left"/>
            </w:pPr>
            <w:r>
              <w:t xml:space="preserve">Rubefacción, aumentos hormonales, hambre</w:t>
            </w:r>
          </w:p>
        </w:tc>
      </w:tr>
      <w:tr>
        <w:tc>
          <w:tcPr/>
          <w:p>
            <w:pPr>
              <w:pStyle w:val="Compact"/>
              <w:jc w:val="left"/>
            </w:pPr>
            <w:r>
              <w:t xml:space="preserve">Hexarelina</w:t>
            </w:r>
          </w:p>
        </w:tc>
        <w:tc>
          <w:tcPr/>
          <w:p>
            <w:pPr>
              <w:pStyle w:val="Compact"/>
              <w:jc w:val="left"/>
            </w:pPr>
            <w:r>
              <w:t xml:space="preserve">Pérdida de efecto a lo largo de 16 semanas, composición corporal sin cambios (PMID 9589671)</w:t>
            </w:r>
          </w:p>
        </w:tc>
        <w:tc>
          <w:tcPr/>
          <w:p>
            <w:pPr>
              <w:pStyle w:val="Compact"/>
              <w:jc w:val="left"/>
            </w:pPr>
            <w:r>
              <w:t xml:space="preserve">Hormonas del estrés, prolactina, pérdida de efecto</w:t>
            </w:r>
          </w:p>
        </w:tc>
      </w:tr>
      <w:tr>
        <w:tc>
          <w:tcPr/>
          <w:p>
            <w:pPr>
              <w:pStyle w:val="Compact"/>
              <w:jc w:val="left"/>
            </w:pPr>
            <w:r>
              <w:t xml:space="preserve">Macimorelina</w:t>
            </w:r>
          </w:p>
        </w:tc>
        <w:tc>
          <w:tcPr/>
          <w:p>
            <w:pPr>
              <w:pStyle w:val="Compact"/>
              <w:jc w:val="left"/>
            </w:pPr>
            <w:r>
              <w:t xml:space="preserve">Prueba con un 87 % de sensibilidad y un 96 % de especificidad frente a la prueba de insulina (PMID 29860473)</w:t>
            </w:r>
          </w:p>
        </w:tc>
        <w:tc>
          <w:tcPr/>
          <w:p>
            <w:pPr>
              <w:pStyle w:val="Compact"/>
              <w:jc w:val="left"/>
            </w:pPr>
            <w:r>
              <w:t xml:space="preserve">Prolongación del QT en sobredosis</w:t>
            </w:r>
          </w:p>
        </w:tc>
      </w:tr>
      <w:tr>
        <w:tc>
          <w:tcPr/>
          <w:p>
            <w:pPr>
              <w:pStyle w:val="Compact"/>
              <w:jc w:val="left"/>
            </w:pPr>
            <w:r>
              <w:t xml:space="preserve">Mecasermina (IGF-1)</w:t>
            </w:r>
          </w:p>
        </w:tc>
        <w:tc>
          <w:tcPr/>
          <w:p>
            <w:pPr>
              <w:pStyle w:val="Compact"/>
              <w:jc w:val="left"/>
            </w:pPr>
            <w:r>
              <w:t xml:space="preserve">76 niños con resistencia a la GH: crecimiento de 2,8 a 8,0 cm/año (PMID 17192294)</w:t>
            </w:r>
          </w:p>
        </w:tc>
        <w:tc>
          <w:tcPr/>
          <w:p>
            <w:pPr>
              <w:pStyle w:val="Compact"/>
              <w:jc w:val="left"/>
            </w:pPr>
            <w:r>
              <w:t xml:space="preserve">Hipoglucemia; advertencia sobre neoplasias</w:t>
            </w:r>
          </w:p>
        </w:tc>
      </w:tr>
      <w:tr>
        <w:tc>
          <w:tcPr/>
          <w:p>
            <w:pPr>
              <w:pStyle w:val="Compact"/>
              <w:jc w:val="left"/>
            </w:pPr>
            <w:r>
              <w:t xml:space="preserve">IGF-1 LR3</w:t>
            </w:r>
          </w:p>
        </w:tc>
        <w:tc>
          <w:tcPr/>
          <w:p>
            <w:pPr>
              <w:pStyle w:val="Compact"/>
              <w:jc w:val="left"/>
            </w:pPr>
            <w:r>
              <w:t xml:space="preserve">Ningún estudio en humanos; en un vial del mercado negro, una variante de laboratorio (PMID 20675162)</w:t>
            </w:r>
          </w:p>
        </w:tc>
        <w:tc>
          <w:tcPr/>
          <w:p>
            <w:pPr>
              <w:pStyle w:val="Compact"/>
              <w:jc w:val="left"/>
            </w:pPr>
            <w:r>
              <w:t xml:space="preserve">Hipoglucemia, señales de crecimiento (teórico)</w:t>
            </w:r>
          </w:p>
        </w:tc>
      </w:tr>
      <w:tr>
        <w:tc>
          <w:tcPr/>
          <w:p>
            <w:pPr>
              <w:pStyle w:val="Compact"/>
              <w:jc w:val="left"/>
            </w:pPr>
            <w:r>
              <w:t xml:space="preserve">Ibutamoreno</w:t>
            </w:r>
          </w:p>
        </w:tc>
        <w:tc>
          <w:tcPr/>
          <w:p>
            <w:pPr>
              <w:pStyle w:val="Compact"/>
              <w:jc w:val="left"/>
            </w:pPr>
            <w:r>
              <w:t xml:space="preserve">65 personas mayores: masa libre de grasa +1,1 kg, fuerza y función sin cambios (PMID 18981485)</w:t>
            </w:r>
          </w:p>
        </w:tc>
        <w:tc>
          <w:tcPr/>
          <w:p>
            <w:pPr>
              <w:pStyle w:val="Compact"/>
              <w:jc w:val="left"/>
            </w:pPr>
            <w:r>
              <w:t xml:space="preserve">Señal de insuficiencia cardiaca, glucemia más alta</w:t>
            </w:r>
          </w:p>
        </w:tc>
      </w:tr>
    </w:tbl>
    <w:bookmarkEnd w:id="937"/>
    <w:bookmarkStart w:id="938" w:name="d.-cerebro-sueño-y-longevidad"/>
    <w:p>
      <w:pPr>
        <w:pStyle w:val="Heading3"/>
      </w:pPr>
      <w:r>
        <w:t xml:space="preserve">D. Cerebro, sueño y longevidad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 UE / EE. UU.</w:t>
            </w:r>
          </w:p>
        </w:tc>
        <w:tc>
          <w:tcPr/>
          <w:p>
            <w:pPr>
              <w:pStyle w:val="Compact"/>
              <w:jc w:val="left"/>
            </w:pPr>
            <w:r>
              <w:t xml:space="preserve">Estudios en humanos / registros</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no / no (registrado en Rusia)</w:t>
            </w:r>
          </w:p>
        </w:tc>
        <w:tc>
          <w:tcPr/>
          <w:p>
            <w:pPr>
              <w:pStyle w:val="Compact"/>
              <w:jc w:val="left"/>
            </w:pPr>
            <w:r>
              <w:t xml:space="preserve">4 / 0</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no / no (registrado en Rusia)</w:t>
            </w:r>
          </w:p>
        </w:tc>
        <w:tc>
          <w:tcPr/>
          <w:p>
            <w:pPr>
              <w:pStyle w:val="Compact"/>
              <w:jc w:val="left"/>
            </w:pPr>
            <w:r>
              <w:t xml:space="preserve">3 / 2 (nota)</w:t>
            </w:r>
          </w:p>
        </w:tc>
      </w:tr>
      <w:tr>
        <w:tc>
          <w:tcPr/>
          <w:p>
            <w:pPr>
              <w:pStyle w:val="Compact"/>
              <w:jc w:val="left"/>
            </w:pPr>
            <w:r>
              <w:t xml:space="preserve">Cerebrolisina</w:t>
            </w:r>
          </w:p>
        </w:tc>
        <w:tc>
          <w:tcPr/>
          <w:p>
            <w:pPr>
              <w:pStyle w:val="Compact"/>
              <w:jc w:val="left"/>
            </w:pPr>
            <w:r>
              <w:t xml:space="preserve">B</w:t>
            </w:r>
          </w:p>
        </w:tc>
        <w:tc>
          <w:tcPr/>
          <w:p>
            <w:pPr>
              <w:pStyle w:val="Compact"/>
              <w:jc w:val="left"/>
            </w:pPr>
            <w:r>
              <w:t xml:space="preserve">nacional (p. ej., Austria) / no</w:t>
            </w:r>
          </w:p>
        </w:tc>
        <w:tc>
          <w:tcPr/>
          <w:p>
            <w:pPr>
              <w:pStyle w:val="Compact"/>
              <w:jc w:val="left"/>
            </w:pPr>
            <w:r>
              <w:t xml:space="preserve">88 / 43</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18 / 1 (nota)</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1 / 1 (nota)</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1 / 0</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5 / 4 (nota)</w:t>
            </w:r>
          </w:p>
        </w:tc>
      </w:tr>
      <w:tr>
        <w:tc>
          <w:tcPr/>
          <w:p>
            <w:pPr>
              <w:pStyle w:val="Compact"/>
              <w:jc w:val="left"/>
            </w:pPr>
            <w:r>
              <w:t xml:space="preserve">Humanina</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8 / 3 (nota)</w:t>
            </w:r>
          </w:p>
        </w:tc>
      </w:tr>
      <w:tr>
        <w:tc>
          <w:tcPr/>
          <w:p>
            <w:pPr>
              <w:pStyle w:val="Compact"/>
              <w:jc w:val="left"/>
            </w:pPr>
            <w:r>
              <w:t xml:space="preserve">SS-31 (elamipretida)</w:t>
            </w:r>
          </w:p>
        </w:tc>
        <w:tc>
          <w:tcPr/>
          <w:p>
            <w:pPr>
              <w:pStyle w:val="Compact"/>
              <w:jc w:val="left"/>
            </w:pPr>
            <w:r>
              <w:t xml:space="preserve">B</w:t>
            </w:r>
          </w:p>
        </w:tc>
        <w:tc>
          <w:tcPr/>
          <w:p>
            <w:pPr>
              <w:pStyle w:val="Compact"/>
              <w:jc w:val="left"/>
            </w:pPr>
            <w:r>
              <w:t xml:space="preserve">no / sí, acelerada (solo síndrome de Barth)</w:t>
            </w:r>
          </w:p>
        </w:tc>
        <w:tc>
          <w:tcPr/>
          <w:p>
            <w:pPr>
              <w:pStyle w:val="Compact"/>
              <w:jc w:val="left"/>
            </w:pPr>
            <w:r>
              <w:t xml:space="preserve">19 / 21</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Glutatión</w:t>
            </w:r>
          </w:p>
        </w:tc>
        <w:tc>
          <w:tcPr/>
          <w:p>
            <w:pPr>
              <w:pStyle w:val="Compact"/>
              <w:jc w:val="left"/>
            </w:pPr>
            <w:r>
              <w:t xml:space="preserve">B</w:t>
            </w:r>
          </w:p>
        </w:tc>
        <w:tc>
          <w:tcPr/>
          <w:p>
            <w:pPr>
              <w:pStyle w:val="Compact"/>
              <w:jc w:val="left"/>
            </w:pPr>
            <w:r>
              <w:t xml:space="preserve">complemento alimenticio / complemento alimenticio</w:t>
            </w:r>
          </w:p>
        </w:tc>
        <w:tc>
          <w:tcPr/>
          <w:p>
            <w:pPr>
              <w:pStyle w:val="Compact"/>
              <w:jc w:val="left"/>
            </w:pPr>
            <w:r>
              <w:t xml:space="preserve">161 / 273 (nota)</w:t>
            </w:r>
          </w:p>
        </w:tc>
      </w:tr>
    </w:tbl>
    <w:p>
      <w:pPr>
        <w:pStyle w:val="BodyText"/>
      </w:pPr>
      <w:r>
        <w:t xml:space="preserve">Notas a la tabla: en el caso de</w:t>
      </w:r>
      <w:r>
        <w:t xml:space="preserve"> </w:t>
      </w:r>
      <w:r>
        <w:rPr>
          <w:bCs/>
          <w:b/>
        </w:rPr>
        <w:t xml:space="preserve">Selank</w:t>
      </w:r>
      <w:r>
        <w:t xml:space="preserve"> </w:t>
      </w:r>
      <w:r>
        <w:t xml:space="preserve">y</w:t>
      </w:r>
      <w:r>
        <w:t xml:space="preserve"> </w:t>
      </w:r>
      <w:r>
        <w:rPr>
          <w:bCs/>
          <w:b/>
        </w:rPr>
        <w:t xml:space="preserve">DSIP</w:t>
      </w:r>
      <w:r>
        <w:t xml:space="preserve">, los resultados del registro se refieren a otros procedimientos o temas; no existe ningún estudio registrado con el péptido. El único registro sobre</w:t>
      </w:r>
      <w:r>
        <w:t xml:space="preserve"> </w:t>
      </w:r>
      <w:r>
        <w:rPr>
          <w:bCs/>
          <w:b/>
        </w:rPr>
        <w:t xml:space="preserve">Epitalon</w:t>
      </w:r>
      <w:r>
        <w:t xml:space="preserve"> </w:t>
      </w:r>
      <w:r>
        <w:t xml:space="preserve">es un estudio no controlado con un sérum cutáneo en el que el Epitalon es uno de cinco componentes. En el de</w:t>
      </w:r>
      <w:r>
        <w:t xml:space="preserve"> </w:t>
      </w:r>
      <w:r>
        <w:rPr>
          <w:bCs/>
          <w:b/>
        </w:rPr>
        <w:t xml:space="preserve">MOTS-c</w:t>
      </w:r>
      <w:r>
        <w:t xml:space="preserve"> </w:t>
      </w:r>
      <w:r>
        <w:t xml:space="preserve">y la</w:t>
      </w:r>
      <w:r>
        <w:t xml:space="preserve"> </w:t>
      </w:r>
      <w:r>
        <w:rPr>
          <w:bCs/>
          <w:b/>
        </w:rPr>
        <w:t xml:space="preserve">humanina</w:t>
      </w:r>
      <w:r>
        <w:t xml:space="preserve">, en ninguna de las publicaciones se administró el péptido; miden concentraciones endógenas. En el del</w:t>
      </w:r>
      <w:r>
        <w:t xml:space="preserve"> </w:t>
      </w:r>
      <w:r>
        <w:rPr>
          <w:bCs/>
          <w:b/>
        </w:rPr>
        <w:t xml:space="preserve">glutatión</w:t>
      </w:r>
      <w:r>
        <w:t xml:space="preserve">, muchos resultados solo miden el glutatión como valor de laboratorio o se refieren a la enzima glutatión S-transferasa; los estudios con administración de glutatión son una minoría de unas pocas docenas.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Péptido</w:t>
            </w:r>
          </w:p>
        </w:tc>
        <w:tc>
          <w:tcPr/>
          <w:p>
            <w:pPr>
              <w:pStyle w:val="Compact"/>
              <w:jc w:val="left"/>
            </w:pPr>
            <w:r>
              <w:t xml:space="preserve">Resultado clave</w:t>
            </w:r>
          </w:p>
        </w:tc>
        <w:tc>
          <w:tcPr/>
          <w:p>
            <w:pPr>
              <w:pStyle w:val="Compact"/>
              <w:jc w:val="left"/>
            </w:pPr>
            <w:r>
              <w:t xml:space="preserve">Riesgo principal</w:t>
            </w:r>
          </w:p>
        </w:tc>
      </w:tr>
      <w:tr>
        <w:tc>
          <w:tcPr/>
          <w:p>
            <w:pPr>
              <w:pStyle w:val="Compact"/>
              <w:jc w:val="left"/>
            </w:pPr>
            <w:r>
              <w:t xml:space="preserve">Semax</w:t>
            </w:r>
          </w:p>
        </w:tc>
        <w:tc>
          <w:tcPr/>
          <w:p>
            <w:pPr>
              <w:pStyle w:val="Compact"/>
              <w:jc w:val="left"/>
            </w:pPr>
            <w:r>
              <w:t xml:space="preserve">Estudio abierto tras ictus: BDNF más alto, mejoría más rápida (PMID 29798983)</w:t>
            </w:r>
          </w:p>
        </w:tc>
        <w:tc>
          <w:tcPr/>
          <w:p>
            <w:pPr>
              <w:pStyle w:val="Compact"/>
              <w:jc w:val="left"/>
            </w:pPr>
            <w:r>
              <w:t xml:space="preserve">sin datos de seguridad sistemáticos</w:t>
            </w:r>
          </w:p>
        </w:tc>
      </w:tr>
      <w:tr>
        <w:tc>
          <w:tcPr/>
          <w:p>
            <w:pPr>
              <w:pStyle w:val="Compact"/>
              <w:jc w:val="left"/>
            </w:pPr>
            <w:r>
              <w:t xml:space="preserve">Selank</w:t>
            </w:r>
          </w:p>
        </w:tc>
        <w:tc>
          <w:tcPr/>
          <w:p>
            <w:pPr>
              <w:pStyle w:val="Compact"/>
              <w:jc w:val="left"/>
            </w:pPr>
            <w:r>
              <w:t xml:space="preserve">Efecto ansiolítico similar al del medazepam, sin grupo placebo (PMID 18454096)</w:t>
            </w:r>
          </w:p>
        </w:tc>
        <w:tc>
          <w:tcPr/>
          <w:p>
            <w:pPr>
              <w:pStyle w:val="Compact"/>
              <w:jc w:val="left"/>
            </w:pPr>
            <w:r>
              <w:t xml:space="preserve">sin datos a largo plazo; mercado gris</w:t>
            </w:r>
          </w:p>
        </w:tc>
      </w:tr>
      <w:tr>
        <w:tc>
          <w:tcPr/>
          <w:p>
            <w:pPr>
              <w:pStyle w:val="Compact"/>
              <w:jc w:val="left"/>
            </w:pPr>
            <w:r>
              <w:t xml:space="preserve">Cerebrolisina</w:t>
            </w:r>
          </w:p>
        </w:tc>
        <w:tc>
          <w:tcPr/>
          <w:p>
            <w:pPr>
              <w:pStyle w:val="Compact"/>
              <w:jc w:val="left"/>
            </w:pPr>
            <w:r>
              <w:t xml:space="preserve">CASTA con 1070 personas: variable principal no alcanzada (PMID 22282884)</w:t>
            </w:r>
          </w:p>
        </w:tc>
        <w:tc>
          <w:tcPr/>
          <w:p>
            <w:pPr>
              <w:pStyle w:val="Compact"/>
              <w:jc w:val="left"/>
            </w:pPr>
            <w:r>
              <w:t xml:space="preserve">posible señal de efectos adversos graves (Cochrane)</w:t>
            </w:r>
          </w:p>
        </w:tc>
      </w:tr>
      <w:tr>
        <w:tc>
          <w:tcPr/>
          <w:p>
            <w:pPr>
              <w:pStyle w:val="Compact"/>
              <w:jc w:val="left"/>
            </w:pPr>
            <w:r>
              <w:t xml:space="preserve">Dihexa</w:t>
            </w:r>
          </w:p>
        </w:tc>
        <w:tc>
          <w:tcPr/>
          <w:p>
            <w:pPr>
              <w:pStyle w:val="Compact"/>
              <w:jc w:val="left"/>
            </w:pPr>
            <w:r>
              <w:t xml:space="preserve">Solo datos en animales; un estudio central en ratas fue retractado en 2025 (PMID 25187433, retractación PMID 40312093)</w:t>
            </w:r>
          </w:p>
        </w:tc>
        <w:tc>
          <w:tcPr/>
          <w:p>
            <w:pPr>
              <w:pStyle w:val="Compact"/>
              <w:jc w:val="left"/>
            </w:pPr>
            <w:r>
              <w:t xml:space="preserve">sin datos en humanos; riesgo teórico de cáncer</w:t>
            </w:r>
          </w:p>
        </w:tc>
      </w:tr>
      <w:tr>
        <w:tc>
          <w:tcPr/>
          <w:p>
            <w:pPr>
              <w:pStyle w:val="Compact"/>
              <w:jc w:val="left"/>
            </w:pPr>
            <w:r>
              <w:t xml:space="preserve">DSIP</w:t>
            </w:r>
          </w:p>
        </w:tc>
        <w:tc>
          <w:tcPr/>
          <w:p>
            <w:pPr>
              <w:pStyle w:val="Compact"/>
              <w:jc w:val="left"/>
            </w:pPr>
            <w:r>
              <w:t xml:space="preserve">16 personas con insomnio: solo efectos débiles (PMID 1299794)</w:t>
            </w:r>
          </w:p>
        </w:tc>
        <w:tc>
          <w:tcPr/>
          <w:p>
            <w:pPr>
              <w:pStyle w:val="Compact"/>
              <w:jc w:val="left"/>
            </w:pPr>
            <w:r>
              <w:t xml:space="preserve">sin datos de seguridad sistemáticos</w:t>
            </w:r>
          </w:p>
        </w:tc>
      </w:tr>
      <w:tr>
        <w:tc>
          <w:tcPr/>
          <w:p>
            <w:pPr>
              <w:pStyle w:val="Compact"/>
              <w:jc w:val="left"/>
            </w:pPr>
            <w:r>
              <w:t xml:space="preserve">Epitalon</w:t>
            </w:r>
          </w:p>
        </w:tc>
        <w:tc>
          <w:tcPr/>
          <w:p>
            <w:pPr>
              <w:pStyle w:val="Compact"/>
              <w:jc w:val="left"/>
            </w:pPr>
            <w:r>
              <w:t xml:space="preserve">En ratones, sin mayor esperanza de vida media (PMID 14501183)</w:t>
            </w:r>
          </w:p>
        </w:tc>
        <w:tc>
          <w:tcPr/>
          <w:p>
            <w:pPr>
              <w:pStyle w:val="Compact"/>
              <w:jc w:val="left"/>
            </w:pPr>
            <w:r>
              <w:t xml:space="preserve">sin datos en humanos; cuestión de la telomerasa</w:t>
            </w:r>
          </w:p>
        </w:tc>
      </w:tr>
      <w:tr>
        <w:tc>
          <w:tcPr/>
          <w:p>
            <w:pPr>
              <w:pStyle w:val="Compact"/>
              <w:jc w:val="left"/>
            </w:pPr>
            <w:r>
              <w:t xml:space="preserve">Pinealon</w:t>
            </w:r>
          </w:p>
        </w:tc>
        <w:tc>
          <w:tcPr/>
          <w:p>
            <w:pPr>
              <w:pStyle w:val="Compact"/>
              <w:jc w:val="left"/>
            </w:pPr>
            <w:r>
              <w:t xml:space="preserve">32 personas mayores, sin control; también inhibición de la hematopoyesis (PMID 26390612)</w:t>
            </w:r>
          </w:p>
        </w:tc>
        <w:tc>
          <w:tcPr/>
          <w:p>
            <w:pPr>
              <w:pStyle w:val="Compact"/>
              <w:jc w:val="left"/>
            </w:pPr>
            <w:r>
              <w:t xml:space="preserve">sin datos de seguridad sistemáticos</w:t>
            </w:r>
          </w:p>
        </w:tc>
      </w:tr>
      <w:tr>
        <w:tc>
          <w:tcPr/>
          <w:p>
            <w:pPr>
              <w:pStyle w:val="Compact"/>
              <w:jc w:val="left"/>
            </w:pPr>
            <w:r>
              <w:t xml:space="preserve">MOTS-c</w:t>
            </w:r>
          </w:p>
        </w:tc>
        <w:tc>
          <w:tcPr/>
          <w:p>
            <w:pPr>
              <w:pStyle w:val="Compact"/>
              <w:jc w:val="left"/>
            </w:pPr>
            <w:r>
              <w:t xml:space="preserve">Solo datos en animales sobre su administración: en ratones, menos sobrepeso (PMID 25738459)</w:t>
            </w:r>
          </w:p>
        </w:tc>
        <w:tc>
          <w:tcPr/>
          <w:p>
            <w:pPr>
              <w:pStyle w:val="Compact"/>
              <w:jc w:val="left"/>
            </w:pPr>
            <w:r>
              <w:t xml:space="preserve">sin datos sobre su administración en humanos</w:t>
            </w:r>
          </w:p>
        </w:tc>
      </w:tr>
      <w:tr>
        <w:tc>
          <w:tcPr/>
          <w:p>
            <w:pPr>
              <w:pStyle w:val="Compact"/>
              <w:jc w:val="left"/>
            </w:pPr>
            <w:r>
              <w:t xml:space="preserve">Humanina</w:t>
            </w:r>
          </w:p>
        </w:tc>
        <w:tc>
          <w:tcPr/>
          <w:p>
            <w:pPr>
              <w:pStyle w:val="Compact"/>
              <w:jc w:val="left"/>
            </w:pPr>
            <w:r>
              <w:t xml:space="preserve">Solo mediciones de concentraciones en humanos (PMID 32575074)</w:t>
            </w:r>
          </w:p>
        </w:tc>
        <w:tc>
          <w:tcPr/>
          <w:p>
            <w:pPr>
              <w:pStyle w:val="Compact"/>
              <w:jc w:val="left"/>
            </w:pPr>
            <w:r>
              <w:t xml:space="preserve">en ratones, más crecimiento de cáncer de mama (PMID 32444831)</w:t>
            </w:r>
          </w:p>
        </w:tc>
      </w:tr>
      <w:tr>
        <w:tc>
          <w:tcPr/>
          <w:p>
            <w:pPr>
              <w:pStyle w:val="Compact"/>
              <w:jc w:val="left"/>
            </w:pPr>
            <w:r>
              <w:t xml:space="preserve">SS-31 (elamipretida)</w:t>
            </w:r>
          </w:p>
        </w:tc>
        <w:tc>
          <w:tcPr/>
          <w:p>
            <w:pPr>
              <w:pStyle w:val="Compact"/>
              <w:jc w:val="left"/>
            </w:pPr>
            <w:r>
              <w:t xml:space="preserve">MMPOWER-3 con 218 personas: sin beneficio en la miopatía (PMID 37268435)</w:t>
            </w:r>
          </w:p>
        </w:tc>
        <w:tc>
          <w:tcPr/>
          <w:p>
            <w:pPr>
              <w:pStyle w:val="Compact"/>
              <w:jc w:val="left"/>
            </w:pPr>
            <w:r>
              <w:t xml:space="preserve">Lugar de inyección; producto del mercado gris no idéntico</w:t>
            </w:r>
          </w:p>
        </w:tc>
      </w:tr>
      <w:tr>
        <w:tc>
          <w:tcPr/>
          <w:p>
            <w:pPr>
              <w:pStyle w:val="Compact"/>
              <w:jc w:val="left"/>
            </w:pPr>
            <w:r>
              <w:t xml:space="preserve">FOXO4-DRI</w:t>
            </w:r>
          </w:p>
        </w:tc>
        <w:tc>
          <w:tcPr/>
          <w:p>
            <w:pPr>
              <w:pStyle w:val="Compact"/>
              <w:jc w:val="left"/>
            </w:pPr>
            <w:r>
              <w:t xml:space="preserve">Solo datos en animales: en ratones envejecidos, mejor forma física (PMID 28340339)</w:t>
            </w:r>
          </w:p>
        </w:tc>
        <w:tc>
          <w:tcPr/>
          <w:p>
            <w:pPr>
              <w:pStyle w:val="Compact"/>
              <w:jc w:val="left"/>
            </w:pPr>
            <w:r>
              <w:t xml:space="preserve">sin datos en humanos; intervención en p53</w:t>
            </w:r>
          </w:p>
        </w:tc>
      </w:tr>
      <w:tr>
        <w:tc>
          <w:tcPr/>
          <w:p>
            <w:pPr>
              <w:pStyle w:val="Compact"/>
              <w:jc w:val="left"/>
            </w:pPr>
            <w:r>
              <w:t xml:space="preserve">Glutatión</w:t>
            </w:r>
          </w:p>
        </w:tc>
        <w:tc>
          <w:tcPr/>
          <w:p>
            <w:pPr>
              <w:pStyle w:val="Compact"/>
              <w:jc w:val="left"/>
            </w:pPr>
            <w:r>
              <w:t xml:space="preserve">Fase 3 con 185 personas: sin protección frente al daño nervioso por quimioterapia (PMID 24619793)</w:t>
            </w:r>
          </w:p>
        </w:tc>
        <w:tc>
          <w:tcPr/>
          <w:p>
            <w:pPr>
              <w:pStyle w:val="Compact"/>
              <w:jc w:val="left"/>
            </w:pPr>
            <w:r>
              <w:t xml:space="preserve">Infusiones para aclarar la piel: advertencias de las autoridades</w:t>
            </w:r>
          </w:p>
        </w:tc>
      </w:tr>
    </w:tbl>
    <w:bookmarkEnd w:id="938"/>
    <w:bookmarkStart w:id="939" w:name="e.-hormonas-sexualidad-y-pigmentación"/>
    <w:p>
      <w:pPr>
        <w:pStyle w:val="Heading3"/>
      </w:pPr>
      <w:r>
        <w:t xml:space="preserve">E. Hormonas, sexualidad y pigmentación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 UE / EE. UU.</w:t>
            </w:r>
          </w:p>
        </w:tc>
        <w:tc>
          <w:tcPr/>
          <w:p>
            <w:pPr>
              <w:pStyle w:val="Compact"/>
              <w:jc w:val="left"/>
            </w:pPr>
            <w:r>
              <w:t xml:space="preserve">Estudios en humanos / registros</w:t>
            </w:r>
          </w:p>
        </w:tc>
      </w:tr>
      <w:tr>
        <w:tc>
          <w:tcPr/>
          <w:p>
            <w:pPr>
              <w:pStyle w:val="Compact"/>
              <w:jc w:val="left"/>
            </w:pPr>
            <w:r>
              <w:t xml:space="preserve">Bremelanotida (PT-141)</w:t>
            </w:r>
          </w:p>
        </w:tc>
        <w:tc>
          <w:tcPr/>
          <w:p>
            <w:pPr>
              <w:pStyle w:val="Compact"/>
              <w:jc w:val="left"/>
            </w:pPr>
            <w:r>
              <w:t xml:space="preserve">A</w:t>
            </w:r>
          </w:p>
        </w:tc>
        <w:tc>
          <w:tcPr/>
          <w:p>
            <w:pPr>
              <w:pStyle w:val="Compact"/>
              <w:jc w:val="left"/>
            </w:pPr>
            <w:r>
              <w:t xml:space="preserve">no / sí (Vyleesi)</w:t>
            </w:r>
          </w:p>
        </w:tc>
        <w:tc>
          <w:tcPr/>
          <w:p>
            <w:pPr>
              <w:pStyle w:val="Compact"/>
              <w:jc w:val="left"/>
            </w:pPr>
            <w:r>
              <w:t xml:space="preserve">16 / 10</w:t>
            </w:r>
          </w:p>
        </w:tc>
      </w:tr>
      <w:tr>
        <w:tc>
          <w:tcPr/>
          <w:p>
            <w:pPr>
              <w:pStyle w:val="Compact"/>
              <w:jc w:val="left"/>
            </w:pPr>
            <w:r>
              <w:t xml:space="preserve">Melanotán II</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8 / 0 (nota)</w:t>
            </w:r>
          </w:p>
        </w:tc>
      </w:tr>
      <w:tr>
        <w:tc>
          <w:tcPr/>
          <w:p>
            <w:pPr>
              <w:pStyle w:val="Compact"/>
              <w:jc w:val="left"/>
            </w:pPr>
            <w:r>
              <w:t xml:space="preserve">Afamelanotida</w:t>
            </w:r>
          </w:p>
        </w:tc>
        <w:tc>
          <w:tcPr/>
          <w:p>
            <w:pPr>
              <w:pStyle w:val="Compact"/>
              <w:jc w:val="left"/>
            </w:pPr>
            <w:r>
              <w:t xml:space="preserve">A</w:t>
            </w:r>
          </w:p>
        </w:tc>
        <w:tc>
          <w:tcPr/>
          <w:p>
            <w:pPr>
              <w:pStyle w:val="Compact"/>
              <w:jc w:val="left"/>
            </w:pPr>
            <w:r>
              <w:t xml:space="preserve">sí / sí (Scenesse, solo EPP)</w:t>
            </w:r>
          </w:p>
        </w:tc>
        <w:tc>
          <w:tcPr/>
          <w:p>
            <w:pPr>
              <w:pStyle w:val="Compact"/>
              <w:jc w:val="left"/>
            </w:pPr>
            <w:r>
              <w:t xml:space="preserve">10 / 23 (nota)</w:t>
            </w:r>
          </w:p>
        </w:tc>
      </w:tr>
      <w:tr>
        <w:tc>
          <w:tcPr/>
          <w:p>
            <w:pPr>
              <w:pStyle w:val="Compact"/>
              <w:jc w:val="left"/>
            </w:pPr>
            <w:r>
              <w:t xml:space="preserve">Kisspeptina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37 / 36</w:t>
            </w:r>
          </w:p>
        </w:tc>
      </w:tr>
      <w:tr>
        <w:tc>
          <w:tcPr/>
          <w:p>
            <w:pPr>
              <w:pStyle w:val="Compact"/>
              <w:jc w:val="left"/>
            </w:pPr>
            <w:r>
              <w:t xml:space="preserve">Oxitocina (espray nasal)</w:t>
            </w:r>
          </w:p>
        </w:tc>
        <w:tc>
          <w:tcPr/>
          <w:p>
            <w:pPr>
              <w:pStyle w:val="Compact"/>
              <w:jc w:val="left"/>
            </w:pPr>
            <w:r>
              <w:t xml:space="preserve">B</w:t>
            </w:r>
          </w:p>
        </w:tc>
        <w:tc>
          <w:tcPr/>
          <w:p>
            <w:pPr>
              <w:pStyle w:val="Compact"/>
              <w:jc w:val="left"/>
            </w:pPr>
            <w:r>
              <w:t xml:space="preserve">solo obstetricia / solo obstetricia</w:t>
            </w:r>
          </w:p>
        </w:tc>
        <w:tc>
          <w:tcPr/>
          <w:p>
            <w:pPr>
              <w:pStyle w:val="Compact"/>
              <w:jc w:val="left"/>
            </w:pPr>
            <w:r>
              <w:t xml:space="preserve">349 / 263</w:t>
            </w:r>
          </w:p>
        </w:tc>
      </w:tr>
      <w:tr>
        <w:tc>
          <w:tcPr/>
          <w:p>
            <w:pPr>
              <w:pStyle w:val="Compact"/>
              <w:jc w:val="left"/>
            </w:pPr>
            <w:r>
              <w:t xml:space="preserve">Gonadorelina</w:t>
            </w:r>
          </w:p>
        </w:tc>
        <w:tc>
          <w:tcPr/>
          <w:p>
            <w:pPr>
              <w:pStyle w:val="Compact"/>
              <w:jc w:val="left"/>
            </w:pPr>
            <w:r>
              <w:t xml:space="preserve">B</w:t>
            </w:r>
          </w:p>
        </w:tc>
        <w:tc>
          <w:tcPr/>
          <w:p>
            <w:pPr>
              <w:pStyle w:val="Compact"/>
              <w:jc w:val="left"/>
            </w:pPr>
            <w:r>
              <w:t xml:space="preserve">nacional en algunos Estados / no</w:t>
            </w:r>
          </w:p>
        </w:tc>
        <w:tc>
          <w:tcPr/>
          <w:p>
            <w:pPr>
              <w:pStyle w:val="Compact"/>
              <w:jc w:val="left"/>
            </w:pPr>
            <w:r>
              <w:t xml:space="preserve">9 / 1000 (nota)</w:t>
            </w:r>
          </w:p>
        </w:tc>
      </w:tr>
    </w:tbl>
    <w:p>
      <w:pPr>
        <w:pStyle w:val="BodyText"/>
      </w:pPr>
      <w:r>
        <w:t xml:space="preserve">Notas a la tabla: en el caso del</w:t>
      </w:r>
      <w:r>
        <w:t xml:space="preserve"> </w:t>
      </w:r>
      <w:r>
        <w:rPr>
          <w:bCs/>
          <w:b/>
        </w:rPr>
        <w:t xml:space="preserve">melanotán II</w:t>
      </w:r>
      <w:r>
        <w:t xml:space="preserve">, cuatro de los ocho resultados de PubMed se refieren al melanotán I (la posterior afamelanotida); el único registro resultó no ser fiable. En el de la</w:t>
      </w:r>
      <w:r>
        <w:t xml:space="preserve"> </w:t>
      </w:r>
      <w:r>
        <w:rPr>
          <w:bCs/>
          <w:b/>
        </w:rPr>
        <w:t xml:space="preserve">afamelanotida</w:t>
      </w:r>
      <w:r>
        <w:t xml:space="preserve">, faltan en el recuento los estudios antiguos con los nombres de melanotán I o NDP-MSH. En el de la</w:t>
      </w:r>
      <w:r>
        <w:t xml:space="preserve"> </w:t>
      </w:r>
      <w:r>
        <w:rPr>
          <w:bCs/>
          <w:b/>
        </w:rPr>
        <w:t xml:space="preserve">oxitocina</w:t>
      </w:r>
      <w:r>
        <w:t xml:space="preserve">, solo está autorizado el uso como infusión o inyección en obstetricia, no el espray nasal. Las cifras de la</w:t>
      </w:r>
      <w:r>
        <w:t xml:space="preserve"> </w:t>
      </w:r>
      <w:r>
        <w:rPr>
          <w:bCs/>
          <w:b/>
        </w:rPr>
        <w:t xml:space="preserve">gonadorelina</w:t>
      </w:r>
      <w:r>
        <w:t xml:space="preserve"> </w:t>
      </w:r>
      <w:r>
        <w:t xml:space="preserve">son inservibles: la búsqueda en el registro alcanzó su límite máximo de 1000 resultados porque el registro incluye el término genérico «Gonadotropin-Releasing Hormone»; casi todos los resultados se refieren a análogos de la GnRH, por ejemplo en el cáncer de próstata, y solo unos diez a la hormona idéntica a la endógena. La cifra de PubMed es demasiado baja porque la mayoría de los estudios escriben «GnRH» o «LHRH».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Péptido</w:t>
            </w:r>
          </w:p>
        </w:tc>
        <w:tc>
          <w:tcPr/>
          <w:p>
            <w:pPr>
              <w:pStyle w:val="Compact"/>
              <w:jc w:val="left"/>
            </w:pPr>
            <w:r>
              <w:t xml:space="preserve">Resultado clave</w:t>
            </w:r>
          </w:p>
        </w:tc>
        <w:tc>
          <w:tcPr/>
          <w:p>
            <w:pPr>
              <w:pStyle w:val="Compact"/>
              <w:jc w:val="left"/>
            </w:pPr>
            <w:r>
              <w:t xml:space="preserve">Riesgo principal</w:t>
            </w:r>
          </w:p>
        </w:tc>
      </w:tr>
      <w:tr>
        <w:tc>
          <w:tcPr/>
          <w:p>
            <w:pPr>
              <w:pStyle w:val="Compact"/>
              <w:jc w:val="left"/>
            </w:pPr>
            <w:r>
              <w:t xml:space="preserve">Bremelanotida (PT-141)</w:t>
            </w:r>
          </w:p>
        </w:tc>
        <w:tc>
          <w:tcPr/>
          <w:p>
            <w:pPr>
              <w:pStyle w:val="Compact"/>
              <w:jc w:val="left"/>
            </w:pPr>
            <w:r>
              <w:t xml:space="preserve">RECONNECT, 1267 mujeres: solo una pequeña ventaja frente a placebo (PMID 31599840)</w:t>
            </w:r>
          </w:p>
        </w:tc>
        <w:tc>
          <w:tcPr/>
          <w:p>
            <w:pPr>
              <w:pStyle w:val="Compact"/>
              <w:jc w:val="left"/>
            </w:pPr>
            <w:r>
              <w:t xml:space="preserve">Náuseas en torno al 40 %, subida breve de la presión arterial</w:t>
            </w:r>
          </w:p>
        </w:tc>
      </w:tr>
      <w:tr>
        <w:tc>
          <w:tcPr/>
          <w:p>
            <w:pPr>
              <w:pStyle w:val="Compact"/>
              <w:jc w:val="left"/>
            </w:pPr>
            <w:r>
              <w:t xml:space="preserve">Melanotán II</w:t>
            </w:r>
          </w:p>
        </w:tc>
        <w:tc>
          <w:tcPr/>
          <w:p>
            <w:pPr>
              <w:pStyle w:val="Compact"/>
              <w:jc w:val="left"/>
            </w:pPr>
            <w:r>
              <w:t xml:space="preserve">Pequeños estudios cruzados: erecciones en 17 de 20 hombres, náuseas frecuentes (PMID 11035391)</w:t>
            </w:r>
          </w:p>
        </w:tc>
        <w:tc>
          <w:tcPr/>
          <w:p>
            <w:pPr>
              <w:pStyle w:val="Compact"/>
              <w:jc w:val="left"/>
            </w:pPr>
            <w:r>
              <w:t xml:space="preserve">Cambios en los lunares, casos clínicos de melanoma, priapismo</w:t>
            </w:r>
          </w:p>
        </w:tc>
      </w:tr>
      <w:tr>
        <w:tc>
          <w:tcPr/>
          <w:p>
            <w:pPr>
              <w:pStyle w:val="Compact"/>
              <w:jc w:val="left"/>
            </w:pPr>
            <w:r>
              <w:t xml:space="preserve">Afamelanotida</w:t>
            </w:r>
          </w:p>
        </w:tc>
        <w:tc>
          <w:tcPr/>
          <w:p>
            <w:pPr>
              <w:pStyle w:val="Compact"/>
              <w:jc w:val="left"/>
            </w:pPr>
            <w:r>
              <w:t xml:space="preserve">Dos ECA: mayor tiempo sin dolor a la luz del sol en la EPP (PMID 26132941)</w:t>
            </w:r>
          </w:p>
        </w:tc>
        <w:tc>
          <w:tcPr/>
          <w:p>
            <w:pPr>
              <w:pStyle w:val="Compact"/>
              <w:jc w:val="left"/>
            </w:pPr>
            <w:r>
              <w:t xml:space="preserve">Náuseas, cefalea; necesidad de controles cutáneos</w:t>
            </w:r>
          </w:p>
        </w:tc>
      </w:tr>
      <w:tr>
        <w:tc>
          <w:tcPr/>
          <w:p>
            <w:pPr>
              <w:pStyle w:val="Compact"/>
              <w:jc w:val="left"/>
            </w:pPr>
            <w:r>
              <w:t xml:space="preserve">Kisspeptina</w:t>
            </w:r>
          </w:p>
        </w:tc>
        <w:tc>
          <w:tcPr/>
          <w:p>
            <w:pPr>
              <w:pStyle w:val="Compact"/>
              <w:jc w:val="left"/>
            </w:pPr>
            <w:r>
              <w:t xml:space="preserve">60 mujeres con riesgo de OHSS: maduración ovocitaria en el 95 %, ningún OHSS grave (PMID 26192876)</w:t>
            </w:r>
          </w:p>
        </w:tc>
        <w:tc>
          <w:tcPr/>
          <w:p>
            <w:pPr>
              <w:pStyle w:val="Compact"/>
              <w:jc w:val="left"/>
            </w:pPr>
            <w:r>
              <w:t xml:space="preserve">Habituación hasta la supresión del eje hormonal</w:t>
            </w:r>
          </w:p>
        </w:tc>
      </w:tr>
      <w:tr>
        <w:tc>
          <w:tcPr/>
          <w:p>
            <w:pPr>
              <w:pStyle w:val="Compact"/>
              <w:jc w:val="left"/>
            </w:pPr>
            <w:r>
              <w:t xml:space="preserve">Oxitocina (espray nasal)</w:t>
            </w:r>
          </w:p>
        </w:tc>
        <w:tc>
          <w:tcPr/>
          <w:p>
            <w:pPr>
              <w:pStyle w:val="Compact"/>
              <w:jc w:val="left"/>
            </w:pPr>
            <w:r>
              <w:t xml:space="preserve">SOARS-B, 290 niños con autismo: sin diferencia frente a placebo (PMID 34644471)</w:t>
            </w:r>
          </w:p>
        </w:tc>
        <w:tc>
          <w:tcPr/>
          <w:p>
            <w:pPr>
              <w:pStyle w:val="Compact"/>
              <w:jc w:val="left"/>
            </w:pPr>
            <w:r>
              <w:t xml:space="preserve">Retención de agua en dosis altas, desencadenamiento de contracciones</w:t>
            </w:r>
          </w:p>
        </w:tc>
      </w:tr>
      <w:tr>
        <w:tc>
          <w:tcPr/>
          <w:p>
            <w:pPr>
              <w:pStyle w:val="Compact"/>
              <w:jc w:val="left"/>
            </w:pPr>
            <w:r>
              <w:t xml:space="preserve">Gonadorelina</w:t>
            </w:r>
          </w:p>
        </w:tc>
        <w:tc>
          <w:tcPr/>
          <w:p>
            <w:pPr>
              <w:pStyle w:val="Compact"/>
              <w:jc w:val="left"/>
            </w:pPr>
            <w:r>
              <w:t xml:space="preserve">Administración pulsátil: ovulación en el 91 % y el 96 % de 109 mujeres (PMID 2122733)</w:t>
            </w:r>
          </w:p>
        </w:tc>
        <w:tc>
          <w:tcPr/>
          <w:p>
            <w:pPr>
              <w:pStyle w:val="Compact"/>
              <w:jc w:val="left"/>
            </w:pPr>
            <w:r>
              <w:t xml:space="preserve">con un ritmo incorrecto, supresión del eje hormonal</w:t>
            </w:r>
          </w:p>
        </w:tc>
      </w:tr>
    </w:tbl>
    <w:bookmarkEnd w:id="939"/>
    <w:bookmarkStart w:id="940" w:name="f.-colágeno-nutrición-y-cosmética"/>
    <w:p>
      <w:pPr>
        <w:pStyle w:val="Heading3"/>
      </w:pPr>
      <w:r>
        <w:t xml:space="preserve">F. Colágeno, nutrición y cosmética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Evidencia</w:t>
            </w:r>
          </w:p>
        </w:tc>
        <w:tc>
          <w:tcPr/>
          <w:p>
            <w:pPr>
              <w:pStyle w:val="Compact"/>
              <w:jc w:val="left"/>
            </w:pPr>
            <w:r>
              <w:t xml:space="preserve">Autorización UE / EE. UU.</w:t>
            </w:r>
          </w:p>
        </w:tc>
        <w:tc>
          <w:tcPr/>
          <w:p>
            <w:pPr>
              <w:pStyle w:val="Compact"/>
              <w:jc w:val="left"/>
            </w:pPr>
            <w:r>
              <w:t xml:space="preserve">Estudios en humanos / registros</w:t>
            </w:r>
          </w:p>
        </w:tc>
      </w:tr>
      <w:tr>
        <w:tc>
          <w:tcPr/>
          <w:p>
            <w:pPr>
              <w:pStyle w:val="Compact"/>
              <w:jc w:val="left"/>
            </w:pPr>
            <w:r>
              <w:t xml:space="preserve">Péptidos de colágeno</w:t>
            </w:r>
          </w:p>
        </w:tc>
        <w:tc>
          <w:tcPr/>
          <w:p>
            <w:pPr>
              <w:pStyle w:val="Compact"/>
              <w:jc w:val="left"/>
            </w:pPr>
            <w:r>
              <w:t xml:space="preserve">B</w:t>
            </w:r>
          </w:p>
        </w:tc>
        <w:tc>
          <w:tcPr/>
          <w:p>
            <w:pPr>
              <w:pStyle w:val="Compact"/>
              <w:jc w:val="left"/>
            </w:pPr>
            <w:r>
              <w:t xml:space="preserve">alimento / complemento alimenticio</w:t>
            </w:r>
          </w:p>
        </w:tc>
        <w:tc>
          <w:tcPr/>
          <w:p>
            <w:pPr>
              <w:pStyle w:val="Compact"/>
              <w:jc w:val="left"/>
            </w:pPr>
            <w:r>
              <w:t xml:space="preserve">101 / 237 (nota)</w:t>
            </w:r>
          </w:p>
        </w:tc>
      </w:tr>
      <w:tr>
        <w:tc>
          <w:tcPr/>
          <w:p>
            <w:pPr>
              <w:pStyle w:val="Compact"/>
              <w:jc w:val="left"/>
            </w:pPr>
            <w:r>
              <w:t xml:space="preserve">Lactotripéptidos</w:t>
            </w:r>
          </w:p>
        </w:tc>
        <w:tc>
          <w:tcPr/>
          <w:p>
            <w:pPr>
              <w:pStyle w:val="Compact"/>
              <w:jc w:val="left"/>
            </w:pPr>
            <w:r>
              <w:t xml:space="preserve">B</w:t>
            </w:r>
          </w:p>
        </w:tc>
        <w:tc>
          <w:tcPr/>
          <w:p>
            <w:pPr>
              <w:pStyle w:val="Compact"/>
              <w:jc w:val="left"/>
            </w:pPr>
            <w:r>
              <w:t xml:space="preserve">alimento / complemento alimenticio</w:t>
            </w:r>
          </w:p>
        </w:tc>
        <w:tc>
          <w:tcPr/>
          <w:p>
            <w:pPr>
              <w:pStyle w:val="Compact"/>
              <w:jc w:val="left"/>
            </w:pPr>
            <w:r>
              <w:t xml:space="preserve">21 / 0</w:t>
            </w:r>
          </w:p>
        </w:tc>
      </w:tr>
      <w:tr>
        <w:tc>
          <w:tcPr/>
          <w:p>
            <w:pPr>
              <w:pStyle w:val="Compact"/>
              <w:jc w:val="left"/>
            </w:pPr>
            <w:r>
              <w:t xml:space="preserve">Carnosina</w:t>
            </w:r>
          </w:p>
        </w:tc>
        <w:tc>
          <w:tcPr/>
          <w:p>
            <w:pPr>
              <w:pStyle w:val="Compact"/>
              <w:jc w:val="left"/>
            </w:pPr>
            <w:r>
              <w:t xml:space="preserve">B</w:t>
            </w:r>
          </w:p>
        </w:tc>
        <w:tc>
          <w:tcPr/>
          <w:p>
            <w:pPr>
              <w:pStyle w:val="Compact"/>
              <w:jc w:val="left"/>
            </w:pPr>
            <w:r>
              <w:t xml:space="preserve">complemento alimenticio / complemento alimenticio</w:t>
            </w:r>
          </w:p>
        </w:tc>
        <w:tc>
          <w:tcPr/>
          <w:p>
            <w:pPr>
              <w:pStyle w:val="Compact"/>
              <w:jc w:val="left"/>
            </w:pPr>
            <w:r>
              <w:t xml:space="preserve">57 / 53</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cosmético / cosmético</w:t>
            </w:r>
          </w:p>
        </w:tc>
        <w:tc>
          <w:tcPr/>
          <w:p>
            <w:pPr>
              <w:pStyle w:val="Compact"/>
              <w:jc w:val="left"/>
            </w:pPr>
            <w:r>
              <w:t xml:space="preserve">1 / 24 (nota)</w:t>
            </w:r>
          </w:p>
        </w:tc>
      </w:tr>
      <w:tr>
        <w:tc>
          <w:tcPr/>
          <w:p>
            <w:pPr>
              <w:pStyle w:val="Compact"/>
              <w:jc w:val="left"/>
            </w:pPr>
            <w:r>
              <w:t xml:space="preserve">Palmitoil pentapéptido-4</w:t>
            </w:r>
          </w:p>
        </w:tc>
        <w:tc>
          <w:tcPr/>
          <w:p>
            <w:pPr>
              <w:pStyle w:val="Compact"/>
              <w:jc w:val="left"/>
            </w:pPr>
            <w:r>
              <w:t xml:space="preserve">B (débil)</w:t>
            </w:r>
          </w:p>
        </w:tc>
        <w:tc>
          <w:tcPr/>
          <w:p>
            <w:pPr>
              <w:pStyle w:val="Compact"/>
              <w:jc w:val="left"/>
            </w:pPr>
            <w:r>
              <w:t xml:space="preserve">cosmético / cosmético</w:t>
            </w:r>
          </w:p>
        </w:tc>
        <w:tc>
          <w:tcPr/>
          <w:p>
            <w:pPr>
              <w:pStyle w:val="Compact"/>
              <w:jc w:val="left"/>
            </w:pPr>
            <w:r>
              <w:t xml:space="preserve">1 / 0</w:t>
            </w:r>
          </w:p>
        </w:tc>
      </w:tr>
      <w:tr>
        <w:tc>
          <w:tcPr/>
          <w:p>
            <w:pPr>
              <w:pStyle w:val="Compact"/>
              <w:jc w:val="left"/>
            </w:pPr>
            <w:r>
              <w:t xml:space="preserve">Acetil hexapéptido-8</w:t>
            </w:r>
          </w:p>
        </w:tc>
        <w:tc>
          <w:tcPr/>
          <w:p>
            <w:pPr>
              <w:pStyle w:val="Compact"/>
              <w:jc w:val="left"/>
            </w:pPr>
            <w:r>
              <w:t xml:space="preserve">B (débil)</w:t>
            </w:r>
          </w:p>
        </w:tc>
        <w:tc>
          <w:tcPr/>
          <w:p>
            <w:pPr>
              <w:pStyle w:val="Compact"/>
              <w:jc w:val="left"/>
            </w:pPr>
            <w:r>
              <w:t xml:space="preserve">cosmético / cosmético</w:t>
            </w:r>
          </w:p>
        </w:tc>
        <w:tc>
          <w:tcPr/>
          <w:p>
            <w:pPr>
              <w:pStyle w:val="Compact"/>
              <w:jc w:val="left"/>
            </w:pPr>
            <w:r>
              <w:t xml:space="preserve">3 / 7</w:t>
            </w:r>
          </w:p>
        </w:tc>
      </w:tr>
    </w:tbl>
    <w:p>
      <w:pPr>
        <w:pStyle w:val="BodyText"/>
      </w:pPr>
      <w:r>
        <w:t xml:space="preserve">Notas a la tabla: en el caso de los</w:t>
      </w:r>
      <w:r>
        <w:t xml:space="preserve"> </w:t>
      </w:r>
      <w:r>
        <w:rPr>
          <w:bCs/>
          <w:b/>
        </w:rPr>
        <w:t xml:space="preserve">péptidos de colágeno</w:t>
      </w:r>
      <w:r>
        <w:t xml:space="preserve">, una parte considerable de los resultados del registro se refiere a otros temas, como los implantes de colágeno en odontología o el medicamento antitumoral endostatina. En el del</w:t>
      </w:r>
      <w:r>
        <w:t xml:space="preserve"> </w:t>
      </w:r>
      <w:r>
        <w:rPr>
          <w:bCs/>
          <w:b/>
        </w:rPr>
        <w:t xml:space="preserve">GHK-Cu</w:t>
      </w:r>
      <w:r>
        <w:t xml:space="preserve">, casi todos los resultados del registro se refieren a otros compuestos de cobre, por ejemplo cobre-64 radiactivo para la obtención de imágenes; solo un registro creíble estudia realmente el GHK. Para ninguna sustancia de este grupo está autorizada en la UE una alegación publicitaria relacionada con la salud; para los lactotripéptidos, la Autoridad Europea de Seguridad Alimentaria (EFSA) rechazó la declaración solicitada sobre la presión arterial.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Péptido</w:t>
            </w:r>
          </w:p>
        </w:tc>
        <w:tc>
          <w:tcPr/>
          <w:p>
            <w:pPr>
              <w:pStyle w:val="Compact"/>
              <w:jc w:val="left"/>
            </w:pPr>
            <w:r>
              <w:t xml:space="preserve">Resultado clave</w:t>
            </w:r>
          </w:p>
        </w:tc>
        <w:tc>
          <w:tcPr/>
          <w:p>
            <w:pPr>
              <w:pStyle w:val="Compact"/>
              <w:jc w:val="left"/>
            </w:pPr>
            <w:r>
              <w:t xml:space="preserve">Riesgo principal</w:t>
            </w:r>
          </w:p>
        </w:tc>
      </w:tr>
      <w:tr>
        <w:tc>
          <w:tcPr/>
          <w:p>
            <w:pPr>
              <w:pStyle w:val="Compact"/>
              <w:jc w:val="left"/>
            </w:pPr>
            <w:r>
              <w:t xml:space="preserve">Péptidos de colágeno</w:t>
            </w:r>
          </w:p>
        </w:tc>
        <w:tc>
          <w:tcPr/>
          <w:p>
            <w:pPr>
              <w:pStyle w:val="Compact"/>
              <w:jc w:val="left"/>
            </w:pPr>
            <w:r>
              <w:t xml:space="preserve">Artrosis: efectos pequeños a moderados (PMID 38218227); beneficio cutáneo no confirmado en estudios independientes (PMID 40324552)</w:t>
            </w:r>
          </w:p>
        </w:tc>
        <w:tc>
          <w:tcPr/>
          <w:p>
            <w:pPr>
              <w:pStyle w:val="Compact"/>
              <w:jc w:val="left"/>
            </w:pPr>
            <w:r>
              <w:t xml:space="preserve">Sustitución de medidas eficaces; oxalato en caso de tendencia a cálculos renales</w:t>
            </w:r>
          </w:p>
        </w:tc>
      </w:tr>
      <w:tr>
        <w:tc>
          <w:tcPr/>
          <w:p>
            <w:pPr>
              <w:pStyle w:val="Compact"/>
              <w:jc w:val="left"/>
            </w:pPr>
            <w:r>
              <w:t xml:space="preserve">Lactotripéptidos</w:t>
            </w:r>
          </w:p>
        </w:tc>
        <w:tc>
          <w:tcPr/>
          <w:p>
            <w:pPr>
              <w:pStyle w:val="Compact"/>
              <w:jc w:val="left"/>
            </w:pPr>
            <w:r>
              <w:t xml:space="preserve">Metaanálisis, 30 ECA: sistólica −2,95 mmHg, con sesgo de publicación (PMID 25608938)</w:t>
            </w:r>
          </w:p>
        </w:tc>
        <w:tc>
          <w:tcPr/>
          <w:p>
            <w:pPr>
              <w:pStyle w:val="Compact"/>
              <w:jc w:val="left"/>
            </w:pPr>
            <w:r>
              <w:t xml:space="preserve">Sustitución de un tratamiento antihipertensivo eficaz</w:t>
            </w:r>
          </w:p>
        </w:tc>
      </w:tr>
      <w:tr>
        <w:tc>
          <w:tcPr/>
          <w:p>
            <w:pPr>
              <w:pStyle w:val="Compact"/>
              <w:jc w:val="left"/>
            </w:pPr>
            <w:r>
              <w:t xml:space="preserve">Carnosina</w:t>
            </w:r>
          </w:p>
        </w:tc>
        <w:tc>
          <w:tcPr/>
          <w:p>
            <w:pPr>
              <w:pStyle w:val="Compact"/>
              <w:jc w:val="left"/>
            </w:pPr>
            <w:r>
              <w:t xml:space="preserve">Metaanálisis, 8 ECA: valores de glucemia y HbA1c algo más bajos (PMID 40999397)</w:t>
            </w:r>
          </w:p>
        </w:tc>
        <w:tc>
          <w:tcPr/>
          <w:p>
            <w:pPr>
              <w:pStyle w:val="Compact"/>
              <w:jc w:val="left"/>
            </w:pPr>
            <w:r>
              <w:t xml:space="preserve">ninguno relevante; faltan datos a largo plazo</w:t>
            </w:r>
          </w:p>
        </w:tc>
      </w:tr>
      <w:tr>
        <w:tc>
          <w:tcPr/>
          <w:p>
            <w:pPr>
              <w:pStyle w:val="Compact"/>
              <w:jc w:val="left"/>
            </w:pPr>
            <w:r>
              <w:t xml:space="preserve">GHK-Cu</w:t>
            </w:r>
          </w:p>
        </w:tc>
        <w:tc>
          <w:tcPr/>
          <w:p>
            <w:pPr>
              <w:pStyle w:val="Compact"/>
              <w:jc w:val="left"/>
            </w:pPr>
            <w:r>
              <w:t xml:space="preserve">Úlceras de pie: superficie de la herida, mediana −98,5 % frente a −60,8 % (PMID 17147644)</w:t>
            </w:r>
          </w:p>
        </w:tc>
        <w:tc>
          <w:tcPr/>
          <w:p>
            <w:pPr>
              <w:pStyle w:val="Compact"/>
              <w:jc w:val="left"/>
            </w:pPr>
            <w:r>
              <w:t xml:space="preserve">Inyecciones de producto del mercado gris sin evaluar</w:t>
            </w:r>
          </w:p>
        </w:tc>
      </w:tr>
      <w:tr>
        <w:tc>
          <w:tcPr/>
          <w:p>
            <w:pPr>
              <w:pStyle w:val="Compact"/>
              <w:jc w:val="left"/>
            </w:pPr>
            <w:r>
              <w:t xml:space="preserve">Palmitoil pentapéptido-4</w:t>
            </w:r>
          </w:p>
        </w:tc>
        <w:tc>
          <w:tcPr/>
          <w:p>
            <w:pPr>
              <w:pStyle w:val="Compact"/>
              <w:jc w:val="left"/>
            </w:pPr>
            <w:r>
              <w:t xml:space="preserve">93 mujeres, estudio de hemicara: menos arrugas a las 12 semanas (PMID 18492182)</w:t>
            </w:r>
          </w:p>
        </w:tc>
        <w:tc>
          <w:tcPr/>
          <w:p>
            <w:pPr>
              <w:pStyle w:val="Compact"/>
              <w:jc w:val="left"/>
            </w:pPr>
            <w:r>
              <w:t xml:space="preserve">rara vez irritación cutánea</w:t>
            </w:r>
          </w:p>
        </w:tc>
      </w:tr>
      <w:tr>
        <w:tc>
          <w:tcPr/>
          <w:p>
            <w:pPr>
              <w:pStyle w:val="Compact"/>
              <w:jc w:val="left"/>
            </w:pPr>
            <w:r>
              <w:t xml:space="preserve">Acetil hexapéptido-8</w:t>
            </w:r>
          </w:p>
        </w:tc>
        <w:tc>
          <w:tcPr/>
          <w:p>
            <w:pPr>
              <w:pStyle w:val="Compact"/>
              <w:jc w:val="left"/>
            </w:pPr>
            <w:r>
              <w:t xml:space="preserve">19 mujeres, estudio de hemicara: sin diferencia a las 4 semanas (PMID 38024099)</w:t>
            </w:r>
          </w:p>
        </w:tc>
        <w:tc>
          <w:tcPr/>
          <w:p>
            <w:pPr>
              <w:pStyle w:val="Compact"/>
              <w:jc w:val="left"/>
            </w:pPr>
            <w:r>
              <w:t xml:space="preserve">Inyecciones no autorizadas, caso clínico de infección</w:t>
            </w:r>
          </w:p>
        </w:tc>
      </w:tr>
    </w:tbl>
    <w:bookmarkEnd w:id="940"/>
    <w:bookmarkStart w:id="944" w:name="X5caa5799859344c20fe6a3f6965f08b04c8a47e"/>
    <w:p>
      <w:pPr>
        <w:pStyle w:val="Heading3"/>
      </w:pPr>
      <w:r>
        <w:t xml:space="preserve">Análisis: ¿qué tan bien estudiados están los péptidos en conjunto?</w:t>
      </w:r>
    </w:p>
    <w:bookmarkStart w:id="941" w:name="distribución-de-los-niveles-de-evidencia"/>
    <w:p>
      <w:pPr>
        <w:pStyle w:val="Heading4"/>
      </w:pPr>
      <w:r>
        <w:t xml:space="preserve">Distribución de los niveles de evidencia</w:t>
      </w:r>
    </w:p>
    <w:p>
      <w:pPr>
        <w:pStyle w:val="FirstParagraph"/>
      </w:pPr>
      <w:r>
        <w:t xml:space="preserve">Las 58 entradas de este libro –56 péptidos y dos sustancias de comparación que no son péptidos (orforglipron e ibutamoreno)– se distribuyen así:</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Nivel de evidencia</w:t>
            </w:r>
          </w:p>
        </w:tc>
        <w:tc>
          <w:tcPr/>
          <w:p>
            <w:pPr>
              <w:pStyle w:val="Compact"/>
              <w:jc w:val="left"/>
            </w:pPr>
            <w:r>
              <w:t xml:space="preserve">Número</w:t>
            </w:r>
          </w:p>
        </w:tc>
        <w:tc>
          <w:tcPr/>
          <w:p>
            <w:pPr>
              <w:pStyle w:val="Compact"/>
              <w:jc w:val="left"/>
            </w:pPr>
            <w:r>
              <w:t xml:space="preserve">Proporción</w:t>
            </w:r>
          </w:p>
        </w:tc>
        <w:tc>
          <w:tcPr/>
          <w:p>
            <w:pPr>
              <w:pStyle w:val="Compact"/>
              <w:jc w:val="left"/>
            </w:pPr>
            <w:r>
              <w:t xml:space="preserve">Ejemplos</w:t>
            </w:r>
          </w:p>
        </w:tc>
      </w:tr>
      <w:tr>
        <w:tc>
          <w:tcPr/>
          <w:p>
            <w:pPr>
              <w:pStyle w:val="Compact"/>
              <w:jc w:val="left"/>
            </w:pPr>
            <w:r>
              <w:t xml:space="preserve">A</w:t>
            </w:r>
          </w:p>
        </w:tc>
        <w:tc>
          <w:tcPr/>
          <w:p>
            <w:pPr>
              <w:pStyle w:val="Compact"/>
              <w:jc w:val="left"/>
            </w:pPr>
            <w:r>
              <w:t xml:space="preserve">14</w:t>
            </w:r>
          </w:p>
        </w:tc>
        <w:tc>
          <w:tcPr/>
          <w:p>
            <w:pPr>
              <w:pStyle w:val="Compact"/>
              <w:jc w:val="left"/>
            </w:pPr>
            <w:r>
              <w:t xml:space="preserve">24 %</w:t>
            </w:r>
          </w:p>
        </w:tc>
        <w:tc>
          <w:tcPr/>
          <w:p>
            <w:pPr>
              <w:pStyle w:val="Compact"/>
              <w:jc w:val="left"/>
            </w:pPr>
            <w:r>
              <w:t xml:space="preserve">Semaglutida, tirzepatida, tesamorelina, afamelanotida</w:t>
            </w:r>
          </w:p>
        </w:tc>
      </w:tr>
      <w:tr>
        <w:tc>
          <w:tcPr/>
          <w:p>
            <w:pPr>
              <w:pStyle w:val="Compact"/>
              <w:jc w:val="left"/>
            </w:pPr>
            <w:r>
              <w:t xml:space="preserve">B</w:t>
            </w:r>
          </w:p>
        </w:tc>
        <w:tc>
          <w:tcPr/>
          <w:p>
            <w:pPr>
              <w:pStyle w:val="Compact"/>
              <w:jc w:val="left"/>
            </w:pPr>
            <w:r>
              <w:t xml:space="preserve">25</w:t>
            </w:r>
          </w:p>
        </w:tc>
        <w:tc>
          <w:tcPr/>
          <w:p>
            <w:pPr>
              <w:pStyle w:val="Compact"/>
              <w:jc w:val="left"/>
            </w:pPr>
            <w:r>
              <w:t xml:space="preserve">43 %</w:t>
            </w:r>
          </w:p>
        </w:tc>
        <w:tc>
          <w:tcPr/>
          <w:p>
            <w:pPr>
              <w:pStyle w:val="Compact"/>
              <w:jc w:val="left"/>
            </w:pPr>
            <w:r>
              <w:t xml:space="preserve">Retatrutida, timosina alfa 1, glutatión, péptidos de colágeno</w:t>
            </w:r>
          </w:p>
        </w:tc>
      </w:tr>
      <w:tr>
        <w:tc>
          <w:tcPr/>
          <w:p>
            <w:pPr>
              <w:pStyle w:val="Compact"/>
              <w:jc w:val="left"/>
            </w:pPr>
            <w:r>
              <w:t xml:space="preserve">C</w:t>
            </w:r>
          </w:p>
        </w:tc>
        <w:tc>
          <w:tcPr/>
          <w:p>
            <w:pPr>
              <w:pStyle w:val="Compact"/>
              <w:jc w:val="left"/>
            </w:pPr>
            <w:r>
              <w:t xml:space="preserve">12</w:t>
            </w:r>
          </w:p>
        </w:tc>
        <w:tc>
          <w:tcPr/>
          <w:p>
            <w:pPr>
              <w:pStyle w:val="Compact"/>
              <w:jc w:val="left"/>
            </w:pPr>
            <w:r>
              <w:t xml:space="preserve">21 %</w:t>
            </w:r>
          </w:p>
        </w:tc>
        <w:tc>
          <w:tcPr/>
          <w:p>
            <w:pPr>
              <w:pStyle w:val="Compact"/>
              <w:jc w:val="left"/>
            </w:pPr>
            <w:r>
              <w:t xml:space="preserve">BPC-157, CJC-1295, Semax, melanotán II</w:t>
            </w:r>
          </w:p>
        </w:tc>
      </w:tr>
      <w:tr>
        <w:tc>
          <w:tcPr/>
          <w:p>
            <w:pPr>
              <w:pStyle w:val="Compact"/>
              <w:jc w:val="left"/>
            </w:pPr>
            <w:r>
              <w:t xml:space="preserve">D</w:t>
            </w:r>
          </w:p>
        </w:tc>
        <w:tc>
          <w:tcPr/>
          <w:p>
            <w:pPr>
              <w:pStyle w:val="Compact"/>
              <w:jc w:val="left"/>
            </w:pPr>
            <w:r>
              <w:t xml:space="preserve">7</w:t>
            </w:r>
          </w:p>
        </w:tc>
        <w:tc>
          <w:tcPr/>
          <w:p>
            <w:pPr>
              <w:pStyle w:val="Compact"/>
              <w:jc w:val="left"/>
            </w:pPr>
            <w:r>
              <w:t xml:space="preserve">12 %</w:t>
            </w:r>
          </w:p>
        </w:tc>
        <w:tc>
          <w:tcPr/>
          <w:p>
            <w:pPr>
              <w:pStyle w:val="Compact"/>
              <w:jc w:val="left"/>
            </w:pPr>
            <w:r>
              <w:t xml:space="preserve">AOD-9604, KPV, Dihexa, MOTS-c, IGF-1 LR3</w:t>
            </w:r>
          </w:p>
        </w:tc>
      </w:tr>
    </w:tbl>
    <w:p>
      <w:pPr>
        <w:pStyle w:val="BodyText"/>
      </w:pPr>
      <w:r>
        <w:t xml:space="preserve">Nota: el TB-500 se incluye en el recuento con el nivel B correspondiente a la timosina beta 4; para el fragmento TB-500 por sí solo rige el nivel D.</w:t>
      </w:r>
    </w:p>
    <w:p>
      <w:pPr>
        <w:pStyle w:val="BodyText"/>
      </w:pPr>
      <w:r>
        <w:t xml:space="preserve">Tres patrones:</w:t>
      </w:r>
    </w:p>
    <w:p>
      <w:pPr>
        <w:numPr>
          <w:ilvl w:val="0"/>
          <w:numId w:val="1321"/>
        </w:numPr>
        <w:pStyle w:val="Compact"/>
      </w:pPr>
      <w:r>
        <w:rPr>
          <w:bCs/>
          <w:b/>
        </w:rPr>
        <w:t xml:space="preserve">El nivel A lo alcanzan casi exclusivamente principios activos que han pasado por un programa de autorización regular de un fabricante farmacéutico.</w:t>
      </w:r>
      <w:r>
        <w:t xml:space="preserve"> </w:t>
      </w:r>
      <w:r>
        <w:t xml:space="preserve">Nueve de las 14 entradas con nivel A proceden del grupo A (metabolismo y peso). Las demás son la tesamorelina, la macimorelina y la mecasermina, del eje de la hormona del crecimiento, así como la bremelanotida y la afamelanotida. Ninguna de las sustancias descritas en el grupo B (curación) y el grupo D (cerebro y longevidad) alcanza el nivel A.</w:t>
      </w:r>
    </w:p>
    <w:p>
      <w:pPr>
        <w:numPr>
          <w:ilvl w:val="0"/>
          <w:numId w:val="1321"/>
        </w:numPr>
        <w:pStyle w:val="Compact"/>
      </w:pPr>
      <w:r>
        <w:rPr>
          <w:bCs/>
          <w:b/>
        </w:rPr>
        <w:t xml:space="preserve">El nivel B significa a menudo «evaluado y no confirmado».</w:t>
      </w:r>
      <w:r>
        <w:t xml:space="preserve"> </w:t>
      </w:r>
      <w:r>
        <w:t xml:space="preserve">En muchas de las 25 entradas, el mayor estudio aleatorizado no alcanzó su objetivo principal: la timosina alfa 1 en la sepsis, el LL-37 en las úlceras de pierna, la ipamorelina tras cirugía intestinal, la elamipretida en la miopatía, la oxitocina en el autismo y el glutatión contra el daño nervioso por quimioterapia.</w:t>
      </w:r>
    </w:p>
    <w:p>
      <w:pPr>
        <w:numPr>
          <w:ilvl w:val="0"/>
          <w:numId w:val="1321"/>
        </w:numPr>
        <w:pStyle w:val="Compact"/>
      </w:pPr>
      <w:r>
        <w:rPr>
          <w:bCs/>
          <w:b/>
        </w:rPr>
        <w:t xml:space="preserve">Un tercio tiene nivel C o D.</w:t>
      </w:r>
      <w:r>
        <w:t xml:space="preserve"> </w:t>
      </w:r>
      <w:r>
        <w:t xml:space="preserve">19 de las 58 entradas se basan en estudios en humanos pequeños y no controlados o solo en experimentos con animales y de laboratorio, entre ellas muchas de las sustancias más promocionadas en internet.</w:t>
      </w:r>
    </w:p>
    <w:p>
      <w:pPr>
        <w:pStyle w:val="FirstParagraph"/>
      </w:pPr>
      <w:r>
        <w:t xml:space="preserve">Por grupos:</w:t>
      </w:r>
    </w:p>
    <w:p>
      <w:pPr>
        <w:numPr>
          <w:ilvl w:val="0"/>
          <w:numId w:val="1322"/>
        </w:numPr>
        <w:pStyle w:val="Compact"/>
      </w:pPr>
      <w:r>
        <w:t xml:space="preserve">A. Metabolismo y peso (15 entradas): 9 × A, 5 × B, 1 × D</w:t>
      </w:r>
    </w:p>
    <w:p>
      <w:pPr>
        <w:numPr>
          <w:ilvl w:val="0"/>
          <w:numId w:val="1322"/>
        </w:numPr>
        <w:pStyle w:val="Compact"/>
      </w:pPr>
      <w:r>
        <w:t xml:space="preserve">B. Curación y sistema inmunitario (8): 5 × B, 2 × C, 1 × D</w:t>
      </w:r>
    </w:p>
    <w:p>
      <w:pPr>
        <w:numPr>
          <w:ilvl w:val="0"/>
          <w:numId w:val="1322"/>
        </w:numPr>
        <w:pStyle w:val="Compact"/>
      </w:pPr>
      <w:r>
        <w:t xml:space="preserve">C. Eje de la hormona del crecimiento (11): 3 × A, 4 × B, 3 × C, 1 × D</w:t>
      </w:r>
    </w:p>
    <w:p>
      <w:pPr>
        <w:numPr>
          <w:ilvl w:val="0"/>
          <w:numId w:val="1322"/>
        </w:numPr>
        <w:pStyle w:val="Compact"/>
      </w:pPr>
      <w:r>
        <w:t xml:space="preserve">D. Cerebro y longevidad (12): 3 × B, 5 × C, 4 × D</w:t>
      </w:r>
    </w:p>
    <w:p>
      <w:pPr>
        <w:numPr>
          <w:ilvl w:val="0"/>
          <w:numId w:val="1322"/>
        </w:numPr>
        <w:pStyle w:val="Compact"/>
      </w:pPr>
      <w:r>
        <w:t xml:space="preserve">E. Hormonas y pigmentación (6): 2 × A, 3 × B, 1 × C</w:t>
      </w:r>
    </w:p>
    <w:p>
      <w:pPr>
        <w:numPr>
          <w:ilvl w:val="0"/>
          <w:numId w:val="1322"/>
        </w:numPr>
        <w:pStyle w:val="Compact"/>
      </w:pPr>
      <w:r>
        <w:t xml:space="preserve">F. Colágeno y cosmética (6): 5 × B, 1 × C</w:t>
      </w:r>
    </w:p>
    <w:p>
      <w:pPr>
        <w:pStyle w:val="FirstParagraph"/>
      </w:pPr>
      <w:r>
        <w:t xml:space="preserve">El grupo D tiene los datos más débiles: cuatro de sus doce péptidos nunca se administraron en un estudio publicado en humanos, y otros cinco solo en estudios pequeños, en su mayoría no aleatorizados.</w:t>
      </w:r>
    </w:p>
    <w:bookmarkEnd w:id="941"/>
    <w:bookmarkStart w:id="942" w:name="autorizado-o-no"/>
    <w:p>
      <w:pPr>
        <w:pStyle w:val="Heading4"/>
      </w:pPr>
      <w:r>
        <w:t xml:space="preserve">¿Autorizado o no?</w:t>
      </w:r>
    </w:p>
    <w:p>
      <w:pPr>
        <w:pStyle w:val="FirstParagraph"/>
      </w:pPr>
      <w:r>
        <w:t xml:space="preserve">En este libro, «autorizado» significa que una agencia del medicamento ha evaluado la eficacia, la seguridad y la calidad de fabricación para un uso concreto. Según esto, las 58 entradas pueden dividirse en cinco grupos (situación en octubre de 2026, compruébese la versión actual):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Estado</w:t>
            </w:r>
          </w:p>
        </w:tc>
        <w:tc>
          <w:tcPr/>
          <w:p>
            <w:pPr>
              <w:pStyle w:val="Compact"/>
              <w:jc w:val="left"/>
            </w:pPr>
            <w:r>
              <w:t xml:space="preserve">Número</w:t>
            </w:r>
          </w:p>
        </w:tc>
        <w:tc>
          <w:tcPr/>
          <w:p>
            <w:pPr>
              <w:pStyle w:val="Compact"/>
              <w:jc w:val="left"/>
            </w:pPr>
            <w:r>
              <w:t xml:space="preserve">Péptidos</w:t>
            </w:r>
          </w:p>
        </w:tc>
      </w:tr>
      <w:tr>
        <w:tc>
          <w:tcPr/>
          <w:p>
            <w:pPr>
              <w:pStyle w:val="Compact"/>
              <w:jc w:val="left"/>
            </w:pPr>
            <w:r>
              <w:t xml:space="preserve">Autorizados como medicamento en la UE y/o en EE. UU.</w:t>
            </w:r>
          </w:p>
        </w:tc>
        <w:tc>
          <w:tcPr/>
          <w:p>
            <w:pPr>
              <w:pStyle w:val="Compact"/>
              <w:jc w:val="left"/>
            </w:pPr>
            <w:r>
              <w:t xml:space="preserve">14</w:t>
            </w:r>
          </w:p>
        </w:tc>
        <w:tc>
          <w:tcPr/>
          <w:p>
            <w:pPr>
              <w:pStyle w:val="Compact"/>
              <w:jc w:val="left"/>
            </w:pPr>
            <w:r>
              <w:t xml:space="preserve">Exenatida, liraglutida, dulaglutida, semaglutida, tirzepatida, setmelanotida, pramlintida, tesamorelina, macimorelina, mecasermina, afamelanotida, bremelanotida, SS-31, oxitocina (solo obstetricia)</w:t>
            </w:r>
          </w:p>
        </w:tc>
      </w:tr>
      <w:tr>
        <w:tc>
          <w:tcPr/>
          <w:p>
            <w:pPr>
              <w:pStyle w:val="Compact"/>
              <w:jc w:val="left"/>
            </w:pPr>
            <w:r>
              <w:t xml:space="preserve">Autorizados solo a nivel nacional en algunos Estados de la UE o solo fuera de la UE y EE. UU.</w:t>
            </w:r>
          </w:p>
        </w:tc>
        <w:tc>
          <w:tcPr/>
          <w:p>
            <w:pPr>
              <w:pStyle w:val="Compact"/>
              <w:jc w:val="left"/>
            </w:pPr>
            <w:r>
              <w:t xml:space="preserve">8</w:t>
            </w:r>
          </w:p>
        </w:tc>
        <w:tc>
          <w:tcPr/>
          <w:p>
            <w:pPr>
              <w:pStyle w:val="Compact"/>
              <w:jc w:val="left"/>
            </w:pPr>
            <w:r>
              <w:t xml:space="preserve">Cerebrolisina, gonadorelina, mazdutida (China), timosina alfa 1 (China, entre otros), timalina, Semax, Selank (Rusia), GHRP-2 (Japón, agente diagnóstico)</w:t>
            </w:r>
          </w:p>
        </w:tc>
      </w:tr>
      <w:tr>
        <w:tc>
          <w:tcPr/>
          <w:p>
            <w:pPr>
              <w:pStyle w:val="Compact"/>
              <w:jc w:val="left"/>
            </w:pPr>
            <w:r>
              <w:t xml:space="preserve">Autorizados antes en EE. UU., hoy ya no comercializados</w:t>
            </w:r>
          </w:p>
        </w:tc>
        <w:tc>
          <w:tcPr/>
          <w:p>
            <w:pPr>
              <w:pStyle w:val="Compact"/>
              <w:jc w:val="left"/>
            </w:pPr>
            <w:r>
              <w:t xml:space="preserve">1</w:t>
            </w:r>
          </w:p>
        </w:tc>
        <w:tc>
          <w:tcPr/>
          <w:p>
            <w:pPr>
              <w:pStyle w:val="Compact"/>
              <w:jc w:val="left"/>
            </w:pPr>
            <w:r>
              <w:t xml:space="preserve">Sermorelina</w:t>
            </w:r>
          </w:p>
        </w:tc>
      </w:tr>
      <w:tr>
        <w:tc>
          <w:tcPr/>
          <w:p>
            <w:pPr>
              <w:pStyle w:val="Compact"/>
              <w:jc w:val="left"/>
            </w:pPr>
            <w:r>
              <w:t xml:space="preserve">Permitidos como alimento, complemento alimenticio o cosmético, sin autorización como medicamento</w:t>
            </w:r>
          </w:p>
        </w:tc>
        <w:tc>
          <w:tcPr/>
          <w:p>
            <w:pPr>
              <w:pStyle w:val="Compact"/>
              <w:jc w:val="left"/>
            </w:pPr>
            <w:r>
              <w:t xml:space="preserve">7</w:t>
            </w:r>
          </w:p>
        </w:tc>
        <w:tc>
          <w:tcPr/>
          <w:p>
            <w:pPr>
              <w:pStyle w:val="Compact"/>
              <w:jc w:val="left"/>
            </w:pPr>
            <w:r>
              <w:t xml:space="preserve">Péptidos de colágeno, lactotripéptidos, carnosina, glutatión, GHK-Cu, palmitoil pentapéptido-4, acetil hexapéptido-8</w:t>
            </w:r>
          </w:p>
        </w:tc>
      </w:tr>
      <w:tr>
        <w:tc>
          <w:tcPr/>
          <w:p>
            <w:pPr>
              <w:pStyle w:val="Compact"/>
              <w:jc w:val="left"/>
            </w:pPr>
            <w:r>
              <w:t xml:space="preserve">No autorizados en ninguna parte</w:t>
            </w:r>
          </w:p>
        </w:tc>
        <w:tc>
          <w:tcPr/>
          <w:p>
            <w:pPr>
              <w:pStyle w:val="Compact"/>
              <w:jc w:val="left"/>
            </w:pPr>
            <w:r>
              <w:t xml:space="preserve">28</w:t>
            </w:r>
          </w:p>
        </w:tc>
        <w:tc>
          <w:tcPr/>
          <w:p>
            <w:pPr>
              <w:pStyle w:val="Compact"/>
              <w:jc w:val="left"/>
            </w:pPr>
            <w:r>
              <w:t xml:space="preserve">entre ellos retatrutida, CagriSema, BPC-157, TB-500, CJC-1295, ipamorelina, Epitalon, MOTS-c, melanotán II, IGF-1 LR3, orforglipron (solicitud presentada) e ibutamoreno</w:t>
            </w:r>
          </w:p>
        </w:tc>
      </w:tr>
    </w:tbl>
    <w:p>
      <w:pPr>
        <w:pStyle w:val="BodyText"/>
      </w:pPr>
      <w:r>
        <w:t xml:space="preserve">Solo alrededor de una cuarta parte de las entradas está autorizada como medicamento en la UE o en EE. UU., y por lo general para usos muy delimitados: la afamelanotida para una intolerancia rara a la luz (protoporfiria eritropoyética, EPP), no para broncearse; la elamipretida solo para el síndrome de Barth; la oxitocina solo para la obstetricia, no como espray nasal; la tesamorelina solo para un trastorno de la distribución de la grasa en el VIH. Por eso, ante la afirmación «autorizado» conviene preguntar siempre: ¿dónde, para qué y en qué forma?</w:t>
      </w:r>
    </w:p>
    <w:p>
      <w:pPr>
        <w:pStyle w:val="BodyText"/>
      </w:pPr>
      <w:r>
        <w:t xml:space="preserve">Las 28 entradas no autorizadas en ninguna parte se dividen en dos grupos. La retatrutida, la survodutida, CagriSema, la amicretina, la maridebart cafraglutida y el orforglipron están en desarrollo regular con estudios de fase 3; para ellos, una autorización es probable, pero no segura (valoración). En cambio, sustancias como el BPC-157, el TB-500, el CJC-1295, el AOD-9604, el Epitalon, el MOTS-c, el Dihexa o el IGF-1 LR3 no tienen una vía de autorización reconocible y se venden sobre todo como «research peptides». Las ofertas del mercado gris del primer grupo no pueden equipararse a los medicamentos evaluados.</w:t>
      </w:r>
    </w:p>
    <w:bookmarkEnd w:id="942"/>
    <w:bookmarkStart w:id="943" w:name="estatus-antidopaje-según-la-wada"/>
    <w:p>
      <w:pPr>
        <w:pStyle w:val="Heading4"/>
      </w:pPr>
      <w:r>
        <w:t xml:space="preserve">Estatus antidopaje según la WADA</w:t>
      </w:r>
    </w:p>
    <w:p>
      <w:pPr>
        <w:pStyle w:val="FirstParagraph"/>
      </w:pPr>
      <w:r>
        <w:t xml:space="preserve">Para el deporte de competición cuenta la lista de prohibiciones de la Agencia Mundial Antidopaje (WADA). Las clases más importantes:</w:t>
      </w:r>
    </w:p>
    <w:p>
      <w:pPr>
        <w:numPr>
          <w:ilvl w:val="0"/>
          <w:numId w:val="1323"/>
        </w:numPr>
        <w:pStyle w:val="Compact"/>
      </w:pPr>
      <w:r>
        <w:rPr>
          <w:bCs/>
          <w:b/>
        </w:rPr>
        <w:t xml:space="preserve">S0</w:t>
      </w:r>
      <w:r>
        <w:t xml:space="preserve"> </w:t>
      </w:r>
      <w:r>
        <w:t xml:space="preserve">– sustancias no aprobadas: todas las sustancias sin autorización como medicamento para uso humano, también sin mención nominal.</w:t>
      </w:r>
    </w:p>
    <w:p>
      <w:pPr>
        <w:numPr>
          <w:ilvl w:val="0"/>
          <w:numId w:val="1323"/>
        </w:numPr>
        <w:pStyle w:val="Compact"/>
      </w:pPr>
      <w:r>
        <w:rPr>
          <w:bCs/>
          <w:b/>
        </w:rPr>
        <w:t xml:space="preserve">S2</w:t>
      </w:r>
      <w:r>
        <w:t xml:space="preserve"> </w:t>
      </w:r>
      <w:r>
        <w:t xml:space="preserve">– hormonas peptídicas, factores de crecimiento, sustancias afines, entre ellas la hormona del crecimiento, sus factores liberadores y fragmentos, el IGF-1, la timosina beta 4 y, en los hombres, los factores liberadores de la hormona luteinizante (LH).</w:t>
      </w:r>
    </w:p>
    <w:p>
      <w:pPr>
        <w:numPr>
          <w:ilvl w:val="0"/>
          <w:numId w:val="1323"/>
        </w:numPr>
        <w:pStyle w:val="Compact"/>
      </w:pPr>
      <w:r>
        <w:rPr>
          <w:bCs/>
          <w:b/>
        </w:rPr>
        <w:t xml:space="preserve">S4</w:t>
      </w:r>
      <w:r>
        <w:t xml:space="preserve"> </w:t>
      </w:r>
      <w:r>
        <w:t xml:space="preserve">– moduladores hormonales y metabólicos, entre ellos los activadores de la enzima AMPK.</w:t>
      </w:r>
    </w:p>
    <w:p>
      <w:pPr>
        <w:numPr>
          <w:ilvl w:val="0"/>
          <w:numId w:val="1323"/>
        </w:numPr>
        <w:pStyle w:val="Compact"/>
      </w:pPr>
      <w:r>
        <w:rPr>
          <w:bCs/>
          <w:b/>
        </w:rPr>
        <w:t xml:space="preserve">M2</w:t>
      </w:r>
      <w:r>
        <w:t xml:space="preserve"> </w:t>
      </w:r>
      <w:r>
        <w:t xml:space="preserve">– métodos prohibidos, entre ellos las infusiones de más de 100 ml en un plazo de doce horas.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Péptidos</w:t>
            </w:r>
          </w:p>
        </w:tc>
        <w:tc>
          <w:tcPr/>
          <w:p>
            <w:pPr>
              <w:pStyle w:val="Compact"/>
              <w:jc w:val="left"/>
            </w:pPr>
            <w:r>
              <w:t xml:space="preserve">Estatus WADA (situación en 2026, compruébese la versión actual)</w:t>
            </w:r>
          </w:p>
        </w:tc>
      </w:tr>
      <w:tr>
        <w:tc>
          <w:tcPr/>
          <w:p>
            <w:pPr>
              <w:pStyle w:val="Compact"/>
              <w:jc w:val="left"/>
            </w:pPr>
            <w:r>
              <w:t xml:space="preserve">AOD-9604, TB-500 / timosina beta 4, ARA-290, sermorelina, tesamorelina, CJC-1295, ipamorelina, GHRP-2, GHRP-6, hexarelina, macimorelina, mecasermina, IGF-1 LR3, ibutamoreno</w:t>
            </w:r>
          </w:p>
        </w:tc>
        <w:tc>
          <w:tcPr/>
          <w:p>
            <w:pPr>
              <w:pStyle w:val="Compact"/>
              <w:jc w:val="left"/>
            </w:pPr>
            <w:r>
              <w:t xml:space="preserve">prohibidos, S2</w:t>
            </w:r>
          </w:p>
        </w:tc>
      </w:tr>
      <w:tr>
        <w:tc>
          <w:tcPr/>
          <w:p>
            <w:pPr>
              <w:pStyle w:val="Compact"/>
              <w:jc w:val="left"/>
            </w:pPr>
            <w:r>
              <w:t xml:space="preserve">Gonadorelina; kisspeptina</w:t>
            </w:r>
          </w:p>
        </w:tc>
        <w:tc>
          <w:tcPr/>
          <w:p>
            <w:pPr>
              <w:pStyle w:val="Compact"/>
              <w:jc w:val="left"/>
            </w:pPr>
            <w:r>
              <w:t xml:space="preserve">prohibidas para los hombres, S2; la kisspeptina, como principio activo no autorizado, además S0</w:t>
            </w:r>
          </w:p>
        </w:tc>
      </w:tr>
      <w:tr>
        <w:tc>
          <w:tcPr/>
          <w:p>
            <w:pPr>
              <w:pStyle w:val="Compact"/>
              <w:jc w:val="left"/>
            </w:pPr>
            <w:r>
              <w:t xml:space="preserve">MOTS-c</w:t>
            </w:r>
          </w:p>
        </w:tc>
        <w:tc>
          <w:tcPr/>
          <w:p>
            <w:pPr>
              <w:pStyle w:val="Compact"/>
              <w:jc w:val="left"/>
            </w:pPr>
            <w:r>
              <w:t xml:space="preserve">prohibido, S4 (activador de la AMPK)</w:t>
            </w:r>
          </w:p>
        </w:tc>
      </w:tr>
      <w:tr>
        <w:tc>
          <w:tcPr/>
          <w:p>
            <w:pPr>
              <w:pStyle w:val="Compact"/>
              <w:jc w:val="left"/>
            </w:pPr>
            <w:r>
              <w:t xml:space="preserve">Retatrutida, survodutida, CagriSema, amicretina, maridebart cafraglutida, BPC-157, melanotán II</w:t>
            </w:r>
          </w:p>
        </w:tc>
        <w:tc>
          <w:tcPr/>
          <w:p>
            <w:pPr>
              <w:pStyle w:val="Compact"/>
              <w:jc w:val="left"/>
            </w:pPr>
            <w:r>
              <w:t xml:space="preserve">prohibidos, S0</w:t>
            </w:r>
          </w:p>
        </w:tc>
      </w:tr>
      <w:tr>
        <w:tc>
          <w:tcPr/>
          <w:p>
            <w:pPr>
              <w:pStyle w:val="Compact"/>
              <w:jc w:val="left"/>
            </w:pPr>
            <w:r>
              <w:t xml:space="preserve">KPV, LL-37, Dihexa, Epitalon, Pinealon, humanina, FOXO4-DRI, orforglipron (hasta su autorización)</w:t>
            </w:r>
          </w:p>
        </w:tc>
        <w:tc>
          <w:tcPr/>
          <w:p>
            <w:pPr>
              <w:pStyle w:val="Compact"/>
              <w:jc w:val="left"/>
            </w:pPr>
            <w:r>
              <w:t xml:space="preserve">no mencionados nominalmente; como sustancias no aprobadas, probablemente S0</w:t>
            </w:r>
          </w:p>
        </w:tc>
      </w:tr>
      <w:tr>
        <w:tc>
          <w:tcPr/>
          <w:p>
            <w:pPr>
              <w:pStyle w:val="Compact"/>
              <w:jc w:val="left"/>
            </w:pPr>
            <w:r>
              <w:t xml:space="preserve">Mazdutida</w:t>
            </w:r>
          </w:p>
        </w:tc>
        <w:tc>
          <w:tcPr/>
          <w:p>
            <w:pPr>
              <w:pStyle w:val="Compact"/>
              <w:jc w:val="left"/>
            </w:pPr>
            <w:r>
              <w:t xml:space="preserve">no mencionada nominalmente; estatus S0 incierto debido a la autorización en China</w:t>
            </w:r>
          </w:p>
        </w:tc>
      </w:tr>
      <w:tr>
        <w:tc>
          <w:tcPr/>
          <w:p>
            <w:pPr>
              <w:pStyle w:val="Compact"/>
              <w:jc w:val="left"/>
            </w:pPr>
            <w:r>
              <w:t xml:space="preserve">GHK-Cu</w:t>
            </w:r>
          </w:p>
        </w:tc>
        <w:tc>
          <w:tcPr/>
          <w:p>
            <w:pPr>
              <w:pStyle w:val="Compact"/>
              <w:jc w:val="left"/>
            </w:pPr>
            <w:r>
              <w:t xml:space="preserve">como cosmético, no prohibido; la inyección, posiblemente S0</w:t>
            </w:r>
          </w:p>
        </w:tc>
      </w:tr>
      <w:tr>
        <w:tc>
          <w:tcPr/>
          <w:p>
            <w:pPr>
              <w:pStyle w:val="Compact"/>
              <w:jc w:val="left"/>
            </w:pPr>
            <w:r>
              <w:t xml:space="preserve">Glutatión</w:t>
            </w:r>
          </w:p>
        </w:tc>
        <w:tc>
          <w:tcPr/>
          <w:p>
            <w:pPr>
              <w:pStyle w:val="Compact"/>
              <w:jc w:val="left"/>
            </w:pPr>
            <w:r>
              <w:t xml:space="preserve">la sustancia no está prohibida; las infusiones de más de 100 ml en doce horas están prohibidas (M2)</w:t>
            </w:r>
          </w:p>
        </w:tc>
      </w:tr>
      <w:tr>
        <w:tc>
          <w:tcPr/>
          <w:p>
            <w:pPr>
              <w:pStyle w:val="Compact"/>
              <w:jc w:val="left"/>
            </w:pPr>
            <w:r>
              <w:t xml:space="preserve">Semax, Selank, DSIP, SS-31, bremelanotida</w:t>
            </w:r>
          </w:p>
        </w:tc>
        <w:tc>
          <w:tcPr/>
          <w:p>
            <w:pPr>
              <w:pStyle w:val="Compact"/>
              <w:jc w:val="left"/>
            </w:pPr>
            <w:r>
              <w:t xml:space="preserve">no mencionados nominalmente; clasificación no inequívoca</w:t>
            </w:r>
          </w:p>
        </w:tc>
      </w:tr>
      <w:tr>
        <w:tc>
          <w:tcPr/>
          <w:p>
            <w:pPr>
              <w:pStyle w:val="Compact"/>
              <w:jc w:val="left"/>
            </w:pPr>
            <w:r>
              <w:t xml:space="preserve">Exenatida, liraglutida, dulaglutida, semaglutida, tirzepatida, pramlintida, setmelanotida, timosina alfa 1, larazotida, timalina, cerebrolisina, afamelanotida, oxitocina, péptidos de colágeno, lactotripéptidos, carnosina, palmitoil pentapéptido-4, acetil hexapéptido-8</w:t>
            </w:r>
          </w:p>
        </w:tc>
        <w:tc>
          <w:tcPr/>
          <w:p>
            <w:pPr>
              <w:pStyle w:val="Compact"/>
              <w:jc w:val="left"/>
            </w:pPr>
            <w:r>
              <w:t xml:space="preserve">no figuran en la lista</w:t>
            </w:r>
          </w:p>
        </w:tc>
      </w:tr>
    </w:tbl>
    <w:p>
      <w:pPr>
        <w:pStyle w:val="BodyText"/>
      </w:pPr>
      <w:r>
        <w:t xml:space="preserve">La lista no es exhaustiva: S0 abarca cualquier sustancia sin autorización, y S2 también las «sustancias afines» con un efecto similar. Por tanto, no estar mencionado nominalmente no significa estar permitido. Precisamente las sustancias del eje de la hormona del crecimiento populares en los deportes de fuerza, así como el BPC-157 y el TB-500, están expresamente prohibidas. En caso de duda, las agencias nacionales antidopaje ofrecen información.</w:t>
      </w:r>
    </w:p>
    <w:bookmarkEnd w:id="943"/>
    <w:bookmarkEnd w:id="944"/>
    <w:bookmarkStart w:id="945" w:name="lo-que-muestra-la-visión-general"/>
    <w:p>
      <w:pPr>
        <w:pStyle w:val="Heading3"/>
      </w:pPr>
      <w:r>
        <w:t xml:space="preserve">Lo que muestra la visión general</w:t>
      </w:r>
    </w:p>
    <w:p>
      <w:pPr>
        <w:pStyle w:val="FirstParagraph"/>
      </w:pPr>
      <w:r>
        <w:t xml:space="preserve">Los péptidos bien estudiados son casi exclusivamente medicamentos autorizados procedentes de grandes estudios registrados de antemano. La mayoría de los péptidos populares en internet tienen nivel de evidencia C o D, no están autorizados en ninguna parte y con frecuencia están prohibidos en el deporte. Entre ambos extremos se sitúan sustancias que se han estudiado seriamente en humanos, pero cuyos estudios no han confirmado el beneficio esperado. Los dos capítulos siguientes profundizan en ello para los medicamentos GLP-1 y para los péptidos de internet más populares.</w:t>
      </w:r>
    </w:p>
    <w:bookmarkEnd w:id="945"/>
    <w:bookmarkEnd w:id="946"/>
    <w:bookmarkStart w:id="957" w:name="glp-1-y-compañía-comparación-directa"/>
    <w:p>
      <w:pPr>
        <w:pStyle w:val="Heading2"/>
      </w:pPr>
      <w:r>
        <w:t xml:space="preserve">GLP-1 y compañía: comparación directa</w:t>
      </w:r>
    </w:p>
    <w:p>
      <w:pPr>
        <w:pStyle w:val="FirstParagraph"/>
      </w:pPr>
      <w:r>
        <w:t xml:space="preserve">Ningún otro grupo de este libro está tan bien estudiado como los fármacos incretínicos: agonistas del receptor de GLP-1 como la liraglutida y la semaglutida, el agonista doble tirzepatida y una serie de sucesores que actúan además sobre el receptor de glucagón o de amilina. Para ellos existen programas de autorización con decenas de miles de participantes, grandes estudios cardiovasculares y, cada vez más, también estudios de comparación directa. Este capítulo presenta en paralelo los resultados más importantes. Todas las cifras proceden de los capítulos de la Parte II, grupo A, y de los estudios citados en ellos; allí encontrará también las limitaciones de cada estudio.</w:t>
      </w:r>
    </w:p>
    <w:p>
      <w:pPr>
        <w:pStyle w:val="BodyText"/>
      </w:pPr>
      <w:r>
        <w:t xml:space="preserve">Este capítulo no es una ayuda para decidir un tratamiento. Qué medicamento es adecuado en cada caso depende de las enfermedades concomitantes, la tolerancia, la autorización, la cobertura de costes y la disponibilidad, y corresponde a los profesionales médicos. Lo determinante es la ficha técnica correspondiente y el acompañamiento médico.</w:t>
      </w:r>
    </w:p>
    <w:bookmarkStart w:id="947" w:name="X1c95a2d603a6f86ff2367a105e20f2b2c9b0262"/>
    <w:p>
      <w:pPr>
        <w:pStyle w:val="Heading3"/>
      </w:pPr>
      <w:r>
        <w:t xml:space="preserve">Antes de nada: por qué no se pueden poner estudios simplemente uno al lado del otro</w:t>
      </w:r>
    </w:p>
    <w:p>
      <w:pPr>
        <w:pStyle w:val="FirstParagraph"/>
      </w:pPr>
      <w:r>
        <w:t xml:space="preserve">Las tablas de este capítulo invitan a comparar cifras de estudios distintos, por ejemplo un 20,9 % de pérdida de peso con tirzepatida frente a un 14,9 % con semaglutida. Estas comparaciones cruzadas («cross-trial comparisons») solo son admisibles de forma limitada. Los motivos:</w:t>
      </w:r>
    </w:p>
    <w:p>
      <w:pPr>
        <w:numPr>
          <w:ilvl w:val="0"/>
          <w:numId w:val="1324"/>
        </w:numPr>
        <w:pStyle w:val="Compact"/>
      </w:pPr>
      <w:r>
        <w:rPr>
          <w:bCs/>
          <w:b/>
        </w:rPr>
        <w:t xml:space="preserve">Participantes distintos:</w:t>
      </w:r>
      <w:r>
        <w:t xml:space="preserve"> </w:t>
      </w:r>
      <w:r>
        <w:t xml:space="preserve">las personas con diabetes tipo 2 pierden claramente menos peso con todos los fármacos incretínicos que las personas sin diabetes. Los estudios en China o Japón incluyen a personas con un peso inicial menor que los estudios en Norteamérica y Europa.</w:t>
      </w:r>
    </w:p>
    <w:p>
      <w:pPr>
        <w:numPr>
          <w:ilvl w:val="0"/>
          <w:numId w:val="1324"/>
        </w:numPr>
        <w:pStyle w:val="Compact"/>
      </w:pPr>
      <w:r>
        <w:rPr>
          <w:bCs/>
          <w:b/>
        </w:rPr>
        <w:t xml:space="preserve">Duración distinta:</w:t>
      </w:r>
      <w:r>
        <w:t xml:space="preserve"> </w:t>
      </w:r>
      <w:r>
        <w:t xml:space="preserve">una pérdida de peso a las 48 semanas no es lo mismo que a las 80 semanas; muchas curvas se aplanan solo tarde.</w:t>
      </w:r>
    </w:p>
    <w:p>
      <w:pPr>
        <w:numPr>
          <w:ilvl w:val="0"/>
          <w:numId w:val="1324"/>
        </w:numPr>
        <w:pStyle w:val="Compact"/>
      </w:pPr>
      <w:r>
        <w:rPr>
          <w:bCs/>
          <w:b/>
        </w:rPr>
        <w:t xml:space="preserve">Análisis distinto:</w:t>
      </w:r>
      <w:r>
        <w:t xml:space="preserve"> </w:t>
      </w:r>
      <w:r>
        <w:t xml:space="preserve">algunos estudios analizan a todos los participantes, aunque hayan abandonado el tratamiento (el llamado estimador de estrategia de tratamiento o «treatment policy»). Otros calculan como si todos hubieran tomado el medicamento según lo previsto. La segunda variante ofrece cifras más favorables.</w:t>
      </w:r>
    </w:p>
    <w:p>
      <w:pPr>
        <w:numPr>
          <w:ilvl w:val="0"/>
          <w:numId w:val="1324"/>
        </w:numPr>
        <w:pStyle w:val="Compact"/>
      </w:pPr>
      <w:r>
        <w:rPr>
          <w:bCs/>
          <w:b/>
        </w:rPr>
        <w:t xml:space="preserve">Grupos placebo distintos:</w:t>
      </w:r>
      <w:r>
        <w:t xml:space="preserve"> </w:t>
      </w:r>
      <w:r>
        <w:t xml:space="preserve">con placebo, los participantes perdieron, según el estudio, entre nada y más del 5 % de su peso, en función de la intensidad del asesoramiento nutricional y de actividad física que lo acompañaba.</w:t>
      </w:r>
    </w:p>
    <w:p>
      <w:pPr>
        <w:numPr>
          <w:ilvl w:val="0"/>
          <w:numId w:val="1324"/>
        </w:numPr>
        <w:pStyle w:val="Compact"/>
      </w:pPr>
      <w:r>
        <w:rPr>
          <w:bCs/>
          <w:b/>
        </w:rPr>
        <w:t xml:space="preserve">Fases distintas:</w:t>
      </w:r>
      <w:r>
        <w:t xml:space="preserve"> </w:t>
      </w:r>
      <w:r>
        <w:t xml:space="preserve">los resultados de pequeños estudios de fase 2 suelen ser más favorables que los posteriores grandes estudios de fase 3.</w:t>
      </w:r>
    </w:p>
    <w:p>
      <w:pPr>
        <w:pStyle w:val="FirstParagraph"/>
      </w:pPr>
      <w:r>
        <w:t xml:space="preserve">Una comparación solo es sólida si dos principios activos se asignaron al azar en el</w:t>
      </w:r>
      <w:r>
        <w:t xml:space="preserve"> </w:t>
      </w:r>
      <w:r>
        <w:rPr>
          <w:iCs/>
          <w:i/>
        </w:rPr>
        <w:t xml:space="preserve">mismo</w:t>
      </w:r>
      <w:r>
        <w:t xml:space="preserve"> </w:t>
      </w:r>
      <w:r>
        <w:t xml:space="preserve">estudio. Estas comparaciones directas se recogen al final de este capítulo. Las demás tablas muestran órdenes de magnitud, no una clasificación.</w:t>
      </w:r>
    </w:p>
    <w:bookmarkEnd w:id="947"/>
    <w:bookmarkStart w:id="950" w:name="Xcb3a1e9fdf6ddaa73f5083a635e1f0336f9b086"/>
    <w:p>
      <w:pPr>
        <w:pStyle w:val="Heading3"/>
      </w:pPr>
      <w:r>
        <w:t xml:space="preserve">Pérdida de peso en los estudios de autorización</w:t>
      </w:r>
    </w:p>
    <w:p>
      <w:pPr>
        <w:pStyle w:val="FirstParagraph"/>
      </w:pPr>
      <w:r>
        <w:t xml:space="preserve">La siguiente tabla muestra el estudio controlado con placebo más importante en cada caso en adultos con sobrepeso u obesidad</w:t>
      </w:r>
      <w:r>
        <w:t xml:space="preserve"> </w:t>
      </w:r>
      <w:r>
        <w:rPr>
          <w:iCs/>
          <w:i/>
        </w:rPr>
        <w:t xml:space="preserve">sin</w:t>
      </w:r>
      <w:r>
        <w:t xml:space="preserve"> </w:t>
      </w:r>
      <w:r>
        <w:t xml:space="preserve">diabetes. Se indica la variación media del peso corporal con la dosis más alta estudiada frente a placebo. La exenatida, la dulaglutida y la pramlintida no están autorizadas para la reducción de peso y por eso no figuran.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activo</w:t>
            </w:r>
          </w:p>
        </w:tc>
        <w:tc>
          <w:tcPr/>
          <w:p>
            <w:pPr>
              <w:pStyle w:val="Compact"/>
              <w:jc w:val="left"/>
            </w:pPr>
            <w:r>
              <w:t xml:space="preserve">Estudio</w:t>
            </w:r>
          </w:p>
        </w:tc>
        <w:tc>
          <w:tcPr/>
          <w:p>
            <w:pPr>
              <w:pStyle w:val="Compact"/>
              <w:jc w:val="left"/>
            </w:pPr>
            <w:r>
              <w:t xml:space="preserve">Duración</w:t>
            </w:r>
          </w:p>
        </w:tc>
        <w:tc>
          <w:tcPr/>
          <w:p>
            <w:pPr>
              <w:pStyle w:val="Compact"/>
              <w:jc w:val="left"/>
            </w:pPr>
            <w:r>
              <w:t xml:space="preserve">Pérdida de peso frente a placebo</w:t>
            </w:r>
          </w:p>
        </w:tc>
      </w:tr>
      <w:tr>
        <w:tc>
          <w:tcPr/>
          <w:p>
            <w:pPr>
              <w:pStyle w:val="Compact"/>
              <w:jc w:val="left"/>
            </w:pPr>
            <w:r>
              <w:t xml:space="preserve">Liraglutida 3,0 mg</w:t>
            </w:r>
          </w:p>
        </w:tc>
        <w:tc>
          <w:tcPr/>
          <w:p>
            <w:pPr>
              <w:pStyle w:val="Compact"/>
              <w:jc w:val="left"/>
            </w:pPr>
            <w:r>
              <w:t xml:space="preserve">SCALE (Pi-Sunyer 2015), PMID 26132939</w:t>
            </w:r>
          </w:p>
        </w:tc>
        <w:tc>
          <w:tcPr/>
          <w:p>
            <w:pPr>
              <w:pStyle w:val="Compact"/>
              <w:jc w:val="left"/>
            </w:pPr>
            <w:r>
              <w:t xml:space="preserve">56 semanas</w:t>
            </w:r>
          </w:p>
        </w:tc>
        <w:tc>
          <w:tcPr/>
          <w:p>
            <w:pPr>
              <w:pStyle w:val="Compact"/>
              <w:jc w:val="left"/>
            </w:pPr>
            <w:r>
              <w:t xml:space="preserve">−8,4 kg frente a −2,8 kg</w:t>
            </w:r>
          </w:p>
        </w:tc>
      </w:tr>
      <w:tr>
        <w:tc>
          <w:tcPr/>
          <w:p>
            <w:pPr>
              <w:pStyle w:val="Compact"/>
              <w:jc w:val="left"/>
            </w:pPr>
            <w:r>
              <w:t xml:space="preserve">Semaglutida 2,4 mg</w:t>
            </w:r>
          </w:p>
        </w:tc>
        <w:tc>
          <w:tcPr/>
          <w:p>
            <w:pPr>
              <w:pStyle w:val="Compact"/>
              <w:jc w:val="left"/>
            </w:pPr>
            <w:r>
              <w:t xml:space="preserve">STEP 1 (Wilding 2021), PMID 33567185</w:t>
            </w:r>
          </w:p>
        </w:tc>
        <w:tc>
          <w:tcPr/>
          <w:p>
            <w:pPr>
              <w:pStyle w:val="Compact"/>
              <w:jc w:val="left"/>
            </w:pPr>
            <w:r>
              <w:t xml:space="preserve">68 semanas</w:t>
            </w:r>
          </w:p>
        </w:tc>
        <w:tc>
          <w:tcPr/>
          <w:p>
            <w:pPr>
              <w:pStyle w:val="Compact"/>
              <w:jc w:val="left"/>
            </w:pPr>
            <w:r>
              <w:t xml:space="preserve">−14,9 % frente a −2,4 %</w:t>
            </w:r>
          </w:p>
        </w:tc>
      </w:tr>
      <w:tr>
        <w:tc>
          <w:tcPr/>
          <w:p>
            <w:pPr>
              <w:pStyle w:val="Compact"/>
              <w:jc w:val="left"/>
            </w:pPr>
            <w:r>
              <w:t xml:space="preserve">Semaglutida 7,2 mg</w:t>
            </w:r>
          </w:p>
        </w:tc>
        <w:tc>
          <w:tcPr/>
          <w:p>
            <w:pPr>
              <w:pStyle w:val="Compact"/>
              <w:jc w:val="left"/>
            </w:pPr>
            <w:r>
              <w:t xml:space="preserve">STEP UP (Wharton 2025), PMID 40961952</w:t>
            </w:r>
          </w:p>
        </w:tc>
        <w:tc>
          <w:tcPr/>
          <w:p>
            <w:pPr>
              <w:pStyle w:val="Compact"/>
              <w:jc w:val="left"/>
            </w:pPr>
            <w:r>
              <w:t xml:space="preserve">72 semanas</w:t>
            </w:r>
          </w:p>
        </w:tc>
        <w:tc>
          <w:tcPr/>
          <w:p>
            <w:pPr>
              <w:pStyle w:val="Compact"/>
              <w:jc w:val="left"/>
            </w:pPr>
            <w:r>
              <w:t xml:space="preserve">−18,7 % frente a −3,9 %</w:t>
            </w:r>
          </w:p>
        </w:tc>
      </w:tr>
      <w:tr>
        <w:tc>
          <w:tcPr/>
          <w:p>
            <w:pPr>
              <w:pStyle w:val="Compact"/>
              <w:jc w:val="left"/>
            </w:pPr>
            <w:r>
              <w:t xml:space="preserve">Semaglutida en comprimido 50 mg</w:t>
            </w:r>
          </w:p>
        </w:tc>
        <w:tc>
          <w:tcPr/>
          <w:p>
            <w:pPr>
              <w:pStyle w:val="Compact"/>
              <w:jc w:val="left"/>
            </w:pPr>
            <w:r>
              <w:t xml:space="preserve">OASIS 1 (Knop 2023), PMID 37385278</w:t>
            </w:r>
          </w:p>
        </w:tc>
        <w:tc>
          <w:tcPr/>
          <w:p>
            <w:pPr>
              <w:pStyle w:val="Compact"/>
              <w:jc w:val="left"/>
            </w:pPr>
            <w:r>
              <w:t xml:space="preserve">68 semanas</w:t>
            </w:r>
          </w:p>
        </w:tc>
        <w:tc>
          <w:tcPr/>
          <w:p>
            <w:pPr>
              <w:pStyle w:val="Compact"/>
              <w:jc w:val="left"/>
            </w:pPr>
            <w:r>
              <w:t xml:space="preserve">−15,1 % frente a −2,4 %</w:t>
            </w:r>
          </w:p>
        </w:tc>
      </w:tr>
      <w:tr>
        <w:tc>
          <w:tcPr/>
          <w:p>
            <w:pPr>
              <w:pStyle w:val="Compact"/>
              <w:jc w:val="left"/>
            </w:pPr>
            <w:r>
              <w:t xml:space="preserve">Tirzepatida 15 mg</w:t>
            </w:r>
          </w:p>
        </w:tc>
        <w:tc>
          <w:tcPr/>
          <w:p>
            <w:pPr>
              <w:pStyle w:val="Compact"/>
              <w:jc w:val="left"/>
            </w:pPr>
            <w:r>
              <w:t xml:space="preserve">SURMOUNT-1 (Jastreboff 2022), PMID 35658024</w:t>
            </w:r>
          </w:p>
        </w:tc>
        <w:tc>
          <w:tcPr/>
          <w:p>
            <w:pPr>
              <w:pStyle w:val="Compact"/>
              <w:jc w:val="left"/>
            </w:pPr>
            <w:r>
              <w:t xml:space="preserve">72 semanas</w:t>
            </w:r>
          </w:p>
        </w:tc>
        <w:tc>
          <w:tcPr/>
          <w:p>
            <w:pPr>
              <w:pStyle w:val="Compact"/>
              <w:jc w:val="left"/>
            </w:pPr>
            <w:r>
              <w:t xml:space="preserve">−20,9 % frente a −3,1 %</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68 semanas</w:t>
            </w:r>
          </w:p>
        </w:tc>
        <w:tc>
          <w:tcPr/>
          <w:p>
            <w:pPr>
              <w:pStyle w:val="Compact"/>
              <w:jc w:val="left"/>
            </w:pPr>
            <w:r>
              <w:t xml:space="preserve">−20,4 % frente a −3,0 %</w:t>
            </w:r>
          </w:p>
        </w:tc>
      </w:tr>
      <w:tr>
        <w:tc>
          <w:tcPr/>
          <w:p>
            <w:pPr>
              <w:pStyle w:val="Compact"/>
              <w:jc w:val="left"/>
            </w:pPr>
            <w:r>
              <w:t xml:space="preserve">Retatrutida 12 mg</w:t>
            </w:r>
          </w:p>
        </w:tc>
        <w:tc>
          <w:tcPr/>
          <w:p>
            <w:pPr>
              <w:pStyle w:val="Compact"/>
              <w:jc w:val="left"/>
            </w:pPr>
            <w:r>
              <w:t xml:space="preserve">TRIUMPH-1 (Jastreboff 2026), PMID 42814954</w:t>
            </w:r>
          </w:p>
        </w:tc>
        <w:tc>
          <w:tcPr/>
          <w:p>
            <w:pPr>
              <w:pStyle w:val="Compact"/>
              <w:jc w:val="left"/>
            </w:pPr>
            <w:r>
              <w:t xml:space="preserve">80 semanas</w:t>
            </w:r>
          </w:p>
        </w:tc>
        <w:tc>
          <w:tcPr/>
          <w:p>
            <w:pPr>
              <w:pStyle w:val="Compact"/>
              <w:jc w:val="left"/>
            </w:pPr>
            <w:r>
              <w:t xml:space="preserve">−25,0 % frente a −3,9 %</w:t>
            </w:r>
          </w:p>
        </w:tc>
      </w:tr>
      <w:tr>
        <w:tc>
          <w:tcPr/>
          <w:p>
            <w:pPr>
              <w:pStyle w:val="Compact"/>
              <w:jc w:val="left"/>
            </w:pPr>
            <w:r>
              <w:t xml:space="preserve">Survodutida 6,0 mg</w:t>
            </w:r>
          </w:p>
        </w:tc>
        <w:tc>
          <w:tcPr/>
          <w:p>
            <w:pPr>
              <w:pStyle w:val="Compact"/>
              <w:jc w:val="left"/>
            </w:pPr>
            <w:r>
              <w:t xml:space="preserve">SYNCHRONIZE-1 (le Roux 2026), PMID 42253238</w:t>
            </w:r>
          </w:p>
        </w:tc>
        <w:tc>
          <w:tcPr/>
          <w:p>
            <w:pPr>
              <w:pStyle w:val="Compact"/>
              <w:jc w:val="left"/>
            </w:pPr>
            <w:r>
              <w:t xml:space="preserve">76 semanas</w:t>
            </w:r>
          </w:p>
        </w:tc>
        <w:tc>
          <w:tcPr/>
          <w:p>
            <w:pPr>
              <w:pStyle w:val="Compact"/>
              <w:jc w:val="left"/>
            </w:pPr>
            <w:r>
              <w:t xml:space="preserve">−13,0 % frente a −5,4 %</w:t>
            </w:r>
          </w:p>
        </w:tc>
      </w:tr>
      <w:tr>
        <w:tc>
          <w:tcPr/>
          <w:p>
            <w:pPr>
              <w:pStyle w:val="Compact"/>
              <w:jc w:val="left"/>
            </w:pPr>
            <w:r>
              <w:t xml:space="preserve">Mazdutida 6 mg</w:t>
            </w:r>
          </w:p>
        </w:tc>
        <w:tc>
          <w:tcPr/>
          <w:p>
            <w:pPr>
              <w:pStyle w:val="Compact"/>
              <w:jc w:val="left"/>
            </w:pPr>
            <w:r>
              <w:t xml:space="preserve">GLORY-1 (Ji 2025), PMID 40421736</w:t>
            </w:r>
          </w:p>
        </w:tc>
        <w:tc>
          <w:tcPr/>
          <w:p>
            <w:pPr>
              <w:pStyle w:val="Compact"/>
              <w:jc w:val="left"/>
            </w:pPr>
            <w:r>
              <w:t xml:space="preserve">48 semanas</w:t>
            </w:r>
          </w:p>
        </w:tc>
        <w:tc>
          <w:tcPr/>
          <w:p>
            <w:pPr>
              <w:pStyle w:val="Compact"/>
              <w:jc w:val="left"/>
            </w:pPr>
            <w:r>
              <w:t xml:space="preserve">−14,0 % frente a +0,3 %</w:t>
            </w:r>
          </w:p>
        </w:tc>
      </w:tr>
      <w:tr>
        <w:tc>
          <w:tcPr/>
          <w:p>
            <w:pPr>
              <w:pStyle w:val="Compact"/>
              <w:jc w:val="left"/>
            </w:pPr>
            <w:r>
              <w:t xml:space="preserve">Maridebart cafraglutida</w:t>
            </w:r>
          </w:p>
        </w:tc>
        <w:tc>
          <w:tcPr/>
          <w:p>
            <w:pPr>
              <w:pStyle w:val="Compact"/>
              <w:jc w:val="left"/>
            </w:pPr>
            <w:r>
              <w:t xml:space="preserve">Fase 2 (Jastreboff 2025), PMID 40549887</w:t>
            </w:r>
          </w:p>
        </w:tc>
        <w:tc>
          <w:tcPr/>
          <w:p>
            <w:pPr>
              <w:pStyle w:val="Compact"/>
              <w:jc w:val="left"/>
            </w:pPr>
            <w:r>
              <w:t xml:space="preserve">52 semanas</w:t>
            </w:r>
          </w:p>
        </w:tc>
        <w:tc>
          <w:tcPr/>
          <w:p>
            <w:pPr>
              <w:pStyle w:val="Compact"/>
              <w:jc w:val="left"/>
            </w:pPr>
            <w:r>
              <w:t xml:space="preserve">−12,3 a −16,2 % frente a −2,5 %</w:t>
            </w:r>
          </w:p>
        </w:tc>
      </w:tr>
      <w:tr>
        <w:tc>
          <w:tcPr/>
          <w:p>
            <w:pPr>
              <w:pStyle w:val="Compact"/>
              <w:jc w:val="left"/>
            </w:pPr>
            <w:r>
              <w:t xml:space="preserve">Amicretina (inyección)</w:t>
            </w:r>
          </w:p>
        </w:tc>
        <w:tc>
          <w:tcPr/>
          <w:p>
            <w:pPr>
              <w:pStyle w:val="Compact"/>
              <w:jc w:val="left"/>
            </w:pPr>
            <w:r>
              <w:t xml:space="preserve">Fase 1b/2a (Dahl 2025), PMID 40550231</w:t>
            </w:r>
          </w:p>
        </w:tc>
        <w:tc>
          <w:tcPr/>
          <w:p>
            <w:pPr>
              <w:pStyle w:val="Compact"/>
              <w:jc w:val="left"/>
            </w:pPr>
            <w:r>
              <w:t xml:space="preserve">36 semanas</w:t>
            </w:r>
          </w:p>
        </w:tc>
        <w:tc>
          <w:tcPr/>
          <w:p>
            <w:pPr>
              <w:pStyle w:val="Compact"/>
              <w:jc w:val="left"/>
            </w:pPr>
            <w:r>
              <w:t xml:space="preserve">hasta −24,3 % frente a −1,1 %</w:t>
            </w:r>
          </w:p>
        </w:tc>
      </w:tr>
      <w:tr>
        <w:tc>
          <w:tcPr/>
          <w:p>
            <w:pPr>
              <w:pStyle w:val="Compact"/>
              <w:jc w:val="left"/>
            </w:pPr>
            <w:r>
              <w:t xml:space="preserve">Orforglipron 36 mg (comprimido, no es un péptido)</w:t>
            </w:r>
          </w:p>
        </w:tc>
        <w:tc>
          <w:tcPr/>
          <w:p>
            <w:pPr>
              <w:pStyle w:val="Compact"/>
              <w:jc w:val="left"/>
            </w:pPr>
            <w:r>
              <w:t xml:space="preserve">ATTAIN-1 (Wharton 2025), PMID 40960239</w:t>
            </w:r>
          </w:p>
        </w:tc>
        <w:tc>
          <w:tcPr/>
          <w:p>
            <w:pPr>
              <w:pStyle w:val="Compact"/>
              <w:jc w:val="left"/>
            </w:pPr>
            <w:r>
              <w:t xml:space="preserve">72 semanas</w:t>
            </w:r>
          </w:p>
        </w:tc>
        <w:tc>
          <w:tcPr/>
          <w:p>
            <w:pPr>
              <w:pStyle w:val="Compact"/>
              <w:jc w:val="left"/>
            </w:pPr>
            <w:r>
              <w:t xml:space="preserve">−11,2 % frente a −2,1 %</w:t>
            </w:r>
          </w:p>
        </w:tc>
      </w:tr>
    </w:tbl>
    <w:p>
      <w:pPr>
        <w:pStyle w:val="BodyText"/>
      </w:pPr>
      <w:r>
        <w:t xml:space="preserve">Para situar cada fila:</w:t>
      </w:r>
    </w:p>
    <w:p>
      <w:pPr>
        <w:numPr>
          <w:ilvl w:val="0"/>
          <w:numId w:val="1325"/>
        </w:numPr>
        <w:pStyle w:val="Compact"/>
      </w:pPr>
      <w:r>
        <w:rPr>
          <w:bCs/>
          <w:b/>
        </w:rPr>
        <w:t xml:space="preserve">La liraglutida</w:t>
      </w:r>
      <w:r>
        <w:t xml:space="preserve"> </w:t>
      </w:r>
      <w:r>
        <w:t xml:space="preserve">es el único principio activo cuyo estudio de autorización da como resultado principal la pérdida en kilogramos; con un peso inicial de 106,2 kg, eso equivale aproximadamente a un 8 %. En el estudio de comparación directa STEP 8 fue un −6,4 % (véase más abajo).</w:t>
      </w:r>
    </w:p>
    <w:p>
      <w:pPr>
        <w:numPr>
          <w:ilvl w:val="0"/>
          <w:numId w:val="1325"/>
        </w:numPr>
        <w:pStyle w:val="Compact"/>
      </w:pPr>
      <w:r>
        <w:rPr>
          <w:bCs/>
          <w:b/>
        </w:rPr>
        <w:t xml:space="preserve">La retatrutida, CagriSema, la survodutida, la maridebart cafraglutida y la amicretina</w:t>
      </w:r>
      <w:r>
        <w:t xml:space="preserve"> </w:t>
      </w:r>
      <w:r>
        <w:t xml:space="preserve">no están autorizadas (situación en octubre de 2026). Para la maridebart cafraglutida y la amicretina solo hay datos de fase 2; el estudio de amicretina incluyó a 125 personas, y el valor corresponde a la dosis más alta de un estudio de búsqueda de dosis.</w:t>
      </w:r>
    </w:p>
    <w:p>
      <w:pPr>
        <w:numPr>
          <w:ilvl w:val="0"/>
          <w:numId w:val="1325"/>
        </w:numPr>
        <w:pStyle w:val="Compact"/>
      </w:pPr>
      <w:r>
        <w:rPr>
          <w:bCs/>
          <w:b/>
        </w:rPr>
        <w:t xml:space="preserve">La mazdutida</w:t>
      </w:r>
      <w:r>
        <w:t xml:space="preserve"> </w:t>
      </w:r>
      <w:r>
        <w:t xml:space="preserve">solo está autorizada en China. GLORY-1 incluyó, según criterios chinos, a personas a partir de un IMC de 28 (o de 24 con enfermedad concomitante); el peso inicial medio era de 87,2 kg. En GLORY-2, con una dosis más alta, se obtuvo tras 60 semanas un −16,65 % frente a un −1,50 % (Gao 2026, PMID 42251595).</w:t>
      </w:r>
    </w:p>
    <w:p>
      <w:pPr>
        <w:numPr>
          <w:ilvl w:val="0"/>
          <w:numId w:val="1325"/>
        </w:numPr>
        <w:pStyle w:val="Compact"/>
      </w:pPr>
      <w:r>
        <w:rPr>
          <w:bCs/>
          <w:b/>
        </w:rPr>
        <w:t xml:space="preserve">La survodutida</w:t>
      </w:r>
      <w:r>
        <w:t xml:space="preserve"> </w:t>
      </w:r>
      <w:r>
        <w:t xml:space="preserve">llama la atención por la elevada pérdida con placebo, del 5,4 %; el análisis principal tuvo en cuenta expresamente también los abandonos y las escaladas de dosis prolongadas.</w:t>
      </w:r>
    </w:p>
    <w:p>
      <w:pPr>
        <w:pStyle w:val="FirstParagraph"/>
      </w:pPr>
      <w:r>
        <w:t xml:space="preserve">Llama la atención una secuencia escalonada: los agonistas puros de GLP-1 alcanzan de media entre el 8 y el 15 %, la dosis más alta de semaglutida casi el 19 %, las combinaciones con GIP o amilina en torno al 20 %, y el agonista triple retatrutida el 25 %. Este orden está respaldado por las comparaciones directas SURMOUNT-5, STEP 8 y REDEFINE 5; para la retatrutida, la comparación directa con tirzepatida aún está pendiente (NCT06662383).</w:t>
      </w:r>
    </w:p>
    <w:bookmarkStart w:id="948" w:name="Xbd99dc9ed15c1a07e98eaf06535802a47ec9318"/>
    <w:p>
      <w:pPr>
        <w:pStyle w:val="Heading4"/>
      </w:pPr>
      <w:r>
        <w:t xml:space="preserve">Con diabetes tipo 2, la pérdida de peso es menor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activo</w:t>
            </w:r>
          </w:p>
        </w:tc>
        <w:tc>
          <w:tcPr/>
          <w:p>
            <w:pPr>
              <w:pStyle w:val="Compact"/>
              <w:jc w:val="left"/>
            </w:pPr>
            <w:r>
              <w:t xml:space="preserve">Estudio</w:t>
            </w:r>
          </w:p>
        </w:tc>
        <w:tc>
          <w:tcPr/>
          <w:p>
            <w:pPr>
              <w:pStyle w:val="Compact"/>
              <w:jc w:val="left"/>
            </w:pPr>
            <w:r>
              <w:t xml:space="preserve">Duración</w:t>
            </w:r>
          </w:p>
        </w:tc>
        <w:tc>
          <w:tcPr/>
          <w:p>
            <w:pPr>
              <w:pStyle w:val="Compact"/>
              <w:jc w:val="left"/>
            </w:pPr>
            <w:r>
              <w:t xml:space="preserve">Pérdida de peso frente a placebo</w:t>
            </w:r>
          </w:p>
        </w:tc>
      </w:tr>
      <w:tr>
        <w:tc>
          <w:tcPr/>
          <w:p>
            <w:pPr>
              <w:pStyle w:val="Compact"/>
              <w:jc w:val="left"/>
            </w:pPr>
            <w:r>
              <w:t xml:space="preserve">Liraglutida 3,0 mg</w:t>
            </w:r>
          </w:p>
        </w:tc>
        <w:tc>
          <w:tcPr/>
          <w:p>
            <w:pPr>
              <w:pStyle w:val="Compact"/>
              <w:jc w:val="left"/>
            </w:pPr>
            <w:r>
              <w:t xml:space="preserve">SCALE Diabetes (Davies 2015), PMID 26284720</w:t>
            </w:r>
          </w:p>
        </w:tc>
        <w:tc>
          <w:tcPr/>
          <w:p>
            <w:pPr>
              <w:pStyle w:val="Compact"/>
              <w:jc w:val="left"/>
            </w:pPr>
            <w:r>
              <w:t xml:space="preserve">56 semanas</w:t>
            </w:r>
          </w:p>
        </w:tc>
        <w:tc>
          <w:tcPr/>
          <w:p>
            <w:pPr>
              <w:pStyle w:val="Compact"/>
              <w:jc w:val="left"/>
            </w:pPr>
            <w:r>
              <w:t xml:space="preserve">−6,0 % frente a −2,0 %</w:t>
            </w:r>
          </w:p>
        </w:tc>
      </w:tr>
      <w:tr>
        <w:tc>
          <w:tcPr/>
          <w:p>
            <w:pPr>
              <w:pStyle w:val="Compact"/>
              <w:jc w:val="left"/>
            </w:pPr>
            <w:r>
              <w:t xml:space="preserve">Semaglutida 2,4 mg</w:t>
            </w:r>
          </w:p>
        </w:tc>
        <w:tc>
          <w:tcPr/>
          <w:p>
            <w:pPr>
              <w:pStyle w:val="Compact"/>
              <w:jc w:val="left"/>
            </w:pPr>
            <w:r>
              <w:t xml:space="preserve">STEP 2 (Davies 2021), PMID 33667417</w:t>
            </w:r>
          </w:p>
        </w:tc>
        <w:tc>
          <w:tcPr/>
          <w:p>
            <w:pPr>
              <w:pStyle w:val="Compact"/>
              <w:jc w:val="left"/>
            </w:pPr>
            <w:r>
              <w:t xml:space="preserve">68 semanas</w:t>
            </w:r>
          </w:p>
        </w:tc>
        <w:tc>
          <w:tcPr/>
          <w:p>
            <w:pPr>
              <w:pStyle w:val="Compact"/>
              <w:jc w:val="left"/>
            </w:pPr>
            <w:r>
              <w:t xml:space="preserve">−9,6 % frente a −3,4 %</w:t>
            </w:r>
          </w:p>
        </w:tc>
      </w:tr>
      <w:tr>
        <w:tc>
          <w:tcPr/>
          <w:p>
            <w:pPr>
              <w:pStyle w:val="Compact"/>
              <w:jc w:val="left"/>
            </w:pPr>
            <w:r>
              <w:t xml:space="preserve">Tirzepatida 10/15 mg</w:t>
            </w:r>
          </w:p>
        </w:tc>
        <w:tc>
          <w:tcPr/>
          <w:p>
            <w:pPr>
              <w:pStyle w:val="Compact"/>
              <w:jc w:val="left"/>
            </w:pPr>
            <w:r>
              <w:t xml:space="preserve">SURMOUNT-2 (Garvey 2023), PMID 37385275</w:t>
            </w:r>
          </w:p>
        </w:tc>
        <w:tc>
          <w:tcPr/>
          <w:p>
            <w:pPr>
              <w:pStyle w:val="Compact"/>
              <w:jc w:val="left"/>
            </w:pPr>
            <w:r>
              <w:t xml:space="preserve">72 semanas</w:t>
            </w:r>
          </w:p>
        </w:tc>
        <w:tc>
          <w:tcPr/>
          <w:p>
            <w:pPr>
              <w:pStyle w:val="Compact"/>
              <w:jc w:val="left"/>
            </w:pPr>
            <w:r>
              <w:t xml:space="preserve">−12,8 / −14,7 % frente a −3,2 %</w:t>
            </w:r>
          </w:p>
        </w:tc>
      </w:tr>
      <w:tr>
        <w:tc>
          <w:tcPr/>
          <w:p>
            <w:pPr>
              <w:pStyle w:val="Compact"/>
              <w:jc w:val="left"/>
            </w:pPr>
            <w:r>
              <w:t xml:space="preserve">CagriSema</w:t>
            </w:r>
          </w:p>
        </w:tc>
        <w:tc>
          <w:tcPr/>
          <w:p>
            <w:pPr>
              <w:pStyle w:val="Compact"/>
              <w:jc w:val="left"/>
            </w:pPr>
            <w:r>
              <w:t xml:space="preserve">REDEFINE 2 (Davies 2025), PMID 40544432</w:t>
            </w:r>
          </w:p>
        </w:tc>
        <w:tc>
          <w:tcPr/>
          <w:p>
            <w:pPr>
              <w:pStyle w:val="Compact"/>
              <w:jc w:val="left"/>
            </w:pPr>
            <w:r>
              <w:t xml:space="preserve">68 semanas</w:t>
            </w:r>
          </w:p>
        </w:tc>
        <w:tc>
          <w:tcPr/>
          <w:p>
            <w:pPr>
              <w:pStyle w:val="Compact"/>
              <w:jc w:val="left"/>
            </w:pPr>
            <w:r>
              <w:t xml:space="preserve">−13,7 % frente a −3,4 %</w:t>
            </w:r>
          </w:p>
        </w:tc>
      </w:tr>
      <w:tr>
        <w:tc>
          <w:tcPr/>
          <w:p>
            <w:pPr>
              <w:pStyle w:val="Compact"/>
              <w:jc w:val="left"/>
            </w:pPr>
            <w:r>
              <w:t xml:space="preserve">Retatrutida 12 mg</w:t>
            </w:r>
          </w:p>
        </w:tc>
        <w:tc>
          <w:tcPr/>
          <w:p>
            <w:pPr>
              <w:pStyle w:val="Compact"/>
              <w:jc w:val="left"/>
            </w:pPr>
            <w:r>
              <w:t xml:space="preserve">TRIUMPH-2 (Bellido 2026), PMID 42810372</w:t>
            </w:r>
          </w:p>
        </w:tc>
        <w:tc>
          <w:tcPr/>
          <w:p>
            <w:pPr>
              <w:pStyle w:val="Compact"/>
              <w:jc w:val="left"/>
            </w:pPr>
            <w:r>
              <w:t xml:space="preserve">80 semanas</w:t>
            </w:r>
          </w:p>
        </w:tc>
        <w:tc>
          <w:tcPr/>
          <w:p>
            <w:pPr>
              <w:pStyle w:val="Compact"/>
              <w:jc w:val="left"/>
            </w:pPr>
            <w:r>
              <w:t xml:space="preserve">−18,8 % frente a −5,1 %</w:t>
            </w:r>
          </w:p>
        </w:tc>
      </w:tr>
      <w:tr>
        <w:tc>
          <w:tcPr/>
          <w:p>
            <w:pPr>
              <w:pStyle w:val="Compact"/>
              <w:jc w:val="left"/>
            </w:pPr>
            <w:r>
              <w:t xml:space="preserve">Survodutida</w:t>
            </w:r>
          </w:p>
        </w:tc>
        <w:tc>
          <w:tcPr/>
          <w:p>
            <w:pPr>
              <w:pStyle w:val="Compact"/>
              <w:jc w:val="left"/>
            </w:pPr>
            <w:r>
              <w:t xml:space="preserve">SYNCHRONIZE-2 (Wharton 2026), PMID 42820639</w:t>
            </w:r>
          </w:p>
        </w:tc>
        <w:tc>
          <w:tcPr/>
          <w:p>
            <w:pPr>
              <w:pStyle w:val="Compact"/>
              <w:jc w:val="left"/>
            </w:pPr>
            <w:r>
              <w:t xml:space="preserve">76 semanas</w:t>
            </w:r>
          </w:p>
        </w:tc>
        <w:tc>
          <w:tcPr/>
          <w:p>
            <w:pPr>
              <w:pStyle w:val="Compact"/>
              <w:jc w:val="left"/>
            </w:pPr>
            <w:r>
              <w:t xml:space="preserve">−8,2 / −9,8 % frente a −3,9 %</w:t>
            </w:r>
          </w:p>
        </w:tc>
      </w:tr>
      <w:tr>
        <w:tc>
          <w:tcPr/>
          <w:p>
            <w:pPr>
              <w:pStyle w:val="Compact"/>
              <w:jc w:val="left"/>
            </w:pPr>
            <w:r>
              <w:t xml:space="preserve">Orforglipron</w:t>
            </w:r>
          </w:p>
        </w:tc>
        <w:tc>
          <w:tcPr/>
          <w:p>
            <w:pPr>
              <w:pStyle w:val="Compact"/>
              <w:jc w:val="left"/>
            </w:pPr>
            <w:r>
              <w:t xml:space="preserve">ATTAIN-2 (Horn 2026), PMID 41275875</w:t>
            </w:r>
          </w:p>
        </w:tc>
        <w:tc>
          <w:tcPr/>
          <w:p>
            <w:pPr>
              <w:pStyle w:val="Compact"/>
              <w:jc w:val="left"/>
            </w:pPr>
            <w:r>
              <w:t xml:space="preserve">72 semanas</w:t>
            </w:r>
          </w:p>
        </w:tc>
        <w:tc>
          <w:tcPr/>
          <w:p>
            <w:pPr>
              <w:pStyle w:val="Compact"/>
              <w:jc w:val="left"/>
            </w:pPr>
            <w:r>
              <w:t xml:space="preserve">−5,1 a −9,6 % frente a −2,5 %</w:t>
            </w:r>
          </w:p>
        </w:tc>
      </w:tr>
    </w:tbl>
    <w:p>
      <w:pPr>
        <w:pStyle w:val="BodyText"/>
      </w:pPr>
      <w:r>
        <w:t xml:space="preserve">Con todos los principios activos, el valor con diabetes es claramente inferior al obtenido sin ella, por lo general entre una cuarta y una tercera parte. Este patrón es tan constante que comparar un estudio en diabetes con un estudio de obesidad sin diabetes siempre induce a error.</w:t>
      </w:r>
    </w:p>
    <w:bookmarkEnd w:id="948"/>
    <w:bookmarkStart w:id="949" w:name="tras-la-suspensión"/>
    <w:p>
      <w:pPr>
        <w:pStyle w:val="Heading4"/>
      </w:pPr>
      <w:r>
        <w:t xml:space="preserve">Tras la suspensión</w:t>
      </w:r>
    </w:p>
    <w:p>
      <w:pPr>
        <w:pStyle w:val="FirstParagraph"/>
      </w:pPr>
      <w:r>
        <w:t xml:space="preserve">Dos estudios han investigado específicamente qué ocurre tras suspender el tratamiento. En STEP 4, todos los participantes recibieron primero 20 semanas de semaglutida; después, el grupo que pasó a placebo recuperó un 6,9 % en 48 semanas, mientras que el grupo con semaglutida perdió otro 7,9 % (Rubino 2021, PMID 33755728). En SURMOUNT-4, el grupo placebo recuperó, tras 36 semanas de tirzepatida, un 14,0 % en las 52 semanas siguientes (Aronne 2024, PMID 38078870). Para ambos principios activos se cumple: el efecto solo se mantiene mientras dura el tratamiento. Para los principios activos más recientes todavía no hay datos publicados al respecto.</w:t>
      </w:r>
    </w:p>
    <w:bookmarkEnd w:id="949"/>
    <w:bookmarkEnd w:id="950"/>
    <w:bookmarkStart w:id="951" w:name="glucemia-hba1c"/>
    <w:p>
      <w:pPr>
        <w:pStyle w:val="Heading3"/>
      </w:pPr>
      <w:r>
        <w:t xml:space="preserve">Glucemia: HbA1c</w:t>
      </w:r>
    </w:p>
    <w:p>
      <w:pPr>
        <w:pStyle w:val="FirstParagraph"/>
      </w:pPr>
      <w:r>
        <w:t xml:space="preserve">El valor de HbA1c («azúcar a largo plazo») indica qué proporción del pigmento rojo de la sangre está cargada de azúcar y refleja la glucemia media de los últimos dos a tres meses. Una reducción de un punto porcentual se considera clínicamente relevante. Cuánto baja el valor depende mucho del valor inicial: quien empieza con un 9 % puede perder más que alguien con un 7,5 %.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activo</w:t>
            </w:r>
          </w:p>
        </w:tc>
        <w:tc>
          <w:tcPr/>
          <w:p>
            <w:pPr>
              <w:pStyle w:val="Compact"/>
              <w:jc w:val="left"/>
            </w:pPr>
            <w:r>
              <w:t xml:space="preserve">Estudio</w:t>
            </w:r>
          </w:p>
        </w:tc>
        <w:tc>
          <w:tcPr/>
          <w:p>
            <w:pPr>
              <w:pStyle w:val="Compact"/>
              <w:jc w:val="left"/>
            </w:pPr>
            <w:r>
              <w:t xml:space="preserve">Duración</w:t>
            </w:r>
          </w:p>
        </w:tc>
        <w:tc>
          <w:tcPr/>
          <w:p>
            <w:pPr>
              <w:pStyle w:val="Compact"/>
              <w:jc w:val="left"/>
            </w:pPr>
            <w:r>
              <w:t xml:space="preserve">Variación de HbA1c (puntos porcentuales)</w:t>
            </w:r>
          </w:p>
        </w:tc>
      </w:tr>
      <w:tr>
        <w:tc>
          <w:tcPr/>
          <w:p>
            <w:pPr>
              <w:pStyle w:val="Compact"/>
              <w:jc w:val="left"/>
            </w:pPr>
            <w:r>
              <w:t xml:space="preserve">Exenatida dos veces al día</w:t>
            </w:r>
          </w:p>
        </w:tc>
        <w:tc>
          <w:tcPr/>
          <w:p>
            <w:pPr>
              <w:pStyle w:val="Compact"/>
              <w:jc w:val="left"/>
            </w:pPr>
            <w:r>
              <w:t xml:space="preserve">DeFronzo 2005, PMID 15855572</w:t>
            </w:r>
          </w:p>
        </w:tc>
        <w:tc>
          <w:tcPr/>
          <w:p>
            <w:pPr>
              <w:pStyle w:val="Compact"/>
              <w:jc w:val="left"/>
            </w:pPr>
            <w:r>
              <w:t xml:space="preserve">30 semanas</w:t>
            </w:r>
          </w:p>
        </w:tc>
        <w:tc>
          <w:tcPr/>
          <w:p>
            <w:pPr>
              <w:pStyle w:val="Compact"/>
              <w:jc w:val="left"/>
            </w:pPr>
            <w:r>
              <w:t xml:space="preserve">−0,78 frente a +0,08 (placebo)</w:t>
            </w:r>
          </w:p>
        </w:tc>
      </w:tr>
      <w:tr>
        <w:tc>
          <w:tcPr/>
          <w:p>
            <w:pPr>
              <w:pStyle w:val="Compact"/>
              <w:jc w:val="left"/>
            </w:pPr>
            <w:r>
              <w:t xml:space="preserve">Pramlintida</w:t>
            </w:r>
          </w:p>
        </w:tc>
        <w:tc>
          <w:tcPr/>
          <w:p>
            <w:pPr>
              <w:pStyle w:val="Compact"/>
              <w:jc w:val="left"/>
            </w:pPr>
            <w:r>
              <w:t xml:space="preserve">Hollander 2003, PMID 12610038</w:t>
            </w:r>
          </w:p>
        </w:tc>
        <w:tc>
          <w:tcPr/>
          <w:p>
            <w:pPr>
              <w:pStyle w:val="Compact"/>
              <w:jc w:val="left"/>
            </w:pPr>
            <w:r>
              <w:t xml:space="preserve">52 semanas</w:t>
            </w:r>
          </w:p>
        </w:tc>
        <w:tc>
          <w:tcPr/>
          <w:p>
            <w:pPr>
              <w:pStyle w:val="Compact"/>
              <w:jc w:val="left"/>
            </w:pPr>
            <w:r>
              <w:t xml:space="preserve">−0,62 (añadida a la insulina)</w:t>
            </w:r>
          </w:p>
        </w:tc>
      </w:tr>
      <w:tr>
        <w:tc>
          <w:tcPr/>
          <w:p>
            <w:pPr>
              <w:pStyle w:val="Compact"/>
              <w:jc w:val="left"/>
            </w:pPr>
            <w:r>
              <w:t xml:space="preserve">Liraglutida 1,8 mg</w:t>
            </w:r>
          </w:p>
        </w:tc>
        <w:tc>
          <w:tcPr/>
          <w:p>
            <w:pPr>
              <w:pStyle w:val="Compact"/>
              <w:jc w:val="left"/>
            </w:pPr>
            <w:r>
              <w:t xml:space="preserve">LEAD-3 (Garber 2009), PMID 18819705</w:t>
            </w:r>
          </w:p>
        </w:tc>
        <w:tc>
          <w:tcPr/>
          <w:p>
            <w:pPr>
              <w:pStyle w:val="Compact"/>
              <w:jc w:val="left"/>
            </w:pPr>
            <w:r>
              <w:t xml:space="preserve">52 semanas</w:t>
            </w:r>
          </w:p>
        </w:tc>
        <w:tc>
          <w:tcPr/>
          <w:p>
            <w:pPr>
              <w:pStyle w:val="Compact"/>
              <w:jc w:val="left"/>
            </w:pPr>
            <w:r>
              <w:t xml:space="preserve">−1,14 frente a −0,51 (glimepirida)</w:t>
            </w:r>
          </w:p>
        </w:tc>
      </w:tr>
      <w:tr>
        <w:tc>
          <w:tcPr/>
          <w:p>
            <w:pPr>
              <w:pStyle w:val="Compact"/>
              <w:jc w:val="left"/>
            </w:pPr>
            <w:r>
              <w:t xml:space="preserve">Dulaglutida 4,5 mg</w:t>
            </w:r>
          </w:p>
        </w:tc>
        <w:tc>
          <w:tcPr/>
          <w:p>
            <w:pPr>
              <w:pStyle w:val="Compact"/>
              <w:jc w:val="left"/>
            </w:pPr>
            <w:r>
              <w:t xml:space="preserve">AWARD-11 (Frias 2021), PMID 33397768</w:t>
            </w:r>
          </w:p>
        </w:tc>
        <w:tc>
          <w:tcPr/>
          <w:p>
            <w:pPr>
              <w:pStyle w:val="Compact"/>
              <w:jc w:val="left"/>
            </w:pPr>
            <w:r>
              <w:t xml:space="preserve">36 semanas</w:t>
            </w:r>
          </w:p>
        </w:tc>
        <w:tc>
          <w:tcPr/>
          <w:p>
            <w:pPr>
              <w:pStyle w:val="Compact"/>
              <w:jc w:val="left"/>
            </w:pPr>
            <w:r>
              <w:t xml:space="preserve">−1,77 frente a −1,54 (1,5 mg)</w:t>
            </w:r>
          </w:p>
        </w:tc>
      </w:tr>
      <w:tr>
        <w:tc>
          <w:tcPr/>
          <w:p>
            <w:pPr>
              <w:pStyle w:val="Compact"/>
              <w:jc w:val="left"/>
            </w:pPr>
            <w:r>
              <w:t xml:space="preserve">Semaglutida 1,0 mg</w:t>
            </w:r>
          </w:p>
        </w:tc>
        <w:tc>
          <w:tcPr/>
          <w:p>
            <w:pPr>
              <w:pStyle w:val="Compact"/>
              <w:jc w:val="left"/>
            </w:pPr>
            <w:r>
              <w:t xml:space="preserve">SUSTAIN 1 (Sorli 2017), PMID 28110911</w:t>
            </w:r>
          </w:p>
        </w:tc>
        <w:tc>
          <w:tcPr/>
          <w:p>
            <w:pPr>
              <w:pStyle w:val="Compact"/>
              <w:jc w:val="left"/>
            </w:pPr>
            <w:r>
              <w:t xml:space="preserve">30 semanas</w:t>
            </w:r>
          </w:p>
        </w:tc>
        <w:tc>
          <w:tcPr/>
          <w:p>
            <w:pPr>
              <w:pStyle w:val="Compact"/>
              <w:jc w:val="left"/>
            </w:pPr>
            <w:r>
              <w:t xml:space="preserve">−1,55 frente a −0,02 (placebo)</w:t>
            </w:r>
          </w:p>
        </w:tc>
      </w:tr>
      <w:tr>
        <w:tc>
          <w:tcPr/>
          <w:p>
            <w:pPr>
              <w:pStyle w:val="Compact"/>
              <w:jc w:val="left"/>
            </w:pPr>
            <w:r>
              <w:t xml:space="preserve">Semaglutida 2,0 mg</w:t>
            </w:r>
          </w:p>
        </w:tc>
        <w:tc>
          <w:tcPr/>
          <w:p>
            <w:pPr>
              <w:pStyle w:val="Compact"/>
              <w:jc w:val="left"/>
            </w:pPr>
            <w:r>
              <w:t xml:space="preserve">SUSTAIN FORTE (Frías 2021), PMID 34293304</w:t>
            </w:r>
          </w:p>
        </w:tc>
        <w:tc>
          <w:tcPr/>
          <w:p>
            <w:pPr>
              <w:pStyle w:val="Compact"/>
              <w:jc w:val="left"/>
            </w:pPr>
            <w:r>
              <w:t xml:space="preserve">40 semanas</w:t>
            </w:r>
          </w:p>
        </w:tc>
        <w:tc>
          <w:tcPr/>
          <w:p>
            <w:pPr>
              <w:pStyle w:val="Compact"/>
              <w:jc w:val="left"/>
            </w:pPr>
            <w:r>
              <w:t xml:space="preserve">−2,2 frente a −1,9 (1,0 mg)</w:t>
            </w:r>
          </w:p>
        </w:tc>
      </w:tr>
      <w:tr>
        <w:tc>
          <w:tcPr/>
          <w:p>
            <w:pPr>
              <w:pStyle w:val="Compact"/>
              <w:jc w:val="left"/>
            </w:pPr>
            <w:r>
              <w:t xml:space="preserve">Tirzepatida 5–15 mg</w:t>
            </w:r>
          </w:p>
        </w:tc>
        <w:tc>
          <w:tcPr/>
          <w:p>
            <w:pPr>
              <w:pStyle w:val="Compact"/>
              <w:jc w:val="left"/>
            </w:pPr>
            <w:r>
              <w:t xml:space="preserve">SURPASS-1 (Rosenstock 2021), PMID 34186022</w:t>
            </w:r>
          </w:p>
        </w:tc>
        <w:tc>
          <w:tcPr/>
          <w:p>
            <w:pPr>
              <w:pStyle w:val="Compact"/>
              <w:jc w:val="left"/>
            </w:pPr>
            <w:r>
              <w:t xml:space="preserve">40 semanas</w:t>
            </w:r>
          </w:p>
        </w:tc>
        <w:tc>
          <w:tcPr/>
          <w:p>
            <w:pPr>
              <w:pStyle w:val="Compact"/>
              <w:jc w:val="left"/>
            </w:pPr>
            <w:r>
              <w:t xml:space="preserve">−1,87 a −2,07 frente a +0,04 (placebo)</w:t>
            </w:r>
          </w:p>
        </w:tc>
      </w:tr>
      <w:tr>
        <w:tc>
          <w:tcPr/>
          <w:p>
            <w:pPr>
              <w:pStyle w:val="Compact"/>
              <w:jc w:val="left"/>
            </w:pPr>
            <w:r>
              <w:t xml:space="preserve">Retatrutida</w:t>
            </w:r>
          </w:p>
        </w:tc>
        <w:tc>
          <w:tcPr/>
          <w:p>
            <w:pPr>
              <w:pStyle w:val="Compact"/>
              <w:jc w:val="left"/>
            </w:pPr>
            <w:r>
              <w:t xml:space="preserve">TRANSCEND-T2D-1 (Bajaj 2026), PMID 42250575</w:t>
            </w:r>
          </w:p>
        </w:tc>
        <w:tc>
          <w:tcPr/>
          <w:p>
            <w:pPr>
              <w:pStyle w:val="Compact"/>
              <w:jc w:val="left"/>
            </w:pPr>
            <w:r>
              <w:t xml:space="preserve">40 semanas</w:t>
            </w:r>
          </w:p>
        </w:tc>
        <w:tc>
          <w:tcPr/>
          <w:p>
            <w:pPr>
              <w:pStyle w:val="Compact"/>
              <w:jc w:val="left"/>
            </w:pPr>
            <w:r>
              <w:t xml:space="preserve">−1,69 a −1,94 frente a −0,81 (placebo)</w:t>
            </w:r>
          </w:p>
        </w:tc>
      </w:tr>
      <w:tr>
        <w:tc>
          <w:tcPr/>
          <w:p>
            <w:pPr>
              <w:pStyle w:val="Compact"/>
              <w:jc w:val="left"/>
            </w:pPr>
            <w:r>
              <w:t xml:space="preserve">Mazdutida</w:t>
            </w:r>
          </w:p>
        </w:tc>
        <w:tc>
          <w:tcPr/>
          <w:p>
            <w:pPr>
              <w:pStyle w:val="Compact"/>
              <w:jc w:val="left"/>
            </w:pPr>
            <w:r>
              <w:t xml:space="preserve">DREAMS-1 (Zhu 2026), PMID 41407859</w:t>
            </w:r>
          </w:p>
        </w:tc>
        <w:tc>
          <w:tcPr/>
          <w:p>
            <w:pPr>
              <w:pStyle w:val="Compact"/>
              <w:jc w:val="left"/>
            </w:pPr>
            <w:r>
              <w:t xml:space="preserve">24 semanas</w:t>
            </w:r>
          </w:p>
        </w:tc>
        <w:tc>
          <w:tcPr/>
          <w:p>
            <w:pPr>
              <w:pStyle w:val="Compact"/>
              <w:jc w:val="left"/>
            </w:pPr>
            <w:r>
              <w:t xml:space="preserve">−1,57 / −2,15 frente a −0,14 (placebo)</w:t>
            </w:r>
          </w:p>
        </w:tc>
      </w:tr>
      <w:tr>
        <w:tc>
          <w:tcPr/>
          <w:p>
            <w:pPr>
              <w:pStyle w:val="Compact"/>
              <w:jc w:val="left"/>
            </w:pPr>
            <w:r>
              <w:t xml:space="preserve">CagriSema</w:t>
            </w:r>
          </w:p>
        </w:tc>
        <w:tc>
          <w:tcPr/>
          <w:p>
            <w:pPr>
              <w:pStyle w:val="Compact"/>
              <w:jc w:val="left"/>
            </w:pPr>
            <w:r>
              <w:t xml:space="preserve">REIMAGINE 1 (Aroda 2026), PMID 42251860</w:t>
            </w:r>
          </w:p>
        </w:tc>
        <w:tc>
          <w:tcPr/>
          <w:p>
            <w:pPr>
              <w:pStyle w:val="Compact"/>
              <w:jc w:val="left"/>
            </w:pPr>
            <w:r>
              <w:t xml:space="preserve">40 semanas</w:t>
            </w:r>
          </w:p>
        </w:tc>
        <w:tc>
          <w:tcPr/>
          <w:p>
            <w:pPr>
              <w:pStyle w:val="Compact"/>
              <w:jc w:val="left"/>
            </w:pPr>
            <w:r>
              <w:t xml:space="preserve">−1,8 frente a −0,1 (placebo)</w:t>
            </w:r>
          </w:p>
        </w:tc>
      </w:tr>
      <w:tr>
        <w:tc>
          <w:tcPr/>
          <w:p>
            <w:pPr>
              <w:pStyle w:val="Compact"/>
              <w:jc w:val="left"/>
            </w:pPr>
            <w:r>
              <w:t xml:space="preserve">Maridebart cafraglutida</w:t>
            </w:r>
          </w:p>
        </w:tc>
        <w:tc>
          <w:tcPr/>
          <w:p>
            <w:pPr>
              <w:pStyle w:val="Compact"/>
              <w:jc w:val="left"/>
            </w:pPr>
            <w:r>
              <w:t xml:space="preserve">Fase 2 (Jastreboff 2025), PMID 40549887</w:t>
            </w:r>
          </w:p>
        </w:tc>
        <w:tc>
          <w:tcPr/>
          <w:p>
            <w:pPr>
              <w:pStyle w:val="Compact"/>
              <w:jc w:val="left"/>
            </w:pPr>
            <w:r>
              <w:t xml:space="preserve">52 semanas</w:t>
            </w:r>
          </w:p>
        </w:tc>
        <w:tc>
          <w:tcPr/>
          <w:p>
            <w:pPr>
              <w:pStyle w:val="Compact"/>
              <w:jc w:val="left"/>
            </w:pPr>
            <w:r>
              <w:t xml:space="preserve">−1,2 a −1,6 frente a +0,1 (placebo)</w:t>
            </w:r>
          </w:p>
        </w:tc>
      </w:tr>
      <w:tr>
        <w:tc>
          <w:tcPr/>
          <w:p>
            <w:pPr>
              <w:pStyle w:val="Compact"/>
              <w:jc w:val="left"/>
            </w:pPr>
            <w:r>
              <w:t xml:space="preserve">Orforglipron</w:t>
            </w:r>
          </w:p>
        </w:tc>
        <w:tc>
          <w:tcPr/>
          <w:p>
            <w:pPr>
              <w:pStyle w:val="Compact"/>
              <w:jc w:val="left"/>
            </w:pPr>
            <w:r>
              <w:t xml:space="preserve">ACHIEVE-1 (Rosenstock 2025), PMID 40544435</w:t>
            </w:r>
          </w:p>
        </w:tc>
        <w:tc>
          <w:tcPr/>
          <w:p>
            <w:pPr>
              <w:pStyle w:val="Compact"/>
              <w:jc w:val="left"/>
            </w:pPr>
            <w:r>
              <w:t xml:space="preserve">40 semanas</w:t>
            </w:r>
          </w:p>
        </w:tc>
        <w:tc>
          <w:tcPr/>
          <w:p>
            <w:pPr>
              <w:pStyle w:val="Compact"/>
              <w:jc w:val="left"/>
            </w:pPr>
            <w:r>
              <w:t xml:space="preserve">−1,24 a −1,48 frente a −0,41 (placebo)</w:t>
            </w:r>
          </w:p>
        </w:tc>
      </w:tr>
    </w:tbl>
    <w:p>
      <w:pPr>
        <w:pStyle w:val="BodyText"/>
      </w:pPr>
      <w:r>
        <w:t xml:space="preserve">Los principios activos más antiguos, exenatida y pramlintida, reducen la HbA1c menos de un punto porcentual; los agonistas de GLP-1 semanales, alrededor de 1,5 puntos; la tirzepatida y los agonistas múltiples más recientes, en torno a 2 puntos. En la glucemia, las diferencias entre los principios activos más recientes son menores que en el peso. Lo muestra con especial claridad REIMAGINE 2: allí, CagriSema redujo la HbA1c solo 0,16 puntos porcentuales más que la semaglutida 2,4 mg sola (−1,91 frente a −1,75; Buse 2026, PMID 42251859). Por tanto, la adición de amilina actúa sobre todo sobre el peso.</w:t>
      </w:r>
    </w:p>
    <w:p>
      <w:pPr>
        <w:pStyle w:val="BodyText"/>
      </w:pPr>
      <w:r>
        <w:t xml:space="preserve">Una diferencia importante se refiere a la hipoglucemia. Como el GLP-1 solo potencia la secreción de insulina cuando la glucemia está elevada, las hipoglucemias con estos medicamentos en monoterapia son raras. Se vuelven más frecuentes cuando se toman al mismo tiempo insulina o sulfonilureas. Con la pramlintida, que solo se utiliza como complemento de la insulina prandial, la hipoglucemia grave es el riesgo más importante (Edelman 2006, PMID 17003291).</w:t>
      </w:r>
    </w:p>
    <w:bookmarkEnd w:id="951"/>
    <w:bookmarkStart w:id="952" w:name="estudios-de-resultados-cardiovasculares"/>
    <w:p>
      <w:pPr>
        <w:pStyle w:val="Heading3"/>
      </w:pPr>
      <w:r>
        <w:t xml:space="preserve">Estudios de resultados cardiovasculares</w:t>
      </w:r>
    </w:p>
    <w:p>
      <w:pPr>
        <w:pStyle w:val="FirstParagraph"/>
      </w:pPr>
      <w:r>
        <w:t xml:space="preserve">Los estudios de resultados no miden valores de laboratorio, sino acontecimientos que importan a los pacientes: muerte cardiovascular, infarto de miocardio e ictus, agrupados como «MACE» (major adverse cardiovascular events). El hazard ratio (HR) indica cuán alto fue el riesgo en comparación con el grupo de control; 0,80 significa un riesgo relativo un 20 % menor.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 (principio activo)</w:t>
            </w:r>
          </w:p>
        </w:tc>
        <w:tc>
          <w:tcPr/>
          <w:p>
            <w:pPr>
              <w:pStyle w:val="Compact"/>
              <w:jc w:val="left"/>
            </w:pPr>
            <w:r>
              <w:t xml:space="preserve">Participantes</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LEADER (liraglutida; Marso 2016), PMID 27295427</w:t>
            </w:r>
          </w:p>
        </w:tc>
        <w:tc>
          <w:tcPr/>
          <w:p>
            <w:pPr>
              <w:pStyle w:val="Compact"/>
              <w:jc w:val="left"/>
            </w:pPr>
            <w:r>
              <w:t xml:space="preserve">9340 con diabetes tipo 2 y riesgo alto</w:t>
            </w:r>
          </w:p>
        </w:tc>
        <w:tc>
          <w:tcPr/>
          <w:p>
            <w:pPr>
              <w:pStyle w:val="Compact"/>
              <w:jc w:val="left"/>
            </w:pPr>
            <w:r>
              <w:t xml:space="preserve">mediana 3,8 años</w:t>
            </w:r>
          </w:p>
        </w:tc>
        <w:tc>
          <w:tcPr/>
          <w:p>
            <w:pPr>
              <w:pStyle w:val="Compact"/>
              <w:jc w:val="left"/>
            </w:pPr>
            <w:r>
              <w:t xml:space="preserve">13,0 % frente a 14,9 %; HR 0,87</w:t>
            </w:r>
          </w:p>
        </w:tc>
      </w:tr>
      <w:tr>
        <w:tc>
          <w:tcPr/>
          <w:p>
            <w:pPr>
              <w:pStyle w:val="Compact"/>
              <w:jc w:val="left"/>
            </w:pPr>
            <w:r>
              <w:t xml:space="preserve">SUSTAIN 6 (semaglutida; Marso 2016), PMID 27633186</w:t>
            </w:r>
          </w:p>
        </w:tc>
        <w:tc>
          <w:tcPr/>
          <w:p>
            <w:pPr>
              <w:pStyle w:val="Compact"/>
              <w:jc w:val="left"/>
            </w:pPr>
            <w:r>
              <w:t xml:space="preserve">3297 con diabetes tipo 2 y riesgo alto</w:t>
            </w:r>
          </w:p>
        </w:tc>
        <w:tc>
          <w:tcPr/>
          <w:p>
            <w:pPr>
              <w:pStyle w:val="Compact"/>
              <w:jc w:val="left"/>
            </w:pPr>
            <w:r>
              <w:t xml:space="preserve">104 semanas</w:t>
            </w:r>
          </w:p>
        </w:tc>
        <w:tc>
          <w:tcPr/>
          <w:p>
            <w:pPr>
              <w:pStyle w:val="Compact"/>
              <w:jc w:val="left"/>
            </w:pPr>
            <w:r>
              <w:t xml:space="preserve">6,6 % frente a 8,9 %; HR 0,74</w:t>
            </w:r>
          </w:p>
        </w:tc>
      </w:tr>
      <w:tr>
        <w:tc>
          <w:tcPr/>
          <w:p>
            <w:pPr>
              <w:pStyle w:val="Compact"/>
              <w:jc w:val="left"/>
            </w:pPr>
            <w:r>
              <w:t xml:space="preserve">PIONEER 6 (semaglutida en comprimido; Husain 2019), PMID 31185157</w:t>
            </w:r>
          </w:p>
        </w:tc>
        <w:tc>
          <w:tcPr/>
          <w:p>
            <w:pPr>
              <w:pStyle w:val="Compact"/>
              <w:jc w:val="left"/>
            </w:pPr>
            <w:r>
              <w:t xml:space="preserve">3183 con diabetes tipo 2 y riesgo alto</w:t>
            </w:r>
          </w:p>
        </w:tc>
        <w:tc>
          <w:tcPr/>
          <w:p>
            <w:pPr>
              <w:pStyle w:val="Compact"/>
              <w:jc w:val="left"/>
            </w:pPr>
            <w:r>
              <w:t xml:space="preserve">mediana 15,9 meses</w:t>
            </w:r>
          </w:p>
        </w:tc>
        <w:tc>
          <w:tcPr/>
          <w:p>
            <w:pPr>
              <w:pStyle w:val="Compact"/>
              <w:jc w:val="left"/>
            </w:pPr>
            <w:r>
              <w:t xml:space="preserve">3,8 % frente a 4,8 %; HR 0,79, solo se demostró la no inferioridad</w:t>
            </w:r>
          </w:p>
        </w:tc>
      </w:tr>
      <w:tr>
        <w:tc>
          <w:tcPr/>
          <w:p>
            <w:pPr>
              <w:pStyle w:val="Compact"/>
              <w:jc w:val="left"/>
            </w:pPr>
            <w:r>
              <w:t xml:space="preserve">SOUL (semaglutida en comprimido; McGuire 2025), PMID 40162642</w:t>
            </w:r>
          </w:p>
        </w:tc>
        <w:tc>
          <w:tcPr/>
          <w:p>
            <w:pPr>
              <w:pStyle w:val="Compact"/>
              <w:jc w:val="left"/>
            </w:pPr>
            <w:r>
              <w:t xml:space="preserve">9650 con diabetes tipo 2 y enfermedad vascular o renal</w:t>
            </w:r>
          </w:p>
        </w:tc>
        <w:tc>
          <w:tcPr/>
          <w:p>
            <w:pPr>
              <w:pStyle w:val="Compact"/>
              <w:jc w:val="left"/>
            </w:pPr>
            <w:r>
              <w:t xml:space="preserve">mediana 49,5 meses</w:t>
            </w:r>
          </w:p>
        </w:tc>
        <w:tc>
          <w:tcPr/>
          <w:p>
            <w:pPr>
              <w:pStyle w:val="Compact"/>
              <w:jc w:val="left"/>
            </w:pPr>
            <w:r>
              <w:t xml:space="preserve">12,0 % frente a 13,8 %; HR 0,86</w:t>
            </w:r>
          </w:p>
        </w:tc>
      </w:tr>
      <w:tr>
        <w:tc>
          <w:tcPr/>
          <w:p>
            <w:pPr>
              <w:pStyle w:val="Compact"/>
              <w:jc w:val="left"/>
            </w:pPr>
            <w:r>
              <w:t xml:space="preserve">SELECT (semaglutida 2,4 mg; Lincoff 2023), PMID 37952131</w:t>
            </w:r>
          </w:p>
        </w:tc>
        <w:tc>
          <w:tcPr/>
          <w:p>
            <w:pPr>
              <w:pStyle w:val="Compact"/>
              <w:jc w:val="left"/>
            </w:pPr>
            <w:r>
              <w:t xml:space="preserve">17.604 con sobrepeso y enfermedad cardiovascular, sin diabetes</w:t>
            </w:r>
          </w:p>
        </w:tc>
        <w:tc>
          <w:tcPr/>
          <w:p>
            <w:pPr>
              <w:pStyle w:val="Compact"/>
              <w:jc w:val="left"/>
            </w:pPr>
            <w:r>
              <w:t xml:space="preserve">media 39,8 meses</w:t>
            </w:r>
          </w:p>
        </w:tc>
        <w:tc>
          <w:tcPr/>
          <w:p>
            <w:pPr>
              <w:pStyle w:val="Compact"/>
              <w:jc w:val="left"/>
            </w:pPr>
            <w:r>
              <w:t xml:space="preserve">6,5 % frente a 8,0 %; HR 0,80</w:t>
            </w:r>
          </w:p>
        </w:tc>
      </w:tr>
      <w:tr>
        <w:tc>
          <w:tcPr/>
          <w:p>
            <w:pPr>
              <w:pStyle w:val="Compact"/>
              <w:jc w:val="left"/>
            </w:pPr>
            <w:r>
              <w:t xml:space="preserve">REWIND (dulaglutida; Gerstein 2019), PMID 31189511</w:t>
            </w:r>
          </w:p>
        </w:tc>
        <w:tc>
          <w:tcPr/>
          <w:p>
            <w:pPr>
              <w:pStyle w:val="Compact"/>
              <w:jc w:val="left"/>
            </w:pPr>
            <w:r>
              <w:t xml:space="preserve">9901 con diabetes tipo 2, con o sin enfermedad cardiovascular previa</w:t>
            </w:r>
          </w:p>
        </w:tc>
        <w:tc>
          <w:tcPr/>
          <w:p>
            <w:pPr>
              <w:pStyle w:val="Compact"/>
              <w:jc w:val="left"/>
            </w:pPr>
            <w:r>
              <w:t xml:space="preserve">mediana 5,4 años</w:t>
            </w:r>
          </w:p>
        </w:tc>
        <w:tc>
          <w:tcPr/>
          <w:p>
            <w:pPr>
              <w:pStyle w:val="Compact"/>
              <w:jc w:val="left"/>
            </w:pPr>
            <w:r>
              <w:t xml:space="preserve">12,0 % frente a 13,4 %; HR 0,88</w:t>
            </w:r>
          </w:p>
        </w:tc>
      </w:tr>
      <w:tr>
        <w:tc>
          <w:tcPr/>
          <w:p>
            <w:pPr>
              <w:pStyle w:val="Compact"/>
              <w:jc w:val="left"/>
            </w:pPr>
            <w:r>
              <w:t xml:space="preserve">EXSCEL (exenatida semanal; Holman 2017), PMID 28910237</w:t>
            </w:r>
          </w:p>
        </w:tc>
        <w:tc>
          <w:tcPr/>
          <w:p>
            <w:pPr>
              <w:pStyle w:val="Compact"/>
              <w:jc w:val="left"/>
            </w:pPr>
            <w:r>
              <w:t xml:space="preserve">14.752 con diabetes tipo 2</w:t>
            </w:r>
          </w:p>
        </w:tc>
        <w:tc>
          <w:tcPr/>
          <w:p>
            <w:pPr>
              <w:pStyle w:val="Compact"/>
              <w:jc w:val="left"/>
            </w:pPr>
            <w:r>
              <w:t xml:space="preserve">mediana 3,2 años</w:t>
            </w:r>
          </w:p>
        </w:tc>
        <w:tc>
          <w:tcPr/>
          <w:p>
            <w:pPr>
              <w:pStyle w:val="Compact"/>
              <w:jc w:val="left"/>
            </w:pPr>
            <w:r>
              <w:t xml:space="preserve">11,4 % frente a 12,2 %; HR 0,91, superioridad no alcanzada por poco</w:t>
            </w:r>
          </w:p>
        </w:tc>
      </w:tr>
      <w:tr>
        <w:tc>
          <w:tcPr/>
          <w:p>
            <w:pPr>
              <w:pStyle w:val="Compact"/>
              <w:jc w:val="left"/>
            </w:pPr>
            <w:r>
              <w:t xml:space="preserve">SURPASS-CVOT (tirzepatida frente a dulaglutida; Nicholls 2025), PMID 41406444</w:t>
            </w:r>
          </w:p>
        </w:tc>
        <w:tc>
          <w:tcPr/>
          <w:p>
            <w:pPr>
              <w:pStyle w:val="Compact"/>
              <w:jc w:val="left"/>
            </w:pPr>
            <w:r>
              <w:t xml:space="preserve">13.165 con diabetes tipo 2 y enfermedad vascular</w:t>
            </w:r>
          </w:p>
        </w:tc>
        <w:tc>
          <w:tcPr/>
          <w:p>
            <w:pPr>
              <w:pStyle w:val="Compact"/>
              <w:jc w:val="left"/>
            </w:pPr>
            <w:r>
              <w:t xml:space="preserve">varios años</w:t>
            </w:r>
          </w:p>
        </w:tc>
        <w:tc>
          <w:tcPr/>
          <w:p>
            <w:pPr>
              <w:pStyle w:val="Compact"/>
              <w:jc w:val="left"/>
            </w:pPr>
            <w:r>
              <w:t xml:space="preserve">12,2 % frente a 13,1 %; HR 0,92, no inferior</w:t>
            </w:r>
          </w:p>
        </w:tc>
      </w:tr>
      <w:tr>
        <w:tc>
          <w:tcPr/>
          <w:p>
            <w:pPr>
              <w:pStyle w:val="Compact"/>
              <w:jc w:val="left"/>
            </w:pPr>
            <w:r>
              <w:t xml:space="preserve">ACHIEVE-4 (orforglipron frente a insulina glargina; Klein 2026), PMID 42815506</w:t>
            </w:r>
          </w:p>
        </w:tc>
        <w:tc>
          <w:tcPr/>
          <w:p>
            <w:pPr>
              <w:pStyle w:val="Compact"/>
              <w:jc w:val="left"/>
            </w:pPr>
            <w:r>
              <w:t xml:space="preserve">2749 con diabetes tipo 2 y riesgo alto</w:t>
            </w:r>
          </w:p>
        </w:tc>
        <w:tc>
          <w:tcPr/>
          <w:p>
            <w:pPr>
              <w:pStyle w:val="Compact"/>
              <w:jc w:val="left"/>
            </w:pPr>
            <w:r>
              <w:t xml:space="preserve">mediana 2 años</w:t>
            </w:r>
          </w:p>
        </w:tc>
        <w:tc>
          <w:tcPr/>
          <w:p>
            <w:pPr>
              <w:pStyle w:val="Compact"/>
              <w:jc w:val="left"/>
            </w:pPr>
            <w:r>
              <w:t xml:space="preserve">4,2 % frente a 5,0 % (MACE-4), no inferior</w:t>
            </w:r>
          </w:p>
        </w:tc>
      </w:tr>
    </w:tbl>
    <w:p>
      <w:pPr>
        <w:pStyle w:val="BodyText"/>
      </w:pPr>
      <w:r>
        <w:t xml:space="preserve">Lo que muestra esta tabla:</w:t>
      </w:r>
    </w:p>
    <w:p>
      <w:pPr>
        <w:numPr>
          <w:ilvl w:val="0"/>
          <w:numId w:val="1326"/>
        </w:numPr>
        <w:pStyle w:val="Compact"/>
      </w:pPr>
      <w:r>
        <w:rPr>
          <w:bCs/>
          <w:b/>
        </w:rPr>
        <w:t xml:space="preserve">La clase reduce el riesgo.</w:t>
      </w:r>
      <w:r>
        <w:t xml:space="preserve"> </w:t>
      </w:r>
      <w:r>
        <w:t xml:space="preserve">Un metaanálisis de siete estudios de resultados controlados con placebo, con un total de 56.004 participantes, encontró para los agonistas del receptor de GLP-1 en la diabetes tipo 2 un 12 % menos de acontecimientos cardiovasculares graves (HR 0,88), un 12 % menos de muertes por cualquier causa y un 9 % menos de ingresos hospitalarios por insuficiencia cardiaca, sin diferencias relevantes entre los subgrupos (Kristensen 2019, PMID 31422062). En este metaanálisis se incluyeron también dos principios activos que no se tratan en este libro.</w:t>
      </w:r>
    </w:p>
    <w:p>
      <w:pPr>
        <w:numPr>
          <w:ilvl w:val="0"/>
          <w:numId w:val="1326"/>
        </w:numPr>
        <w:pStyle w:val="Compact"/>
      </w:pPr>
      <w:r>
        <w:rPr>
          <w:bCs/>
          <w:b/>
        </w:rPr>
        <w:t xml:space="preserve">Las diferencias entre los principios activos son inciertas.</w:t>
      </w:r>
      <w:r>
        <w:t xml:space="preserve"> </w:t>
      </w:r>
      <w:r>
        <w:t xml:space="preserve">La exenatida se situó en EXSCEL en el extremo más débil; se discuten la propia molécula, la elevada tasa de abandonos y el diseño pragmático del estudio. Un implante de bomba de exenatida (FREEDOM-CVO) solo cumplió el criterio de seguridad (HR 1,21; Ruff 2022, PMID 34873344).</w:t>
      </w:r>
    </w:p>
    <w:p>
      <w:pPr>
        <w:numPr>
          <w:ilvl w:val="0"/>
          <w:numId w:val="1326"/>
        </w:numPr>
        <w:pStyle w:val="Compact"/>
      </w:pPr>
      <w:r>
        <w:rPr>
          <w:bCs/>
          <w:b/>
        </w:rPr>
        <w:t xml:space="preserve">SELECT es un caso especial.</w:t>
      </w:r>
      <w:r>
        <w:t xml:space="preserve"> </w:t>
      </w:r>
      <w:r>
        <w:t xml:space="preserve">En este resumen es el único gran estudio de resultados realizado exclusivamente en personas</w:t>
      </w:r>
      <w:r>
        <w:t xml:space="preserve"> </w:t>
      </w:r>
      <w:r>
        <w:rPr>
          <w:iCs/>
          <w:i/>
        </w:rPr>
        <w:t xml:space="preserve">sin</w:t>
      </w:r>
      <w:r>
        <w:t xml:space="preserve"> </w:t>
      </w:r>
      <w:r>
        <w:t xml:space="preserve">diabetes. En cifras absolutas, a lo largo de algo más de tres años, aproximadamente 1,5 de cada cien personas tratadas tuvieron un acontecimiento grave menos.</w:t>
      </w:r>
    </w:p>
    <w:p>
      <w:pPr>
        <w:numPr>
          <w:ilvl w:val="0"/>
          <w:numId w:val="1326"/>
        </w:numPr>
        <w:pStyle w:val="Compact"/>
      </w:pPr>
      <w:r>
        <w:rPr>
          <w:bCs/>
          <w:b/>
        </w:rPr>
        <w:t xml:space="preserve">La tirzepatida se evaluó frente a un medicamento eficaz.</w:t>
      </w:r>
      <w:r>
        <w:t xml:space="preserve"> </w:t>
      </w:r>
      <w:r>
        <w:t xml:space="preserve">SURPASS-CVOT no comparó la tirzepatida con placebo, sino con dulaglutida, que en REWIND había reducido por sí misma el riesgo. La tirzepatida no fue inferior; la superioridad formal no se alcanzó por poco. Cuán grande sería el beneficio frente a la ausencia de tratamiento solo puede estimarse a partir de ello mediante cálculos de modelización.</w:t>
      </w:r>
    </w:p>
    <w:p>
      <w:pPr>
        <w:numPr>
          <w:ilvl w:val="0"/>
          <w:numId w:val="1326"/>
        </w:numPr>
        <w:pStyle w:val="Compact"/>
      </w:pPr>
      <w:r>
        <w:rPr>
          <w:bCs/>
          <w:b/>
        </w:rPr>
        <w:t xml:space="preserve">Insuficiencia cardiaca:</w:t>
      </w:r>
      <w:r>
        <w:t xml:space="preserve"> </w:t>
      </w:r>
      <w:r>
        <w:t xml:space="preserve">en la insuficiencia cardiaca con fracción de eyección conservada y obesidad, la tirzepatida redujo en SUMMIT, con 731 personas, la variable combinada de muerte cardiovascular o empeoramiento de la insuficiencia cardiaca (9,9 % frente a 15,3 %; HR 0,62; Packer 2025, PMID 39555826). La diferencia se debió a menos episodios de empeoramiento; las muertes fueron raras. En STEP-HFpEF, la semaglutida mejoró los síntomas y la distancia recorrida a pie (Kosiborod 2023, PMID 37622681), pero no estaba diseñado para variables duras.</w:t>
      </w:r>
    </w:p>
    <w:p>
      <w:pPr>
        <w:pStyle w:val="FirstParagraph"/>
      </w:pPr>
      <w:r>
        <w:rPr>
          <w:bCs/>
          <w:b/>
        </w:rPr>
        <w:t xml:space="preserve">Todavía pendiente (estudios registrados):</w:t>
      </w:r>
      <w:r>
        <w:t xml:space="preserve"> </w:t>
      </w:r>
      <w:r>
        <w:t xml:space="preserve">para los principios activos más recientes faltan datos de resultados. Los estudios en curso son SURMOUNT-MMO sobre tirzepatida en obesidad sin diabetes (NCT05556512), TRIUMPH-Outcomes sobre retatrutida (NCT06383390), REDEFINE 3 sobre CagriSema (NCT05669755), un estudio sobre maridebart cafraglutida (NCT07037433) y otro sobre orforglipron (NCT07241390). Hasta que estén disponibles estos resultados, sigue abierto si una mayor pérdida de peso conduce también a menos infartos e ictus. Es una expectativa plausible, pero no un resultado.</w:t>
      </w:r>
    </w:p>
    <w:bookmarkEnd w:id="952"/>
    <w:bookmarkStart w:id="953" w:name="riñón-e-hígado"/>
    <w:p>
      <w:pPr>
        <w:pStyle w:val="Heading3"/>
      </w:pPr>
      <w:r>
        <w:t xml:space="preserve">Riñón e hígado</w:t>
      </w:r>
    </w:p>
    <w:p>
      <w:pPr>
        <w:pStyle w:val="FirstParagraph"/>
      </w:pPr>
      <w:r>
        <w:rPr>
          <w:bCs/>
          <w:b/>
        </w:rPr>
        <w:t xml:space="preserve">Riñón:</w:t>
      </w:r>
      <w:r>
        <w:t xml:space="preserve"> </w:t>
      </w:r>
      <w:r>
        <w:t xml:space="preserve">entre los estudios comentados en este libro, solo FLOW tiene un acontecimiento renal como variable principal. En 3533 personas con diabetes tipo 2 y enfermedad renal crónica, la semaglutida 1,0 mg redujo un 24 % los acontecimientos renales graves y la muerte de causa renal o cardiovascular (331 frente a 410 acontecimientos; HR 0,76). El estudio se interrumpió de forma anticipada por eficacia; la mortalidad total fue un 20 % menor (Perkovic 2024, PMID 38785209). En los estudios de resultados más antiguos, en cambio, el beneficio renal se debía sobre todo a una menor cantidad de proteínas en la orina: en LEADER HR 0,78 (Mann 2017, PMID 28854085), en REWIND HR 0,85 (Gerstein 2019, PMID 31189509), en el conjunto de los siete estudios HR 0,83 (Kristensen 2019, PMID 31422062). En SOUL, las variables secundarias confirmatorias, entre ellas los acontecimientos renales, no difirieron significativamente (McGuire 2025, PMID 40162642). En la enfermedad renal moderada a grave, la función renal se conservó mejor con dulaglutida que con insulina glargina (AWARD-7, Tuttle 2018, PMID 29910024). Para la tirzepatida y los principios activos más recientes todavía no hay estudios con acontecimientos renales como variable principal.</w:t>
      </w:r>
    </w:p>
    <w:p>
      <w:pPr>
        <w:pStyle w:val="BodyText"/>
      </w:pPr>
      <w:r>
        <w:rPr>
          <w:bCs/>
          <w:b/>
        </w:rPr>
        <w:t xml:space="preserve">Hígado:</w:t>
      </w:r>
      <w:r>
        <w:t xml:space="preserve"> </w:t>
      </w:r>
      <w:r>
        <w:t xml:space="preserve">en el hígado graso inflamatorio MASH (antes NASH) existen estudios con biopsias para tres principios activos: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activo</w:t>
            </w:r>
          </w:p>
        </w:tc>
        <w:tc>
          <w:tcPr/>
          <w:p>
            <w:pPr>
              <w:pStyle w:val="Compact"/>
              <w:jc w:val="left"/>
            </w:pPr>
            <w:r>
              <w:t xml:space="preserve">Estudio</w:t>
            </w:r>
          </w:p>
        </w:tc>
        <w:tc>
          <w:tcPr/>
          <w:p>
            <w:pPr>
              <w:pStyle w:val="Compact"/>
              <w:jc w:val="left"/>
            </w:pPr>
            <w:r>
              <w:t xml:space="preserve">Duración</w:t>
            </w:r>
          </w:p>
        </w:tc>
        <w:tc>
          <w:tcPr/>
          <w:p>
            <w:pPr>
              <w:pStyle w:val="Compact"/>
              <w:jc w:val="left"/>
            </w:pPr>
            <w:r>
              <w:t xml:space="preserve">Resolución de la MASH sin empeoramiento de la fibrosis</w:t>
            </w:r>
          </w:p>
        </w:tc>
      </w:tr>
      <w:tr>
        <w:tc>
          <w:tcPr/>
          <w:p>
            <w:pPr>
              <w:pStyle w:val="Compact"/>
              <w:jc w:val="left"/>
            </w:pPr>
            <w:r>
              <w:t xml:space="preserve">Semaglutida 2,4 mg</w:t>
            </w:r>
          </w:p>
        </w:tc>
        <w:tc>
          <w:tcPr/>
          <w:p>
            <w:pPr>
              <w:pStyle w:val="Compact"/>
              <w:jc w:val="left"/>
            </w:pPr>
            <w:r>
              <w:t xml:space="preserve">ESSENCE, fase 3 (Sanyal 2025), PMID 40305708</w:t>
            </w:r>
          </w:p>
        </w:tc>
        <w:tc>
          <w:tcPr/>
          <w:p>
            <w:pPr>
              <w:pStyle w:val="Compact"/>
              <w:jc w:val="left"/>
            </w:pPr>
            <w:r>
              <w:t xml:space="preserve">72 semanas (análisis intermedio, 800 personas)</w:t>
            </w:r>
          </w:p>
        </w:tc>
        <w:tc>
          <w:tcPr/>
          <w:p>
            <w:pPr>
              <w:pStyle w:val="Compact"/>
              <w:jc w:val="left"/>
            </w:pPr>
            <w:r>
              <w:t xml:space="preserve">62,9 % frente a 34,3 %; menos fibrosis 36,8 % frente a 22,4 %</w:t>
            </w:r>
          </w:p>
        </w:tc>
      </w:tr>
      <w:tr>
        <w:tc>
          <w:tcPr/>
          <w:p>
            <w:pPr>
              <w:pStyle w:val="Compact"/>
              <w:jc w:val="left"/>
            </w:pPr>
            <w:r>
              <w:t xml:space="preserve">Tirzepatida</w:t>
            </w:r>
          </w:p>
        </w:tc>
        <w:tc>
          <w:tcPr/>
          <w:p>
            <w:pPr>
              <w:pStyle w:val="Compact"/>
              <w:jc w:val="left"/>
            </w:pPr>
            <w:r>
              <w:t xml:space="preserve">SYNERGY-NASH, fase 2 (Loomba 2024), PMID 38856224</w:t>
            </w:r>
          </w:p>
        </w:tc>
        <w:tc>
          <w:tcPr/>
          <w:p>
            <w:pPr>
              <w:pStyle w:val="Compact"/>
              <w:jc w:val="left"/>
            </w:pPr>
            <w:r>
              <w:t xml:space="preserve">52 semanas, 190 personas</w:t>
            </w:r>
          </w:p>
        </w:tc>
        <w:tc>
          <w:tcPr/>
          <w:p>
            <w:pPr>
              <w:pStyle w:val="Compact"/>
              <w:jc w:val="left"/>
            </w:pPr>
            <w:r>
              <w:t xml:space="preserve">44–62 % frente a 10 %; menos fibrosis 51–55 % frente a 30 %</w:t>
            </w:r>
          </w:p>
        </w:tc>
      </w:tr>
      <w:tr>
        <w:tc>
          <w:tcPr/>
          <w:p>
            <w:pPr>
              <w:pStyle w:val="Compact"/>
              <w:jc w:val="left"/>
            </w:pPr>
            <w:r>
              <w:t xml:space="preserve">Survodutida</w:t>
            </w:r>
          </w:p>
        </w:tc>
        <w:tc>
          <w:tcPr/>
          <w:p>
            <w:pPr>
              <w:pStyle w:val="Compact"/>
              <w:jc w:val="left"/>
            </w:pPr>
            <w:r>
              <w:t xml:space="preserve">Fase 2 (Sanyal 2024), PMID 38847460</w:t>
            </w:r>
          </w:p>
        </w:tc>
        <w:tc>
          <w:tcPr/>
          <w:p>
            <w:pPr>
              <w:pStyle w:val="Compact"/>
              <w:jc w:val="left"/>
            </w:pPr>
            <w:r>
              <w:t xml:space="preserve">48 semanas, 293 personas</w:t>
            </w:r>
          </w:p>
        </w:tc>
        <w:tc>
          <w:tcPr/>
          <w:p>
            <w:pPr>
              <w:pStyle w:val="Compact"/>
              <w:jc w:val="left"/>
            </w:pPr>
            <w:r>
              <w:t xml:space="preserve">mejoría de la MASH 43–62 % frente a 14 %</w:t>
            </w:r>
          </w:p>
        </w:tc>
      </w:tr>
    </w:tbl>
    <w:p>
      <w:pPr>
        <w:pStyle w:val="BodyText"/>
      </w:pPr>
      <w:r>
        <w:t xml:space="preserve">Solo ESSENCE es un estudio de fase 3; si el tratamiento también previene la cirrosis, la insuficiencia hepática y las muertes es lo que debe mostrar su segunda parte, a lo largo de 240 semanas. Para la survodutida están en curso los estudios de fase 3 LIVERAGE (NCT06632444) y LIVERAGE-Cirrhosis (NCT06632457). Los porcentajes más altos de los estudios de fase 2 no son directamente comparables con ESSENCE debido a los grupos pequeños y a la menor duración.</w:t>
      </w:r>
    </w:p>
    <w:bookmarkEnd w:id="953"/>
    <w:bookmarkStart w:id="954" w:name="efectos-adversos-y-tasas-de-abandono"/>
    <w:p>
      <w:pPr>
        <w:pStyle w:val="Heading3"/>
      </w:pPr>
      <w:r>
        <w:t xml:space="preserve">Efectos adversos y tasas de abandono</w:t>
      </w:r>
    </w:p>
    <w:p>
      <w:pPr>
        <w:pStyle w:val="FirstParagraph"/>
      </w:pPr>
      <w:r>
        <w:t xml:space="preserve">El perfil de efectos adversos es similar en toda la clase: náuseas, diarrea, vómitos y estreñimiento, sobre todo durante el aumento progresivo de la dosis, en su mayoría leves a moderados y transitorios. Son el motivo más frecuente de abandono del tratamiento. Las tasas dependen mucho de la dosis y del ritmo de escalada, y solo son comparables a grandes rasgos entre estudios.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activo</w:t>
            </w:r>
          </w:p>
        </w:tc>
        <w:tc>
          <w:tcPr/>
          <w:p>
            <w:pPr>
              <w:pStyle w:val="Compact"/>
              <w:jc w:val="left"/>
            </w:pPr>
            <w:r>
              <w:t xml:space="preserve">Estudio</w:t>
            </w:r>
          </w:p>
        </w:tc>
        <w:tc>
          <w:tcPr/>
          <w:p>
            <w:pPr>
              <w:pStyle w:val="Compact"/>
              <w:jc w:val="left"/>
            </w:pPr>
            <w:r>
              <w:t xml:space="preserve">Molestias gastrointestinales</w:t>
            </w:r>
          </w:p>
        </w:tc>
        <w:tc>
          <w:tcPr/>
          <w:p>
            <w:pPr>
              <w:pStyle w:val="Compact"/>
              <w:jc w:val="left"/>
            </w:pPr>
            <w:r>
              <w:t xml:space="preserve">Abandono por efectos adversos</w:t>
            </w:r>
          </w:p>
        </w:tc>
      </w:tr>
      <w:tr>
        <w:tc>
          <w:tcPr/>
          <w:p>
            <w:pPr>
              <w:pStyle w:val="Compact"/>
              <w:jc w:val="left"/>
            </w:pPr>
            <w:r>
              <w:t xml:space="preserve">Exenatida dos veces al día</w:t>
            </w:r>
          </w:p>
        </w:tc>
        <w:tc>
          <w:tcPr/>
          <w:p>
            <w:pPr>
              <w:pStyle w:val="Compact"/>
              <w:jc w:val="left"/>
            </w:pPr>
            <w:r>
              <w:t xml:space="preserve">Heine 2005, PMID 16230722</w:t>
            </w:r>
          </w:p>
        </w:tc>
        <w:tc>
          <w:tcPr/>
          <w:p>
            <w:pPr>
              <w:pStyle w:val="Compact"/>
              <w:jc w:val="left"/>
            </w:pPr>
            <w:r>
              <w:t xml:space="preserve">náuseas 57,1 %</w:t>
            </w:r>
          </w:p>
        </w:tc>
        <w:tc>
          <w:tcPr/>
          <w:p>
            <w:pPr>
              <w:pStyle w:val="Compact"/>
              <w:jc w:val="left"/>
            </w:pPr>
            <w:r>
              <w:t xml:space="preserve">sin dato en el resumen</w:t>
            </w:r>
          </w:p>
        </w:tc>
      </w:tr>
      <w:tr>
        <w:tc>
          <w:tcPr/>
          <w:p>
            <w:pPr>
              <w:pStyle w:val="Compact"/>
              <w:jc w:val="left"/>
            </w:pPr>
            <w:r>
              <w:t xml:space="preserve">Dulaglutida</w:t>
            </w:r>
          </w:p>
        </w:tc>
        <w:tc>
          <w:tcPr/>
          <w:p>
            <w:pPr>
              <w:pStyle w:val="Compact"/>
              <w:jc w:val="left"/>
            </w:pPr>
            <w:r>
              <w:t xml:space="preserve">REWIND (Gerstein 2019), PMID 31189511</w:t>
            </w:r>
          </w:p>
        </w:tc>
        <w:tc>
          <w:tcPr/>
          <w:p>
            <w:pPr>
              <w:pStyle w:val="Compact"/>
              <w:jc w:val="left"/>
            </w:pPr>
            <w:r>
              <w:t xml:space="preserve">47,4 % frente a 34,1 %</w:t>
            </w:r>
          </w:p>
        </w:tc>
        <w:tc>
          <w:tcPr/>
          <w:p>
            <w:pPr>
              <w:pStyle w:val="Compact"/>
              <w:jc w:val="left"/>
            </w:pPr>
            <w:r>
              <w:t xml:space="preserve">sin dato en el resumen</w:t>
            </w:r>
          </w:p>
        </w:tc>
      </w:tr>
      <w:tr>
        <w:tc>
          <w:tcPr/>
          <w:p>
            <w:pPr>
              <w:pStyle w:val="Compact"/>
              <w:jc w:val="left"/>
            </w:pPr>
            <w:r>
              <w:t xml:space="preserve">Semaglutida 2,4 mg</w:t>
            </w:r>
          </w:p>
        </w:tc>
        <w:tc>
          <w:tcPr/>
          <w:p>
            <w:pPr>
              <w:pStyle w:val="Compact"/>
              <w:jc w:val="left"/>
            </w:pPr>
            <w:r>
              <w:t xml:space="preserve">STEP 1 (Wilding 2021), PMID 33567185</w:t>
            </w:r>
          </w:p>
        </w:tc>
        <w:tc>
          <w:tcPr/>
          <w:p>
            <w:pPr>
              <w:pStyle w:val="Compact"/>
              <w:jc w:val="left"/>
            </w:pPr>
            <w:r>
              <w:t xml:space="preserve">lo más frecuente, náuseas y diarrea</w:t>
            </w:r>
          </w:p>
        </w:tc>
        <w:tc>
          <w:tcPr/>
          <w:p>
            <w:pPr>
              <w:pStyle w:val="Compact"/>
              <w:jc w:val="left"/>
            </w:pPr>
            <w:r>
              <w:t xml:space="preserve">por molestias gastrointestinales 4,5 % frente a 0,8 %</w:t>
            </w:r>
          </w:p>
        </w:tc>
      </w:tr>
      <w:tr>
        <w:tc>
          <w:tcPr/>
          <w:p>
            <w:pPr>
              <w:pStyle w:val="Compact"/>
              <w:jc w:val="left"/>
            </w:pPr>
            <w:r>
              <w:t xml:space="preserve">Semaglutida 2,4 mg</w:t>
            </w:r>
          </w:p>
        </w:tc>
        <w:tc>
          <w:tcPr/>
          <w:p>
            <w:pPr>
              <w:pStyle w:val="Compact"/>
              <w:jc w:val="left"/>
            </w:pPr>
            <w:r>
              <w:t xml:space="preserve">SELECT (Lincoff 2023), PMID 37952131</w:t>
            </w:r>
          </w:p>
        </w:tc>
        <w:tc>
          <w:tcPr/>
          <w:p>
            <w:pPr>
              <w:pStyle w:val="Compact"/>
              <w:jc w:val="left"/>
            </w:pPr>
            <w:r>
              <w:t xml:space="preserve">–</w:t>
            </w:r>
          </w:p>
        </w:tc>
        <w:tc>
          <w:tcPr/>
          <w:p>
            <w:pPr>
              <w:pStyle w:val="Compact"/>
              <w:jc w:val="left"/>
            </w:pPr>
            <w:r>
              <w:t xml:space="preserve">16,6 % frente a 8,2 % (en algo más de tres años)</w:t>
            </w:r>
          </w:p>
        </w:tc>
      </w:tr>
      <w:tr>
        <w:tc>
          <w:tcPr/>
          <w:p>
            <w:pPr>
              <w:pStyle w:val="Compact"/>
              <w:jc w:val="left"/>
            </w:pPr>
            <w:r>
              <w:t xml:space="preserve">Tirzepatida</w:t>
            </w:r>
          </w:p>
        </w:tc>
        <w:tc>
          <w:tcPr/>
          <w:p>
            <w:pPr>
              <w:pStyle w:val="Compact"/>
              <w:jc w:val="left"/>
            </w:pPr>
            <w:r>
              <w:t xml:space="preserve">SURMOUNT-1 (Jastreboff 2022), PMID 35658024</w:t>
            </w:r>
          </w:p>
        </w:tc>
        <w:tc>
          <w:tcPr/>
          <w:p>
            <w:pPr>
              <w:pStyle w:val="Compact"/>
              <w:jc w:val="left"/>
            </w:pPr>
            <w:r>
              <w:t xml:space="preserve">las más frecuentes, sobre todo durante la escalada</w:t>
            </w:r>
          </w:p>
        </w:tc>
        <w:tc>
          <w:tcPr/>
          <w:p>
            <w:pPr>
              <w:pStyle w:val="Compact"/>
              <w:jc w:val="left"/>
            </w:pPr>
            <w:r>
              <w:t xml:space="preserve">4,3–7,1 % frente a 2,6 %</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79,6 % frente a 39,9 %</w:t>
            </w:r>
          </w:p>
        </w:tc>
        <w:tc>
          <w:tcPr/>
          <w:p>
            <w:pPr>
              <w:pStyle w:val="Compact"/>
              <w:jc w:val="left"/>
            </w:pPr>
            <w:r>
              <w:t xml:space="preserve">sin dato en el resumen</w:t>
            </w:r>
          </w:p>
        </w:tc>
      </w:tr>
      <w:tr>
        <w:tc>
          <w:tcPr/>
          <w:p>
            <w:pPr>
              <w:pStyle w:val="Compact"/>
              <w:jc w:val="left"/>
            </w:pPr>
            <w:r>
              <w:t xml:space="preserve">Retatrutida</w:t>
            </w:r>
          </w:p>
        </w:tc>
        <w:tc>
          <w:tcPr/>
          <w:p>
            <w:pPr>
              <w:pStyle w:val="Compact"/>
              <w:jc w:val="left"/>
            </w:pPr>
            <w:r>
              <w:t xml:space="preserve">TRIUMPH-2 (Bellido 2026), PMID 42810372</w:t>
            </w:r>
          </w:p>
        </w:tc>
        <w:tc>
          <w:tcPr/>
          <w:p>
            <w:pPr>
              <w:pStyle w:val="Compact"/>
              <w:jc w:val="left"/>
            </w:pPr>
            <w:r>
              <w:t xml:space="preserve">diarrea 27–34 %, náuseas 14–28 % (placebo 13 % y 8 %, respectivamente)</w:t>
            </w:r>
          </w:p>
        </w:tc>
        <w:tc>
          <w:tcPr/>
          <w:p>
            <w:pPr>
              <w:pStyle w:val="Compact"/>
              <w:jc w:val="left"/>
            </w:pPr>
            <w:r>
              <w:t xml:space="preserve">4–12 % frente a 5 % (incl. muertes)</w:t>
            </w:r>
          </w:p>
        </w:tc>
      </w:tr>
      <w:tr>
        <w:tc>
          <w:tcPr/>
          <w:p>
            <w:pPr>
              <w:pStyle w:val="Compact"/>
              <w:jc w:val="left"/>
            </w:pPr>
            <w:r>
              <w:t xml:space="preserve">Survodutida</w:t>
            </w:r>
          </w:p>
        </w:tc>
        <w:tc>
          <w:tcPr/>
          <w:p>
            <w:pPr>
              <w:pStyle w:val="Compact"/>
              <w:jc w:val="left"/>
            </w:pPr>
            <w:r>
              <w:t xml:space="preserve">SYNCHRONIZE-1 (le Roux 2026), PMID 42253238</w:t>
            </w:r>
          </w:p>
        </w:tc>
        <w:tc>
          <w:tcPr/>
          <w:p>
            <w:pPr>
              <w:pStyle w:val="Compact"/>
              <w:jc w:val="left"/>
            </w:pPr>
            <w:r>
              <w:t xml:space="preserve">80,9 / 89,7 % frente a 47,9 %</w:t>
            </w:r>
          </w:p>
        </w:tc>
        <w:tc>
          <w:tcPr/>
          <w:p>
            <w:pPr>
              <w:pStyle w:val="Compact"/>
              <w:jc w:val="left"/>
            </w:pPr>
            <w:r>
              <w:t xml:space="preserve">sin dato en el resumen</w:t>
            </w:r>
          </w:p>
        </w:tc>
      </w:tr>
      <w:tr>
        <w:tc>
          <w:tcPr/>
          <w:p>
            <w:pPr>
              <w:pStyle w:val="Compact"/>
              <w:jc w:val="left"/>
            </w:pPr>
            <w:r>
              <w:t xml:space="preserve">Mazdutida</w:t>
            </w:r>
          </w:p>
        </w:tc>
        <w:tc>
          <w:tcPr/>
          <w:p>
            <w:pPr>
              <w:pStyle w:val="Compact"/>
              <w:jc w:val="left"/>
            </w:pPr>
            <w:r>
              <w:t xml:space="preserve">GLORY-1 (Ji 2025), PMID 40421736</w:t>
            </w:r>
          </w:p>
        </w:tc>
        <w:tc>
          <w:tcPr/>
          <w:p>
            <w:pPr>
              <w:pStyle w:val="Compact"/>
              <w:jc w:val="left"/>
            </w:pPr>
            <w:r>
              <w:t xml:space="preserve">efecto adverso más frecuente</w:t>
            </w:r>
          </w:p>
        </w:tc>
        <w:tc>
          <w:tcPr/>
          <w:p>
            <w:pPr>
              <w:pStyle w:val="Compact"/>
              <w:jc w:val="left"/>
            </w:pPr>
            <w:r>
              <w:t xml:space="preserve">0,5–1,5 % frente a 1,0 %</w:t>
            </w:r>
          </w:p>
        </w:tc>
      </w:tr>
      <w:tr>
        <w:tc>
          <w:tcPr/>
          <w:p>
            <w:pPr>
              <w:pStyle w:val="Compact"/>
              <w:jc w:val="left"/>
            </w:pPr>
            <w:r>
              <w:t xml:space="preserve">Orforglipron</w:t>
            </w:r>
          </w:p>
        </w:tc>
        <w:tc>
          <w:tcPr/>
          <w:p>
            <w:pPr>
              <w:pStyle w:val="Compact"/>
              <w:jc w:val="left"/>
            </w:pPr>
            <w:r>
              <w:t xml:space="preserve">ATTAIN-1 (Wharton 2025), PMID 40960239</w:t>
            </w:r>
          </w:p>
        </w:tc>
        <w:tc>
          <w:tcPr/>
          <w:p>
            <w:pPr>
              <w:pStyle w:val="Compact"/>
              <w:jc w:val="left"/>
            </w:pPr>
            <w:r>
              <w:t xml:space="preserve">efecto adverso más frecuente</w:t>
            </w:r>
          </w:p>
        </w:tc>
        <w:tc>
          <w:tcPr/>
          <w:p>
            <w:pPr>
              <w:pStyle w:val="Compact"/>
              <w:jc w:val="left"/>
            </w:pPr>
            <w:r>
              <w:t xml:space="preserve">5,3–10,3 % frente a 2,7 %</w:t>
            </w:r>
          </w:p>
        </w:tc>
      </w:tr>
    </w:tbl>
    <w:p>
      <w:pPr>
        <w:pStyle w:val="BodyText"/>
      </w:pPr>
      <w:r>
        <w:t xml:space="preserve">Algunas observaciones:</w:t>
      </w:r>
    </w:p>
    <w:p>
      <w:pPr>
        <w:numPr>
          <w:ilvl w:val="0"/>
          <w:numId w:val="1327"/>
        </w:numPr>
        <w:pStyle w:val="Compact"/>
      </w:pPr>
      <w:r>
        <w:rPr>
          <w:bCs/>
          <w:b/>
        </w:rPr>
        <w:t xml:space="preserve">Los preparados semanales suelen tolerarse mejor que las formas más antiguas.</w:t>
      </w:r>
      <w:r>
        <w:t xml:space="preserve"> </w:t>
      </w:r>
      <w:r>
        <w:t xml:space="preserve">En DURATION-6, un 9 % tuvo náuseas con exenatida semanal y un 21 % con liraglutida diaria (Buse 2013, PMID 23141817). En STEP 8, un 27,6 % terminó antes de tiempo el tratamiento con liraglutida, por el motivo que fuera, frente a un 13,5 % con semaglutida; las molestias gastrointestinales fueron igual de frecuentes en ambos grupos (82,7 % frente a 84,1 %) (Rubino 2022, PMID 35015037).</w:t>
      </w:r>
    </w:p>
    <w:p>
      <w:pPr>
        <w:numPr>
          <w:ilvl w:val="0"/>
          <w:numId w:val="1327"/>
        </w:numPr>
        <w:pStyle w:val="Compact"/>
      </w:pPr>
      <w:r>
        <w:rPr>
          <w:bCs/>
          <w:b/>
        </w:rPr>
        <w:t xml:space="preserve">Una mayor eficacia no va necesariamente acompañada de más molestias.</w:t>
      </w:r>
      <w:r>
        <w:t xml:space="preserve"> </w:t>
      </w:r>
      <w:r>
        <w:t xml:space="preserve">En SURPASS-2, las náuseas (17–22 % frente a 18 %) y los vómitos (6–10 % frente a 8 %) fueron igual de frecuentes con tirzepatida y semaglutida; los acontecimientos adversos graves aparecieron con tirzepatida en el 5–7 % frente al 3 % (Frías 2021, PMID 34170647). En REDEFINE 5, el 53 % con CagriSema y el 51 % con semaglutida tuvieron molestias gastrointestinales (Yamauchi 2026, PMID 42009015).</w:t>
      </w:r>
    </w:p>
    <w:p>
      <w:pPr>
        <w:numPr>
          <w:ilvl w:val="0"/>
          <w:numId w:val="1327"/>
        </w:numPr>
        <w:pStyle w:val="Compact"/>
      </w:pPr>
      <w:r>
        <w:rPr>
          <w:bCs/>
          <w:b/>
        </w:rPr>
        <w:t xml:space="preserve">Con los agonistas múltiples, los abandonos aumentan con dosis altas.</w:t>
      </w:r>
      <w:r>
        <w:t xml:space="preserve"> </w:t>
      </w:r>
      <w:r>
        <w:t xml:space="preserve">Con retatrutida aparecieron además alteraciones de la sensibilidad cutánea (disestesia) en el 4–7 % frente al 1 % con placebo, una señal nueva para esta clase. En un estudio estadounidense de fase 2 con mazdutida, con la dosis más alta abandonó el 20 % por efectos adversos (Hsia 2026, PMID 42628555).</w:t>
      </w:r>
    </w:p>
    <w:p>
      <w:pPr>
        <w:numPr>
          <w:ilvl w:val="0"/>
          <w:numId w:val="1327"/>
        </w:numPr>
        <w:pStyle w:val="Compact"/>
      </w:pPr>
      <w:r>
        <w:rPr>
          <w:bCs/>
          <w:b/>
        </w:rPr>
        <w:t xml:space="preserve">Los estudios a largo plazo muestran tasas de abandono más altas que los estudios cortos.</w:t>
      </w:r>
      <w:r>
        <w:t xml:space="preserve"> </w:t>
      </w:r>
      <w:r>
        <w:t xml:space="preserve">El 16,6 % de SELECT a lo largo de más de tres años es una referencia más realista para el tratamiento continuado que los valores de los estudios de autorización de 68 o 72 semanas.</w:t>
      </w:r>
    </w:p>
    <w:p>
      <w:pPr>
        <w:pStyle w:val="FirstParagraph"/>
      </w:pPr>
      <w:r>
        <w:rPr>
          <w:bCs/>
          <w:b/>
        </w:rPr>
        <w:t xml:space="preserve">Riesgos de clase que afectan a todos los principios activos:</w:t>
      </w:r>
    </w:p>
    <w:p>
      <w:pPr>
        <w:numPr>
          <w:ilvl w:val="0"/>
          <w:numId w:val="1328"/>
        </w:numPr>
        <w:pStyle w:val="Compact"/>
      </w:pPr>
      <w:r>
        <w:rPr>
          <w:bCs/>
          <w:b/>
        </w:rPr>
        <w:t xml:space="preserve">Vesícula biliar:</w:t>
      </w:r>
      <w:r>
        <w:t xml:space="preserve"> </w:t>
      </w:r>
      <w:r>
        <w:t xml:space="preserve">un metaanálisis de 76 estudios aleatorizados con 103.371 participantes encontró un riesgo un 37 % mayor de enfermedades de la vesícula y las vías biliares; en los estudios de pérdida de peso, un riesgo más del doble (riesgo relativo 2,29; He 2022, PMID 35344001).</w:t>
      </w:r>
    </w:p>
    <w:p>
      <w:pPr>
        <w:numPr>
          <w:ilvl w:val="0"/>
          <w:numId w:val="1328"/>
        </w:numPr>
        <w:pStyle w:val="Compact"/>
      </w:pPr>
      <w:r>
        <w:rPr>
          <w:bCs/>
          <w:b/>
        </w:rPr>
        <w:t xml:space="preserve">Páncreas:</w:t>
      </w:r>
      <w:r>
        <w:t xml:space="preserve"> </w:t>
      </w:r>
      <w:r>
        <w:t xml:space="preserve">en el metaanálisis de los estudios de resultados, ningún aumento del riesgo de pancreatitis o cáncer de páncreas (Kristensen 2019, PMID 31422062); en datos de aseguradoras, una señal con el uso para perder peso (Sodhi 2023, PMID 37796527).</w:t>
      </w:r>
    </w:p>
    <w:p>
      <w:pPr>
        <w:numPr>
          <w:ilvl w:val="0"/>
          <w:numId w:val="1328"/>
        </w:numPr>
        <w:pStyle w:val="Compact"/>
      </w:pPr>
      <w:r>
        <w:rPr>
          <w:bCs/>
          <w:b/>
        </w:rPr>
        <w:t xml:space="preserve">Tiroides:</w:t>
      </w:r>
      <w:r>
        <w:t xml:space="preserve"> </w:t>
      </w:r>
      <w:r>
        <w:t xml:space="preserve">tumores de células C en roedores; en humanos, una señal en metaanálisis y estudios observacionales (Silverii 2025, PMID 40437949), cuya relevancia es controvertida.</w:t>
      </w:r>
    </w:p>
    <w:p>
      <w:pPr>
        <w:numPr>
          <w:ilvl w:val="0"/>
          <w:numId w:val="1328"/>
        </w:numPr>
        <w:pStyle w:val="Compact"/>
      </w:pPr>
      <w:r>
        <w:rPr>
          <w:bCs/>
          <w:b/>
        </w:rPr>
        <w:t xml:space="preserve">Ojos:</w:t>
      </w:r>
      <w:r>
        <w:t xml:space="preserve"> </w:t>
      </w:r>
      <w:r>
        <w:t xml:space="preserve">empeoramiento de una retinopatía diabética preexistente en SUSTAIN 6 (HR 1,76; Marso 2016, PMID 27633186); señal rara de un trastorno circulatorio del nervio óptico (NAION) en estudios observacionales (Simonsen 2025, PMID 40098249).</w:t>
      </w:r>
    </w:p>
    <w:p>
      <w:pPr>
        <w:numPr>
          <w:ilvl w:val="0"/>
          <w:numId w:val="1328"/>
        </w:numPr>
        <w:pStyle w:val="Compact"/>
      </w:pPr>
      <w:r>
        <w:rPr>
          <w:bCs/>
          <w:b/>
        </w:rPr>
        <w:t xml:space="preserve">Masa muscular:</w:t>
      </w:r>
      <w:r>
        <w:t xml:space="preserve"> </w:t>
      </w:r>
      <w:r>
        <w:t xml:space="preserve">aproximadamente una cuarta parte del peso perdido es masa libre de grasa, en la misma proporción que con otras pérdidas de peso (Look 2025, PMID 39996356).</w:t>
      </w:r>
    </w:p>
    <w:bookmarkEnd w:id="954"/>
    <w:bookmarkStart w:id="955" w:name="estudios-de-comparación-directa"/>
    <w:p>
      <w:pPr>
        <w:pStyle w:val="Heading3"/>
      </w:pPr>
      <w:r>
        <w:t xml:space="preserve">Estudios de comparación directa</w:t>
      </w:r>
    </w:p>
    <w:p>
      <w:pPr>
        <w:pStyle w:val="FirstParagraph"/>
      </w:pPr>
      <w:r>
        <w:t xml:space="preserve">La siguiente tabla recoge estudios aleatorizados en los que dos principios activos de la clase se enfrentaron directamente. Solo aquí las diferencias entre los principios activos están demostradas con rigor metodológico. Muchos de estos estudios fueron abiertos (no enmascarados) y financiados por el fabricante del principio activo más reciente, y no siempre se utilizó la dosis autorizada más alta del comparador.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Comparación</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SURMOUNT-5 (Aronne 2025), PMID 40353578</w:t>
            </w:r>
          </w:p>
        </w:tc>
        <w:tc>
          <w:tcPr/>
          <w:p>
            <w:pPr>
              <w:pStyle w:val="Compact"/>
              <w:jc w:val="left"/>
            </w:pPr>
            <w:r>
              <w:t xml:space="preserve">Tirzepatida frente a semaglutida 2,4 mg, obesidad, abierto</w:t>
            </w:r>
          </w:p>
        </w:tc>
        <w:tc>
          <w:tcPr/>
          <w:p>
            <w:pPr>
              <w:pStyle w:val="Compact"/>
              <w:jc w:val="left"/>
            </w:pPr>
            <w:r>
              <w:t xml:space="preserve">72 semanas</w:t>
            </w:r>
          </w:p>
        </w:tc>
        <w:tc>
          <w:tcPr/>
          <w:p>
            <w:pPr>
              <w:pStyle w:val="Compact"/>
              <w:jc w:val="left"/>
            </w:pPr>
            <w:r>
              <w:t xml:space="preserve">peso −20,2 % frente a −13,7 %</w:t>
            </w:r>
          </w:p>
        </w:tc>
      </w:tr>
      <w:tr>
        <w:tc>
          <w:tcPr/>
          <w:p>
            <w:pPr>
              <w:pStyle w:val="Compact"/>
              <w:jc w:val="left"/>
            </w:pPr>
            <w:r>
              <w:t xml:space="preserve">STEP 8 (Rubino 2022), PMID 35015037</w:t>
            </w:r>
          </w:p>
        </w:tc>
        <w:tc>
          <w:tcPr/>
          <w:p>
            <w:pPr>
              <w:pStyle w:val="Compact"/>
              <w:jc w:val="left"/>
            </w:pPr>
            <w:r>
              <w:t xml:space="preserve">Semaglutida 2,4 mg frente a liraglutida 3,0 mg, obesidad</w:t>
            </w:r>
          </w:p>
        </w:tc>
        <w:tc>
          <w:tcPr/>
          <w:p>
            <w:pPr>
              <w:pStyle w:val="Compact"/>
              <w:jc w:val="left"/>
            </w:pPr>
            <w:r>
              <w:t xml:space="preserve">68 semanas</w:t>
            </w:r>
          </w:p>
        </w:tc>
        <w:tc>
          <w:tcPr/>
          <w:p>
            <w:pPr>
              <w:pStyle w:val="Compact"/>
              <w:jc w:val="left"/>
            </w:pPr>
            <w:r>
              <w:t xml:space="preserve">peso −15,8 % frente a −6,4 %</w:t>
            </w:r>
          </w:p>
        </w:tc>
      </w:tr>
      <w:tr>
        <w:tc>
          <w:tcPr/>
          <w:p>
            <w:pPr>
              <w:pStyle w:val="Compact"/>
              <w:jc w:val="left"/>
            </w:pPr>
            <w:r>
              <w:t xml:space="preserve">REDEFINE 5 (Yamauchi 2026), PMID 42009015</w:t>
            </w:r>
          </w:p>
        </w:tc>
        <w:tc>
          <w:tcPr/>
          <w:p>
            <w:pPr>
              <w:pStyle w:val="Compact"/>
              <w:jc w:val="left"/>
            </w:pPr>
            <w:r>
              <w:t xml:space="preserve">CagriSema frente a semaglutida 2,4 mg, Japón y Taiwán, enmascarado</w:t>
            </w:r>
          </w:p>
        </w:tc>
        <w:tc>
          <w:tcPr/>
          <w:p>
            <w:pPr>
              <w:pStyle w:val="Compact"/>
              <w:jc w:val="left"/>
            </w:pPr>
            <w:r>
              <w:t xml:space="preserve">68 semanas</w:t>
            </w:r>
          </w:p>
        </w:tc>
        <w:tc>
          <w:tcPr/>
          <w:p>
            <w:pPr>
              <w:pStyle w:val="Compact"/>
              <w:jc w:val="left"/>
            </w:pPr>
            <w:r>
              <w:t xml:space="preserve">peso −18,4 % frente a −11,9 %</w:t>
            </w:r>
          </w:p>
        </w:tc>
      </w:tr>
      <w:tr>
        <w:tc>
          <w:tcPr/>
          <w:p>
            <w:pPr>
              <w:pStyle w:val="Compact"/>
              <w:jc w:val="left"/>
            </w:pPr>
            <w:r>
              <w:t xml:space="preserve">SURPASS-2 (Frías 2021), PMID 34170647</w:t>
            </w:r>
          </w:p>
        </w:tc>
        <w:tc>
          <w:tcPr/>
          <w:p>
            <w:pPr>
              <w:pStyle w:val="Compact"/>
              <w:jc w:val="left"/>
            </w:pPr>
            <w:r>
              <w:t xml:space="preserve">Tirzepatida frente a semaglutida 1 mg, diabetes tipo 2, abierto</w:t>
            </w:r>
          </w:p>
        </w:tc>
        <w:tc>
          <w:tcPr/>
          <w:p>
            <w:pPr>
              <w:pStyle w:val="Compact"/>
              <w:jc w:val="left"/>
            </w:pPr>
            <w:r>
              <w:t xml:space="preserve">40 semanas</w:t>
            </w:r>
          </w:p>
        </w:tc>
        <w:tc>
          <w:tcPr/>
          <w:p>
            <w:pPr>
              <w:pStyle w:val="Compact"/>
              <w:jc w:val="left"/>
            </w:pPr>
            <w:r>
              <w:t xml:space="preserve">HbA1c −2,01 a −2,30 frente a −1,86; peso adicional −1,9 a −5,5 kg</w:t>
            </w:r>
          </w:p>
        </w:tc>
      </w:tr>
      <w:tr>
        <w:tc>
          <w:tcPr/>
          <w:p>
            <w:pPr>
              <w:pStyle w:val="Compact"/>
              <w:jc w:val="left"/>
            </w:pPr>
            <w:r>
              <w:t xml:space="preserve">REIMAGINE 2 (Buse 2026), PMID 42251859</w:t>
            </w:r>
          </w:p>
        </w:tc>
        <w:tc>
          <w:tcPr/>
          <w:p>
            <w:pPr>
              <w:pStyle w:val="Compact"/>
              <w:jc w:val="left"/>
            </w:pPr>
            <w:r>
              <w:t xml:space="preserve">CagriSema frente a semaglutida 2,4 mg, diabetes tipo 2</w:t>
            </w:r>
          </w:p>
        </w:tc>
        <w:tc>
          <w:tcPr/>
          <w:p>
            <w:pPr>
              <w:pStyle w:val="Compact"/>
              <w:jc w:val="left"/>
            </w:pPr>
            <w:r>
              <w:t xml:space="preserve">68 semanas</w:t>
            </w:r>
          </w:p>
        </w:tc>
        <w:tc>
          <w:tcPr/>
          <w:p>
            <w:pPr>
              <w:pStyle w:val="Compact"/>
              <w:jc w:val="left"/>
            </w:pPr>
            <w:r>
              <w:t xml:space="preserve">HbA1c −1,91 frente a −1,75</w:t>
            </w:r>
          </w:p>
        </w:tc>
      </w:tr>
      <w:tr>
        <w:tc>
          <w:tcPr/>
          <w:p>
            <w:pPr>
              <w:pStyle w:val="Compact"/>
              <w:jc w:val="left"/>
            </w:pPr>
            <w:r>
              <w:t xml:space="preserve">ACHIEVE-3 (Rosenstock 2026), PMID 41765029</w:t>
            </w:r>
          </w:p>
        </w:tc>
        <w:tc>
          <w:tcPr/>
          <w:p>
            <w:pPr>
              <w:pStyle w:val="Compact"/>
              <w:jc w:val="left"/>
            </w:pPr>
            <w:r>
              <w:t xml:space="preserve">Orforglipron frente a semaglutida en comprimido, abierto</w:t>
            </w:r>
          </w:p>
        </w:tc>
        <w:tc>
          <w:tcPr/>
          <w:p>
            <w:pPr>
              <w:pStyle w:val="Compact"/>
              <w:jc w:val="left"/>
            </w:pPr>
            <w:r>
              <w:t xml:space="preserve">52 semanas</w:t>
            </w:r>
          </w:p>
        </w:tc>
        <w:tc>
          <w:tcPr/>
          <w:p>
            <w:pPr>
              <w:pStyle w:val="Compact"/>
              <w:jc w:val="left"/>
            </w:pPr>
            <w:r>
              <w:t xml:space="preserve">HbA1c −1,91 frente a −1,47 (dosis más alta en cada caso)</w:t>
            </w:r>
          </w:p>
        </w:tc>
      </w:tr>
      <w:tr>
        <w:tc>
          <w:tcPr/>
          <w:p>
            <w:pPr>
              <w:pStyle w:val="Compact"/>
              <w:jc w:val="left"/>
            </w:pPr>
            <w:r>
              <w:t xml:space="preserve">SUSTAIN 7 (Pratley 2018), PMID 29397376</w:t>
            </w:r>
          </w:p>
        </w:tc>
        <w:tc>
          <w:tcPr/>
          <w:p>
            <w:pPr>
              <w:pStyle w:val="Compact"/>
              <w:jc w:val="left"/>
            </w:pPr>
            <w:r>
              <w:t xml:space="preserve">Semaglutida frente a dulaglutida</w:t>
            </w:r>
          </w:p>
        </w:tc>
        <w:tc>
          <w:tcPr/>
          <w:p>
            <w:pPr>
              <w:pStyle w:val="Compact"/>
              <w:jc w:val="left"/>
            </w:pPr>
            <w:r>
              <w:t xml:space="preserve">40 semanas</w:t>
            </w:r>
          </w:p>
        </w:tc>
        <w:tc>
          <w:tcPr/>
          <w:p>
            <w:pPr>
              <w:pStyle w:val="Compact"/>
              <w:jc w:val="left"/>
            </w:pPr>
            <w:r>
              <w:t xml:space="preserve">HbA1c −1,8 frente a −1,4; peso −6,5 frente a −3,0 kg</w:t>
            </w:r>
          </w:p>
        </w:tc>
      </w:tr>
      <w:tr>
        <w:tc>
          <w:tcPr/>
          <w:p>
            <w:pPr>
              <w:pStyle w:val="Compact"/>
              <w:jc w:val="left"/>
            </w:pPr>
            <w:r>
              <w:t xml:space="preserve">SUSTAIN 10 (Capehorn 2020), PMID 31539622</w:t>
            </w:r>
          </w:p>
        </w:tc>
        <w:tc>
          <w:tcPr/>
          <w:p>
            <w:pPr>
              <w:pStyle w:val="Compact"/>
              <w:jc w:val="left"/>
            </w:pPr>
            <w:r>
              <w:t xml:space="preserve">Semaglutida 1,0 mg frente a liraglutida 1,2 mg</w:t>
            </w:r>
          </w:p>
        </w:tc>
        <w:tc>
          <w:tcPr/>
          <w:p>
            <w:pPr>
              <w:pStyle w:val="Compact"/>
              <w:jc w:val="left"/>
            </w:pPr>
            <w:r>
              <w:t xml:space="preserve">30 semanas</w:t>
            </w:r>
          </w:p>
        </w:tc>
        <w:tc>
          <w:tcPr/>
          <w:p>
            <w:pPr>
              <w:pStyle w:val="Compact"/>
              <w:jc w:val="left"/>
            </w:pPr>
            <w:r>
              <w:t xml:space="preserve">HbA1c −1,7 frente a −1,0; peso −5,8 frente a −1,9 kg</w:t>
            </w:r>
          </w:p>
        </w:tc>
      </w:tr>
      <w:tr>
        <w:tc>
          <w:tcPr/>
          <w:p>
            <w:pPr>
              <w:pStyle w:val="Compact"/>
              <w:jc w:val="left"/>
            </w:pPr>
            <w:r>
              <w:t xml:space="preserve">SUSTAIN 3 (Ahmann 2018), PMID 29246950</w:t>
            </w:r>
          </w:p>
        </w:tc>
        <w:tc>
          <w:tcPr/>
          <w:p>
            <w:pPr>
              <w:pStyle w:val="Compact"/>
              <w:jc w:val="left"/>
            </w:pPr>
            <w:r>
              <w:t xml:space="preserve">Semaglutida frente a exenatida semanal, abierto</w:t>
            </w:r>
          </w:p>
        </w:tc>
        <w:tc>
          <w:tcPr/>
          <w:p>
            <w:pPr>
              <w:pStyle w:val="Compact"/>
              <w:jc w:val="left"/>
            </w:pPr>
            <w:r>
              <w:t xml:space="preserve">56 semanas</w:t>
            </w:r>
          </w:p>
        </w:tc>
        <w:tc>
          <w:tcPr/>
          <w:p>
            <w:pPr>
              <w:pStyle w:val="Compact"/>
              <w:jc w:val="left"/>
            </w:pPr>
            <w:r>
              <w:t xml:space="preserve">HbA1c −1,5 frente a −0,9; peso −5,6 frente a −1,9 kg</w:t>
            </w:r>
          </w:p>
        </w:tc>
      </w:tr>
      <w:tr>
        <w:tc>
          <w:tcPr/>
          <w:p>
            <w:pPr>
              <w:pStyle w:val="Compact"/>
              <w:jc w:val="left"/>
            </w:pPr>
            <w:r>
              <w:t xml:space="preserve">PIONEER 4 (Pratley 2019), PMID 31186120</w:t>
            </w:r>
          </w:p>
        </w:tc>
        <w:tc>
          <w:tcPr/>
          <w:p>
            <w:pPr>
              <w:pStyle w:val="Compact"/>
              <w:jc w:val="left"/>
            </w:pPr>
            <w:r>
              <w:t xml:space="preserve">Semaglutida en comprimido frente a liraglutida inyectable</w:t>
            </w:r>
          </w:p>
        </w:tc>
        <w:tc>
          <w:tcPr/>
          <w:p>
            <w:pPr>
              <w:pStyle w:val="Compact"/>
              <w:jc w:val="left"/>
            </w:pPr>
            <w:r>
              <w:t xml:space="preserve">26 semanas (estudio de 52)</w:t>
            </w:r>
          </w:p>
        </w:tc>
        <w:tc>
          <w:tcPr/>
          <w:p>
            <w:pPr>
              <w:pStyle w:val="Compact"/>
              <w:jc w:val="left"/>
            </w:pPr>
            <w:r>
              <w:t xml:space="preserve">HbA1c −1,2 frente a −1,1 (no inferior)</w:t>
            </w:r>
          </w:p>
        </w:tc>
      </w:tr>
      <w:tr>
        <w:tc>
          <w:tcPr/>
          <w:p>
            <w:pPr>
              <w:pStyle w:val="Compact"/>
              <w:jc w:val="left"/>
            </w:pPr>
            <w:r>
              <w:t xml:space="preserve">AWARD-6 (Dungan 2014), PMID 25018121</w:t>
            </w:r>
          </w:p>
        </w:tc>
        <w:tc>
          <w:tcPr/>
          <w:p>
            <w:pPr>
              <w:pStyle w:val="Compact"/>
              <w:jc w:val="left"/>
            </w:pPr>
            <w:r>
              <w:t xml:space="preserve">Dulaglutida frente a liraglutida 1,8 mg, abierto</w:t>
            </w:r>
          </w:p>
        </w:tc>
        <w:tc>
          <w:tcPr/>
          <w:p>
            <w:pPr>
              <w:pStyle w:val="Compact"/>
              <w:jc w:val="left"/>
            </w:pPr>
            <w:r>
              <w:t xml:space="preserve">26 semanas</w:t>
            </w:r>
          </w:p>
        </w:tc>
        <w:tc>
          <w:tcPr/>
          <w:p>
            <w:pPr>
              <w:pStyle w:val="Compact"/>
              <w:jc w:val="left"/>
            </w:pPr>
            <w:r>
              <w:t xml:space="preserve">HbA1c −1,42 frente a −1,36, equivalente</w:t>
            </w:r>
          </w:p>
        </w:tc>
      </w:tr>
      <w:tr>
        <w:tc>
          <w:tcPr/>
          <w:p>
            <w:pPr>
              <w:pStyle w:val="Compact"/>
              <w:jc w:val="left"/>
            </w:pPr>
            <w:r>
              <w:t xml:space="preserve">DURATION-6 (Buse 2013), PMID 23141817</w:t>
            </w:r>
          </w:p>
        </w:tc>
        <w:tc>
          <w:tcPr/>
          <w:p>
            <w:pPr>
              <w:pStyle w:val="Compact"/>
              <w:jc w:val="left"/>
            </w:pPr>
            <w:r>
              <w:t xml:space="preserve">Exenatida semanal frente a liraglutida, abierto</w:t>
            </w:r>
          </w:p>
        </w:tc>
        <w:tc>
          <w:tcPr/>
          <w:p>
            <w:pPr>
              <w:pStyle w:val="Compact"/>
              <w:jc w:val="left"/>
            </w:pPr>
            <w:r>
              <w:t xml:space="preserve">26 semanas</w:t>
            </w:r>
          </w:p>
        </w:tc>
        <w:tc>
          <w:tcPr/>
          <w:p>
            <w:pPr>
              <w:pStyle w:val="Compact"/>
              <w:jc w:val="left"/>
            </w:pPr>
            <w:r>
              <w:t xml:space="preserve">HbA1c −1,28 frente a −1,48; no inferioridad no alcanzada</w:t>
            </w:r>
          </w:p>
        </w:tc>
      </w:tr>
      <w:tr>
        <w:tc>
          <w:tcPr/>
          <w:p>
            <w:pPr>
              <w:pStyle w:val="Compact"/>
              <w:jc w:val="left"/>
            </w:pPr>
            <w:r>
              <w:t xml:space="preserve">DREAMS-2 (Guo 2026), PMID 41407860</w:t>
            </w:r>
          </w:p>
        </w:tc>
        <w:tc>
          <w:tcPr/>
          <w:p>
            <w:pPr>
              <w:pStyle w:val="Compact"/>
              <w:jc w:val="left"/>
            </w:pPr>
            <w:r>
              <w:t xml:space="preserve">Mazdutida frente a dulaglutida 1,5 mg, China</w:t>
            </w:r>
          </w:p>
        </w:tc>
        <w:tc>
          <w:tcPr/>
          <w:p>
            <w:pPr>
              <w:pStyle w:val="Compact"/>
              <w:jc w:val="left"/>
            </w:pPr>
            <w:r>
              <w:t xml:space="preserve">28 semanas</w:t>
            </w:r>
          </w:p>
        </w:tc>
        <w:tc>
          <w:tcPr/>
          <w:p>
            <w:pPr>
              <w:pStyle w:val="Compact"/>
              <w:jc w:val="left"/>
            </w:pPr>
            <w:r>
              <w:t xml:space="preserve">HbA1c adicional −0,24 / −0,30</w:t>
            </w:r>
          </w:p>
        </w:tc>
      </w:tr>
      <w:tr>
        <w:tc>
          <w:tcPr/>
          <w:p>
            <w:pPr>
              <w:pStyle w:val="Compact"/>
              <w:jc w:val="left"/>
            </w:pPr>
            <w:r>
              <w:t xml:space="preserve">SURPASS-CVOT (Nicholls 2025), PMID 41406444</w:t>
            </w:r>
          </w:p>
        </w:tc>
        <w:tc>
          <w:tcPr/>
          <w:p>
            <w:pPr>
              <w:pStyle w:val="Compact"/>
              <w:jc w:val="left"/>
            </w:pPr>
            <w:r>
              <w:t xml:space="preserve">Tirzepatida frente a dulaglutida, acontecimientos cardiovasculares</w:t>
            </w:r>
          </w:p>
        </w:tc>
        <w:tc>
          <w:tcPr/>
          <w:p>
            <w:pPr>
              <w:pStyle w:val="Compact"/>
              <w:jc w:val="left"/>
            </w:pPr>
            <w:r>
              <w:t xml:space="preserve">varios años</w:t>
            </w:r>
          </w:p>
        </w:tc>
        <w:tc>
          <w:tcPr/>
          <w:p>
            <w:pPr>
              <w:pStyle w:val="Compact"/>
              <w:jc w:val="left"/>
            </w:pPr>
            <w:r>
              <w:t xml:space="preserve">HR 0,92, no inferior</w:t>
            </w:r>
          </w:p>
        </w:tc>
      </w:tr>
    </w:tbl>
    <w:p>
      <w:pPr>
        <w:pStyle w:val="BodyText"/>
      </w:pPr>
      <w:r>
        <w:rPr>
          <w:bCs/>
          <w:b/>
        </w:rPr>
        <w:t xml:space="preserve">Lo que muestran las comparaciones directas:</w:t>
      </w:r>
    </w:p>
    <w:p>
      <w:pPr>
        <w:numPr>
          <w:ilvl w:val="0"/>
          <w:numId w:val="1329"/>
        </w:numPr>
        <w:pStyle w:val="Compact"/>
      </w:pPr>
      <w:r>
        <w:rPr>
          <w:bCs/>
          <w:b/>
        </w:rPr>
        <w:t xml:space="preserve">En el peso, el orden es claro.</w:t>
      </w:r>
      <w:r>
        <w:t xml:space="preserve"> </w:t>
      </w:r>
      <w:r>
        <w:t xml:space="preserve">La semaglutida 2,4 mg superó a la liraglutida 3,0 mg en 9,4 puntos porcentuales (STEP 8), la tirzepatida superó a la semaglutida 2,4 mg en 6,5 puntos porcentuales (SURMOUNT-5) y CagriSema superó a la semaglutida 2,4 mg en Asia oriental también en 6,5 puntos porcentuales (REDEFINE 5). En SURMOUNT-5, con tirzepatida más participantes alcanzaron cada uno de los umbrales del 10, 15, 20 y 25 %, y el perímetro de cintura se redujo 18,4 cm frente a 13,0 cm.</w:t>
      </w:r>
    </w:p>
    <w:p>
      <w:pPr>
        <w:numPr>
          <w:ilvl w:val="0"/>
          <w:numId w:val="1329"/>
        </w:numPr>
        <w:pStyle w:val="Compact"/>
      </w:pPr>
      <w:r>
        <w:rPr>
          <w:bCs/>
          <w:b/>
        </w:rPr>
        <w:t xml:space="preserve">En la glucemia, las distancias son menores.</w:t>
      </w:r>
      <w:r>
        <w:t xml:space="preserve"> </w:t>
      </w:r>
      <w:r>
        <w:t xml:space="preserve">Entre los agonistas de GLP-1 semanales suele haber solo décimas de punto; la tirzepatida redujo la HbA1c en SURPASS-2 entre 0,15 y 0,45 puntos porcentuales más que la semaglutida 1 mg.</w:t>
      </w:r>
    </w:p>
    <w:p>
      <w:pPr>
        <w:numPr>
          <w:ilvl w:val="0"/>
          <w:numId w:val="1329"/>
        </w:numPr>
        <w:pStyle w:val="Compact"/>
      </w:pPr>
      <w:r>
        <w:rPr>
          <w:bCs/>
          <w:b/>
        </w:rPr>
        <w:t xml:space="preserve">En variables duras solo hay hasta ahora una comparación directa.</w:t>
      </w:r>
      <w:r>
        <w:t xml:space="preserve"> </w:t>
      </w:r>
      <w:r>
        <w:t xml:space="preserve">SURPASS-CVOT mostró que la tirzepatida no es inferior a la dulaglutida; no se demostró superioridad.</w:t>
      </w:r>
    </w:p>
    <w:p>
      <w:pPr>
        <w:numPr>
          <w:ilvl w:val="0"/>
          <w:numId w:val="1329"/>
        </w:numPr>
        <w:pStyle w:val="Compact"/>
      </w:pPr>
      <w:r>
        <w:rPr>
          <w:bCs/>
          <w:b/>
        </w:rPr>
        <w:t xml:space="preserve">Las limitaciones son considerables.</w:t>
      </w:r>
      <w:r>
        <w:t xml:space="preserve"> </w:t>
      </w:r>
      <w:r>
        <w:t xml:space="preserve">SURMOUNT-5 y SURPASS-2 fueron abiertos y financiados por el fabricante de la tirzepatida; SURPASS-2 utilizó la semaglutida solo en la dosis de 1 mg. REDEFINE 5 se realizó exclusivamente en Japón y Taiwán. No obstante, las diferencias en SURMOUNT-5 son tan grandes que difícilmente pueden explicarse solo por estas debilidades.</w:t>
      </w:r>
    </w:p>
    <w:p>
      <w:pPr>
        <w:pStyle w:val="FirstParagraph"/>
      </w:pPr>
      <w:r>
        <w:rPr>
          <w:bCs/>
          <w:b/>
        </w:rPr>
        <w:t xml:space="preserve">Todavía pendiente (estudios registrados):</w:t>
      </w:r>
      <w:r>
        <w:t xml:space="preserve"> </w:t>
      </w:r>
      <w:r>
        <w:t xml:space="preserve">la comparación directa de retatrutida con tirzepatida en 800 adultos con obesidad (NCT06662383) debería concluir a finales de 2026. El estudio comparativo de CagriSema frente a tirzepatida en obesidad (REDEFINE 4, NCT06131437) figura como finalizado en el registro; al cierre de la redacción no se disponía de una publicación revisada por pares. La mazdutida se está evaluando en China frente a semaglutida (NCT06184568, NCT06884293).</w:t>
      </w:r>
    </w:p>
    <w:bookmarkEnd w:id="955"/>
    <w:bookmarkStart w:id="956" w:name="conclusión-58"/>
    <w:p>
      <w:pPr>
        <w:pStyle w:val="Heading3"/>
      </w:pPr>
      <w:r>
        <w:t xml:space="preserve">Conclusión</w:t>
      </w:r>
    </w:p>
    <w:p>
      <w:pPr>
        <w:pStyle w:val="FirstParagraph"/>
      </w:pPr>
      <w:r>
        <w:t xml:space="preserve">Los fármacos incretínicos forman una clara secuencia escalonada: en la pérdida de peso, los valores medios de los estudios de autorización van desde alrededor del 8 % (liraglutida), pasando por casi el 15 % (semaglutida 2,4 mg) y alrededor del 20 % (tirzepatida, CagriSema), hasta el 25 % (retatrutida), y las comparaciones directas confirman este orden para los pares comparados hasta ahora. Para el corazón y el riñón, el beneficio solo está demostrado hasta ahora en estudios controlados con placebo para los agonistas de GLP-1 más antiguos y la semaglutida; si los sucesores más potentes aportan más en este terreno sigue abierto. Los efectos adversos son similares en toda la clase y afectan sobre todo al tubo digestivo; las tasas de abandono aumentan con la dosis y la duración del tratamiento. Las comparaciones cruzadas entre estudios individuales siguen siendo una orientación aproximada: para elegir un medicamento en cada caso, lo determinante son la ficha técnica y el asesoramiento médico.</w:t>
      </w:r>
    </w:p>
    <w:bookmarkEnd w:id="956"/>
    <w:bookmarkEnd w:id="957"/>
    <w:bookmarkStart w:id="973" w:name="promesas-frente-a-pruebas"/>
    <w:p>
      <w:pPr>
        <w:pStyle w:val="Heading2"/>
      </w:pPr>
      <w:r>
        <w:t xml:space="preserve">Promesas frente a pruebas</w:t>
      </w:r>
    </w:p>
    <w:p>
      <w:pPr>
        <w:pStyle w:val="FirstParagraph"/>
      </w:pPr>
      <w:r>
        <w:t xml:space="preserve">Quien busca péptidos en internet se topa enseguida con tiendas, vídeos y foros en los que ciertas sustancias se describen con grandes palabras: supuestamente reparan tendones, frenan el envejecimiento, derriten la grasa o agudizan la memoria. Este capítulo contrasta estas promesas publicitarias típicas con lo que los estudios en humanos han demostrado realmente.</w:t>
      </w:r>
    </w:p>
    <w:p>
      <w:pPr>
        <w:pStyle w:val="BodyText"/>
      </w:pPr>
      <w:r>
        <w:t xml:space="preserve">Se han seleccionado los péptidos más promocionados en 2026 en internet en alemán y en inglés. Las promesas están formuladas de manera general y resumen afirmaciones recurrentes; no proceden de un proveedor concreto. La columna «Lo que muestran los estudios en humanos» se basa en los capítulos de la Parte II, en los que se comentan con detalle las fuentes. Los experimentos con animales y los resultados de laboratorio se identifican expresamente como tales.</w:t>
      </w:r>
    </w:p>
    <w:p>
      <w:pPr>
        <w:pStyle w:val="BodyText"/>
      </w:pPr>
      <w:r>
        <w:t xml:space="preserve">Una observación previa: que un beneficio no esté demostrado no significa automáticamente que una sustancia sea ineficaz. Significa que nadie lo sabe, tampoco los proveedores que la venden. Del mismo modo, que no se hayan publicado efectos adversos no significa, en sustancias apenas estudiadas, que sean seguras, sino solo que nadie los ha buscado de forma sistemática.</w:t>
      </w:r>
    </w:p>
    <w:bookmarkStart w:id="958" w:name="los-péptidos-más-populares-a-examen"/>
    <w:p>
      <w:pPr>
        <w:pStyle w:val="Heading3"/>
      </w:pPr>
      <w:r>
        <w:t xml:space="preserve">Los péptidos más populares, a examen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Promesa publicitaria típica</w:t>
            </w:r>
          </w:p>
        </w:tc>
        <w:tc>
          <w:tcPr/>
          <w:p>
            <w:pPr>
              <w:pStyle w:val="Compact"/>
              <w:jc w:val="left"/>
            </w:pPr>
            <w:r>
              <w:t xml:space="preserve">Lo que muestran los estudios en humanos</w:t>
            </w:r>
          </w:p>
        </w:tc>
        <w:tc>
          <w:tcPr/>
          <w:p>
            <w:pPr>
              <w:pStyle w:val="Compact"/>
              <w:jc w:val="left"/>
            </w:pPr>
            <w:r>
              <w:t xml:space="preserve">Evidencia</w:t>
            </w:r>
          </w:p>
        </w:tc>
      </w:tr>
      <w:tr>
        <w:tc>
          <w:tcPr/>
          <w:p>
            <w:pPr>
              <w:pStyle w:val="Compact"/>
              <w:jc w:val="left"/>
            </w:pPr>
            <w:r>
              <w:t xml:space="preserve">BPC-157</w:t>
            </w:r>
          </w:p>
        </w:tc>
        <w:tc>
          <w:tcPr/>
          <w:p>
            <w:pPr>
              <w:pStyle w:val="Compact"/>
              <w:jc w:val="left"/>
            </w:pPr>
            <w:r>
              <w:t xml:space="preserve">Acelera la curación de tendones, ligamentos, músculos e intestino</w:t>
            </w:r>
          </w:p>
        </w:tc>
        <w:tc>
          <w:tcPr/>
          <w:p>
            <w:pPr>
              <w:pStyle w:val="Compact"/>
              <w:jc w:val="left"/>
            </w:pPr>
            <w:r>
              <w:t xml:space="preserve">Tres investigaciones no controladas con un total de 30 personas (rodilla, vejiga urinaria, tolerabilidad); según una revisión sistemática, valor probatorio muy bajo (Poolton 2026, PMID 42885452). Los numerosos resultados positivos proceden de experimentos con animales, en su mayoría de un único grupo de investigación.</w:t>
            </w:r>
          </w:p>
        </w:tc>
        <w:tc>
          <w:tcPr/>
          <w:p>
            <w:pPr>
              <w:pStyle w:val="Compact"/>
              <w:jc w:val="left"/>
            </w:pPr>
            <w:r>
              <w:t xml:space="preserve">C</w:t>
            </w:r>
          </w:p>
        </w:tc>
      </w:tr>
      <w:tr>
        <w:tc>
          <w:tcPr/>
          <w:p>
            <w:pPr>
              <w:pStyle w:val="Compact"/>
              <w:jc w:val="left"/>
            </w:pPr>
            <w:r>
              <w:t xml:space="preserve">TB-500</w:t>
            </w:r>
          </w:p>
        </w:tc>
        <w:tc>
          <w:tcPr/>
          <w:p>
            <w:pPr>
              <w:pStyle w:val="Compact"/>
              <w:jc w:val="left"/>
            </w:pPr>
            <w:r>
              <w:t xml:space="preserve">Repara tejidos, tendones y músculos, aporta movilidad</w:t>
            </w:r>
          </w:p>
        </w:tc>
        <w:tc>
          <w:tcPr/>
          <w:p>
            <w:pPr>
              <w:pStyle w:val="Compact"/>
              <w:jc w:val="left"/>
            </w:pPr>
            <w:r>
              <w:t xml:space="preserve">TB-500 nunca se ha evaluado en un estudio en humanos publicado. La proteína completa timosina beta 4 no redujo de forma significativa el tamaño global del infarto tras un infarto de miocardio (Zhang 2025, PMID 41229390). Los productos del mercado gris no contenían de forma sistemática lo declarado (Delcourt 2023, PMID 36482504).</w:t>
            </w:r>
          </w:p>
        </w:tc>
        <w:tc>
          <w:tcPr/>
          <w:p>
            <w:pPr>
              <w:pStyle w:val="Compact"/>
              <w:jc w:val="left"/>
            </w:pPr>
            <w:r>
              <w:t xml:space="preserve">D (TB-500)</w:t>
            </w:r>
          </w:p>
        </w:tc>
      </w:tr>
      <w:tr>
        <w:tc>
          <w:tcPr/>
          <w:p>
            <w:pPr>
              <w:pStyle w:val="Compact"/>
              <w:jc w:val="left"/>
            </w:pPr>
            <w:r>
              <w:t xml:space="preserve">CJC-1295</w:t>
            </w:r>
          </w:p>
        </w:tc>
        <w:tc>
          <w:tcPr/>
          <w:p>
            <w:pPr>
              <w:pStyle w:val="Compact"/>
              <w:jc w:val="left"/>
            </w:pPr>
            <w:r>
              <w:t xml:space="preserve">Aumenta la hormona del crecimiento para ganar músculo, perder grasa y dormir mejor</w:t>
            </w:r>
          </w:p>
        </w:tc>
        <w:tc>
          <w:tcPr/>
          <w:p>
            <w:pPr>
              <w:pStyle w:val="Compact"/>
              <w:jc w:val="left"/>
            </w:pPr>
            <w:r>
              <w:t xml:space="preserve">En personas sanas, la hormona del crecimiento y el IGF-1 aumentaron durante unos seis a once días tras una inyección única (Teichman 2006, PMID 16352683). Nunca se ha investigado si de ello se deriva un beneficio. Para la variante más vendida, sin «DAC», no hay ningún estudio en humanos.</w:t>
            </w:r>
          </w:p>
        </w:tc>
        <w:tc>
          <w:tcPr/>
          <w:p>
            <w:pPr>
              <w:pStyle w:val="Compact"/>
              <w:jc w:val="left"/>
            </w:pPr>
            <w:r>
              <w:t xml:space="preserve">C</w:t>
            </w:r>
          </w:p>
        </w:tc>
      </w:tr>
      <w:tr>
        <w:tc>
          <w:tcPr/>
          <w:p>
            <w:pPr>
              <w:pStyle w:val="Compact"/>
              <w:jc w:val="left"/>
            </w:pPr>
            <w:r>
              <w:t xml:space="preserve">Ipamorelina</w:t>
            </w:r>
          </w:p>
        </w:tc>
        <w:tc>
          <w:tcPr/>
          <w:p>
            <w:pPr>
              <w:pStyle w:val="Compact"/>
              <w:jc w:val="left"/>
            </w:pPr>
            <w:r>
              <w:t xml:space="preserve">Potenciador suave de la hormona del crecimiento sin efectos adversos</w:t>
            </w:r>
          </w:p>
        </w:tc>
        <w:tc>
          <w:tcPr/>
          <w:p>
            <w:pPr>
              <w:pStyle w:val="Compact"/>
              <w:jc w:val="left"/>
            </w:pPr>
            <w:r>
              <w:t xml:space="preserve">Único estudio de eficacia publicado: 117 personas tras cirugía intestinal, sin beneficio significativo (Beck 2014, PMID 25331030). Sobre músculo, grasa, sueño o envejecimiento, ningún estudio en humanos.</w:t>
            </w:r>
          </w:p>
        </w:tc>
        <w:tc>
          <w:tcPr/>
          <w:p>
            <w:pPr>
              <w:pStyle w:val="Compact"/>
              <w:jc w:val="left"/>
            </w:pPr>
            <w:r>
              <w:t xml:space="preserve">B</w:t>
            </w:r>
          </w:p>
        </w:tc>
      </w:tr>
      <w:tr>
        <w:tc>
          <w:tcPr/>
          <w:p>
            <w:pPr>
              <w:pStyle w:val="Compact"/>
              <w:jc w:val="left"/>
            </w:pPr>
            <w:r>
              <w:t xml:space="preserve">Epitalon</w:t>
            </w:r>
          </w:p>
        </w:tc>
        <w:tc>
          <w:tcPr/>
          <w:p>
            <w:pPr>
              <w:pStyle w:val="Compact"/>
              <w:jc w:val="left"/>
            </w:pPr>
            <w:r>
              <w:t xml:space="preserve">Alarga los telómeros y hace retroceder el reloj biológico</w:t>
            </w:r>
          </w:p>
        </w:tc>
        <w:tc>
          <w:tcPr/>
          <w:p>
            <w:pPr>
              <w:pStyle w:val="Compact"/>
              <w:jc w:val="left"/>
            </w:pPr>
            <w:r>
              <w:t xml:space="preserve">Alargamiento de los telómeros solo en cultivos celulares (Khavinson 2003, PMID 12937682). En ratones, sin aumento de la esperanza de vida media (Anisimov 2003, PMID 14501183). Ningún estudio aleatorizado en humanos de tamaño suficiente.</w:t>
            </w:r>
          </w:p>
        </w:tc>
        <w:tc>
          <w:tcPr/>
          <w:p>
            <w:pPr>
              <w:pStyle w:val="Compact"/>
              <w:jc w:val="left"/>
            </w:pPr>
            <w:r>
              <w:t xml:space="preserve">C</w:t>
            </w:r>
          </w:p>
        </w:tc>
      </w:tr>
      <w:tr>
        <w:tc>
          <w:tcPr/>
          <w:p>
            <w:pPr>
              <w:pStyle w:val="Compact"/>
              <w:jc w:val="left"/>
            </w:pPr>
            <w:r>
              <w:t xml:space="preserve">MOTS-c</w:t>
            </w:r>
          </w:p>
        </w:tc>
        <w:tc>
          <w:tcPr/>
          <w:p>
            <w:pPr>
              <w:pStyle w:val="Compact"/>
              <w:jc w:val="left"/>
            </w:pPr>
            <w:r>
              <w:t xml:space="preserve">«Ejercicio en jeringa»: más resistencia, menos grasa, mejor acción de la insulina</w:t>
            </w:r>
          </w:p>
        </w:tc>
        <w:tc>
          <w:tcPr/>
          <w:p>
            <w:pPr>
              <w:pStyle w:val="Compact"/>
              <w:jc w:val="left"/>
            </w:pPr>
            <w:r>
              <w:t xml:space="preserve">Estos efectos se observaron en ratones (Lee 2015, PMID 25738459). En humanos solo hay mediciones de los niveles endógenos, ningún estudio publicado con administración de MOTS-c.</w:t>
            </w:r>
          </w:p>
        </w:tc>
        <w:tc>
          <w:tcPr/>
          <w:p>
            <w:pPr>
              <w:pStyle w:val="Compact"/>
              <w:jc w:val="left"/>
            </w:pPr>
            <w:r>
              <w:t xml:space="preserve">D</w:t>
            </w:r>
          </w:p>
        </w:tc>
      </w:tr>
      <w:tr>
        <w:tc>
          <w:tcPr/>
          <w:p>
            <w:pPr>
              <w:pStyle w:val="Compact"/>
              <w:jc w:val="left"/>
            </w:pPr>
            <w:r>
              <w:t xml:space="preserve">Semax</w:t>
            </w:r>
          </w:p>
        </w:tc>
        <w:tc>
          <w:tcPr/>
          <w:p>
            <w:pPr>
              <w:pStyle w:val="Compact"/>
              <w:jc w:val="left"/>
            </w:pPr>
            <w:r>
              <w:t xml:space="preserve">Aumenta la concentración, la memoria y el rendimiento</w:t>
            </w:r>
          </w:p>
        </w:tc>
        <w:tc>
          <w:tcPr/>
          <w:p>
            <w:pPr>
              <w:pStyle w:val="Compact"/>
              <w:jc w:val="left"/>
            </w:pPr>
            <w:r>
              <w:t xml:space="preserve">Estudios rusos pequeños, en su mayoría no aleatorizados, en el ictus, por ejemplo un estudio con 110 personas (Gusev 2018, PMID 29798983). Para personas sanas, ningún dato concluyente.</w:t>
            </w:r>
          </w:p>
        </w:tc>
        <w:tc>
          <w:tcPr/>
          <w:p>
            <w:pPr>
              <w:pStyle w:val="Compact"/>
              <w:jc w:val="left"/>
            </w:pPr>
            <w:r>
              <w:t xml:space="preserve">C</w:t>
            </w:r>
          </w:p>
        </w:tc>
      </w:tr>
      <w:tr>
        <w:tc>
          <w:tcPr/>
          <w:p>
            <w:pPr>
              <w:pStyle w:val="Compact"/>
              <w:jc w:val="left"/>
            </w:pPr>
            <w:r>
              <w:t xml:space="preserve">Selank</w:t>
            </w:r>
          </w:p>
        </w:tc>
        <w:tc>
          <w:tcPr/>
          <w:p>
            <w:pPr>
              <w:pStyle w:val="Compact"/>
              <w:jc w:val="left"/>
            </w:pPr>
            <w:r>
              <w:t xml:space="preserve">Alivia la ansiedad sin cansancio ni dependencia</w:t>
            </w:r>
          </w:p>
        </w:tc>
        <w:tc>
          <w:tcPr/>
          <w:p>
            <w:pPr>
              <w:pStyle w:val="Compact"/>
              <w:jc w:val="left"/>
            </w:pPr>
            <w:r>
              <w:t xml:space="preserve">Tres pequeños estudios rusos sin grupo placebo, entre ellos 62 personas en comparación con una benzodiazepina (Zozulia 2008, PMID 18454096). No existen estudios sobre la concentración en personas sanas.</w:t>
            </w:r>
          </w:p>
        </w:tc>
        <w:tc>
          <w:tcPr/>
          <w:p>
            <w:pPr>
              <w:pStyle w:val="Compact"/>
              <w:jc w:val="left"/>
            </w:pPr>
            <w:r>
              <w:t xml:space="preserve">C</w:t>
            </w:r>
          </w:p>
        </w:tc>
      </w:tr>
      <w:tr>
        <w:tc>
          <w:tcPr/>
          <w:p>
            <w:pPr>
              <w:pStyle w:val="Compact"/>
              <w:jc w:val="left"/>
            </w:pPr>
            <w:r>
              <w:t xml:space="preserve">Melanotán II</w:t>
            </w:r>
          </w:p>
        </w:tc>
        <w:tc>
          <w:tcPr/>
          <w:p>
            <w:pPr>
              <w:pStyle w:val="Compact"/>
              <w:jc w:val="left"/>
            </w:pPr>
            <w:r>
              <w:t xml:space="preserve">Bronceado sin quemaduras, más deseo sexual</w:t>
            </w:r>
          </w:p>
        </w:tc>
        <w:tc>
          <w:tcPr/>
          <w:p>
            <w:pPr>
              <w:pStyle w:val="Compact"/>
              <w:jc w:val="left"/>
            </w:pPr>
            <w:r>
              <w:t xml:space="preserve">Pequeños estudios piloto de los años noventa con unas dos docenas de personas, con náuseas frecuentes (Wessells 2000, PMID 11035391). Casos clínicos de nuevos lunares, melanomas y priapismo. Viales de tiendas en línea contenían de 4,32 a 8,84 mg en lugar de 10 mg (Breindahl 2015, PMID 24771717).</w:t>
            </w:r>
          </w:p>
        </w:tc>
        <w:tc>
          <w:tcPr/>
          <w:p>
            <w:pPr>
              <w:pStyle w:val="Compact"/>
              <w:jc w:val="left"/>
            </w:pPr>
            <w:r>
              <w:t xml:space="preserve">C</w:t>
            </w:r>
          </w:p>
        </w:tc>
      </w:tr>
      <w:tr>
        <w:tc>
          <w:tcPr/>
          <w:p>
            <w:pPr>
              <w:pStyle w:val="Compact"/>
              <w:jc w:val="left"/>
            </w:pPr>
            <w:r>
              <w:t xml:space="preserve">GHK-Cu</w:t>
            </w:r>
          </w:p>
        </w:tc>
        <w:tc>
          <w:tcPr/>
          <w:p>
            <w:pPr>
              <w:pStyle w:val="Compact"/>
              <w:jc w:val="left"/>
            </w:pPr>
            <w:r>
              <w:t xml:space="preserve">Reafirma la piel, forma colágeno, favorece el crecimiento del cabello</w:t>
            </w:r>
          </w:p>
        </w:tc>
        <w:tc>
          <w:tcPr/>
          <w:p>
            <w:pPr>
              <w:pStyle w:val="Compact"/>
              <w:jc w:val="left"/>
            </w:pPr>
            <w:r>
              <w:t xml:space="preserve">Un estudio aleatorizado antiguo en úlceras de pie diabético con resultado positivo (Mulder 1994, PMID 17147644). Un pequeño estudio cutáneo tras tratamiento láser no encontró diferencias medibles (Miller 2006, PMID 16847171). Sobre inyecciones, ningún dato.</w:t>
            </w:r>
          </w:p>
        </w:tc>
        <w:tc>
          <w:tcPr/>
          <w:p>
            <w:pPr>
              <w:pStyle w:val="Compact"/>
              <w:jc w:val="left"/>
            </w:pPr>
            <w:r>
              <w:t xml:space="preserve">C</w:t>
            </w:r>
          </w:p>
        </w:tc>
      </w:tr>
      <w:tr>
        <w:tc>
          <w:tcPr/>
          <w:p>
            <w:pPr>
              <w:pStyle w:val="Compact"/>
              <w:jc w:val="left"/>
            </w:pPr>
            <w:r>
              <w:t xml:space="preserve">AOD-9604</w:t>
            </w:r>
          </w:p>
        </w:tc>
        <w:tc>
          <w:tcPr/>
          <w:p>
            <w:pPr>
              <w:pStyle w:val="Compact"/>
              <w:jc w:val="left"/>
            </w:pPr>
            <w:r>
              <w:t xml:space="preserve">Fragmento quemagrasas de la hormona del crecimiento</w:t>
            </w:r>
          </w:p>
        </w:tc>
        <w:tc>
          <w:tcPr/>
          <w:p>
            <w:pPr>
              <w:pStyle w:val="Compact"/>
              <w:jc w:val="left"/>
            </w:pPr>
            <w:r>
              <w:t xml:space="preserve">En ratones, menor aumento de peso (Heffernan 2001, PMID 11673763). Se realizaron estudios en humanos, pero nunca se publicaron en revistas con revisión por pares; el desarrollo se abandonó.</w:t>
            </w:r>
          </w:p>
        </w:tc>
        <w:tc>
          <w:tcPr/>
          <w:p>
            <w:pPr>
              <w:pStyle w:val="Compact"/>
              <w:jc w:val="left"/>
            </w:pPr>
            <w:r>
              <w:t xml:space="preserve">D</w:t>
            </w:r>
          </w:p>
        </w:tc>
      </w:tr>
      <w:tr>
        <w:tc>
          <w:tcPr/>
          <w:p>
            <w:pPr>
              <w:pStyle w:val="Compact"/>
              <w:jc w:val="left"/>
            </w:pPr>
            <w:r>
              <w:t xml:space="preserve">Péptidos de colágeno</w:t>
            </w:r>
          </w:p>
        </w:tc>
        <w:tc>
          <w:tcPr/>
          <w:p>
            <w:pPr>
              <w:pStyle w:val="Compact"/>
              <w:jc w:val="left"/>
            </w:pPr>
            <w:r>
              <w:t xml:space="preserve">Piel más firme, articulaciones sanas, más músculo</w:t>
            </w:r>
          </w:p>
        </w:tc>
        <w:tc>
          <w:tcPr/>
          <w:p>
            <w:pPr>
              <w:pStyle w:val="Compact"/>
              <w:jc w:val="left"/>
            </w:pPr>
            <w:r>
              <w:t xml:space="preserve">Artrosis: en 35 estudios aleatorizados, efectos pequeños a moderados (PMID 38218227). Piel: sin financiación de la industria, ningún efecto (Myung 2025, PMID 40324552). Músculo: la proteína de suero funcionó mejor que el colágeno (Oikawa 2020, PMID 31919527).</w:t>
            </w:r>
          </w:p>
        </w:tc>
        <w:tc>
          <w:tcPr/>
          <w:p>
            <w:pPr>
              <w:pStyle w:val="Compact"/>
              <w:jc w:val="left"/>
            </w:pPr>
            <w:r>
              <w:t xml:space="preserve">B</w:t>
            </w:r>
          </w:p>
        </w:tc>
      </w:tr>
      <w:tr>
        <w:tc>
          <w:tcPr/>
          <w:p>
            <w:pPr>
              <w:pStyle w:val="Compact"/>
              <w:jc w:val="left"/>
            </w:pPr>
            <w:r>
              <w:t xml:space="preserve">Glutatión</w:t>
            </w:r>
          </w:p>
        </w:tc>
        <w:tc>
          <w:tcPr/>
          <w:p>
            <w:pPr>
              <w:pStyle w:val="Compact"/>
              <w:jc w:val="left"/>
            </w:pPr>
            <w:r>
              <w:t xml:space="preserve">Desintoxica, aclara la piel, refuerza el sistema inmunitario</w:t>
            </w:r>
          </w:p>
        </w:tc>
        <w:tc>
          <w:tcPr/>
          <w:p>
            <w:pPr>
              <w:pStyle w:val="Compact"/>
              <w:jc w:val="left"/>
            </w:pPr>
            <w:r>
              <w:t xml:space="preserve">En cápsulas aumentó los niveles en sangre a los seis meses (Richie 2015, PMID 24791752). En infusión no protegió de lesiones nerviosas a 185 pacientes con cáncer (Leal 2014, PMID 24619793). Infusiones para aclarar la piel: ningún beneficio demostrado; según una revisión, no justificables (Sarkar 2025, PMID 39444151).</w:t>
            </w:r>
          </w:p>
        </w:tc>
        <w:tc>
          <w:tcPr/>
          <w:p>
            <w:pPr>
              <w:pStyle w:val="Compact"/>
              <w:jc w:val="left"/>
            </w:pPr>
            <w:r>
              <w:t xml:space="preserve">B</w:t>
            </w:r>
          </w:p>
        </w:tc>
      </w:tr>
      <w:tr>
        <w:tc>
          <w:tcPr/>
          <w:p>
            <w:pPr>
              <w:pStyle w:val="Compact"/>
              <w:jc w:val="left"/>
            </w:pPr>
            <w:r>
              <w:t xml:space="preserve">Dihexa</w:t>
            </w:r>
          </w:p>
        </w:tc>
        <w:tc>
          <w:tcPr/>
          <w:p>
            <w:pPr>
              <w:pStyle w:val="Compact"/>
              <w:jc w:val="left"/>
            </w:pPr>
            <w:r>
              <w:t xml:space="preserve">Forma nuevas sinapsis, más potente que los factores de crecimiento endógenos</w:t>
            </w:r>
          </w:p>
        </w:tc>
        <w:tc>
          <w:tcPr/>
          <w:p>
            <w:pPr>
              <w:pStyle w:val="Compact"/>
              <w:jc w:val="left"/>
            </w:pPr>
            <w:r>
              <w:t xml:space="preserve">Nunca se ha estudiado en humanos; efectos solo en ratas y ratones, y un trabajo clave al respecto se retractó en 2025 (PMID 25187433). El principio activo emparentado fosgonimetón no alcanzó ninguno de sus objetivos principales ni secundarios en 287 personas con alzhéimer (Porsteinsson 2025, PMID 41393340).</w:t>
            </w:r>
          </w:p>
        </w:tc>
        <w:tc>
          <w:tcPr/>
          <w:p>
            <w:pPr>
              <w:pStyle w:val="Compact"/>
              <w:jc w:val="left"/>
            </w:pPr>
            <w:r>
              <w:t xml:space="preserve">D</w:t>
            </w:r>
          </w:p>
        </w:tc>
      </w:tr>
      <w:tr>
        <w:tc>
          <w:tcPr/>
          <w:p>
            <w:pPr>
              <w:pStyle w:val="Compact"/>
              <w:jc w:val="left"/>
            </w:pPr>
            <w:r>
              <w:t xml:space="preserve">IGF-1 LR3</w:t>
            </w:r>
          </w:p>
        </w:tc>
        <w:tc>
          <w:tcPr/>
          <w:p>
            <w:pPr>
              <w:pStyle w:val="Compact"/>
              <w:jc w:val="left"/>
            </w:pPr>
            <w:r>
              <w:t xml:space="preserve">IGF-1 más potente y de acción más prolongada para el crecimiento muscular</w:t>
            </w:r>
          </w:p>
        </w:tc>
        <w:tc>
          <w:tcPr/>
          <w:p>
            <w:pPr>
              <w:pStyle w:val="Compact"/>
              <w:jc w:val="left"/>
            </w:pPr>
            <w:r>
              <w:t xml:space="preserve">Ni un solo estudio en humanos. Un vial del mercado negro contenía una variante de laboratorio que nunca se concibió para inyección (PMID 20675162).</w:t>
            </w:r>
          </w:p>
        </w:tc>
        <w:tc>
          <w:tcPr/>
          <w:p>
            <w:pPr>
              <w:pStyle w:val="Compact"/>
              <w:jc w:val="left"/>
            </w:pPr>
            <w:r>
              <w:t xml:space="preserve">D</w:t>
            </w:r>
          </w:p>
        </w:tc>
      </w:tr>
      <w:tr>
        <w:tc>
          <w:tcPr/>
          <w:p>
            <w:pPr>
              <w:pStyle w:val="Compact"/>
              <w:jc w:val="left"/>
            </w:pPr>
            <w:r>
              <w:t xml:space="preserve">Retatrutida del mercado gris</w:t>
            </w:r>
          </w:p>
        </w:tc>
        <w:tc>
          <w:tcPr/>
          <w:p>
            <w:pPr>
              <w:pStyle w:val="Compact"/>
              <w:jc w:val="left"/>
            </w:pPr>
            <w:r>
              <w:t xml:space="preserve">El adelgazante más potente, ya disponible hoy</w:t>
            </w:r>
          </w:p>
        </w:tc>
        <w:tc>
          <w:tcPr/>
          <w:p>
            <w:pPr>
              <w:pStyle w:val="Compact"/>
              <w:jc w:val="left"/>
            </w:pPr>
            <w:r>
              <w:t xml:space="preserve">El medicamento está bien estudiado: en TRIUMPH-1, −25,0 % de peso a las 80 semanas con la dosis más alta (Jastreboff 2026, PMID 42814954). Esto no vale para la mercancía del mercado gris: no autorizada, con contenido y pureza sin verificar (Rubin 2026, PMID 42853576).</w:t>
            </w:r>
          </w:p>
        </w:tc>
        <w:tc>
          <w:tcPr/>
          <w:p>
            <w:pPr>
              <w:pStyle w:val="Compact"/>
              <w:jc w:val="left"/>
            </w:pPr>
            <w:r>
              <w:t xml:space="preserve">B (medicamento)</w:t>
            </w:r>
          </w:p>
        </w:tc>
      </w:tr>
    </w:tbl>
    <w:p>
      <w:pPr>
        <w:pStyle w:val="BodyText"/>
      </w:pPr>
      <w:r>
        <w:t xml:space="preserve">Nota sobre la tabla: el nivel de evidencia se refiere al uso promocionado o a la sustancia tal como se vende. Para TB-500 corresponde el nivel D; para la proteína completa timosina beta 4, el nivel B. En la retatrutida, el nivel B se refiere al medicamento evaluado en estudios; para los productos del mercado gris, cuyo contenido nadie conoce, no se puede indicar ningún nivel de evidencia.</w:t>
      </w:r>
    </w:p>
    <w:p>
      <w:pPr>
        <w:pStyle w:val="BodyText"/>
      </w:pPr>
      <w:r>
        <w:t xml:space="preserve">El panorama general: de las 16 sustancias, ninguna tiene el nivel de evidencia A. Cinco tienen el nivel D, es decir, no se han estudiado en absoluto en humanos. En las sustancias de nivel B (ipamorelina, colágeno, glutatión), los mejores estudios no han confirmado las promesas publicitarias o solo han encontrado efectos pequeños. La única excepción es la retatrutida, cuyo potente efecto está demostrado, pero no para el producto que se vende en el mercado gris.</w:t>
      </w:r>
    </w:p>
    <w:bookmarkEnd w:id="958"/>
    <w:bookmarkStart w:id="965" w:name="seis-patrones-detrás-de-las-promesas"/>
    <w:p>
      <w:pPr>
        <w:pStyle w:val="Heading3"/>
      </w:pPr>
      <w:r>
        <w:t xml:space="preserve">Seis patrones detrás de las promesas</w:t>
      </w:r>
    </w:p>
    <w:p>
      <w:pPr>
        <w:pStyle w:val="FirstParagraph"/>
      </w:pPr>
      <w:r>
        <w:t xml:space="preserve">Quien lee la tabla fila por fila reconoce patrones recurrentes. Ayudan a valorar también afirmaciones sobre péptidos que no aparecen en este libro.</w:t>
      </w:r>
    </w:p>
    <w:bookmarkStart w:id="959" w:name="del-animal-al-ser-humano"/>
    <w:p>
      <w:pPr>
        <w:pStyle w:val="Heading4"/>
      </w:pPr>
      <w:r>
        <w:t xml:space="preserve">1. Del animal al ser humano</w:t>
      </w:r>
    </w:p>
    <w:p>
      <w:pPr>
        <w:pStyle w:val="FirstParagraph"/>
      </w:pPr>
      <w:r>
        <w:t xml:space="preserve">Casi todas las promesas sobre BPC-157, TB-500, MOTS-c, Dihexa, AOD-9604 y epitalon se basan en experimentos con ratas, ratones o cultivos celulares. Estos estudios son importantes para comprender los mecanismos de acción. No predicen si una sustancia actúa igual en el ser humano: una gran parte de los principios activos que tienen éxito en la experimentación animal fracasan en los estudios en humanos. Un ejemplo actual de este libro es el péptido de la memoria Dihexa. En ratas favoreció el aprendizaje y la formación de sinapsis; el principio activo emparentado fosgonimetón, que debía actuar a través del mismo sistema de factores de crecimiento, no alcanzó ninguno de sus objetivos principales ni secundarios en un estudio con 287 personas con alzhéimer (Porsteinsson 2025, PMID 41393340).</w:t>
      </w:r>
    </w:p>
    <w:p>
      <w:pPr>
        <w:pStyle w:val="BodyText"/>
      </w:pPr>
      <w:r>
        <w:t xml:space="preserve">En el caso de BPC-157 se añade un segundo problema: los estudios positivos en animales proceden en su mayoría de un único grupo de investigación y apenas se han repetido de forma independiente.</w:t>
      </w:r>
    </w:p>
    <w:bookmarkEnd w:id="959"/>
    <w:bookmarkStart w:id="960" w:name="Xff55f50600b8639ef7d151553bb4b3891abbdf2"/>
    <w:p>
      <w:pPr>
        <w:pStyle w:val="Heading4"/>
      </w:pPr>
      <w:r>
        <w:t xml:space="preserve">2. Un valor medido no es todavía un beneficio</w:t>
      </w:r>
    </w:p>
    <w:p>
      <w:pPr>
        <w:pStyle w:val="FirstParagraph"/>
      </w:pPr>
      <w:r>
        <w:t xml:space="preserve">CJC-1295 aumenta la hormona del crecimiento, el epitalon activa la telomerasa en cultivos celulares, las cápsulas de glutatión aumentan el nivel de glutatión en sangre. Se trata de valores sustitutivos («variables subrogadas», véase la Parte I). Si de ello se deriva algo que importe a las personas (más fuerza muscular, una vida más larga, menos enfermedades) es otra cuestión, que requiere sus propios estudios. En el caso de la hormona del crecimiento, el ejemplo del ibutamoreno muestra lo grande que puede ser la brecha: en 65 personas mayores sanas, la masa libre de grasa aumentó 1,1 kg en un año, pero la fuerza y la función física no mejoraron (Nass 2008, PMID 18981485).</w:t>
      </w:r>
    </w:p>
    <w:bookmarkEnd w:id="960"/>
    <w:bookmarkStart w:id="961" w:name="confusión-de-sustancias"/>
    <w:p>
      <w:pPr>
        <w:pStyle w:val="Heading4"/>
      </w:pPr>
      <w:r>
        <w:t xml:space="preserve">3. Confusión de sustancias</w:t>
      </w:r>
    </w:p>
    <w:p>
      <w:pPr>
        <w:pStyle w:val="FirstParagraph"/>
      </w:pPr>
      <w:r>
        <w:t xml:space="preserve">Varias promesas se basan en estudios con una sustancia distinta de la que se vende:</w:t>
      </w:r>
    </w:p>
    <w:p>
      <w:pPr>
        <w:numPr>
          <w:ilvl w:val="0"/>
          <w:numId w:val="1330"/>
        </w:numPr>
        <w:pStyle w:val="Compact"/>
      </w:pPr>
      <w:r>
        <w:rPr>
          <w:bCs/>
          <w:b/>
        </w:rPr>
        <w:t xml:space="preserve">TB-500</w:t>
      </w:r>
      <w:r>
        <w:t xml:space="preserve"> </w:t>
      </w:r>
      <w:r>
        <w:t xml:space="preserve">es un fragmento modificado. Los estudios en humanos se refieren a la proteína completa timosina beta 4, y además apenas a tendones, ligamentos o músculos.</w:t>
      </w:r>
    </w:p>
    <w:p>
      <w:pPr>
        <w:numPr>
          <w:ilvl w:val="0"/>
          <w:numId w:val="1330"/>
        </w:numPr>
        <w:pStyle w:val="Compact"/>
      </w:pPr>
      <w:r>
        <w:rPr>
          <w:bCs/>
          <w:b/>
        </w:rPr>
        <w:t xml:space="preserve">El epitalon</w:t>
      </w:r>
      <w:r>
        <w:t xml:space="preserve"> </w:t>
      </w:r>
      <w:r>
        <w:t xml:space="preserve">es un tetrapéptido sintético. El estudio sobre una vida más larga, citado a menudo, se refería al extracto bovino epitalamina, no era aleatorizado y nunca se repitió de forma independiente.</w:t>
      </w:r>
    </w:p>
    <w:p>
      <w:pPr>
        <w:numPr>
          <w:ilvl w:val="0"/>
          <w:numId w:val="1330"/>
        </w:numPr>
        <w:pStyle w:val="Compact"/>
      </w:pPr>
      <w:r>
        <w:rPr>
          <w:bCs/>
          <w:b/>
        </w:rPr>
        <w:t xml:space="preserve">CJC-1295</w:t>
      </w:r>
      <w:r>
        <w:t xml:space="preserve"> </w:t>
      </w:r>
      <w:r>
        <w:t xml:space="preserve">se vende mayoritariamente sin el grupo «DAC», que fue el utilizado en los estudios en humanos.</w:t>
      </w:r>
    </w:p>
    <w:p>
      <w:pPr>
        <w:numPr>
          <w:ilvl w:val="0"/>
          <w:numId w:val="1330"/>
        </w:numPr>
        <w:pStyle w:val="Compact"/>
      </w:pPr>
      <w:r>
        <w:rPr>
          <w:bCs/>
          <w:b/>
        </w:rPr>
        <w:t xml:space="preserve">La retatrutida</w:t>
      </w:r>
      <w:r>
        <w:t xml:space="preserve"> </w:t>
      </w:r>
      <w:r>
        <w:t xml:space="preserve">del mercado gris no es el medicamento de los estudios. Los análisis de laboratorio de otros péptidos del mercado gris muestran que los viales a menudo contienen menos principio activo, más o uno distinto del declarado; en el caso de la ipamorelina y CJC-1295, los laboratorios encontraron moléculas modificadas no declaradas (Gajda 2019, PMID 30136411).</w:t>
      </w:r>
    </w:p>
    <w:bookmarkEnd w:id="961"/>
    <w:bookmarkStart w:id="962" w:name="los-estudios-negativos-no-se-mencionan"/>
    <w:p>
      <w:pPr>
        <w:pStyle w:val="Heading4"/>
      </w:pPr>
      <w:r>
        <w:t xml:space="preserve">4. Los estudios negativos no se mencionan</w:t>
      </w:r>
    </w:p>
    <w:p>
      <w:pPr>
        <w:pStyle w:val="FirstParagraph"/>
      </w:pPr>
      <w:r>
        <w:t xml:space="preserve">Para varios péptidos sí existen estudios aleatorizados, solo que no encontraron ningún beneficio. La ipamorelina no acortó de forma significativa el tiempo hasta la primera comida tras una cirugía intestinal (Beck 2014, PMID 25331030). Las infusiones de glutatión no protegieron de las lesiones nerviosas por quimioterapia (Leal 2014, PMID 24619793). En el colágeno, el beneficio cutáneo desapareció en cuanto solo se consideraron estudios con financiación independiente (Myung 2025, PMID 40324552). Estos resultados prácticamente nunca aparecen en los textos publicitarios. Una presentación seria menciona estudios positivos</w:t>
      </w:r>
      <w:r>
        <w:t xml:space="preserve"> </w:t>
      </w:r>
      <w:r>
        <w:rPr>
          <w:iCs/>
          <w:i/>
        </w:rPr>
        <w:t xml:space="preserve">y</w:t>
      </w:r>
      <w:r>
        <w:t xml:space="preserve"> </w:t>
      </w:r>
      <w:r>
        <w:t xml:space="preserve">negativos.</w:t>
      </w:r>
    </w:p>
    <w:bookmarkEnd w:id="962"/>
    <w:bookmarkStart w:id="963" w:name="estudios-pequeños-de-un-entorno-reducido"/>
    <w:p>
      <w:pPr>
        <w:pStyle w:val="Heading4"/>
      </w:pPr>
      <w:r>
        <w:t xml:space="preserve">5. Estudios pequeños de un entorno reducido</w:t>
      </w:r>
    </w:p>
    <w:p>
      <w:pPr>
        <w:pStyle w:val="FirstParagraph"/>
      </w:pPr>
      <w:r>
        <w:t xml:space="preserve">Semax, Selank, epitalon y pinealon se estudiaron casi exclusivamente en Rusia, en su mayoría por sus propios desarrolladores, en grupos pequeños y a menudo sin comparación con placebo. Eso no hace que los resultados sean automáticamente falsos. Pero significa que nunca se evaluaron en las condiciones que hoy se exigen para una autorización: registro previo, enmascaramiento, tamaño suficiente y confirmación por grupos independientes.</w:t>
      </w:r>
    </w:p>
    <w:bookmarkEnd w:id="963"/>
    <w:bookmarkStart w:id="964" w:name="X3607291ffbd046fa7fce6e9d5587fc0946271cd"/>
    <w:p>
      <w:pPr>
        <w:pStyle w:val="Heading4"/>
      </w:pPr>
      <w:r>
        <w:t xml:space="preserve">6. «Sin efectos adversos» suele significar «no estudiado»</w:t>
      </w:r>
    </w:p>
    <w:p>
      <w:pPr>
        <w:pStyle w:val="FirstParagraph"/>
      </w:pPr>
      <w:r>
        <w:t xml:space="preserve">La afirmación de que un péptido es «bien tolerado» o «sin efectos adversos» se basa, en el caso de BPC-157, en un total de 30 personas. Con tan pocos participantes solo pueden detectarse problemas frecuentes y de aparición inmediata; un efecto adverso que afecte a una de cada mil personas pasaría inadvertido. En las sustancias que refuerzan las señales de crecimiento (liberadores de hormona del crecimiento, IGF-1 LR3, péptidos que favorecen la formación de nuevos vasos) existe además una preocupación teórica, pero no evaluada, por el crecimiento tumoral. En el caso del melanotán II, varios casos clínicos describen lunares nuevos y alterados y melanomas; una relación causal no está demostrada, pero tampoco descartada. A ello se suman los riesgos de los propios productos: en viales de melanotán II del mercado gris se encontró menos principio activo del declarado e impurezas desconocidas (Breindahl 2015, PMID 24771717). Más información en la Parte IV.</w:t>
      </w:r>
    </w:p>
    <w:bookmarkEnd w:id="964"/>
    <w:bookmarkEnd w:id="965"/>
    <w:bookmarkStart w:id="971" w:name="Xb3f89458265fec279f24bd86f2c01d5b10f1e2f"/>
    <w:p>
      <w:pPr>
        <w:pStyle w:val="Heading3"/>
      </w:pPr>
      <w:r>
        <w:t xml:space="preserve">Cómo distinguir las afirmaciones serias de las que no lo son</w:t>
      </w:r>
    </w:p>
    <w:p>
      <w:pPr>
        <w:pStyle w:val="FirstParagraph"/>
      </w:pPr>
      <w:r>
        <w:t xml:space="preserve">La siguiente lista de comprobación ayuda a valorar afirmaciones sobre péptidos en tiendas, vídeos, foros o revistas. No sustituye el asesoramiento profesional, pero agudiza la mirada sobre cuánto hay detrás de una afirmación.</w:t>
      </w:r>
    </w:p>
    <w:bookmarkStart w:id="966" w:name="preguntas-sobre-la-fuente"/>
    <w:p>
      <w:pPr>
        <w:pStyle w:val="Heading4"/>
      </w:pPr>
      <w:r>
        <w:t xml:space="preserve">Preguntas sobre la fuente</w:t>
      </w:r>
    </w:p>
    <w:p>
      <w:pPr>
        <w:numPr>
          <w:ilvl w:val="0"/>
          <w:numId w:val="1331"/>
        </w:numPr>
        <w:pStyle w:val="Compact"/>
      </w:pPr>
      <w:r>
        <w:rPr>
          <w:bCs/>
          <w:b/>
        </w:rPr>
        <w:t xml:space="preserve">¿Quién habla?</w:t>
      </w:r>
      <w:r>
        <w:t xml:space="preserve"> </w:t>
      </w:r>
      <w:r>
        <w:t xml:space="preserve">¿La persona o la página vende la propia sustancia, ofrece cursos, asesoramiento o códigos de descuento? Un interés económico no hace falsa una afirmación, pero es un motivo para mirar con más atención.</w:t>
      </w:r>
    </w:p>
    <w:p>
      <w:pPr>
        <w:numPr>
          <w:ilvl w:val="0"/>
          <w:numId w:val="1331"/>
        </w:numPr>
        <w:pStyle w:val="Compact"/>
      </w:pPr>
      <w:r>
        <w:rPr>
          <w:bCs/>
          <w:b/>
        </w:rPr>
        <w:t xml:space="preserve">¿Se citan estudios y se pueden encontrar?</w:t>
      </w:r>
      <w:r>
        <w:t xml:space="preserve"> </w:t>
      </w:r>
      <w:r>
        <w:t xml:space="preserve">Las afirmaciones serias indican una fuente verificable: un PMID, un DOI o un número de registro (NCT). Puede introducir cualquier PMID gratuitamente en PubMed y leer usted mismo el resumen. Expresiones como «los estudios demuestran» sin una referencia concreta son una señal de alarma.</w:t>
      </w:r>
    </w:p>
    <w:p>
      <w:pPr>
        <w:numPr>
          <w:ilvl w:val="0"/>
          <w:numId w:val="1331"/>
        </w:numPr>
        <w:pStyle w:val="Compact"/>
      </w:pPr>
      <w:r>
        <w:rPr>
          <w:bCs/>
          <w:b/>
        </w:rPr>
        <w:t xml:space="preserve">¿Encaja el estudio citado con la afirmación?</w:t>
      </w:r>
      <w:r>
        <w:t xml:space="preserve"> </w:t>
      </w:r>
      <w:r>
        <w:t xml:space="preserve">Compruebe si el estudio investigó realmente la sustancia que se vende, el uso promocionado y a seres humanos, o si se trataba de una molécula emparentada, otra enfermedad o ratas.</w:t>
      </w:r>
    </w:p>
    <w:bookmarkEnd w:id="966"/>
    <w:bookmarkStart w:id="967" w:name="preguntas-sobre-el-estudio"/>
    <w:p>
      <w:pPr>
        <w:pStyle w:val="Heading4"/>
      </w:pPr>
      <w:r>
        <w:t xml:space="preserve">Preguntas sobre el estudio</w:t>
      </w:r>
    </w:p>
    <w:p>
      <w:pPr>
        <w:numPr>
          <w:ilvl w:val="0"/>
          <w:numId w:val="1332"/>
        </w:numPr>
        <w:pStyle w:val="Compact"/>
      </w:pPr>
      <w:r>
        <w:rPr>
          <w:bCs/>
          <w:b/>
        </w:rPr>
        <w:t xml:space="preserve">¿Humanos, animales o cultivo celular?</w:t>
      </w:r>
      <w:r>
        <w:t xml:space="preserve"> </w:t>
      </w:r>
      <w:r>
        <w:t xml:space="preserve">Si en el resumen pone «rats», «mice», «in vitro» o «cell culture», no dice nada sobre el efecto en el ser humano.</w:t>
      </w:r>
    </w:p>
    <w:p>
      <w:pPr>
        <w:numPr>
          <w:ilvl w:val="0"/>
          <w:numId w:val="1332"/>
        </w:numPr>
        <w:pStyle w:val="Compact"/>
      </w:pPr>
      <w:r>
        <w:rPr>
          <w:bCs/>
          <w:b/>
        </w:rPr>
        <w:t xml:space="preserve">¿Hubo un grupo de comparación?</w:t>
      </w:r>
      <w:r>
        <w:t xml:space="preserve"> </w:t>
      </w:r>
      <w:r>
        <w:t xml:space="preserve">Sin un grupo placebo o de control no puede distinguirse si una mejoría se debe a la sustancia, al paso del tiempo, a otros tratamientos o a las expectativas. Precisamente en el dolor, el estado de ánimo o el sueño, el efecto placebo es grande.</w:t>
      </w:r>
    </w:p>
    <w:p>
      <w:pPr>
        <w:numPr>
          <w:ilvl w:val="0"/>
          <w:numId w:val="1332"/>
        </w:numPr>
        <w:pStyle w:val="Compact"/>
      </w:pPr>
      <w:r>
        <w:rPr>
          <w:bCs/>
          <w:b/>
        </w:rPr>
        <w:t xml:space="preserve">¿Cuántos participantes?</w:t>
      </w:r>
      <w:r>
        <w:t xml:space="preserve"> </w:t>
      </w:r>
      <w:r>
        <w:t xml:space="preserve">Los estudios con 10 o 20 personas pueden aportar indicios, pero no demostrar un beneficio ni detectar efectos adversos raros.</w:t>
      </w:r>
    </w:p>
    <w:p>
      <w:pPr>
        <w:numPr>
          <w:ilvl w:val="0"/>
          <w:numId w:val="1332"/>
        </w:numPr>
        <w:pStyle w:val="Compact"/>
      </w:pPr>
      <w:r>
        <w:rPr>
          <w:bCs/>
          <w:b/>
        </w:rPr>
        <w:t xml:space="preserve">¿Qué se midió?</w:t>
      </w:r>
      <w:r>
        <w:t xml:space="preserve"> </w:t>
      </w:r>
      <w:r>
        <w:t xml:space="preserve">Un valor de laboratorio que sube no es un beneficio perceptible. Pregúntese: ¿se midió lo que importa a los afectados (dolor, función, acontecimientos de enfermedad, calidad de vida)?</w:t>
      </w:r>
    </w:p>
    <w:p>
      <w:pPr>
        <w:numPr>
          <w:ilvl w:val="0"/>
          <w:numId w:val="1332"/>
        </w:numPr>
        <w:pStyle w:val="Compact"/>
      </w:pPr>
      <w:r>
        <w:rPr>
          <w:bCs/>
          <w:b/>
        </w:rPr>
        <w:t xml:space="preserve">¿Se registró el estudio previamente?</w:t>
      </w:r>
      <w:r>
        <w:t xml:space="preserve"> </w:t>
      </w:r>
      <w:r>
        <w:t xml:space="preserve">Un registro en ClinicalTrials.gov o en el registro de la UE antes de iniciar el estudio impide que los objetivos se elijan a posteriori a conveniencia.</w:t>
      </w:r>
    </w:p>
    <w:p>
      <w:pPr>
        <w:numPr>
          <w:ilvl w:val="0"/>
          <w:numId w:val="1332"/>
        </w:numPr>
        <w:pStyle w:val="Compact"/>
      </w:pPr>
      <w:r>
        <w:rPr>
          <w:bCs/>
          <w:b/>
        </w:rPr>
        <w:t xml:space="preserve">¿Se repitió el resultado?</w:t>
      </w:r>
      <w:r>
        <w:t xml:space="preserve"> </w:t>
      </w:r>
      <w:r>
        <w:t xml:space="preserve">Un único resultado positivo de un único grupo de investigación es un comienzo, no una prueba.</w:t>
      </w:r>
    </w:p>
    <w:bookmarkEnd w:id="967"/>
    <w:bookmarkStart w:id="968" w:name="señales-de-alarma-en-el-lenguaje"/>
    <w:p>
      <w:pPr>
        <w:pStyle w:val="Heading4"/>
      </w:pPr>
      <w:r>
        <w:t xml:space="preserve">Señales de alarma en el lenguaje</w:t>
      </w:r>
    </w:p>
    <w:p>
      <w:pPr>
        <w:numPr>
          <w:ilvl w:val="0"/>
          <w:numId w:val="1333"/>
        </w:numPr>
        <w:pStyle w:val="Compact"/>
      </w:pPr>
      <w:r>
        <w:t xml:space="preserve">Promesas que abarcan a la vez muchas dolencias muy distintas («para articulaciones, intestino, piel, cerebro y sistema inmunitario»).</w:t>
      </w:r>
    </w:p>
    <w:p>
      <w:pPr>
        <w:numPr>
          <w:ilvl w:val="0"/>
          <w:numId w:val="1333"/>
        </w:numPr>
        <w:pStyle w:val="Compact"/>
      </w:pPr>
      <w:r>
        <w:t xml:space="preserve">Términos como «remedio milagroso», «consejo secreto», «lo que los médicos no le cuentan» o «silenciado por la industria farmacéutica».</w:t>
      </w:r>
    </w:p>
    <w:p>
      <w:pPr>
        <w:numPr>
          <w:ilvl w:val="0"/>
          <w:numId w:val="1333"/>
        </w:numPr>
        <w:pStyle w:val="Compact"/>
      </w:pPr>
      <w:r>
        <w:t xml:space="preserve">La afirmación «sin efectos adversos» para una sustancia apenas estudiada en humanos.</w:t>
      </w:r>
    </w:p>
    <w:p>
      <w:pPr>
        <w:numPr>
          <w:ilvl w:val="0"/>
          <w:numId w:val="1333"/>
        </w:numPr>
        <w:pStyle w:val="Compact"/>
      </w:pPr>
      <w:r>
        <w:t xml:space="preserve">Testimonios e imágenes de antes y después en lugar de datos de estudios.</w:t>
      </w:r>
    </w:p>
    <w:p>
      <w:pPr>
        <w:numPr>
          <w:ilvl w:val="0"/>
          <w:numId w:val="1333"/>
        </w:numPr>
        <w:pStyle w:val="Compact"/>
      </w:pPr>
      <w:r>
        <w:t xml:space="preserve">La indicación «solo para fines de investigación» o «no apto para consumo humano» en un producto que al mismo tiempo se promociona con efectos en humanos. Esta contradicción demuestra que el proveedor quiere eludir la normativa sobre medicamentos (véase la Parte I).</w:t>
      </w:r>
    </w:p>
    <w:p>
      <w:pPr>
        <w:numPr>
          <w:ilvl w:val="0"/>
          <w:numId w:val="1333"/>
        </w:numPr>
        <w:pStyle w:val="Compact"/>
      </w:pPr>
      <w:r>
        <w:t xml:space="preserve">Propuestas de dosis, curas o paquetes combinados de varios péptidos para sustancias sin autorización. Para tales esquemas no hay base en estudios.</w:t>
      </w:r>
    </w:p>
    <w:bookmarkEnd w:id="968"/>
    <w:bookmarkStart w:id="969" w:name="signos-de-una-presentación-seria"/>
    <w:p>
      <w:pPr>
        <w:pStyle w:val="Heading4"/>
      </w:pPr>
      <w:r>
        <w:t xml:space="preserve">Signos de una presentación seria</w:t>
      </w:r>
    </w:p>
    <w:p>
      <w:pPr>
        <w:numPr>
          <w:ilvl w:val="0"/>
          <w:numId w:val="1334"/>
        </w:numPr>
        <w:pStyle w:val="Compact"/>
      </w:pPr>
      <w:r>
        <w:t xml:space="preserve">Los resultados con animales y de laboratorio se identifican expresamente como tales.</w:t>
      </w:r>
    </w:p>
    <w:p>
      <w:pPr>
        <w:numPr>
          <w:ilvl w:val="0"/>
          <w:numId w:val="1334"/>
        </w:numPr>
        <w:pStyle w:val="Compact"/>
      </w:pPr>
      <w:r>
        <w:t xml:space="preserve">Se mencionan los estudios negativos y contradictorios, no solo los positivos.</w:t>
      </w:r>
    </w:p>
    <w:p>
      <w:pPr>
        <w:numPr>
          <w:ilvl w:val="0"/>
          <w:numId w:val="1334"/>
        </w:numPr>
        <w:pStyle w:val="Compact"/>
      </w:pPr>
      <w:r>
        <w:t xml:space="preserve">La incertidumbre se reconoce abiertamente («Los datos no bastan para valorar…»).</w:t>
      </w:r>
    </w:p>
    <w:p>
      <w:pPr>
        <w:numPr>
          <w:ilvl w:val="0"/>
          <w:numId w:val="1334"/>
        </w:numPr>
        <w:pStyle w:val="Compact"/>
      </w:pPr>
      <w:r>
        <w:t xml:space="preserve">Se mencionan la situación jurídica y el estatus antidopaje.</w:t>
      </w:r>
    </w:p>
    <w:p>
      <w:pPr>
        <w:numPr>
          <w:ilvl w:val="0"/>
          <w:numId w:val="1334"/>
        </w:numPr>
        <w:pStyle w:val="Compact"/>
      </w:pPr>
      <w:r>
        <w:t xml:space="preserve">Hay una indicación clara de que los medicamentos corresponden a los profesionales médicos y de que los productos del mercado gris no están controlados.</w:t>
      </w:r>
    </w:p>
    <w:bookmarkEnd w:id="969"/>
    <w:bookmarkStart w:id="970" w:name="tres-preguntas-para-el-día-a-día"/>
    <w:p>
      <w:pPr>
        <w:pStyle w:val="Heading4"/>
      </w:pPr>
      <w:r>
        <w:t xml:space="preserve">Tres preguntas para el día a día</w:t>
      </w:r>
    </w:p>
    <w:p>
      <w:pPr>
        <w:pStyle w:val="FirstParagraph"/>
      </w:pPr>
      <w:r>
        <w:t xml:space="preserve">Si tiene poco tiempo, a menudo bastan tres preguntas:</w:t>
      </w:r>
    </w:p>
    <w:p>
      <w:pPr>
        <w:numPr>
          <w:ilvl w:val="0"/>
          <w:numId w:val="1335"/>
        </w:numPr>
        <w:pStyle w:val="Compact"/>
      </w:pPr>
      <w:r>
        <w:t xml:space="preserve">¿Está la sustancia autorizada como medicamento en la UE o en EE. UU. exactamente para este uso?</w:t>
      </w:r>
    </w:p>
    <w:p>
      <w:pPr>
        <w:numPr>
          <w:ilvl w:val="0"/>
          <w:numId w:val="1335"/>
        </w:numPr>
        <w:pStyle w:val="Compact"/>
      </w:pPr>
      <w:r>
        <w:t xml:space="preserve">¿Existe al menos un estudio aleatorizado y controlado con placebo en humanos que haya demostrado el beneficio afirmado?</w:t>
      </w:r>
    </w:p>
    <w:p>
      <w:pPr>
        <w:numPr>
          <w:ilvl w:val="0"/>
          <w:numId w:val="1335"/>
        </w:numPr>
        <w:pStyle w:val="Compact"/>
      </w:pPr>
      <w:r>
        <w:t xml:space="preserve">¿Procede el producto de la farmacia, o de una fuente cuyo contenido nadie controla?</w:t>
      </w:r>
    </w:p>
    <w:p>
      <w:pPr>
        <w:pStyle w:val="FirstParagraph"/>
      </w:pPr>
      <w:r>
        <w:t xml:space="preserve">Si la respuesta a las tres preguntas es «no», la promesa se basa en la esperanza, no en pruebas.</w:t>
      </w:r>
    </w:p>
    <w:bookmarkEnd w:id="970"/>
    <w:bookmarkEnd w:id="971"/>
    <w:bookmarkStart w:id="972" w:name="conclusión-59"/>
    <w:p>
      <w:pPr>
        <w:pStyle w:val="Heading3"/>
      </w:pPr>
      <w:r>
        <w:t xml:space="preserve">Conclusión</w:t>
      </w:r>
    </w:p>
    <w:p>
      <w:pPr>
        <w:pStyle w:val="FirstParagraph"/>
      </w:pPr>
      <w:r>
        <w:t xml:space="preserve">Los péptidos más populares en internet son, casi sin excepción, los peor estudiados. Sus promesas se basan mayoritariamente en experimentos con animales, en valores sustitutivos o en estudios con otra sustancia; donde existen estudios aleatorizados en humanos, en su mayoría no han confirmado el beneficio promocionado. Eso no significa que ninguna de estas sustancias pueda tener nunca un beneficio, pero en ninguna los datos bastan para demostrarlo. Quien oiga una afirmación sobre un péptido debería preguntar por la fuente, revisar el estudio y tener presente la diferencia entre un medicamento evaluado y un vial del mercado gris.</w:t>
      </w:r>
    </w:p>
    <w:bookmarkEnd w:id="972"/>
    <w:bookmarkEnd w:id="973"/>
    <w:bookmarkEnd w:id="974"/>
    <w:bookmarkStart w:id="1026" w:name="parte-iv-riesgos"/>
    <w:p>
      <w:pPr>
        <w:pStyle w:val="Heading1"/>
      </w:pPr>
      <w:r>
        <w:t xml:space="preserve">Parte IV – Riesgos</w:t>
      </w:r>
    </w:p>
    <w:p>
      <w:pPr>
        <w:pStyle w:val="FirstParagraph"/>
      </w:pPr>
      <w:r>
        <w:t xml:space="preserve">En la Parte II, cada péptido tiene su propio apartado «Riesgos y efectos adversos». Esta parte no repite esos apartados. Los pone uno al lado del otro y se pregunta, de forma transversal a todos los principios activos: ¿qué órganos se ven afectados? ¿Qué señales de alarma aparecen en varios péptidos? ¿Hasta qué punto es sólido lo que se sabe? Quien busque detalles sobre una sustancia concreta encontrará en cada punto una referencia al capítulo correspondiente.</w:t>
      </w:r>
    </w:p>
    <w:p>
      <w:pPr>
        <w:pStyle w:val="BodyText"/>
      </w:pPr>
      <w:r>
        <w:t xml:space="preserve">Antes de empezar, merece la pena echar un breve vistazo a cómo se valoran los riesgos. Tres distinciones recorren todos los capítulos siguientes.</w:t>
      </w:r>
    </w:p>
    <w:p>
      <w:pPr>
        <w:pStyle w:val="BodyText"/>
      </w:pPr>
      <w:r>
        <w:rPr>
          <w:bCs/>
          <w:b/>
        </w:rPr>
        <w:t xml:space="preserve">Demostrado, observado o teórico.</w:t>
      </w:r>
      <w:r>
        <w:t xml:space="preserve"> </w:t>
      </w:r>
      <w:r>
        <w:t xml:space="preserve">Un riesgo está mejor demostrado cuando en estudios aleatorizados (ECA) apareció con más frecuencia con el principio activo que con placebo. Los estudios observacionales con datos de aseguradoras o de registros abarcan, en cambio, a muchísimas personas y acontecimientos raros, pero no pueden separar con seguridad la causa de la circunstancia concomitante. Las bases de datos de notificación de efectos adversos solo muestran señales: lo que es conocido y muy debatido se notifica con más frecuencia. Por último, los riesgos teóricos se derivan del mecanismo de acción, de experimentos con animales o de cultivos celulares. No son una prueba de daño, pero en sustancias que nunca se han estudiado sistemáticamente en humanos son a menudo la única información disponible.</w:t>
      </w:r>
    </w:p>
    <w:p>
      <w:pPr>
        <w:pStyle w:val="BodyText"/>
      </w:pPr>
      <w:r>
        <w:rPr>
          <w:bCs/>
          <w:b/>
        </w:rPr>
        <w:t xml:space="preserve">La falta de datos no es seguridad.</w:t>
      </w:r>
      <w:r>
        <w:t xml:space="preserve"> </w:t>
      </w:r>
      <w:r>
        <w:t xml:space="preserve">Si en tres pequeñas investigaciones con un total de 30 personas no se observaron efectos adversos relacionados con el tratamiento (como en el caso de BPC-157, Poolton 2026, PMID 42885452), eso solo significa que no aparecieron problemas muy frecuentes y de aparición inmediata. Un efecto adverso que afecte a una de cada mil personas no puede detectarlo un estudio tan pequeño. En muchos péptidos de los grupos B, C y D, esta es la situación de partida.</w:t>
      </w:r>
    </w:p>
    <w:p>
      <w:pPr>
        <w:pStyle w:val="BodyText"/>
      </w:pPr>
      <w:r>
        <w:rPr>
          <w:bCs/>
          <w:b/>
        </w:rPr>
        <w:t xml:space="preserve">Riesgo relativo y absoluto.</w:t>
      </w:r>
      <w:r>
        <w:t xml:space="preserve"> </w:t>
      </w:r>
      <w:r>
        <w:t xml:space="preserve">Los titulares suelen dar cifras relativas: «tres veces más frecuente». Pero lo decisivo para la propia valoración es cuántas personas se ven realmente afectadas. Un ejemplo de esta parte: en un estudio de registros danés-noruego, un determinado trastorno circulatorio del nervio óptico fue casi tres veces más frecuente con semaglutida que con un medicamento de comparación (hazard ratio 2,81). En cifras absolutas, eso supuso alrededor de 1,4 casos adicionales por cada 10.000 años-persona (Simonsen 2025, PMID 40098249). Ambas cosas son ciertas, y ambas forman parte de la información.</w:t>
      </w:r>
    </w:p>
    <w:p>
      <w:pPr>
        <w:pStyle w:val="BodyText"/>
      </w:pPr>
      <w:r>
        <w:t xml:space="preserve">Por último, cuenta la relación entre beneficio y riesgo. Un medicamento contra la diabetes tipo 2 que en grandes estudios reduce los infartos y los ictus puede tener efectos adversos raros que no serían aceptables en un producto bronceador o en un «péptido de longevidad» sin beneficio demostrado. Quien utiliza un medicamento autorizado con acompañamiento médico y una indicación clara está en una situación completamente distinta de la de alguien que se inyecta un polvo no controlado comprado en internet. Cómo se leen los estudios lo explica la Parte I en el capítulo «Cómo leer correctamente los estudios».</w:t>
      </w:r>
    </w:p>
    <w:p>
      <w:pPr>
        <w:pStyle w:val="BodyText"/>
      </w:pPr>
      <w:r>
        <w:t xml:space="preserve">La Parte IV está estructurada así: este capítulo ordena los efectos adversos por sistemas orgánicos. A continuación siguen capítulos sobre el riesgo de cáncer y las señales de crecimiento, sobre las reacciones inmunitarias, sobre los análisis de laboratorio de productos del mercado gris y sobre las interacciones y los grupos de personas especialmente vulnerables.</w:t>
      </w:r>
    </w:p>
    <w:bookmarkStart w:id="985" w:name="efectos-adversos-por-sistemas-orgánicos"/>
    <w:p>
      <w:pPr>
        <w:pStyle w:val="Heading2"/>
      </w:pPr>
      <w:r>
        <w:t xml:space="preserve">Efectos adversos por sistemas orgánicos</w:t>
      </w:r>
    </w:p>
    <w:p>
      <w:pPr>
        <w:pStyle w:val="FirstParagraph"/>
      </w:pPr>
      <w:r>
        <w:t xml:space="preserve">El siguiente resumen recoge qué sistemas orgánicos se ven afectados con más frecuencia por qué péptidos. La columna «Frecuencia/pruebas» indica un orden de magnitud típico de uno de los estudios comentados en este capítulo o en el capítulo del péptido indicado. Las cifras proceden de estudios y poblaciones distintos y, por eso, solo son comparables a grandes rasgos.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Sistema orgánico</w:t>
            </w:r>
          </w:p>
        </w:tc>
        <w:tc>
          <w:tcPr/>
          <w:p>
            <w:pPr>
              <w:pStyle w:val="Compact"/>
              <w:jc w:val="left"/>
            </w:pPr>
            <w:r>
              <w:t xml:space="preserve">Péptidos afectados</w:t>
            </w:r>
          </w:p>
        </w:tc>
        <w:tc>
          <w:tcPr/>
          <w:p>
            <w:pPr>
              <w:pStyle w:val="Compact"/>
              <w:jc w:val="left"/>
            </w:pPr>
            <w:r>
              <w:t xml:space="preserve">Frecuencia/pruebas</w:t>
            </w:r>
          </w:p>
        </w:tc>
        <w:tc>
          <w:tcPr/>
          <w:p>
            <w:pPr>
              <w:pStyle w:val="Compact"/>
              <w:jc w:val="left"/>
            </w:pPr>
            <w:r>
              <w:t xml:space="preserve">Capítulo</w:t>
            </w:r>
          </w:p>
        </w:tc>
      </w:tr>
      <w:tr>
        <w:tc>
          <w:tcPr/>
          <w:p>
            <w:pPr>
              <w:pStyle w:val="Compact"/>
              <w:jc w:val="left"/>
            </w:pPr>
            <w:r>
              <w:t xml:space="preserve">Aparato digestivo</w:t>
            </w:r>
          </w:p>
        </w:tc>
        <w:tc>
          <w:tcPr/>
          <w:p>
            <w:pPr>
              <w:pStyle w:val="Compact"/>
              <w:jc w:val="left"/>
            </w:pPr>
            <w:r>
              <w:t xml:space="preserve">todos los medicamentos GLP-1, pramlintida, bremelanotida, setmelanotida</w:t>
            </w:r>
          </w:p>
        </w:tc>
        <w:tc>
          <w:tcPr/>
          <w:p>
            <w:pPr>
              <w:pStyle w:val="Compact"/>
              <w:jc w:val="left"/>
            </w:pPr>
            <w:r>
              <w:t xml:space="preserve">muy frecuente; CagriSema 79,6 % frente a 39,9 % con placebo (Garvey 2025, PMID 40544433)</w:t>
            </w:r>
          </w:p>
        </w:tc>
        <w:tc>
          <w:tcPr/>
          <w:p>
            <w:pPr>
              <w:pStyle w:val="Compact"/>
              <w:jc w:val="left"/>
            </w:pPr>
            <w:r>
              <w:t xml:space="preserve">Semaglutida, Survodutida, Cagrilintida</w:t>
            </w:r>
          </w:p>
        </w:tc>
      </w:tr>
      <w:tr>
        <w:tc>
          <w:tcPr/>
          <w:p>
            <w:pPr>
              <w:pStyle w:val="Compact"/>
              <w:jc w:val="left"/>
            </w:pPr>
            <w:r>
              <w:t xml:space="preserve">Vesícula biliar</w:t>
            </w:r>
          </w:p>
        </w:tc>
        <w:tc>
          <w:tcPr/>
          <w:p>
            <w:pPr>
              <w:pStyle w:val="Compact"/>
              <w:jc w:val="left"/>
            </w:pPr>
            <w:r>
              <w:t xml:space="preserve">clase GLP-1, sobre todo en la pérdida de peso</w:t>
            </w:r>
          </w:p>
        </w:tc>
        <w:tc>
          <w:tcPr/>
          <w:p>
            <w:pPr>
              <w:pStyle w:val="Compact"/>
              <w:jc w:val="left"/>
            </w:pPr>
            <w:r>
              <w:t xml:space="preserve">riesgo relativo 1,37 (todos los estudios), 2,29 (estudios de pérdida de peso)</w:t>
            </w:r>
          </w:p>
        </w:tc>
        <w:tc>
          <w:tcPr/>
          <w:p>
            <w:pPr>
              <w:pStyle w:val="Compact"/>
              <w:jc w:val="left"/>
            </w:pPr>
            <w:r>
              <w:t xml:space="preserve">Liraglutida, Tirzepatida</w:t>
            </w:r>
          </w:p>
        </w:tc>
      </w:tr>
      <w:tr>
        <w:tc>
          <w:tcPr/>
          <w:p>
            <w:pPr>
              <w:pStyle w:val="Compact"/>
              <w:jc w:val="left"/>
            </w:pPr>
            <w:r>
              <w:t xml:space="preserve">Páncreas</w:t>
            </w:r>
          </w:p>
        </w:tc>
        <w:tc>
          <w:tcPr/>
          <w:p>
            <w:pPr>
              <w:pStyle w:val="Compact"/>
              <w:jc w:val="left"/>
            </w:pPr>
            <w:r>
              <w:t xml:space="preserve">clase GLP-1</w:t>
            </w:r>
          </w:p>
        </w:tc>
        <w:tc>
          <w:tcPr/>
          <w:p>
            <w:pPr>
              <w:pStyle w:val="Compact"/>
              <w:jc w:val="left"/>
            </w:pPr>
            <w:r>
              <w:t xml:space="preserve">señal en metaanálisis, rara en términos absolutos</w:t>
            </w:r>
          </w:p>
        </w:tc>
        <w:tc>
          <w:tcPr/>
          <w:p>
            <w:pPr>
              <w:pStyle w:val="Compact"/>
              <w:jc w:val="left"/>
            </w:pPr>
            <w:r>
              <w:t xml:space="preserve">Exenatida, Semaglutida</w:t>
            </w:r>
          </w:p>
        </w:tc>
      </w:tr>
      <w:tr>
        <w:tc>
          <w:tcPr/>
          <w:p>
            <w:pPr>
              <w:pStyle w:val="Compact"/>
              <w:jc w:val="left"/>
            </w:pPr>
            <w:r>
              <w:t xml:space="preserve">Tiroides</w:t>
            </w:r>
          </w:p>
        </w:tc>
        <w:tc>
          <w:tcPr/>
          <w:p>
            <w:pPr>
              <w:pStyle w:val="Compact"/>
              <w:jc w:val="left"/>
            </w:pPr>
            <w:r>
              <w:t xml:space="preserve">clase GLP-1</w:t>
            </w:r>
          </w:p>
        </w:tc>
        <w:tc>
          <w:tcPr/>
          <w:p>
            <w:pPr>
              <w:pStyle w:val="Compact"/>
              <w:jc w:val="left"/>
            </w:pPr>
            <w:r>
              <w:t xml:space="preserve">hallazgo en animales confirmado, en humanos no concluyente</w:t>
            </w:r>
          </w:p>
        </w:tc>
        <w:tc>
          <w:tcPr/>
          <w:p>
            <w:pPr>
              <w:pStyle w:val="Compact"/>
              <w:jc w:val="left"/>
            </w:pPr>
            <w:r>
              <w:t xml:space="preserve">Liraglutida, capítulo Riesgo de cáncer</w:t>
            </w:r>
          </w:p>
        </w:tc>
      </w:tr>
      <w:tr>
        <w:tc>
          <w:tcPr/>
          <w:p>
            <w:pPr>
              <w:pStyle w:val="Compact"/>
              <w:jc w:val="left"/>
            </w:pPr>
            <w:r>
              <w:t xml:space="preserve">Ojos</w:t>
            </w:r>
          </w:p>
        </w:tc>
        <w:tc>
          <w:tcPr/>
          <w:p>
            <w:pPr>
              <w:pStyle w:val="Compact"/>
              <w:jc w:val="left"/>
            </w:pPr>
            <w:r>
              <w:t xml:space="preserve">semaglutida (NAION, retinopatía)</w:t>
            </w:r>
          </w:p>
        </w:tc>
        <w:tc>
          <w:tcPr/>
          <w:p>
            <w:pPr>
              <w:pStyle w:val="Compact"/>
              <w:jc w:val="left"/>
            </w:pPr>
            <w:r>
              <w:t xml:space="preserve">muy raro; alrededor de 1,4 casos adicionales por cada 10.000 años-persona</w:t>
            </w:r>
          </w:p>
        </w:tc>
        <w:tc>
          <w:tcPr/>
          <w:p>
            <w:pPr>
              <w:pStyle w:val="Compact"/>
              <w:jc w:val="left"/>
            </w:pPr>
            <w:r>
              <w:t xml:space="preserve">Semaglutida</w:t>
            </w:r>
          </w:p>
        </w:tc>
      </w:tr>
      <w:tr>
        <w:tc>
          <w:tcPr/>
          <w:p>
            <w:pPr>
              <w:pStyle w:val="Compact"/>
              <w:jc w:val="left"/>
            </w:pPr>
            <w:r>
              <w:t xml:space="preserve">Sistema cardiovascular, retención de líquidos</w:t>
            </w:r>
          </w:p>
        </w:tc>
        <w:tc>
          <w:tcPr/>
          <w:p>
            <w:pPr>
              <w:pStyle w:val="Compact"/>
              <w:jc w:val="left"/>
            </w:pPr>
            <w:r>
              <w:t xml:space="preserve">liberadores de GH, ibutamoreno, bremelanotida, macimorelina, oxitocina</w:t>
            </w:r>
          </w:p>
        </w:tc>
        <w:tc>
          <w:tcPr/>
          <w:p>
            <w:pPr>
              <w:pStyle w:val="Compact"/>
              <w:jc w:val="left"/>
            </w:pPr>
            <w:r>
              <w:t xml:space="preserve">señal de insuficiencia cardiaca, picos de tensión arterial, prolongación del QT</w:t>
            </w:r>
          </w:p>
        </w:tc>
        <w:tc>
          <w:tcPr/>
          <w:p>
            <w:pPr>
              <w:pStyle w:val="Compact"/>
              <w:jc w:val="left"/>
            </w:pPr>
            <w:r>
              <w:t xml:space="preserve">Ibutamoreno, Bremelanotida, Macimorelina</w:t>
            </w:r>
          </w:p>
        </w:tc>
      </w:tr>
      <w:tr>
        <w:tc>
          <w:tcPr/>
          <w:p>
            <w:pPr>
              <w:pStyle w:val="Compact"/>
              <w:jc w:val="left"/>
            </w:pPr>
            <w:r>
              <w:t xml:space="preserve">Psique</w:t>
            </w:r>
          </w:p>
        </w:tc>
        <w:tc>
          <w:tcPr/>
          <w:p>
            <w:pPr>
              <w:pStyle w:val="Compact"/>
              <w:jc w:val="left"/>
            </w:pPr>
            <w:r>
              <w:t xml:space="preserve">clase GLP-1 (evaluada), setmelanotida, Semax</w:t>
            </w:r>
          </w:p>
        </w:tc>
        <w:tc>
          <w:tcPr/>
          <w:p>
            <w:pPr>
              <w:pStyle w:val="Compact"/>
              <w:jc w:val="left"/>
            </w:pPr>
            <w:r>
              <w:t xml:space="preserve">sin aumento del riesgo en 86 ECA</w:t>
            </w:r>
          </w:p>
        </w:tc>
        <w:tc>
          <w:tcPr/>
          <w:p>
            <w:pPr>
              <w:pStyle w:val="Compact"/>
              <w:jc w:val="left"/>
            </w:pPr>
            <w:r>
              <w:t xml:space="preserve">Semaglutida, Tirzepatida, Setmelanotida</w:t>
            </w:r>
          </w:p>
        </w:tc>
      </w:tr>
      <w:tr>
        <w:tc>
          <w:tcPr/>
          <w:p>
            <w:pPr>
              <w:pStyle w:val="Compact"/>
              <w:jc w:val="left"/>
            </w:pPr>
            <w:r>
              <w:t xml:space="preserve">Piel, pigmento</w:t>
            </w:r>
          </w:p>
        </w:tc>
        <w:tc>
          <w:tcPr/>
          <w:p>
            <w:pPr>
              <w:pStyle w:val="Compact"/>
              <w:jc w:val="left"/>
            </w:pPr>
            <w:r>
              <w:t xml:space="preserve">melanotán II, setmelanotida, afamelanotida, bremelanotida, LL-37</w:t>
            </w:r>
          </w:p>
        </w:tc>
        <w:tc>
          <w:tcPr/>
          <w:p>
            <w:pPr>
              <w:pStyle w:val="Compact"/>
              <w:jc w:val="left"/>
            </w:pPr>
            <w:r>
              <w:t xml:space="preserve">pigmentación con setmelanotida 62 %; casos clínicos de melanoma con melanotán II</w:t>
            </w:r>
          </w:p>
        </w:tc>
        <w:tc>
          <w:tcPr/>
          <w:p>
            <w:pPr>
              <w:pStyle w:val="Compact"/>
              <w:jc w:val="left"/>
            </w:pPr>
            <w:r>
              <w:t xml:space="preserve">Melanotán II, Setmelanotida</w:t>
            </w:r>
          </w:p>
        </w:tc>
      </w:tr>
      <w:tr>
        <w:tc>
          <w:tcPr/>
          <w:p>
            <w:pPr>
              <w:pStyle w:val="Compact"/>
              <w:jc w:val="left"/>
            </w:pPr>
            <w:r>
              <w:t xml:space="preserve">Sistema hormonal</w:t>
            </w:r>
          </w:p>
        </w:tc>
        <w:tc>
          <w:tcPr/>
          <w:p>
            <w:pPr>
              <w:pStyle w:val="Compact"/>
              <w:jc w:val="left"/>
            </w:pPr>
            <w:r>
              <w:t xml:space="preserve">GHRP-2, GHRP-6, hexarelina, kisspeptina, gonadorelina</w:t>
            </w:r>
          </w:p>
        </w:tc>
        <w:tc>
          <w:tcPr/>
          <w:p>
            <w:pPr>
              <w:pStyle w:val="Compact"/>
              <w:jc w:val="left"/>
            </w:pPr>
            <w:r>
              <w:t xml:space="preserve">aumento de cortisol y prolactina; supresión del eje con la administración continua</w:t>
            </w:r>
          </w:p>
        </w:tc>
        <w:tc>
          <w:tcPr/>
          <w:p>
            <w:pPr>
              <w:pStyle w:val="Compact"/>
              <w:jc w:val="left"/>
            </w:pPr>
            <w:r>
              <w:t xml:space="preserve">Grupo C, Kisspeptina</w:t>
            </w:r>
          </w:p>
        </w:tc>
      </w:tr>
      <w:tr>
        <w:tc>
          <w:tcPr/>
          <w:p>
            <w:pPr>
              <w:pStyle w:val="Compact"/>
              <w:jc w:val="left"/>
            </w:pPr>
            <w:r>
              <w:t xml:space="preserve">Glucemia</w:t>
            </w:r>
          </w:p>
        </w:tc>
        <w:tc>
          <w:tcPr/>
          <w:p>
            <w:pPr>
              <w:pStyle w:val="Compact"/>
              <w:jc w:val="left"/>
            </w:pPr>
            <w:r>
              <w:t xml:space="preserve">mecasermina, pramlintida, GLP-1 con insulina/sulfonilurea; eje de la GH</w:t>
            </w:r>
          </w:p>
        </w:tc>
        <w:tc>
          <w:tcPr/>
          <w:p>
            <w:pPr>
              <w:pStyle w:val="Compact"/>
              <w:jc w:val="left"/>
            </w:pPr>
            <w:r>
              <w:t xml:space="preserve">hipoglucemia en el 49 % con mecasermina; glucemia más alta con ibutamoreno</w:t>
            </w:r>
          </w:p>
        </w:tc>
        <w:tc>
          <w:tcPr/>
          <w:p>
            <w:pPr>
              <w:pStyle w:val="Compact"/>
              <w:jc w:val="left"/>
            </w:pPr>
            <w:r>
              <w:t xml:space="preserve">Mecasermina, Pramlintida, Ibutamoreno</w:t>
            </w:r>
          </w:p>
        </w:tc>
      </w:tr>
    </w:tbl>
    <w:bookmarkStart w:id="975" w:name="aparato-digestivo"/>
    <w:p>
      <w:pPr>
        <w:pStyle w:val="Heading3"/>
      </w:pPr>
      <w:r>
        <w:t xml:space="preserve">Aparato digestivo</w:t>
      </w:r>
    </w:p>
    <w:p>
      <w:pPr>
        <w:pStyle w:val="FirstParagraph"/>
      </w:pPr>
      <w:r>
        <w:t xml:space="preserve">Ningún otro sistema orgánico se ve afectado con tanta frecuencia. Las náuseas, los vómitos, la diarrea y el estreñimiento son los efectos adversos típicos de todos los medicamentos que actúan sobre el receptor de GLP-1, desde la exenatida, más antigua, pasando por la semaglutida y la tirzepatida, hasta los nuevos agonistas múltiples. Una revisión que resumió 60 metaanálisis con un total de 1751 estudios aleatorizados encontró precisamente aquí las señales más seguras: la probabilidad (odds) de náuseas con agonistas del receptor de GLP-1 era unas dos veces y media mayor que en los grupos de comparación (odds ratio 2,47), la de vómitos casi el triple (2,78) y la de diarrea aproximadamente el doble (1,94) (Yang 2026, PMID 41915388).</w:t>
      </w:r>
    </w:p>
    <w:p>
      <w:pPr>
        <w:pStyle w:val="BodyText"/>
      </w:pPr>
      <w:r>
        <w:t xml:space="preserve">La frecuencia de las molestias depende mucho del principio activo, de la dosis y del ritmo de aumento de la dosis. Un metaanálisis en red de 39 estudios con 33.354 personas con sobrepeso sin diabetes encontró un aumento del riesgo de náuseas para todos los principios activos estudiados, mayor con orforglipron, seguido de exenatida, tirzepatida, semaglutida y liraglutida (Ismaiel 2025, PMID 40804463). En los principios activos con un componente adicional de glucagón, las tasas son especialmente altas: en el estudio de hígado graso con survodutida, el 66 % tuvo náuseas frente al 23 % con placebo (Sanyal 2024, PMID 38847460). Los detalles figuran en los capítulos Survodutida, Mazdutida y Retatrutida.</w:t>
      </w:r>
    </w:p>
    <w:p>
      <w:pPr>
        <w:pStyle w:val="BodyText"/>
      </w:pPr>
      <w:r>
        <w:t xml:space="preserve">También fuera del grupo GLP-1 las náuseas son frecuentes. Con bremelanotida aparecieron en los estudios de fase 3 en el 40,0 % frente al 1,3 % con placebo y fueron el motivo de abandono más frecuente (Clayton 2022, PMID 35147466). Con pramlintida, el 63 % refirió náuseas, frente al 36 % con placebo (Edelman 2006, PMID 17003291). Con setmelanotida fueron el 36 % en un metaanálisis de siete estudios (Sridharan 2026, PMID 39924461).</w:t>
      </w:r>
    </w:p>
    <w:p>
      <w:pPr>
        <w:pStyle w:val="BodyText"/>
      </w:pPr>
      <w:r>
        <w:t xml:space="preserve">Más importante que la frecuencia de las náuseas es la cuestión de los acontecimientos gastrointestinales</w:t>
      </w:r>
      <w:r>
        <w:t xml:space="preserve"> </w:t>
      </w:r>
      <w:r>
        <w:rPr>
          <w:bCs/>
          <w:b/>
        </w:rPr>
        <w:t xml:space="preserve">graves</w:t>
      </w:r>
      <w:r>
        <w:t xml:space="preserve">. Un análisis de bases de datos de 2023 había comunicado para los agonistas del receptor de GLP-1 utilizados para perder peso un aumento del riesgo de inflamación del páncreas, obstrucción intestinal y parálisis gástrica (Sodhi 2023, PMID 37796527). Un metaanálisis de 55 estudios controlados con placebo con 106.395 participantes no lo confirmó para la mayoría de estos acontecimientos. Estaban aumentados los cálculos biliares (riesgo relativo 1,46; dos casos adicionales por cada 1000 personas tratadas) y probablemente la enfermedad por reflujo (riesgo relativo 2,19; cuatro casos adicionales por cada 1000). Para la obstrucción intestinal, la parálisis gástrica, las úlceras o las hemorragias no se encontró una diferencia clara (Chiang 2025, PMID 40499738). En un estudio de cohortes con datos rutinarios, la tirzepatida y la semaglutida apenas difirieron en cuanto a acontecimientos gastrointestinales graves (Crisafulli 2026, PMID 41183330).</w:t>
      </w:r>
    </w:p>
    <w:p>
      <w:pPr>
        <w:pStyle w:val="BodyText"/>
      </w:pPr>
      <w:r>
        <w:t xml:space="preserve">En la práctica es importante que los vómitos y la diarrea persistentes pueden provocar pérdida de líquidos. En los estudios, las molestias aparecen sobre todo en la fase de aumento de la dosis; por eso, las fichas técnicas de los medicamentos autorizados prevén un procedimiento progresivo que debe contar con acompañamiento médico. Con productos del mercado gris, cuyo contenido no se conoce, no es posible seguir este esquema de forma fiable (véase el capítulo «Productos del mercado gris»).</w:t>
      </w:r>
    </w:p>
    <w:bookmarkEnd w:id="975"/>
    <w:bookmarkStart w:id="976" w:name="vesícula-biliar-y-páncreas"/>
    <w:p>
      <w:pPr>
        <w:pStyle w:val="Heading3"/>
      </w:pPr>
      <w:r>
        <w:t xml:space="preserve">Vesícula biliar y páncreas</w:t>
      </w:r>
    </w:p>
    <w:p>
      <w:pPr>
        <w:pStyle w:val="FirstParagraph"/>
      </w:pPr>
      <w:r>
        <w:t xml:space="preserve">Para la vesícula biliar, el riesgo está ya bien demostrado. Un metaanálisis de 76 estudios aleatorizados con 103.371 participantes encontró con agonistas del receptor de GLP-1 un riesgo relativo un 37 % mayor de enfermedades de la vesícula y las vías biliares. En los estudios de pérdida de peso, el riesgo relativo, de 2,29, fue claramente mayor que en los estudios de diabetes (He 2022, PMID 35344001). Parte del efecto probablemente se debe a la propia pérdida de peso rápida, que, como es sabido, favorece los cálculos biliares. En STEP TEENS, 5 de 133 adolescentes con semaglutida desarrollaron cálculos biliares, y ninguno con placebo (Weghuber 2022, PMID 36322838).</w:t>
      </w:r>
    </w:p>
    <w:p>
      <w:pPr>
        <w:pStyle w:val="BodyText"/>
      </w:pPr>
      <w:r>
        <w:t xml:space="preserve">En el caso del páncreas, la situación es menos clara. Un metaanálisis de 62 estudios con 66.232 participantes encontró en conjunto un riesgo ligeramente aumentado de inflamación del páncreas (riesgo relativo 1,44). Cuando los estudios se separaron según si los participantes tomaban además otros medicamentos, la diferencia ya no fue estadísticamente significativa en ninguno de los dos grupos (Wen 2025, PMID 40988099). La frecuencia absoluta es baja; en los grandes estudios de resultados, la pancreatitis apareció raramente. Las fichas técnicas la recogen como efecto adverso raro. Un dolor intenso y persistente en la parte superior del abdomen, que a menudo se irradia a la espalda, debe ser siempre valorado por un médico con estos medicamentos. Sobre la cuestión del cáncer de páncreas, véase el capítulo siguiente.</w:t>
      </w:r>
    </w:p>
    <w:bookmarkEnd w:id="976"/>
    <w:bookmarkStart w:id="977" w:name="tiroides"/>
    <w:p>
      <w:pPr>
        <w:pStyle w:val="Heading3"/>
      </w:pPr>
      <w:r>
        <w:t xml:space="preserve">Tiroides</w:t>
      </w:r>
    </w:p>
    <w:p>
      <w:pPr>
        <w:pStyle w:val="FirstParagraph"/>
      </w:pPr>
      <w:r>
        <w:t xml:space="preserve">La preocupación por la tiroides procede de experimentos con animales: en ratas y ratones, los agonistas del receptor de GLP-1 provocaron hiperplasias y tumores de las células C, que producen la hormona calcitonina. En humanos, los datos no son concluyentes. Un indicio directo de estimulación de las células C sería un aumento de la calcitonina en sangre. En el estudio LEADER, con 9340 participantes, los valores de calcitonina no difirieron entre liraglutida y placebo a los 36 meses, y con liraglutida no apareció ningún carcinoma medular de tiroides (Hegedüs 2018, PMID 29279300). Cómo debe valorarse la cuestión del cáncer en su conjunto se trata en el capítulo «Riesgo de cáncer y señales de crecimiento». Con independencia de ello, las fichas técnicas establecen una contraindicación en caso de antecedentes personales o familiares de carcinoma medular de tiroides y de síndrome MEN 2.</w:t>
      </w:r>
    </w:p>
    <w:bookmarkEnd w:id="977"/>
    <w:bookmarkStart w:id="978" w:name="ojos-retina-y-nervio-óptico"/>
    <w:p>
      <w:pPr>
        <w:pStyle w:val="Heading3"/>
      </w:pPr>
      <w:r>
        <w:t xml:space="preserve">Ojos: retina y nervio óptico</w:t>
      </w:r>
    </w:p>
    <w:p>
      <w:pPr>
        <w:pStyle w:val="FirstParagraph"/>
      </w:pPr>
      <w:r>
        <w:t xml:space="preserve">Aquí hay dos cuestiones distintas.</w:t>
      </w:r>
    </w:p>
    <w:p>
      <w:pPr>
        <w:pStyle w:val="BodyText"/>
      </w:pPr>
      <w:r>
        <w:rPr>
          <w:bCs/>
          <w:b/>
        </w:rPr>
        <w:t xml:space="preserve">Retinopatía diabética.</w:t>
      </w:r>
      <w:r>
        <w:t xml:space="preserve"> </w:t>
      </w:r>
      <w:r>
        <w:t xml:space="preserve">En SUSTAIN 6, un estudio cardiovascular con 3297 personas con diabetes tipo 2, las complicaciones de una retinopatía diabética aparecieron con más frecuencia con semaglutida que con placebo (hazard ratio 1,76) (Marso 2016, PMID 27633186). Se sospecha que una reducción muy rápida de la glucemia empeora transitoriamente una retinopatía ya existente, un fenómeno conocido también con la insulina. Un metaanálisis de 78 estudios con 73.640 participantes no encontró en conjunto un aumento del riesgo de retinopatía diabética (odds ratio 1,04) ni de enfermedades oculares en general (Natividade 2025, PMID 40810985). Para las personas con retinopatía conocida, el seguimiento oftalmológico sigue siendo, no obstante, aconsejable.</w:t>
      </w:r>
    </w:p>
    <w:p>
      <w:pPr>
        <w:pStyle w:val="BodyText"/>
      </w:pPr>
      <w:r>
        <w:rPr>
          <w:bCs/>
          <w:b/>
        </w:rPr>
        <w:t xml:space="preserve">NAION.</w:t>
      </w:r>
      <w:r>
        <w:t xml:space="preserve"> </w:t>
      </w:r>
      <w:r>
        <w:t xml:space="preserve">La neuropatía óptica isquémica anterior no arterítica es un trastorno circulatorio de la cabeza del nervio óptico que, por lo general sin dolor, provoca una pérdida súbita de visión en un ojo. Desde un primer estudio de una clínica de neurooftalmología (Hathaway 2024, PMID 38958939) se han publicado muchas otras investigaciones, con resultados diferentes:</w:t>
      </w:r>
    </w:p>
    <w:p>
      <w:pPr>
        <w:numPr>
          <w:ilvl w:val="0"/>
          <w:numId w:val="1336"/>
        </w:numPr>
        <w:pStyle w:val="Compact"/>
      </w:pPr>
      <w:r>
        <w:t xml:space="preserve">El estudio de registros danés-noruego encontró un riesgo relativo aumentado (hazard ratio 2,81), en términos absolutos alrededor de 1,4 casos adicionales por cada 10.000 años-persona (Simonsen 2025, PMID 40098249).</w:t>
      </w:r>
    </w:p>
    <w:p>
      <w:pPr>
        <w:numPr>
          <w:ilvl w:val="0"/>
          <w:numId w:val="1336"/>
        </w:numPr>
        <w:pStyle w:val="Compact"/>
      </w:pPr>
      <w:r>
        <w:t xml:space="preserve">En una cohorte estadounidense con 159.398 personas con diabetes tipo 2, en dos años enfermaron el 0,04 % con semaglutida o tirzepatida y el 0,02 % en el grupo de comparación (hazard ratio 1,76) (Wang 2025, PMID 40788646).</w:t>
      </w:r>
    </w:p>
    <w:p>
      <w:pPr>
        <w:numPr>
          <w:ilvl w:val="0"/>
          <w:numId w:val="1336"/>
        </w:numPr>
        <w:pStyle w:val="Compact"/>
      </w:pPr>
      <w:r>
        <w:t xml:space="preserve">Un estudio internacional de bases de datos con casi 300.000 personas no encontró una relación demostrada (Chou 2025, PMID 39491755).</w:t>
      </w:r>
    </w:p>
    <w:p>
      <w:pPr>
        <w:numPr>
          <w:ilvl w:val="0"/>
          <w:numId w:val="1336"/>
        </w:numPr>
        <w:pStyle w:val="Compact"/>
      </w:pPr>
      <w:r>
        <w:t xml:space="preserve">Un metaanálisis observó la señal solo en estudios observacionales en diabetes, no en estudios aleatorizados ni en obesidad (Liu 2026, PMID 41475544).</w:t>
      </w:r>
    </w:p>
    <w:p>
      <w:pPr>
        <w:pStyle w:val="FirstParagraph"/>
      </w:pPr>
      <w:r>
        <w:t xml:space="preserve">En resumen: es posible un pequeño aumento del riesgo, y la frecuencia absoluta es muy baja. La Agencia Europea de Medicamentos incluyó en 2025 la NAION en la ficha técnica como efecto adverso muy raro de la semaglutida (situación en 2026, compruébese la información actualizada). Una pérdida súbita de visión es, en cualquier caso, una urgencia. Detalles en el capítulo Semaglutida.</w:t>
      </w:r>
    </w:p>
    <w:bookmarkEnd w:id="978"/>
    <w:bookmarkStart w:id="979" w:name="X592ec939504e2c738a1f02e676dfb85a01d1d9f"/>
    <w:p>
      <w:pPr>
        <w:pStyle w:val="Heading3"/>
      </w:pPr>
      <w:r>
        <w:t xml:space="preserve">Sistema cardiovascular y retención de líquidos</w:t>
      </w:r>
    </w:p>
    <w:p>
      <w:pPr>
        <w:pStyle w:val="FirstParagraph"/>
      </w:pPr>
      <w:r>
        <w:t xml:space="preserve">En los medicamentos GLP-1 predomina, según los conocimientos actuales, el beneficio para el corazón y los vasos: en SUSTAIN 6, los acontecimientos cardiovasculares graves fueron menos frecuentes con semaglutida (6,6 % frente a 8,9 %) (Marso 2016, PMID 27633186). Sin embargo, un ligero aumento de la frecuencia cardiaca en reposo es una característica de la clase y en los nuevos agonistas múltiples está en parte más acentuado. Con retatrutida apareció además en TRIUMPH-2 tensión arterial baja en el 1 al 6 %, frente a menos del 1 % con placebo (Bellido 2026, PMID 42810372). Véanse los capítulos Retatrutida y Survodutida.</w:t>
      </w:r>
    </w:p>
    <w:p>
      <w:pPr>
        <w:pStyle w:val="BodyText"/>
      </w:pPr>
      <w:r>
        <w:t xml:space="preserve">Un patrón muy distinto muestra el</w:t>
      </w:r>
      <w:r>
        <w:t xml:space="preserve"> </w:t>
      </w:r>
      <w:r>
        <w:rPr>
          <w:bCs/>
          <w:b/>
        </w:rPr>
        <w:t xml:space="preserve">eje de la hormona del crecimiento</w:t>
      </w:r>
      <w:r>
        <w:t xml:space="preserve">. La hormona del crecimiento retiene agua en el organismo. En una revisión de estudios con personas mayores sanas, con hormona del crecimiento aparecieron con más frecuencia hinchazón de los tejidos, dolor articular, síndrome del túnel carpiano y aumento de las mamas en los hombres (Liu 2007, PMID 17227934). Para los liberadores, que estimulan la secreción endógena, cabe esperar un patrón similar. Se hizo más evidente con el ibutamoreno oral: un estudio en personas mayores tras una fractura de cadera se interrumpió de forma anticipada por una señal de insuficiencia cardiaca (Adunsky 2011, PMID 21067829). Un corazón ya debilitado tolera mal el líquido adicional.</w:t>
      </w:r>
    </w:p>
    <w:p>
      <w:pPr>
        <w:pStyle w:val="BodyText"/>
      </w:pPr>
      <w:r>
        <w:t xml:space="preserve">Otros hallazgos aislados:</w:t>
      </w:r>
    </w:p>
    <w:p>
      <w:pPr>
        <w:numPr>
          <w:ilvl w:val="0"/>
          <w:numId w:val="1337"/>
        </w:numPr>
        <w:pStyle w:val="Compact"/>
      </w:pPr>
      <w:r>
        <w:rPr>
          <w:bCs/>
          <w:b/>
        </w:rPr>
        <w:t xml:space="preserve">La bremelanotida</w:t>
      </w:r>
      <w:r>
        <w:t xml:space="preserve"> </w:t>
      </w:r>
      <w:r>
        <w:t xml:space="preserve">elevó transitoriamente la tensión arterial sistólica entre 2,4 y 3,2 mmHg tras la administración; los picos duraron por lo general menos de 15 minutos, y al mismo tiempo bajó el pulso (White 2017, PMID 27977473).</w:t>
      </w:r>
    </w:p>
    <w:p>
      <w:pPr>
        <w:numPr>
          <w:ilvl w:val="0"/>
          <w:numId w:val="1337"/>
        </w:numPr>
        <w:pStyle w:val="Compact"/>
      </w:pPr>
      <w:r>
        <w:rPr>
          <w:bCs/>
          <w:b/>
        </w:rPr>
        <w:t xml:space="preserve">La macimorelina</w:t>
      </w:r>
      <w:r>
        <w:t xml:space="preserve">, en una dosis única deliberadamente excesiva, prolongó el intervalo QT del ECG en una media de hasta 9,61 milisegundos (Lissy 2021, PMID 32961034), un dato relevante para las personas que toman otros medicamentos que prolongan el QT.</w:t>
      </w:r>
    </w:p>
    <w:p>
      <w:pPr>
        <w:numPr>
          <w:ilvl w:val="0"/>
          <w:numId w:val="1337"/>
        </w:numPr>
        <w:pStyle w:val="Compact"/>
      </w:pPr>
      <w:r>
        <w:rPr>
          <w:bCs/>
          <w:b/>
        </w:rPr>
        <w:t xml:space="preserve">La oxitocina</w:t>
      </w:r>
      <w:r>
        <w:t xml:space="preserve"> </w:t>
      </w:r>
      <w:r>
        <w:t xml:space="preserve">se parece químicamente a la vasopresina, la hormona que regula el equilibrio hídrico. Se ha descrito un caso de aumento de la presión intracraneal con oxitocina en espray nasal junto con una ingesta de líquidos muy elevada (Mayer-Hubner 1996, PMID 8596357).</w:t>
      </w:r>
    </w:p>
    <w:p>
      <w:pPr>
        <w:numPr>
          <w:ilvl w:val="0"/>
          <w:numId w:val="1337"/>
        </w:numPr>
        <w:pStyle w:val="Compact"/>
      </w:pPr>
      <w:r>
        <w:rPr>
          <w:bCs/>
          <w:b/>
        </w:rPr>
        <w:t xml:space="preserve">Melanotán II:</w:t>
      </w:r>
      <w:r>
        <w:t xml:space="preserve"> </w:t>
      </w:r>
      <w:r>
        <w:t xml:space="preserve">casos clínicos de destrucción muscular con daño renal (Nelson 2012, PMID 23121206) y de un infarto renal; véase el capítulo Melanotán II.</w:t>
      </w:r>
    </w:p>
    <w:bookmarkEnd w:id="979"/>
    <w:bookmarkStart w:id="980" w:name="psique-y-suicidalidad"/>
    <w:p>
      <w:pPr>
        <w:pStyle w:val="Heading3"/>
      </w:pPr>
      <w:r>
        <w:t xml:space="preserve">Psique y suicidalidad</w:t>
      </w:r>
    </w:p>
    <w:p>
      <w:pPr>
        <w:pStyle w:val="FirstParagraph"/>
      </w:pPr>
      <w:r>
        <w:t xml:space="preserve">En 2023, notificaciones aisladas de pensamientos suicidas con semaglutida y liraglutida desencadenaron revisiones por parte de las autoridades en Europa y en EE. UU. Los datos disponibles son ahora claramente mejores y, en su mayoría, tranquilizadores. Un metaanálisis de 86 estudios aleatorizados con 133.378 participantes no encontró con agonistas del receptor de GLP-1 un aumento del riesgo de enfermedades psíquicas en conjunto (riesgo relativo 0,96), de depresión (0,88), de suicidio (0,90) ni de trastornos de ansiedad (0,92) (Han 2026, PMID 41852258). En un estudio de registros escandinavo con 124.517 personas tratadas con agonistas del receptor de GLP-1, el riesgo de suicidio no fue mayor que con otro antidiabético; el límite superior del intervalo de confianza correspondía como máximo a 0,16 muertes adicionales por cada 1000 años-persona (Ueda 2024, PMID 39226030). En los estudios SURMOUNT, el 0,6 % declaró pensamientos suicidas tanto con tirzepatida como con placebo (Wadden 2026, PMID 41537305). También en adolescentes, un metaanálisis no encontró un aumento de la conducta suicida ni de la depresión (Silva 2026, PMID 42115753).</w:t>
      </w:r>
    </w:p>
    <w:p>
      <w:pPr>
        <w:pStyle w:val="BodyText"/>
      </w:pPr>
      <w:r>
        <w:t xml:space="preserve">Queda una limitación: las personas con enfermedades psíquicas graves fueron excluidas de muchos estudios. Para ellas y para las personas con trastornos de la conducta alimentaria rigen consideraciones propias (véase el capítulo «Interacciones y grupos de riesgo especiales»).</w:t>
      </w:r>
    </w:p>
    <w:p>
      <w:pPr>
        <w:pStyle w:val="BodyText"/>
      </w:pPr>
      <w:r>
        <w:t xml:space="preserve">Otros péptidos actúan de forma más directa sobre el cerebro. La ficha técnica de la setmelanotida contiene advertencias sobre depresión y pensamientos suicidas (capítulo Setmelanotida). Para Semax se ha descrito, en personas aisladas con lesiones cerebrales previas, una alteración del EEG de tipo convulsivo (capítulo Semax). Para la mayoría de los «péptidos nootrópicos» del grupo D simplemente no hay datos sistemáticos sobre efectos adversos psíquicos.</w:t>
      </w:r>
    </w:p>
    <w:bookmarkEnd w:id="980"/>
    <w:bookmarkStart w:id="981" w:name="piel-y-pigmento"/>
    <w:p>
      <w:pPr>
        <w:pStyle w:val="Heading3"/>
      </w:pPr>
      <w:r>
        <w:t xml:space="preserve">Piel y pigmento</w:t>
      </w:r>
    </w:p>
    <w:p>
      <w:pPr>
        <w:pStyle w:val="FirstParagraph"/>
      </w:pPr>
      <w:r>
        <w:t xml:space="preserve">Las alteraciones cutáneas más llamativas las causan los péptidos que actúan sobre el</w:t>
      </w:r>
      <w:r>
        <w:t xml:space="preserve"> </w:t>
      </w:r>
      <w:r>
        <w:rPr>
          <w:bCs/>
          <w:b/>
        </w:rPr>
        <w:t xml:space="preserve">receptor de melanocortina 1</w:t>
      </w:r>
      <w:r>
        <w:t xml:space="preserve"> </w:t>
      </w:r>
      <w:r>
        <w:t xml:space="preserve">de las células pigmentarias. Con la setmelanotida, que en realidad debe actuar sobre el receptor de melanocortina 4 del cerebro, la piel se oscureció en un metaanálisis en el 62 % de las personas tratadas (Sridharan 2026, PMID 39924461). En un seguimiento de hasta 46 meses, también se oscurecieron los labios y los lunares, y el pelo pelirrojo se volvió castaño; no aparecieron alteraciones cutáneas malignas (Kanti 2021, PMID 34058738). La bremelanotida, administrada hasta 16 días consecutivos, causó manchas oscuras circunscritas en más de un tercio de los participantes (Clayton 2022, PMID 35147466).</w:t>
      </w:r>
    </w:p>
    <w:p>
      <w:pPr>
        <w:pStyle w:val="BodyText"/>
      </w:pPr>
      <w:r>
        <w:t xml:space="preserve">Con el melanotán II, no autorizado, se añaden lunares de nueva aparición, en parte llamativos. Una revisión de todos los casos publicados de lunares de aparición súbita, con 179 afectados, mencionaba el melanotán entre los desencadenantes; el 16 % de todos los casos presentaba al menos un lunar histológicamente anómalo (displásico) (Burian 2019, PMID 31119650). Si de ello se deriva un mayor riesgo de melanoma se trata en el capítulo siguiente.</w:t>
      </w:r>
    </w:p>
    <w:p>
      <w:pPr>
        <w:pStyle w:val="BodyText"/>
      </w:pPr>
      <w:r>
        <w:t xml:space="preserve">En los medicamentos GLP-1 destacan otros hallazgos cutáneos. Una revisión sistemática menciona las reacciones en el lugar de inyección como más frecuentes con tirzepatida (2 al 7 %) y las alteraciones de la sensibilidad cutánea (disestesia) sobre todo con semaglutida: con las dosis estándar en torno al 5 %, y con las dosis altas para la obesidad hasta el 20 % (Gupta 2026, PMID 42930571). Con retatrutida, la disestesia apareció en TRIUMPH-2 de forma dependiente de la dosis en el 4 al 7 %, frente al 1 % con placebo (Bellido 2026, PMID 42810372). Las reacciones en el lugar de inyección y las alergias se resumen en el capítulo «Reacciones inmunitarias y anticuerpos».</w:t>
      </w:r>
    </w:p>
    <w:p>
      <w:pPr>
        <w:pStyle w:val="BodyText"/>
      </w:pPr>
      <w:r>
        <w:t xml:space="preserve">Un caso especial es el LL-37: tras inyecciones en metástasis cutáneas, en una paciente aparecieron numerosas lesiones cutáneas de aspecto verrugoso, tomadas inicialmente por cáncer, que remitieron tras la suspensión (Dolkar 2018, PMID 29665030). Sobre las inyecciones de glutatión para aclarar la piel, las autoridades han advertido en repetidas ocasiones (capítulo Glutatión).</w:t>
      </w:r>
    </w:p>
    <w:bookmarkEnd w:id="981"/>
    <w:bookmarkStart w:id="982" w:name="sistema-hormonal"/>
    <w:p>
      <w:pPr>
        <w:pStyle w:val="Heading3"/>
      </w:pPr>
      <w:r>
        <w:t xml:space="preserve">Sistema hormonal</w:t>
      </w:r>
    </w:p>
    <w:p>
      <w:pPr>
        <w:pStyle w:val="FirstParagraph"/>
      </w:pPr>
      <w:r>
        <w:t xml:space="preserve">Muchos péptidos son en sí mismos hormonas o imitan hormonas. Por eso no sorprende que intervengan en circuitos reguladores que van más allá de la diana propiamente dicha.</w:t>
      </w:r>
    </w:p>
    <w:p>
      <w:pPr>
        <w:numPr>
          <w:ilvl w:val="0"/>
          <w:numId w:val="1338"/>
        </w:numPr>
        <w:pStyle w:val="Compact"/>
      </w:pPr>
      <w:r>
        <w:rPr>
          <w:bCs/>
          <w:b/>
        </w:rPr>
        <w:t xml:space="preserve">Hormonas del estrés y prolactina:</w:t>
      </w:r>
      <w:r>
        <w:t xml:space="preserve"> </w:t>
      </w:r>
      <w:r>
        <w:t xml:space="preserve">los miméticos de la grelina GHRP-2, GHRP-6, hexarelina y macimorelina liberan, además de hormona del crecimiento, también ACTH y cortisol, y algunos además prolactina. En el caso del GHRP-2, este efecto es tan fiable que se ha estudiado como prueba del eje suprarrenal (Arimura 2016, PMID 27020037). Qué efecto tiene una estimulación repetida durante meses no se ha estudiado (capítulos GHRP-2, GHRP-6, Hexarelina).</w:t>
      </w:r>
    </w:p>
    <w:p>
      <w:pPr>
        <w:numPr>
          <w:ilvl w:val="0"/>
          <w:numId w:val="1338"/>
        </w:numPr>
        <w:pStyle w:val="Compact"/>
      </w:pPr>
      <w:r>
        <w:rPr>
          <w:bCs/>
          <w:b/>
        </w:rPr>
        <w:t xml:space="preserve">Supresión en lugar de estimulación:</w:t>
      </w:r>
      <w:r>
        <w:t xml:space="preserve"> </w:t>
      </w:r>
      <w:r>
        <w:t xml:space="preserve">las hormonas que el organismo secreta en pulsos suelen tener el efecto contrario cuando se administran de forma continua. Con el análogo de kisspeptina TAK-448, la testosterona de hombres sanos cayó hasta niveles de castración durante una infusión continua de 14 días (MacLean 2014, PMID 24762108). El mismo principio se aplica a la gonadorelina cuando no se administra con el ritmo adecuado (capítulos Kisspeptina, Gonadorelina).</w:t>
      </w:r>
    </w:p>
    <w:p>
      <w:pPr>
        <w:numPr>
          <w:ilvl w:val="0"/>
          <w:numId w:val="1338"/>
        </w:numPr>
        <w:pStyle w:val="Compact"/>
      </w:pPr>
      <w:r>
        <w:rPr>
          <w:bCs/>
          <w:b/>
        </w:rPr>
        <w:t xml:space="preserve">El aumento de las mamas en los hombres</w:t>
      </w:r>
      <w:r>
        <w:t xml:space="preserve"> </w:t>
      </w:r>
      <w:r>
        <w:t xml:space="preserve">es una consecuencia conocida de un aumento del efecto de la hormona del crecimiento (Liu 2007, PMID 17227934).</w:t>
      </w:r>
    </w:p>
    <w:p>
      <w:pPr>
        <w:numPr>
          <w:ilvl w:val="0"/>
          <w:numId w:val="1338"/>
        </w:numPr>
        <w:pStyle w:val="Compact"/>
      </w:pPr>
      <w:r>
        <w:rPr>
          <w:bCs/>
          <w:b/>
        </w:rPr>
        <w:t xml:space="preserve">Función sexual:</w:t>
      </w:r>
      <w:r>
        <w:t xml:space="preserve"> </w:t>
      </w:r>
      <w:r>
        <w:t xml:space="preserve">los agonistas de la melanocortina pueden desencadenar erecciones espontáneas; con el melanotán II se han descrito casos de priapismo, una erección persistente y dolorosa (capítulos Melanotán II, Setmelanotida).</w:t>
      </w:r>
    </w:p>
    <w:bookmarkEnd w:id="982"/>
    <w:bookmarkStart w:id="983" w:name="glucemia"/>
    <w:p>
      <w:pPr>
        <w:pStyle w:val="Heading3"/>
      </w:pPr>
      <w:r>
        <w:t xml:space="preserve">Glucemia</w:t>
      </w:r>
    </w:p>
    <w:p>
      <w:pPr>
        <w:pStyle w:val="FirstParagraph"/>
      </w:pPr>
      <w:r>
        <w:t xml:space="preserve">Los péptidos pueden desplazar la glucemia en ambas direcciones, y ambas son relevantes.</w:t>
      </w:r>
    </w:p>
    <w:p>
      <w:pPr>
        <w:pStyle w:val="BodyText"/>
      </w:pPr>
      <w:r>
        <w:rPr>
          <w:bCs/>
          <w:b/>
        </w:rPr>
        <w:t xml:space="preserve">Hipoglucemia.</w:t>
      </w:r>
      <w:r>
        <w:t xml:space="preserve"> </w:t>
      </w:r>
      <w:r>
        <w:t xml:space="preserve">El mayor riesgo lo tiene la mecasermina, es decir, el IGF-1 como medicamento: en un estudio a largo plazo con 76 niños, la hipoglucemia fue, con un 49 %, el efecto adverso más frecuente (Chernausek 2007, PMID 17192294). Para el preparado de laboratorio IGF-1 LR3, un riesgo similar o mayor es biológicamente plausible, pero nunca se ha medido (capítulo IGF-1 LR3). La pramlintida potencia el efecto de la insulina inyectada a la vez; en un estudio, las hipoglucemias graves fueron más frecuentes que con placebo (0,57 frente a 0,30 episodios por paciente-año) (Edelman 2006, PMID 17003291). Los medicamentos GLP-1 por sí solos apenas reducen la glucemia hasta el rango peligroso, porque su efecto está acoplado a la glucemia. Pero en combinación con sulfonilureas o insulina, el riesgo aumenta: con exenatida añadida a metformina y una sulfonilurea aparecieron hipoglucemias leves a moderadas en el 28 % y el 19 %, respectivamente, frente al 13 % con placebo (Kendall 2005, PMID 15855571). Más información en el capítulo «Interacciones y grupos de riesgo especiales».</w:t>
      </w:r>
    </w:p>
    <w:p>
      <w:pPr>
        <w:pStyle w:val="BodyText"/>
      </w:pPr>
      <w:r>
        <w:t xml:space="preserve">Una hipoglucemia grave tras una supuesta «inyección para adelgazar» en una persona sin diabetes es una señal de alarma de una falsificación con insulina. Los casos se describen en la Parte I, en el capítulo «El mercado gris».</w:t>
      </w:r>
    </w:p>
    <w:p>
      <w:pPr>
        <w:pStyle w:val="BodyText"/>
      </w:pPr>
      <w:r>
        <w:rPr>
          <w:bCs/>
          <w:b/>
        </w:rPr>
        <w:t xml:space="preserve">Glucemia más alta.</w:t>
      </w:r>
      <w:r>
        <w:t xml:space="preserve"> </w:t>
      </w:r>
      <w:r>
        <w:t xml:space="preserve">La hormona del crecimiento contrarresta la insulina. Con ibutamoreno, la glucemia en ayunas de personas mayores sanas aumentó de media 0,3 mmol/l, y el peso corporal 2,7 kg frente a 0,8 kg con placebo (Nass 2008, PMID 18981485). En la revisión sobre la hormona del crecimiento en personas mayores aparecieron con algo más de frecuencia una diabetes nueva y una alteración de la glucemia en ayunas (Liu 2007, PMID 17227934). Con tesamorelina, la glucemia en ayunas aumentó de forma transitoria en las primeras semanas (capítulo Tesamorelina). Por eso, para las personas con diabetes o con sus fases previas, el eje de la hormona del crecimiento es especialmente delicado.</w:t>
      </w:r>
    </w:p>
    <w:bookmarkEnd w:id="983"/>
    <w:bookmarkStart w:id="984" w:name="lo-que-se-desprende-de-la-comparación"/>
    <w:p>
      <w:pPr>
        <w:pStyle w:val="Heading3"/>
      </w:pPr>
      <w:r>
        <w:t xml:space="preserve">Lo que se desprende de la comparación</w:t>
      </w:r>
    </w:p>
    <w:p>
      <w:pPr>
        <w:pStyle w:val="FirstParagraph"/>
      </w:pPr>
      <w:r>
        <w:t xml:space="preserve">En todos los sistemas orgánicos se observan tres patrones.</w:t>
      </w:r>
    </w:p>
    <w:p>
      <w:pPr>
        <w:pStyle w:val="BodyText"/>
      </w:pPr>
      <w:r>
        <w:t xml:space="preserve">Primero: los péptidos mejor estudiados, los medicamentos GLP-1 autorizados, tienen los efectos adversos mejor conocidos. No es porque sean especialmente peligrosos, sino porque cientos de miles de personas han sido observadas en estudios y registros. Las molestias frecuentes afectan al aparato digestivo y suelen ser transitorias; los riesgos más serios, como los cálculos biliares, están demostrados, pero son raros en cifras absolutas; señales como la NAION son muy raras y se siguen investigando.</w:t>
      </w:r>
    </w:p>
    <w:p>
      <w:pPr>
        <w:pStyle w:val="BodyText"/>
      </w:pPr>
      <w:r>
        <w:t xml:space="preserve">Segundo: los péptidos del eje de la hormona del crecimiento comparten un perfil común de retención de líquidos, glucemia más alta y aumento de las hormonas del estrés. Para un uso durante meses o años en personas sanas prácticamente no hay datos.</w:t>
      </w:r>
    </w:p>
    <w:p>
      <w:pPr>
        <w:pStyle w:val="BodyText"/>
      </w:pPr>
      <w:r>
        <w:t xml:space="preserve">Tercero: para la mayoría de los péptidos de los grupos B y D, los riesgos orgánicos ni siquiera pueden describirse, porque nadie los ha buscado sistemáticamente. Allí, el mayor riesgo práctico no está en el principio activo, sino en el producto; más información en el capítulo «Productos del mercado gris».</w:t>
      </w:r>
    </w:p>
    <w:bookmarkEnd w:id="984"/>
    <w:bookmarkEnd w:id="985"/>
    <w:bookmarkStart w:id="994" w:name="X26d6124763bf5b77f659300ce9ef3e1df2a341f"/>
    <w:p>
      <w:pPr>
        <w:pStyle w:val="Heading2"/>
      </w:pPr>
      <w:r>
        <w:t xml:space="preserve">Riesgo de cáncer y señales de crecimiento</w:t>
      </w:r>
    </w:p>
    <w:p>
      <w:pPr>
        <w:pStyle w:val="FirstParagraph"/>
      </w:pPr>
      <w:r>
        <w:t xml:space="preserve">Muchos péptidos se promocionan precisamente porque supuestamente estimulan el crecimiento: de músculos, tendones, vasos sanguíneos, neuronas o cabello. Pero el crecimiento no es selectivo. Las vías de señalización a través de las cuales los tejidos se curan y se renuevan también las utilizan las células cancerosas. Por eso, en casi todos los péptidos «de curación», «antienvejecimiento» o de la hormona del crecimiento surge la misma pregunta: ¿puede favorecer el cáncer?</w:t>
      </w:r>
    </w:p>
    <w:p>
      <w:pPr>
        <w:pStyle w:val="BodyText"/>
      </w:pPr>
      <w:r>
        <w:t xml:space="preserve">Este capítulo resume lo que se sabe al respecto, separado según los cuatro mecanismos que aparecen una y otra vez en la Parte II: el eje hormona del crecimiento-IGF-1, la formación de nuevos vasos sanguíneos, la estimulación de las células pigmentarias y el efecto de los medicamentos GLP-1 sobre la tiroides y el páncreas. Al final figura un resumen de los análisis grandes más recientes sobre medicamentos GLP-1 y cáncer.</w:t>
      </w:r>
    </w:p>
    <w:bookmarkStart w:id="986" w:name="cómo-valorar-la-cuestión-del-cáncer"/>
    <w:p>
      <w:pPr>
        <w:pStyle w:val="Heading3"/>
      </w:pPr>
      <w:r>
        <w:t xml:space="preserve">Cómo valorar la cuestión del cáncer</w:t>
      </w:r>
    </w:p>
    <w:p>
      <w:pPr>
        <w:pStyle w:val="FirstParagraph"/>
      </w:pPr>
      <w:r>
        <w:t xml:space="preserve">Cuatro puntos ayudan a leer los datos siguientes.</w:t>
      </w:r>
    </w:p>
    <w:p>
      <w:pPr>
        <w:pStyle w:val="BodyText"/>
      </w:pPr>
      <w:r>
        <w:rPr>
          <w:bCs/>
          <w:b/>
        </w:rPr>
        <w:t xml:space="preserve">Desencadenar o favorecer.</w:t>
      </w:r>
      <w:r>
        <w:t xml:space="preserve"> </w:t>
      </w:r>
      <w:r>
        <w:t xml:space="preserve">Una sustancia puede desencadenar un cáncer dañando el material genético. En los péptidos se discute con más frecuencia otra posibilidad: una señal de crecimiento podría hacer crecer más deprisa un tumor ya existente pero aún no detectado, de forma parecida a como el abono hace crecer una planta que ya está en la tierra. Para esta segunda posibilidad basta con que la sustancia estimule la división celular, la supervivencia celular o la formación de nuevos vasos.</w:t>
      </w:r>
    </w:p>
    <w:p>
      <w:pPr>
        <w:pStyle w:val="BodyText"/>
      </w:pPr>
      <w:r>
        <w:rPr>
          <w:bCs/>
          <w:b/>
        </w:rPr>
        <w:t xml:space="preserve">Tiempo.</w:t>
      </w:r>
      <w:r>
        <w:t xml:space="preserve"> </w:t>
      </w:r>
      <w:r>
        <w:t xml:space="preserve">El cáncer se desarrolla a lo largo de años o décadas. La mayoría de los estudios con péptidos duran de semanas a pocos años. Incluso los grandes estudios de autorización difícilmente pueden captar un riesgo que se desarrolla lentamente. Para ello se necesitan registros y estudios observacionales a lo largo de periodos prolongados, que a su vez son propensos a sesgos.</w:t>
      </w:r>
    </w:p>
    <w:p>
      <w:pPr>
        <w:pStyle w:val="BodyText"/>
      </w:pPr>
      <w:r>
        <w:rPr>
          <w:bCs/>
          <w:b/>
        </w:rPr>
        <w:t xml:space="preserve">Sesgo diagnóstico.</w:t>
      </w:r>
      <w:r>
        <w:t xml:space="preserve"> </w:t>
      </w:r>
      <w:r>
        <w:t xml:space="preserve">A quien se explora con más frecuencia por un medicamento también se le encuentran tumores con más frecuencia. Un ejemplo: un metaanálisis encontró en estudios más cortos con GLP-1 algo más de diagnósticos de cáncer colorrectal y supuso como explicación que las molestias gastrointestinales llevaron a realizar más colonoscopias (Silverii 2025, PMID 40437949).</w:t>
      </w:r>
    </w:p>
    <w:p>
      <w:pPr>
        <w:pStyle w:val="BodyText"/>
      </w:pPr>
      <w:r>
        <w:rPr>
          <w:bCs/>
          <w:b/>
        </w:rPr>
        <w:t xml:space="preserve">La dirección opuesta.</w:t>
      </w:r>
      <w:r>
        <w:t xml:space="preserve"> </w:t>
      </w:r>
      <w:r>
        <w:t xml:space="preserve">El sobrepeso aumenta el riesgo de al menos 13 tipos de cáncer. Un medicamento que reduce mucho el peso podría, por tanto, reducir el riesgo de cáncer en conjunto, aunque haya una pequeña señal en un órgano concreto. Ambas cosas solo pueden examinarse por separado.</w:t>
      </w:r>
    </w:p>
    <w:bookmarkEnd w:id="986"/>
    <w:bookmarkStart w:id="987" w:name="hormona-del-crecimiento-e-igf-1"/>
    <w:p>
      <w:pPr>
        <w:pStyle w:val="Heading3"/>
      </w:pPr>
      <w:r>
        <w:t xml:space="preserve">Hormona del crecimiento e IGF-1</w:t>
      </w:r>
    </w:p>
    <w:p>
      <w:pPr>
        <w:pStyle w:val="FirstParagraph"/>
      </w:pPr>
      <w:r>
        <w:t xml:space="preserve">La hormona del crecimiento actúa en gran parte a través del IGF-1, el factor de crecimiento insulínico tipo 1. El IGF-1 estimula la división de las células y las protege de la muerte celular programada. Todos los péptidos del grupo C (sermorelina, tesamorelina, CJC-1295, ipamorelina, la familia de los GHRP, mecasermina e IGF-1 LR3), así como el ibutamoreno comentado a modo de comparación, aumentan directa o indirectamente el IGF-1. Las pruebas sobre la cuestión del cáncer proceden de cinco fuentes.</w:t>
      </w:r>
    </w:p>
    <w:p>
      <w:pPr>
        <w:pStyle w:val="BodyText"/>
      </w:pPr>
      <w:r>
        <w:rPr>
          <w:bCs/>
          <w:b/>
        </w:rPr>
        <w:t xml:space="preserve">Niveles de IGF-1 naturalmente más altos.</w:t>
      </w:r>
      <w:r>
        <w:t xml:space="preserve"> </w:t>
      </w:r>
      <w:r>
        <w:t xml:space="preserve">Un metaanálisis de 21 estudios encontró en personas con valores altos de IGF-1 un mayor riesgo de cáncer de próstata (odds ratio 1,49 al comparar un valor de IGF-1 en el percentil 75 con uno en el percentil 25) y de cáncer de mama antes de la menopausia (1,65); los autores calificaron expresamente las asociaciones de «moderadas» (Renehan 2004, PMID 15110491). En el UK Biobank, con 206.263 mujeres, el riesgo de cáncer de mama aumentó un 11 % por cada 5 nmol/l más de IGF-1 (Murphy 2020, PMID 32169310); para el cáncer colorrectal, el mismo grupo encontró una asociación similar en casi 400.000 participantes (Murphy 2020, PMID 31884074).</w:t>
      </w:r>
    </w:p>
    <w:p>
      <w:pPr>
        <w:pStyle w:val="BodyText"/>
      </w:pPr>
      <w:r>
        <w:rPr>
          <w:bCs/>
          <w:b/>
        </w:rPr>
        <w:t xml:space="preserve">Análisis genéticos.</w:t>
      </w:r>
      <w:r>
        <w:t xml:space="preserve"> </w:t>
      </w:r>
      <w:r>
        <w:t xml:space="preserve">La llamada aleatorización mendeliana utiliza variantes genéticas que elevan ligeramente el nivel de IGF-1 durante toda la vida como un experimento natural. También aquí, un IGF-1 genéticamente más alto se asoció con algo más de cáncer de mama (odds ratio 1,05 por cada 5 nmol/l) (Murphy 2020, PMID 32169310). Esto indica que la asociación no se debe solo a circunstancias concomitantes.</w:t>
      </w:r>
    </w:p>
    <w:p>
      <w:pPr>
        <w:pStyle w:val="BodyText"/>
      </w:pPr>
      <w:r>
        <w:rPr>
          <w:bCs/>
          <w:b/>
        </w:rPr>
        <w:t xml:space="preserve">Exceso de hormona del crecimiento por enfermedad.</w:t>
      </w:r>
      <w:r>
        <w:t xml:space="preserve"> </w:t>
      </w:r>
      <w:r>
        <w:t xml:space="preserve">En la acromegalia, una sobreproducción de hormona del crecimiento por un tumor de la hipófisis, un metaanálisis de 23 estudios mostró una tasa de cáncer aproximadamente un 50 % mayor (razón estandarizada 1,5), con valores especialmente altos para el cáncer colorrectal y de tiroides. No obstante, los estudios más pequeños y antiguos mostraron valores más altos que los grandes, lo que apunta a sesgos de selección (Dal 2018, PMID 29590449).</w:t>
      </w:r>
    </w:p>
    <w:p>
      <w:pPr>
        <w:pStyle w:val="BodyText"/>
      </w:pPr>
      <w:r>
        <w:rPr>
          <w:bCs/>
          <w:b/>
        </w:rPr>
        <w:t xml:space="preserve">Déficit de IGF-1 por enfermedad.</w:t>
      </w:r>
      <w:r>
        <w:t xml:space="preserve"> </w:t>
      </w:r>
      <w:r>
        <w:t xml:space="preserve">En personas con síndrome de Laron, que por un defecto genético apenas producen IGF-1, en Ecuador, a lo largo de 22 años de observación, solo se produjo un único caso de cáncer, no mortal; en familiares no afectados, la proporción fue del 17 % (Guevara-Aguirre 2011, PMID 21325617).</w:t>
      </w:r>
    </w:p>
    <w:p>
      <w:pPr>
        <w:pStyle w:val="BodyText"/>
      </w:pPr>
      <w:r>
        <w:rPr>
          <w:bCs/>
          <w:b/>
        </w:rPr>
        <w:t xml:space="preserve">La hormona del crecimiento como medicamento.</w:t>
      </w:r>
      <w:r>
        <w:t xml:space="preserve"> </w:t>
      </w:r>
      <w:r>
        <w:t xml:space="preserve">En 23.984 niños tratados con hormona del crecimiento en ocho países europeos no se encontró, en ausencia de enfermedad previa grave, un riesgo de cáncer claramente aumentado. Llamaron la atención algunos tipos de cáncer concretos (hueso, vejiga) y un aumento de la mortalidad por cáncer con dosis diarias más altas en niños que ya habían tenido cáncer antes (Swerdlow 2017, PMID 28187225). En 8418 adultos tratados con hipopituitarismo, el riesgo de cáncer no estaba aumentado; la tasa de cáncer incluso estuvo por debajo de la media de la población (Child 2015, PMID 25810462).</w:t>
      </w:r>
    </w:p>
    <w:p>
      <w:pPr>
        <w:pStyle w:val="BodyText"/>
      </w:pPr>
      <w:r>
        <w:t xml:space="preserve">¿Qué se deduce de ello? Quien tiene un déficit real y recibe la hormona que le falta no presenta, según los conocimientos actuales, un riesgo de cáncer claramente mayor. Quien, en cambio, eleva durante años un nivel normal entra en el terreno en el que los estudios observacionales y genéticos muestran un riesgo moderadamente mayor. Para exactamente esta situación (adultos sanos que utilizan liberadores para mejorar el rendimiento o para «rejuvenecer») no hay estudios a largo plazo. El ibutamoreno, por ejemplo, elevó el IGF-1 de personas mayores sanas hasta el nivel de adultos jóvenes (Nass 2008, PMID 18981485); no se comunicó ninguna señal de cáncer, pero el estudio no era ni lo bastante grande ni lo bastante largo para ello.</w:t>
      </w:r>
    </w:p>
    <w:p>
      <w:pPr>
        <w:pStyle w:val="BodyText"/>
      </w:pPr>
      <w:r>
        <w:t xml:space="preserve">Dos casos especiales merecen mención. Con la mecasermina autorizada se notificaron tras su comercialización neoplasias benignas y malignas en niños tratados; las fichas técnicas contienen las advertencias correspondientes y no debe utilizarse en caso de cáncer activo (situación en 2026, compruébese la información actualizada; capítulo Mecasermina). El preparado de laboratorio IGF-1 LR3 se modificó de modo que ya no se une a las proteínas de unión de la sangre que normalmente amortiguan el IGF-1. Por ello actúa con más intensidad y durante más tiempo sobre el receptor, teóricamente justo en la dirección desfavorable. En humanos nunca se ha estudiado (capítulo IGF-1 LR3).</w:t>
      </w:r>
    </w:p>
    <w:bookmarkEnd w:id="987"/>
    <w:bookmarkStart w:id="988" w:name="Xde8c5c81385f8d67c774c3ad11e2814ddd098b2"/>
    <w:p>
      <w:pPr>
        <w:pStyle w:val="Heading3"/>
      </w:pPr>
      <w:r>
        <w:t xml:space="preserve">Formación de nuevos vasos y otras señales de crecimiento</w:t>
      </w:r>
    </w:p>
    <w:p>
      <w:pPr>
        <w:pStyle w:val="FirstParagraph"/>
      </w:pPr>
      <w:r>
        <w:t xml:space="preserve">Un tumor que quiera crecer más allá de unos pocos milímetros necesita sus propios vasos sanguíneos. Este proceso se llama angiogénesis. Algunos medicamentos oncológicos autorizados actúan precisamente bloqueando la vía de señalización más importante de la formación de nuevos vasos, el sistema VEGF. A la inversa, las sustancias que favorecen la formación de nuevos vasos son sospechosas de favorecer los tumores.</w:t>
      </w:r>
    </w:p>
    <w:p>
      <w:pPr>
        <w:pStyle w:val="BodyText"/>
      </w:pPr>
      <w:r>
        <w:rPr>
          <w:bCs/>
          <w:b/>
        </w:rPr>
        <w:t xml:space="preserve">BPC-157.</w:t>
      </w:r>
      <w:r>
        <w:t xml:space="preserve"> </w:t>
      </w:r>
      <w:r>
        <w:t xml:space="preserve">En experimentos de laboratorio, BPC-157 aumentó la densidad vascular en membranas de huevo de gallina, aceleró en ratas la irrigación de una pata con riego insuficiente y aumentó en células vasculares humanas la cantidad del receptor 2 de VEGF (Hsieh 2017, PMID 27847966). El grupo de trabajo de Zagreb, del que proceden la mayoría de los estudios sobre BPC-157, objeta que BPC-157 regula la formación de vasos en lugar de impulsarla a ciegas, e incluso ha mostrado efectos antitumorales en experimentos con animales y células (Sikiric 2025, PMID 40573323). No se han publicado estudios a largo plazo sobre carcinogénesis como los que se exigen para los medicamentos. La cuestión sigue abierta. Véase el capítulo BPC-157.</w:t>
      </w:r>
    </w:p>
    <w:p>
      <w:pPr>
        <w:pStyle w:val="BodyText"/>
      </w:pPr>
      <w:r>
        <w:rPr>
          <w:bCs/>
          <w:b/>
        </w:rPr>
        <w:t xml:space="preserve">TB-500 y timosina beta 4.</w:t>
      </w:r>
      <w:r>
        <w:t xml:space="preserve"> </w:t>
      </w:r>
      <w:r>
        <w:t xml:space="preserve">La timosina beta 4 favorece la migración celular y la formación de nuevos vasos. En muestras de tejido de 138 personas con cáncer de vejiga, una producción elevada de timosina beta 4 se asoció con un estadio avanzado, afectación ganglionar y una supervivencia más corta (Wang 2016, PMID 27596300). En cultivos de células de cáncer de mama, la timosina beta 4 añadida aumentó el número de células (Larsson 2007, PMID 17495241). Esto no demuestra que el TB-500 administrado desde fuera favorezca el cáncer, pero es un motivo de precaución en personas con cáncer o con un riesgo alto de cáncer. Véase el capítulo TB-500.</w:t>
      </w:r>
    </w:p>
    <w:p>
      <w:pPr>
        <w:pStyle w:val="BodyText"/>
      </w:pPr>
      <w:r>
        <w:rPr>
          <w:bCs/>
          <w:b/>
        </w:rPr>
        <w:t xml:space="preserve">Otros péptidos con señales de crecimiento.</w:t>
      </w:r>
      <w:r>
        <w:t xml:space="preserve"> </w:t>
      </w:r>
      <w:r>
        <w:t xml:space="preserve">En varios péptidos de la Parte II surgen preguntas similares a partir del mecanismo de acción o de datos de laboratorio: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Mecanismo</w:t>
            </w:r>
          </w:p>
        </w:tc>
        <w:tc>
          <w:tcPr/>
          <w:p>
            <w:pPr>
              <w:pStyle w:val="Compact"/>
              <w:jc w:val="left"/>
            </w:pPr>
            <w:r>
              <w:t xml:space="preserve">Tipo de indicio</w:t>
            </w:r>
          </w:p>
        </w:tc>
        <w:tc>
          <w:tcPr/>
          <w:p>
            <w:pPr>
              <w:pStyle w:val="Compact"/>
              <w:jc w:val="left"/>
            </w:pPr>
            <w:r>
              <w:t xml:space="preserve">Capítulo</w:t>
            </w:r>
          </w:p>
        </w:tc>
      </w:tr>
      <w:tr>
        <w:tc>
          <w:tcPr/>
          <w:p>
            <w:pPr>
              <w:pStyle w:val="Compact"/>
              <w:jc w:val="left"/>
            </w:pPr>
            <w:r>
              <w:t xml:space="preserve">Dihexa</w:t>
            </w:r>
          </w:p>
        </w:tc>
        <w:tc>
          <w:tcPr/>
          <w:p>
            <w:pPr>
              <w:pStyle w:val="Compact"/>
              <w:jc w:val="left"/>
            </w:pPr>
            <w:r>
              <w:t xml:space="preserve">refuerza la señal de c-Met, un conocido impulsor del cáncer</w:t>
            </w:r>
          </w:p>
        </w:tc>
        <w:tc>
          <w:tcPr/>
          <w:p>
            <w:pPr>
              <w:pStyle w:val="Compact"/>
              <w:jc w:val="left"/>
            </w:pPr>
            <w:r>
              <w:t xml:space="preserve">solo teórico, sin datos en humanos</w:t>
            </w:r>
          </w:p>
        </w:tc>
        <w:tc>
          <w:tcPr/>
          <w:p>
            <w:pPr>
              <w:pStyle w:val="Compact"/>
              <w:jc w:val="left"/>
            </w:pPr>
            <w:r>
              <w:t xml:space="preserve">Dihexa</w:t>
            </w:r>
          </w:p>
        </w:tc>
      </w:tr>
      <w:tr>
        <w:tc>
          <w:tcPr/>
          <w:p>
            <w:pPr>
              <w:pStyle w:val="Compact"/>
              <w:jc w:val="left"/>
            </w:pPr>
            <w:r>
              <w:t xml:space="preserve">Epitalon</w:t>
            </w:r>
          </w:p>
        </w:tc>
        <w:tc>
          <w:tcPr/>
          <w:p>
            <w:pPr>
              <w:pStyle w:val="Compact"/>
              <w:jc w:val="left"/>
            </w:pPr>
            <w:r>
              <w:t xml:space="preserve">supuestamente activa la telomerasa</w:t>
            </w:r>
          </w:p>
        </w:tc>
        <w:tc>
          <w:tcPr/>
          <w:p>
            <w:pPr>
              <w:pStyle w:val="Compact"/>
              <w:jc w:val="left"/>
            </w:pPr>
            <w:r>
              <w:t xml:space="preserve">cultivo celular: también alargó los telómeros de células de cáncer de mama</w:t>
            </w:r>
          </w:p>
        </w:tc>
        <w:tc>
          <w:tcPr/>
          <w:p>
            <w:pPr>
              <w:pStyle w:val="Compact"/>
              <w:jc w:val="left"/>
            </w:pPr>
            <w:r>
              <w:t xml:space="preserve">Epitalon</w:t>
            </w:r>
          </w:p>
        </w:tc>
      </w:tr>
      <w:tr>
        <w:tc>
          <w:tcPr/>
          <w:p>
            <w:pPr>
              <w:pStyle w:val="Compact"/>
              <w:jc w:val="left"/>
            </w:pPr>
            <w:r>
              <w:t xml:space="preserve">Humanina</w:t>
            </w:r>
          </w:p>
        </w:tc>
        <w:tc>
          <w:tcPr/>
          <w:p>
            <w:pPr>
              <w:pStyle w:val="Compact"/>
              <w:jc w:val="left"/>
            </w:pPr>
            <w:r>
              <w:t xml:space="preserve">protege a las células de la muerte celular</w:t>
            </w:r>
          </w:p>
        </w:tc>
        <w:tc>
          <w:tcPr/>
          <w:p>
            <w:pPr>
              <w:pStyle w:val="Compact"/>
              <w:jc w:val="left"/>
            </w:pPr>
            <w:r>
              <w:t xml:space="preserve">ratones: crecimiento tumoral más rápido, más metástasis</w:t>
            </w:r>
          </w:p>
        </w:tc>
        <w:tc>
          <w:tcPr/>
          <w:p>
            <w:pPr>
              <w:pStyle w:val="Compact"/>
              <w:jc w:val="left"/>
            </w:pPr>
            <w:r>
              <w:t xml:space="preserve">Humanina</w:t>
            </w:r>
          </w:p>
        </w:tc>
      </w:tr>
      <w:tr>
        <w:tc>
          <w:tcPr/>
          <w:p>
            <w:pPr>
              <w:pStyle w:val="Compact"/>
              <w:jc w:val="left"/>
            </w:pPr>
            <w:r>
              <w:t xml:space="preserve">LL-37</w:t>
            </w:r>
          </w:p>
        </w:tc>
        <w:tc>
          <w:tcPr/>
          <w:p>
            <w:pPr>
              <w:pStyle w:val="Compact"/>
              <w:jc w:val="left"/>
            </w:pPr>
            <w:r>
              <w:t xml:space="preserve">señales inflamatorias y de crecimiento</w:t>
            </w:r>
          </w:p>
        </w:tc>
        <w:tc>
          <w:tcPr/>
          <w:p>
            <w:pPr>
              <w:pStyle w:val="Compact"/>
              <w:jc w:val="left"/>
            </w:pPr>
            <w:r>
              <w:t xml:space="preserve">laboratorio: favorecedor o inhibidor según el tipo de cáncer</w:t>
            </w:r>
          </w:p>
        </w:tc>
        <w:tc>
          <w:tcPr/>
          <w:p>
            <w:pPr>
              <w:pStyle w:val="Compact"/>
              <w:jc w:val="left"/>
            </w:pPr>
            <w:r>
              <w:t xml:space="preserve">LL-37</w:t>
            </w:r>
          </w:p>
        </w:tc>
      </w:tr>
      <w:tr>
        <w:tc>
          <w:tcPr/>
          <w:p>
            <w:pPr>
              <w:pStyle w:val="Compact"/>
              <w:jc w:val="left"/>
            </w:pPr>
            <w:r>
              <w:t xml:space="preserve">GHK-Cu</w:t>
            </w:r>
          </w:p>
        </w:tc>
        <w:tc>
          <w:tcPr/>
          <w:p>
            <w:pPr>
              <w:pStyle w:val="Compact"/>
              <w:jc w:val="left"/>
            </w:pPr>
            <w:r>
              <w:t xml:space="preserve">formación de nuevos vasos en experimentos con animales</w:t>
            </w:r>
          </w:p>
        </w:tc>
        <w:tc>
          <w:tcPr/>
          <w:p>
            <w:pPr>
              <w:pStyle w:val="Compact"/>
              <w:jc w:val="left"/>
            </w:pPr>
            <w:r>
              <w:t xml:space="preserve">solo teórico</w:t>
            </w:r>
          </w:p>
        </w:tc>
        <w:tc>
          <w:tcPr/>
          <w:p>
            <w:pPr>
              <w:pStyle w:val="Compact"/>
              <w:jc w:val="left"/>
            </w:pPr>
            <w:r>
              <w:t xml:space="preserve">GHK-Cu</w:t>
            </w:r>
          </w:p>
        </w:tc>
      </w:tr>
      <w:tr>
        <w:tc>
          <w:tcPr/>
          <w:p>
            <w:pPr>
              <w:pStyle w:val="Compact"/>
              <w:jc w:val="left"/>
            </w:pPr>
            <w:r>
              <w:t xml:space="preserve">ARA-290</w:t>
            </w:r>
          </w:p>
        </w:tc>
        <w:tc>
          <w:tcPr/>
          <w:p>
            <w:pPr>
              <w:pStyle w:val="Compact"/>
              <w:jc w:val="left"/>
            </w:pPr>
            <w:r>
              <w:t xml:space="preserve">actúa sobre el receptor de EPO</w:t>
            </w:r>
          </w:p>
        </w:tc>
        <w:tc>
          <w:tcPr/>
          <w:p>
            <w:pPr>
              <w:pStyle w:val="Compact"/>
              <w:jc w:val="left"/>
            </w:pPr>
            <w:r>
              <w:t xml:space="preserve">teórico, por analogía con la EPO</w:t>
            </w:r>
          </w:p>
        </w:tc>
        <w:tc>
          <w:tcPr/>
          <w:p>
            <w:pPr>
              <w:pStyle w:val="Compact"/>
              <w:jc w:val="left"/>
            </w:pPr>
            <w:r>
              <w:t xml:space="preserve">ARA-290</w:t>
            </w:r>
          </w:p>
        </w:tc>
      </w:tr>
    </w:tbl>
    <w:p>
      <w:pPr>
        <w:pStyle w:val="BodyText"/>
      </w:pPr>
      <w:r>
        <w:t xml:space="preserve">Algunos de estos indicios son concretos. En ratones con cáncer de mama triple negativo, la humanina administrada redujo la muerte celular en el tumor, debilitó la quimioterapia y aceleró el crecimiento tumoral y las metástasis pulmonares (Moreno Ayala 2020, PMID 32444831). El epitalon alargó en cultivos celulares los telómeros de células sanas a través de la enzima telomerasa, y en células de cáncer de mama a través de otra vía (Al-Dulaimi 2025, PMID 40908429); en un estudio con ratones, en cambio, el número de tumores espontáneos no aumentó (Anisimov 2003, PMID 14501183). Para el LL-37, una revisión describe efectos favorecedores sobre tumores de ovario, pulmón, mama, próstata, páncreas y piel, pero inhibidores sobre el cáncer colorrectal y gástrico (Chen 2018, PMID 29843147). Para Dihexa se ha descrito la conexión con el sistema c-Met (Wright 2015, PMID 25649658); no hay investigaciones sobre carcinogénesis.</w:t>
      </w:r>
    </w:p>
    <w:p>
      <w:pPr>
        <w:pStyle w:val="BodyText"/>
      </w:pPr>
      <w:r>
        <w:t xml:space="preserve">Todos estos hallazgos proceden de experimentos con animales, de cultivos celulares o del mecanismo de acción. Ninguno demuestra un riesgo de cáncer en humanos. Pero muestran que «natural», «endógeno» o «regenerativo» no significa automáticamente «inocuo», y que para ninguna de estas sustancias existen los datos a largo plazo con los que podría responderse a la pregunta.</w:t>
      </w:r>
    </w:p>
    <w:bookmarkEnd w:id="988"/>
    <w:bookmarkStart w:id="989" w:name="X0dba1c8fbfdbafda938dae5251111240a89a539"/>
    <w:p>
      <w:pPr>
        <w:pStyle w:val="Heading3"/>
      </w:pPr>
      <w:r>
        <w:t xml:space="preserve">Células pigmentarias: melanotán, setmelanotida y afamelanotida</w:t>
      </w:r>
    </w:p>
    <w:p>
      <w:pPr>
        <w:pStyle w:val="FirstParagraph"/>
      </w:pPr>
      <w:r>
        <w:t xml:space="preserve">Los péptidos de melanocortina estimulan las células pigmentarias (melanocitos) de la piel. En la afamelanotida es el efecto buscado, en la setmelanotida y la bremelanotida un efecto adverso y en el melanotán II el verdadero motivo de venta. Como el melanoma se origina en las células pigmentarias, la pregunta por el cáncer de piel es obvia.</w:t>
      </w:r>
    </w:p>
    <w:p>
      <w:pPr>
        <w:pStyle w:val="BodyText"/>
      </w:pPr>
      <w:r>
        <w:t xml:space="preserve">Para el</w:t>
      </w:r>
      <w:r>
        <w:t xml:space="preserve"> </w:t>
      </w:r>
      <w:r>
        <w:rPr>
          <w:bCs/>
          <w:b/>
        </w:rPr>
        <w:t xml:space="preserve">melanotán II</w:t>
      </w:r>
      <w:r>
        <w:t xml:space="preserve">, no autorizado, hay varios casos clínicos de melanomas descubiertos durante el uso o poco después. Una revisión contabilizó cuatro casos en los que los melanomas surgieron de lunares existentes, y subraya al mismo tiempo que falta una prueba concluyente de una relación (Habbema 2017, PMID 28266027). Entre 179 casos publicados de lunares de aparición súbita, de los que una parte se atribuyó al melanotán, cinco se asociaron con un melanoma (Burian 2019, PMID 31119650). La interpretación es difícil: muchos afectados utilizaban al mismo tiempo cabinas de bronceado o tomaban el sol de forma intensa, lo que aumenta de forma independiente el riesgo de melanoma. Y los casos clínicos no pueden aportar frecuencias. Véase el capítulo Melanotán II.</w:t>
      </w:r>
    </w:p>
    <w:p>
      <w:pPr>
        <w:pStyle w:val="BodyText"/>
      </w:pPr>
      <w:r>
        <w:t xml:space="preserve">Para la</w:t>
      </w:r>
      <w:r>
        <w:t xml:space="preserve"> </w:t>
      </w:r>
      <w:r>
        <w:rPr>
          <w:bCs/>
          <w:b/>
        </w:rPr>
        <w:t xml:space="preserve">afamelanotida</w:t>
      </w:r>
      <w:r>
        <w:t xml:space="preserve"> </w:t>
      </w:r>
      <w:r>
        <w:t xml:space="preserve">autorizada hay datos más sistemáticos. En un estudio con 15 personas tratadas y 103 lunares se observaron con dermatoscopia cambios transitorios que habían remitido al cabo de un año; no se encontraron indicios de malignidad ni lunares nuevos (Arisi 2021, PMID 33721252). Con</w:t>
      </w:r>
      <w:r>
        <w:t xml:space="preserve"> </w:t>
      </w:r>
      <w:r>
        <w:rPr>
          <w:bCs/>
          <w:b/>
        </w:rPr>
        <w:t xml:space="preserve">setmelanotida</w:t>
      </w:r>
      <w:r>
        <w:t xml:space="preserve"> </w:t>
      </w:r>
      <w:r>
        <w:t xml:space="preserve">no aparecieron alteraciones cutáneas malignas en un seguimiento de hasta 46 meses (Kanti 2021, PMID 34058738). Estos datos son tranquilizadores, pero escasos y cortos en relación con el tiempo de desarrollo de un melanoma. Las fichas técnicas prevén controles cutáneos periódicos. No pueden trasladarse al melanotán II: otra sustancia, productos no controlados, a menudo combinados con radiación UV.</w:t>
      </w:r>
    </w:p>
    <w:bookmarkEnd w:id="989"/>
    <w:bookmarkStart w:id="990" w:name="glp-1-y-las-células-c-de-la-tiroides"/>
    <w:p>
      <w:pPr>
        <w:pStyle w:val="Heading3"/>
      </w:pPr>
      <w:r>
        <w:t xml:space="preserve">GLP-1 y las células C de la tiroides</w:t>
      </w:r>
    </w:p>
    <w:p>
      <w:pPr>
        <w:pStyle w:val="FirstParagraph"/>
      </w:pPr>
      <w:r>
        <w:t xml:space="preserve">En ratas y ratones, los agonistas del receptor de GLP-1 provocaron en experimentos a largo plazo hiperplasias y tumores de las células C de la tiroides. El mecanismo se conoce bien: las células C de los roedores portan el receptor de GLP-1; su activación aumenta la secreción de calcitonina y la división celular. En humanos y monos, el receptor es claramente más raro en las células C. Monos que recibieron liraglutida durante 20 meses en una concentración más de 60 veces superior a la de los humanos no desarrollaron hiperplasia de células C (Bjerre Knudsen 2010, PMID 20203154).</w:t>
      </w:r>
    </w:p>
    <w:p>
      <w:pPr>
        <w:pStyle w:val="BodyText"/>
      </w:pPr>
      <w:r>
        <w:t xml:space="preserve">Con ello no se descarta por completo un efecto en humanos. En tejido tiroideo humano, una investigación encontró el receptor de GLP-1 en todas las muestras de carcinomas medulares de tiroides y de hiperplasias de células C, en el 18 % de los carcinomas papilares y en una parte de las células C de tiroides sanas (Gier 2012, PMID 22031513).</w:t>
      </w:r>
    </w:p>
    <w:p>
      <w:pPr>
        <w:pStyle w:val="BodyText"/>
      </w:pPr>
      <w:r>
        <w:t xml:space="preserve">Los estudios en humanos no ofrecen una imagen uniforme:</w:t>
      </w:r>
    </w:p>
    <w:p>
      <w:pPr>
        <w:numPr>
          <w:ilvl w:val="0"/>
          <w:numId w:val="1339"/>
        </w:numPr>
        <w:pStyle w:val="Compact"/>
      </w:pPr>
      <w:r>
        <w:t xml:space="preserve">En el estudio LEADER, la calcitonina no aumentó con liraglutida a lo largo de hasta cinco años, y no aparecieron carcinomas medulares (Hegedüs 2018, PMID 29279300).</w:t>
      </w:r>
    </w:p>
    <w:p>
      <w:pPr>
        <w:numPr>
          <w:ilvl w:val="0"/>
          <w:numId w:val="1339"/>
        </w:numPr>
        <w:pStyle w:val="Compact"/>
      </w:pPr>
      <w:r>
        <w:t xml:space="preserve">Un estudio francés de casos y controles con 2562 casos encontró, tras uno a tres años de tratamiento, un riesgo aumentado de cáncer de tiroides en conjunto (hazard ratio 1,58) y de carcinoma medular (1,78) (Bezin 2023, PMID 36356111).</w:t>
      </w:r>
    </w:p>
    <w:p>
      <w:pPr>
        <w:numPr>
          <w:ilvl w:val="0"/>
          <w:numId w:val="1339"/>
        </w:numPr>
        <w:pStyle w:val="Compact"/>
      </w:pPr>
      <w:r>
        <w:t xml:space="preserve">Un estudio de cohortes escandinavo con 145.410 personas tratadas con agonistas del receptor de GLP-1 no encontró un aumento del riesgo (hazard ratio 0,93; 1,33 frente a 1,46 casos por cada 10.000 años-persona). Para el raro carcinoma medular, la estimación fue muy incierta (hazard ratio 1,19; intervalo de confianza 0,37 a 3,86) (Pasternak 2024, PMID 38683947).</w:t>
      </w:r>
    </w:p>
    <w:p>
      <w:pPr>
        <w:numPr>
          <w:ilvl w:val="0"/>
          <w:numId w:val="1339"/>
        </w:numPr>
        <w:pStyle w:val="Compact"/>
      </w:pPr>
      <w:r>
        <w:t xml:space="preserve">Un metaanálisis de 50 estudios aleatorizados de al menos un año de duración mostró una señal para el cáncer de tiroides (odds ratio 1,55), más clara en los estudios más largos (Silverii 2025, PMID 40437949).</w:t>
      </w:r>
    </w:p>
    <w:p>
      <w:pPr>
        <w:pStyle w:val="FirstParagraph"/>
      </w:pPr>
      <w:r>
        <w:t xml:space="preserve">¿Cómo encaja todo esto? Parte de la señal podría deberse a exploraciones más frecuentes: a quien recibe un seguimiento estrecho por diabetes u obesidad se le hace con más frecuencia una ecografía en la que se descubren pequeños carcinomas papilares inofensivos. Pero no puede descartarse un pequeño riesgo real. Por eso, para las personas con antecedentes personales o familiares de carcinoma medular de tiroides o con síndrome MEN 2 sigue vigente una contraindicación (situación en 2026, compruébese la información actualizada). Véase el capítulo Liraglutida.</w:t>
      </w:r>
    </w:p>
    <w:bookmarkEnd w:id="990"/>
    <w:bookmarkStart w:id="991" w:name="páncreas"/>
    <w:p>
      <w:pPr>
        <w:pStyle w:val="Heading3"/>
      </w:pPr>
      <w:r>
        <w:t xml:space="preserve">Páncreas</w:t>
      </w:r>
    </w:p>
    <w:p>
      <w:pPr>
        <w:pStyle w:val="FirstParagraph"/>
      </w:pPr>
      <w:r>
        <w:t xml:space="preserve">Tras las primeras notificaciones de pancreatitis con exenatida y liraglutida, se temió también un aumento del riesgo de cáncer de páncreas. Los datos no lo han confirmado hasta ahora. Un metaanálisis de 62 estudios aleatorizados no encontró un riesgo aumentado de forma demostrada (riesgo relativo 1,30; intervalo de confianza 0,86 a 1,97); en un subgrupo de estudios con medicamentos adicionales estaba aumentado, sin medicamentos adicionales no (Wen 2025, PMID 40988099). Los autores señalan que muchos estudios sin un solo acontecimiento ni siquiera entraron en el cálculo. En un gran estudio de cohortes estadounidense, el cáncer de páncreas fue incluso menos frecuente con agonistas del receptor de GLP-1 que con insulina (hazard ratio 0,41) (Wang 2024, PMID 38967919), si bien la insulina se utiliza a menudo en una diabetes de más larga evolución y más grave.</w:t>
      </w:r>
    </w:p>
    <w:p>
      <w:pPr>
        <w:pStyle w:val="BodyText"/>
      </w:pPr>
      <w:r>
        <w:t xml:space="preserve">Para los tumores neuroendocrinos, un grupo raro de tumores que se originan, entre otros lugares, en el páncreas y que en parte portan el receptor de GLP-1, una revisión concluye que los datos disponibles no muestran un aumento general, pero que existen lagunas importantes, por ejemplo en la predisposición hereditaria (Rajan 2026, PMID 42541759).</w:t>
      </w:r>
    </w:p>
    <w:bookmarkEnd w:id="991"/>
    <w:bookmarkStart w:id="992" w:name="Xa036031fcd34bf014814a63be1d7938905da024"/>
    <w:p>
      <w:pPr>
        <w:pStyle w:val="Heading3"/>
      </w:pPr>
      <w:r>
        <w:t xml:space="preserve">Lo que muestran los nuevos metaanálisis y las grandes cohortes sobre GLP-1 y cáncer</w:t>
      </w:r>
    </w:p>
    <w:p>
      <w:pPr>
        <w:pStyle w:val="FirstParagraph"/>
      </w:pPr>
      <w:r>
        <w:t xml:space="preserve">Con la amplia difusión de los medicamentos GLP-1 se han publicado desde 2024 varios análisis muy grandes. Ofrecen una imagen mayoritariamente tranquilizadora, aunque poco clara en algunos puntos concretos.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Datos</w:t>
            </w:r>
          </w:p>
        </w:tc>
        <w:tc>
          <w:tcPr/>
          <w:p>
            <w:pPr>
              <w:pStyle w:val="Compact"/>
              <w:jc w:val="left"/>
            </w:pPr>
            <w:r>
              <w:t xml:space="preserve">Resultado para el cáncer en conjunto</w:t>
            </w:r>
          </w:p>
        </w:tc>
        <w:tc>
          <w:tcPr/>
          <w:p>
            <w:pPr>
              <w:pStyle w:val="Compact"/>
              <w:jc w:val="left"/>
            </w:pPr>
            <w:r>
              <w:t xml:space="preserve">Particularidades</w:t>
            </w:r>
          </w:p>
        </w:tc>
      </w:tr>
      <w:tr>
        <w:tc>
          <w:tcPr/>
          <w:p>
            <w:pPr>
              <w:pStyle w:val="Compact"/>
              <w:jc w:val="left"/>
            </w:pPr>
            <w:r>
              <w:t xml:space="preserve">Silverii 2025, PMID 40437949</w:t>
            </w:r>
          </w:p>
        </w:tc>
        <w:tc>
          <w:tcPr/>
          <w:p>
            <w:pPr>
              <w:pStyle w:val="Compact"/>
              <w:jc w:val="left"/>
            </w:pPr>
            <w:r>
              <w:t xml:space="preserve">50 ECA, mín. 52 semanas</w:t>
            </w:r>
          </w:p>
        </w:tc>
        <w:tc>
          <w:tcPr/>
          <w:p>
            <w:pPr>
              <w:pStyle w:val="Compact"/>
              <w:jc w:val="left"/>
            </w:pPr>
            <w:r>
              <w:t xml:space="preserve">sin diferencias (odds ratio 1,05)</w:t>
            </w:r>
          </w:p>
        </w:tc>
        <w:tc>
          <w:tcPr/>
          <w:p>
            <w:pPr>
              <w:pStyle w:val="Compact"/>
              <w:jc w:val="left"/>
            </w:pPr>
            <w:r>
              <w:t xml:space="preserve">tiroides 1,55; útero en obesidad 0,24</w:t>
            </w:r>
          </w:p>
        </w:tc>
      </w:tr>
      <w:tr>
        <w:tc>
          <w:tcPr/>
          <w:p>
            <w:pPr>
              <w:pStyle w:val="Compact"/>
              <w:jc w:val="left"/>
            </w:pPr>
            <w:r>
              <w:t xml:space="preserve">Wang 2024, PMID 38967919</w:t>
            </w:r>
          </w:p>
        </w:tc>
        <w:tc>
          <w:tcPr/>
          <w:p>
            <w:pPr>
              <w:pStyle w:val="Compact"/>
              <w:jc w:val="left"/>
            </w:pPr>
            <w:r>
              <w:t xml:space="preserve">1.651.452 personas con diabetes tipo 2</w:t>
            </w:r>
          </w:p>
        </w:tc>
        <w:tc>
          <w:tcPr/>
          <w:p>
            <w:pPr>
              <w:pStyle w:val="Compact"/>
              <w:jc w:val="left"/>
            </w:pPr>
            <w:r>
              <w:t xml:space="preserve">frente a insulina, menos en 10 de 13 tipos de cáncer</w:t>
            </w:r>
          </w:p>
        </w:tc>
        <w:tc>
          <w:tcPr/>
          <w:p>
            <w:pPr>
              <w:pStyle w:val="Compact"/>
              <w:jc w:val="left"/>
            </w:pPr>
            <w:r>
              <w:t xml:space="preserve">frente a metformina, más cáncer renal (1,54)</w:t>
            </w:r>
          </w:p>
        </w:tc>
      </w:tr>
      <w:tr>
        <w:tc>
          <w:tcPr/>
          <w:p>
            <w:pPr>
              <w:pStyle w:val="Compact"/>
              <w:jc w:val="left"/>
            </w:pPr>
            <w:r>
              <w:t xml:space="preserve">Dai 2025, PMID 40839273</w:t>
            </w:r>
          </w:p>
        </w:tc>
        <w:tc>
          <w:tcPr/>
          <w:p>
            <w:pPr>
              <w:pStyle w:val="Compact"/>
              <w:jc w:val="left"/>
            </w:pPr>
            <w:r>
              <w:t xml:space="preserve">86.632 adultos con obesidad</w:t>
            </w:r>
          </w:p>
        </w:tc>
        <w:tc>
          <w:tcPr/>
          <w:p>
            <w:pPr>
              <w:pStyle w:val="Compact"/>
              <w:jc w:val="left"/>
            </w:pPr>
            <w:r>
              <w:t xml:space="preserve">menos cáncer (hazard ratio 0,83)</w:t>
            </w:r>
          </w:p>
        </w:tc>
        <w:tc>
          <w:tcPr/>
          <w:p>
            <w:pPr>
              <w:pStyle w:val="Compact"/>
              <w:jc w:val="left"/>
            </w:pPr>
            <w:r>
              <w:t xml:space="preserve">cáncer renal aumentado en el límite (1,38)</w:t>
            </w:r>
          </w:p>
        </w:tc>
      </w:tr>
      <w:tr>
        <w:tc>
          <w:tcPr/>
          <w:p>
            <w:pPr>
              <w:pStyle w:val="Compact"/>
              <w:jc w:val="left"/>
            </w:pPr>
            <w:r>
              <w:t xml:space="preserve">Hsu 2026, PMID 42252247</w:t>
            </w:r>
          </w:p>
        </w:tc>
        <w:tc>
          <w:tcPr/>
          <w:p>
            <w:pPr>
              <w:pStyle w:val="Compact"/>
              <w:jc w:val="left"/>
            </w:pPr>
            <w:r>
              <w:t xml:space="preserve">161.798 adultos con obesidad sin diabetes</w:t>
            </w:r>
          </w:p>
        </w:tc>
        <w:tc>
          <w:tcPr/>
          <w:p>
            <w:pPr>
              <w:pStyle w:val="Compact"/>
              <w:jc w:val="left"/>
            </w:pPr>
            <w:r>
              <w:t xml:space="preserve">menos tipos de cáncer relacionados con el sobrepeso (0,59)</w:t>
            </w:r>
          </w:p>
        </w:tc>
        <w:tc>
          <w:tcPr/>
          <w:p>
            <w:pPr>
              <w:pStyle w:val="Compact"/>
              <w:jc w:val="left"/>
            </w:pPr>
            <w:r>
              <w:t xml:space="preserve">seguimiento con una mediana de 2 años</w:t>
            </w:r>
          </w:p>
        </w:tc>
      </w:tr>
    </w:tbl>
    <w:p>
      <w:pPr>
        <w:pStyle w:val="BodyText"/>
      </w:pPr>
      <w:r>
        <w:t xml:space="preserve">¿Cómo deben leerse estas cifras?</w:t>
      </w:r>
    </w:p>
    <w:p>
      <w:pPr>
        <w:numPr>
          <w:ilvl w:val="0"/>
          <w:numId w:val="1340"/>
        </w:numPr>
        <w:pStyle w:val="Compact"/>
      </w:pPr>
      <w:r>
        <w:rPr>
          <w:bCs/>
          <w:b/>
        </w:rPr>
        <w:t xml:space="preserve">Los estudios aleatorizados</w:t>
      </w:r>
      <w:r>
        <w:t xml:space="preserve"> </w:t>
      </w:r>
      <w:r>
        <w:t xml:space="preserve">no muestran en conjunto ninguna influencia sobre el riesgo de cáncer. Es el resultado más fiable, pero los estudios son demasiado cortos para el cáncer.</w:t>
      </w:r>
    </w:p>
    <w:p>
      <w:pPr>
        <w:numPr>
          <w:ilvl w:val="0"/>
          <w:numId w:val="1340"/>
        </w:numPr>
        <w:pStyle w:val="Compact"/>
      </w:pPr>
      <w:r>
        <w:rPr>
          <w:bCs/>
          <w:b/>
        </w:rPr>
        <w:t xml:space="preserve">Los grandes estudios observacionales</w:t>
      </w:r>
      <w:r>
        <w:t xml:space="preserve"> </w:t>
      </w:r>
      <w:r>
        <w:t xml:space="preserve">muestran más bien menos cáncer con medicamentos GLP-1. Esto encaja con la idea de que la pérdida de peso reduce los tipos de cáncer relacionados con el sobrepeso. Pero también puede deberse a que las personas que reciben estos medicamentos difieren en muchos aspectos de los grupos de comparación. Un seguimiento de dos años es muy corto para una afirmación sobre la prevención del cáncer.</w:t>
      </w:r>
    </w:p>
    <w:p>
      <w:pPr>
        <w:numPr>
          <w:ilvl w:val="0"/>
          <w:numId w:val="1340"/>
        </w:numPr>
        <w:pStyle w:val="Compact"/>
      </w:pPr>
      <w:r>
        <w:rPr>
          <w:bCs/>
          <w:b/>
        </w:rPr>
        <w:t xml:space="preserve">El cáncer renal</w:t>
      </w:r>
      <w:r>
        <w:t xml:space="preserve"> </w:t>
      </w:r>
      <w:r>
        <w:t xml:space="preserve">aparece en dos estudios de cohortes como posible señal. Está por ver si se trata de un efecto real.</w:t>
      </w:r>
    </w:p>
    <w:p>
      <w:pPr>
        <w:numPr>
          <w:ilvl w:val="0"/>
          <w:numId w:val="1340"/>
        </w:numPr>
        <w:pStyle w:val="Compact"/>
      </w:pPr>
      <w:r>
        <w:rPr>
          <w:bCs/>
          <w:b/>
        </w:rPr>
        <w:t xml:space="preserve">El cáncer de tiroides</w:t>
      </w:r>
      <w:r>
        <w:t xml:space="preserve"> </w:t>
      </w:r>
      <w:r>
        <w:t xml:space="preserve">sigue siendo la cuestión abierta, como se ha descrito más arriba.</w:t>
      </w:r>
    </w:p>
    <w:p>
      <w:pPr>
        <w:pStyle w:val="FirstParagraph"/>
      </w:pPr>
      <w:r>
        <w:t xml:space="preserve">Si los medicamentos GLP-1 protegen realmente frente al cáncer no puede afirmarse con los datos disponibles. En cuanto a si causan cáncer, según los conocimientos actuales: para la mayoría de los tipos de cáncer, no; para la tiroides y el riñón, no está aclarado de forma definitiva. Para los nuevos agonistas múltiples, como la retatrutida, la survodutida o la mazdutida, todavía hay demasiado pocos años de tratamiento para hacer afirmaciones propias.</w:t>
      </w:r>
    </w:p>
    <w:bookmarkEnd w:id="992"/>
    <w:bookmarkStart w:id="993" w:name="lo-más-importante-en-pocas-palabras"/>
    <w:p>
      <w:pPr>
        <w:pStyle w:val="Heading3"/>
      </w:pPr>
      <w:r>
        <w:t xml:space="preserve">Lo más importante en pocas palabras</w:t>
      </w:r>
    </w:p>
    <w:p>
      <w:pPr>
        <w:numPr>
          <w:ilvl w:val="0"/>
          <w:numId w:val="1341"/>
        </w:numPr>
        <w:pStyle w:val="Compact"/>
      </w:pPr>
      <w:r>
        <w:t xml:space="preserve">Los mejores datos sobre el riesgo de cáncer los tienen precisamente los péptidos en los que la preocupación parece menos fundada: los medicamentos GLP-1 autorizados. Para la mayoría de los tipos de cáncer no muestran un aumento del riesgo; la señal tiroidea no está aclarada.</w:t>
      </w:r>
    </w:p>
    <w:p>
      <w:pPr>
        <w:numPr>
          <w:ilvl w:val="0"/>
          <w:numId w:val="1341"/>
        </w:numPr>
        <w:pStyle w:val="Compact"/>
      </w:pPr>
      <w:r>
        <w:t xml:space="preserve">En el eje hormona del crecimiento-IGF-1 está bien demostrada una asociación moderada entre niveles de IGF-1 permanentemente más altos y algunos tipos de cáncer. Faltan estudios en personas sanas que elevan artificialmente el IGF-1 durante años.</w:t>
      </w:r>
    </w:p>
    <w:p>
      <w:pPr>
        <w:numPr>
          <w:ilvl w:val="0"/>
          <w:numId w:val="1341"/>
        </w:numPr>
        <w:pStyle w:val="Compact"/>
      </w:pPr>
      <w:r>
        <w:t xml:space="preserve">Para BPC-157, TB-500, epitalon, humanina, Dihexa y sustancias similares solo hay indicios teóricos y de experimentación animal, en ambas direcciones. No existen datos a largo plazo sobre carcinogénesis.</w:t>
      </w:r>
    </w:p>
    <w:p>
      <w:pPr>
        <w:numPr>
          <w:ilvl w:val="0"/>
          <w:numId w:val="1341"/>
        </w:numPr>
        <w:pStyle w:val="Compact"/>
      </w:pPr>
      <w:r>
        <w:t xml:space="preserve">Con el melanotán II hay casos clínicos de melanoma, pero no datos de frecuencia. Con la afamelanotida autorizada, pequeños estudios no encontraron alteraciones malignas.</w:t>
      </w:r>
    </w:p>
    <w:p>
      <w:pPr>
        <w:numPr>
          <w:ilvl w:val="0"/>
          <w:numId w:val="1341"/>
        </w:numPr>
        <w:pStyle w:val="Compact"/>
      </w:pPr>
      <w:r>
        <w:t xml:space="preserve">Para las personas con un cáncer activo o previo, todos los péptidos que favorecen el crecimiento son especialmente problemáticos sin acompañamiento médico.</w:t>
      </w:r>
    </w:p>
    <w:bookmarkEnd w:id="993"/>
    <w:bookmarkEnd w:id="994"/>
    <w:bookmarkStart w:id="1002" w:name="reacciones-inmunitarias-y-anticuerpos"/>
    <w:p>
      <w:pPr>
        <w:pStyle w:val="Heading2"/>
      </w:pPr>
      <w:r>
        <w:t xml:space="preserve">Reacciones inmunitarias y anticuerpos</w:t>
      </w:r>
    </w:p>
    <w:p>
      <w:pPr>
        <w:pStyle w:val="FirstParagraph"/>
      </w:pPr>
      <w:r>
        <w:t xml:space="preserve">El sistema inmunitario tiene la tarea de reconocer lo ajeno. Los péptidos se sitúan aquí en una frontera: muchos imitan mensajeros endógenos, pero están modificados químicamente para que actúen durante más tiempo. Otros proceden de animales, de bacterias o del laboratorio. A ello se suma que la mayoría de los péptidos se inyectan bajo la piel, en un lugar donde un número especialmente elevado de células defensivas espera a los intrusos.</w:t>
      </w:r>
    </w:p>
    <w:p>
      <w:pPr>
        <w:pStyle w:val="BodyText"/>
      </w:pPr>
      <w:r>
        <w:t xml:space="preserve">Las reacciones inmunitarias a los péptidos van desde enrojecimientos inofensivos en el lugar de inyección, pasando por anticuerpos que solo se detectan en el laboratorio, hasta raras reacciones alérgicas potencialmente mortales. Este capítulo ordena estas reacciones, compara los péptidos y muestra qué papel desempeñan las impurezas.</w:t>
      </w:r>
    </w:p>
    <w:bookmarkStart w:id="995" w:name="Xd16b36527339d24619bfccd12dfe198d88ca7f8"/>
    <w:p>
      <w:pPr>
        <w:pStyle w:val="Heading3"/>
      </w:pPr>
      <w:r>
        <w:t xml:space="preserve">Por qué los péptidos pueden desencadenar una reacción inmunitaria</w:t>
      </w:r>
    </w:p>
    <w:p>
      <w:pPr>
        <w:pStyle w:val="FirstParagraph"/>
      </w:pPr>
      <w:r>
        <w:t xml:space="preserve">Que el sistema inmunitario clasifique un péptido como ajeno depende de varios factores:</w:t>
      </w:r>
    </w:p>
    <w:p>
      <w:pPr>
        <w:numPr>
          <w:ilvl w:val="0"/>
          <w:numId w:val="1342"/>
        </w:numPr>
        <w:pStyle w:val="Compact"/>
      </w:pPr>
      <w:r>
        <w:rPr>
          <w:bCs/>
          <w:b/>
        </w:rPr>
        <w:t xml:space="preserve">Origen y similitud con lo endógeno.</w:t>
      </w:r>
      <w:r>
        <w:t xml:space="preserve"> </w:t>
      </w:r>
      <w:r>
        <w:t xml:space="preserve">La exenatida se desarrolló a partir de un péptido de la saliva de un lagarto y difiere claramente del GLP-1 humano. La liraglutida y la semaglutida, en cambio, imitan en gran medida la hormona humana.</w:t>
      </w:r>
    </w:p>
    <w:p>
      <w:pPr>
        <w:numPr>
          <w:ilvl w:val="0"/>
          <w:numId w:val="1342"/>
        </w:numPr>
        <w:pStyle w:val="Compact"/>
      </w:pPr>
      <w:r>
        <w:rPr>
          <w:bCs/>
          <w:b/>
        </w:rPr>
        <w:t xml:space="preserve">Tamaño y modificaciones.</w:t>
      </w:r>
      <w:r>
        <w:t xml:space="preserve"> </w:t>
      </w:r>
      <w:r>
        <w:t xml:space="preserve">Las moléculas más largas, los ácidos grasos añadidos, los conectores o los componentes de anticuerpos (como en la maridebart cafraglutida) ofrecen más superficie de ataque.</w:t>
      </w:r>
    </w:p>
    <w:p>
      <w:pPr>
        <w:numPr>
          <w:ilvl w:val="0"/>
          <w:numId w:val="1342"/>
        </w:numPr>
        <w:pStyle w:val="Compact"/>
      </w:pPr>
      <w:r>
        <w:rPr>
          <w:bCs/>
          <w:b/>
        </w:rPr>
        <w:t xml:space="preserve">Agregación.</w:t>
      </w:r>
      <w:r>
        <w:t xml:space="preserve"> </w:t>
      </w:r>
      <w:r>
        <w:t xml:space="preserve">Los péptidos pueden asociarse en agregados mayores que el sistema inmunitario reconoce con más facilidad.</w:t>
      </w:r>
    </w:p>
    <w:p>
      <w:pPr>
        <w:numPr>
          <w:ilvl w:val="0"/>
          <w:numId w:val="1342"/>
        </w:numPr>
        <w:pStyle w:val="Compact"/>
      </w:pPr>
      <w:r>
        <w:rPr>
          <w:bCs/>
          <w:b/>
        </w:rPr>
        <w:t xml:space="preserve">Impurezas.</w:t>
      </w:r>
      <w:r>
        <w:t xml:space="preserve"> </w:t>
      </w:r>
      <w:r>
        <w:t xml:space="preserve">Incluso pequeñas cantidades de fragmentos peptídicos fabricados de forma defectuosa o de componentes bacterianos pueden desencadenar una reacción defensiva (más información más abajo).</w:t>
      </w:r>
    </w:p>
    <w:p>
      <w:pPr>
        <w:numPr>
          <w:ilvl w:val="0"/>
          <w:numId w:val="1342"/>
        </w:numPr>
        <w:pStyle w:val="Compact"/>
      </w:pPr>
      <w:r>
        <w:rPr>
          <w:bCs/>
          <w:b/>
        </w:rPr>
        <w:t xml:space="preserve">Frecuencia y duración del uso.</w:t>
      </w:r>
      <w:r>
        <w:t xml:space="preserve"> </w:t>
      </w:r>
      <w:r>
        <w:t xml:space="preserve">Quien se inyecta un péptido de forma repetida durante meses le da al sistema inmunitario muchas oportunidades de reaccionar.</w:t>
      </w:r>
    </w:p>
    <w:p>
      <w:pPr>
        <w:pStyle w:val="FirstParagraph"/>
      </w:pPr>
      <w:r>
        <w:t xml:space="preserve">Para la evaluación de los anticuerpos contra medicamentos (los especialistas hablan de anticuerpos antifármaco, ADA por sus siglas en inglés) se ha consolidado un lenguaje uniforme (Shankar 2014, PMID 24764037). Son importantes cuatro preguntas: ¿cuántas personas tratadas forman anticuerpos? ¿Qué cantidad (el título)? ¿Inhiben los anticuerpos el efecto (anticuerpos neutralizantes)? ¿Y reaccionan también con la hormona endógena (reactividad cruzada)? Este último punto sería el más preocupante: unos anticuerpos que bloquearan no solo el medicamento, sino también la propia hormona, podrían dejar un trastorno permanente.</w:t>
      </w:r>
    </w:p>
    <w:bookmarkEnd w:id="995"/>
    <w:bookmarkStart w:id="996" w:name="X957e765686978bc64faddd565fcba26017c3126"/>
    <w:p>
      <w:pPr>
        <w:pStyle w:val="Heading3"/>
      </w:pPr>
      <w:r>
        <w:t xml:space="preserve">Anticuerpos antifármaco: lo que muestran los estudios</w:t>
      </w:r>
    </w:p>
    <w:p>
      <w:pPr>
        <w:pStyle w:val="FirstParagraph"/>
      </w:pPr>
      <w:r>
        <w:t xml:space="preserve">Para los medicamentos GLP-1 autorizados existen investigaciones sistemáticas. Muestran con qué frecuencia tan distinta se forman anticuerpos, y que una frecuencia elevada no implica automáticamente un problema clínico.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activo</w:t>
            </w:r>
          </w:p>
        </w:tc>
        <w:tc>
          <w:tcPr/>
          <w:p>
            <w:pPr>
              <w:pStyle w:val="Compact"/>
              <w:jc w:val="left"/>
            </w:pPr>
            <w:r>
              <w:t xml:space="preserve">Anticuerpos en</w:t>
            </w:r>
          </w:p>
        </w:tc>
        <w:tc>
          <w:tcPr/>
          <w:p>
            <w:pPr>
              <w:pStyle w:val="Compact"/>
              <w:jc w:val="left"/>
            </w:pPr>
            <w:r>
              <w:t xml:space="preserve">Consecuencias</w:t>
            </w:r>
          </w:p>
        </w:tc>
        <w:tc>
          <w:tcPr/>
          <w:p>
            <w:pPr>
              <w:pStyle w:val="Compact"/>
              <w:jc w:val="left"/>
            </w:pPr>
            <w:r>
              <w:t xml:space="preserve">Fuente</w:t>
            </w:r>
          </w:p>
        </w:tc>
      </w:tr>
      <w:tr>
        <w:tc>
          <w:tcPr/>
          <w:p>
            <w:pPr>
              <w:pStyle w:val="Compact"/>
              <w:jc w:val="left"/>
            </w:pPr>
            <w:r>
              <w:t xml:space="preserve">Exenatida</w:t>
            </w:r>
          </w:p>
        </w:tc>
        <w:tc>
          <w:tcPr/>
          <w:p>
            <w:pPr>
              <w:pStyle w:val="Compact"/>
              <w:jc w:val="left"/>
            </w:pPr>
            <w:r>
              <w:t xml:space="preserve">61 % a las 26 semanas (LEAD-6)</w:t>
            </w:r>
          </w:p>
        </w:tc>
        <w:tc>
          <w:tcPr/>
          <w:p>
            <w:pPr>
              <w:pStyle w:val="Compact"/>
              <w:jc w:val="left"/>
            </w:pPr>
            <w:r>
              <w:t xml:space="preserve">títulos altos: menor reducción de la HbA1c</w:t>
            </w:r>
          </w:p>
        </w:tc>
        <w:tc>
          <w:tcPr/>
          <w:p>
            <w:pPr>
              <w:pStyle w:val="Compact"/>
              <w:jc w:val="left"/>
            </w:pPr>
            <w:r>
              <w:t xml:space="preserve">Buse 2011, PMID 21450987</w:t>
            </w:r>
          </w:p>
        </w:tc>
      </w:tr>
      <w:tr>
        <w:tc>
          <w:tcPr/>
          <w:p>
            <w:pPr>
              <w:pStyle w:val="Compact"/>
              <w:jc w:val="left"/>
            </w:pPr>
            <w:r>
              <w:t xml:space="preserve">Liraglutida</w:t>
            </w:r>
          </w:p>
        </w:tc>
        <w:tc>
          <w:tcPr/>
          <w:p>
            <w:pPr>
              <w:pStyle w:val="Compact"/>
              <w:jc w:val="left"/>
            </w:pPr>
            <w:r>
              <w:t xml:space="preserve">8,3 a 8,7 %, títulos bajos</w:t>
            </w:r>
          </w:p>
        </w:tc>
        <w:tc>
          <w:tcPr/>
          <w:p>
            <w:pPr>
              <w:pStyle w:val="Compact"/>
              <w:jc w:val="left"/>
            </w:pPr>
            <w:r>
              <w:t xml:space="preserve">sin atenuación del efecto</w:t>
            </w:r>
          </w:p>
        </w:tc>
        <w:tc>
          <w:tcPr/>
          <w:p>
            <w:pPr>
              <w:pStyle w:val="Compact"/>
              <w:jc w:val="left"/>
            </w:pPr>
            <w:r>
              <w:t xml:space="preserve">Buse 2011, PMID 21450987</w:t>
            </w:r>
          </w:p>
        </w:tc>
      </w:tr>
      <w:tr>
        <w:tc>
          <w:tcPr/>
          <w:p>
            <w:pPr>
              <w:pStyle w:val="Compact"/>
              <w:jc w:val="left"/>
            </w:pPr>
            <w:r>
              <w:t xml:space="preserve">Dulaglutida</w:t>
            </w:r>
          </w:p>
        </w:tc>
        <w:tc>
          <w:tcPr/>
          <w:p>
            <w:pPr>
              <w:pStyle w:val="Compact"/>
              <w:jc w:val="left"/>
            </w:pPr>
            <w:r>
              <w:t xml:space="preserve">1,6 %, neutralizantes 0,9 %</w:t>
            </w:r>
          </w:p>
        </w:tc>
        <w:tc>
          <w:tcPr/>
          <w:p>
            <w:pPr>
              <w:pStyle w:val="Compact"/>
              <w:jc w:val="left"/>
            </w:pPr>
            <w:r>
              <w:t xml:space="preserve">sin hipersensibilidad en los positivos para anticuerpos</w:t>
            </w:r>
          </w:p>
        </w:tc>
        <w:tc>
          <w:tcPr/>
          <w:p>
            <w:pPr>
              <w:pStyle w:val="Compact"/>
              <w:jc w:val="left"/>
            </w:pPr>
            <w:r>
              <w:t xml:space="preserve">Milicevic 2016, PMID 26847401</w:t>
            </w:r>
          </w:p>
        </w:tc>
      </w:tr>
      <w:tr>
        <w:tc>
          <w:tcPr/>
          <w:p>
            <w:pPr>
              <w:pStyle w:val="Compact"/>
              <w:jc w:val="left"/>
            </w:pPr>
            <w:r>
              <w:t xml:space="preserve">Tirzepatida</w:t>
            </w:r>
          </w:p>
        </w:tc>
        <w:tc>
          <w:tcPr/>
          <w:p>
            <w:pPr>
              <w:pStyle w:val="Compact"/>
              <w:jc w:val="left"/>
            </w:pPr>
            <w:r>
              <w:t xml:space="preserve">51,1 %, neutralizantes alrededor del 2 %</w:t>
            </w:r>
          </w:p>
        </w:tc>
        <w:tc>
          <w:tcPr/>
          <w:p>
            <w:pPr>
              <w:pStyle w:val="Compact"/>
              <w:jc w:val="left"/>
            </w:pPr>
            <w:r>
              <w:t xml:space="preserve">sin atenuación del efecto; más reacciones cutáneas y alérgicas</w:t>
            </w:r>
          </w:p>
        </w:tc>
        <w:tc>
          <w:tcPr/>
          <w:p>
            <w:pPr>
              <w:pStyle w:val="Compact"/>
              <w:jc w:val="left"/>
            </w:pPr>
            <w:r>
              <w:t xml:space="preserve">Mullins 2024, PMID 37700637</w:t>
            </w:r>
          </w:p>
        </w:tc>
      </w:tr>
      <w:tr>
        <w:tc>
          <w:tcPr/>
          <w:p>
            <w:pPr>
              <w:pStyle w:val="Compact"/>
              <w:jc w:val="left"/>
            </w:pPr>
            <w:r>
              <w:t xml:space="preserve">Sermorelina</w:t>
            </w:r>
          </w:p>
        </w:tc>
        <w:tc>
          <w:tcPr/>
          <w:p>
            <w:pPr>
              <w:pStyle w:val="Compact"/>
              <w:jc w:val="left"/>
            </w:pPr>
            <w:r>
              <w:t xml:space="preserve">14 de 18 niños</w:t>
            </w:r>
          </w:p>
        </w:tc>
        <w:tc>
          <w:tcPr/>
          <w:p>
            <w:pPr>
              <w:pStyle w:val="Compact"/>
              <w:jc w:val="left"/>
            </w:pPr>
            <w:r>
              <w:t xml:space="preserve">sin consecuencias apreciables</w:t>
            </w:r>
          </w:p>
        </w:tc>
        <w:tc>
          <w:tcPr/>
          <w:p>
            <w:pPr>
              <w:pStyle w:val="Compact"/>
              <w:jc w:val="left"/>
            </w:pPr>
            <w:r>
              <w:t xml:space="preserve">Ross 1987, PMID 2879138</w:t>
            </w:r>
          </w:p>
        </w:tc>
      </w:tr>
      <w:tr>
        <w:tc>
          <w:tcPr/>
          <w:p>
            <w:pPr>
              <w:pStyle w:val="Compact"/>
              <w:jc w:val="left"/>
            </w:pPr>
            <w:r>
              <w:t xml:space="preserve">ARA-290</w:t>
            </w:r>
          </w:p>
        </w:tc>
        <w:tc>
          <w:tcPr/>
          <w:p>
            <w:pPr>
              <w:pStyle w:val="Compact"/>
              <w:jc w:val="left"/>
            </w:pPr>
            <w:r>
              <w:t xml:space="preserve">ninguno en 12 semanas</w:t>
            </w:r>
          </w:p>
        </w:tc>
        <w:tc>
          <w:tcPr/>
          <w:p>
            <w:pPr>
              <w:pStyle w:val="Compact"/>
              <w:jc w:val="left"/>
            </w:pPr>
            <w:r>
              <w:t xml:space="preserve">–</w:t>
            </w:r>
          </w:p>
        </w:tc>
        <w:tc>
          <w:tcPr/>
          <w:p>
            <w:pPr>
              <w:pStyle w:val="Compact"/>
              <w:jc w:val="left"/>
            </w:pPr>
            <w:r>
              <w:t xml:space="preserve">Lois 2020, PMID 32674280</w:t>
            </w:r>
          </w:p>
        </w:tc>
      </w:tr>
    </w:tbl>
    <w:p>
      <w:pPr>
        <w:pStyle w:val="BodyText"/>
      </w:pPr>
      <w:r>
        <w:rPr>
          <w:bCs/>
          <w:b/>
        </w:rPr>
        <w:t xml:space="preserve">La exenatida</w:t>
      </w:r>
      <w:r>
        <w:t xml:space="preserve"> </w:t>
      </w:r>
      <w:r>
        <w:t xml:space="preserve">es el ejemplo paradigmático de un péptido que, por su origen no humano, provoca anticuerpos con frecuencia. En el estudio LEAD-6, a las 26 semanas, 113 de 185 personas tratadas tenían anticuerpos contra la exenatida; los niveles altos de anticuerpos se asociaron con una reducción significativamente menor del azúcar a largo plazo. Tras el cambio a liraglutida, estos anticuerpos no obstaculizaron el efecto posterior (Buse 2011, PMID 21450987).</w:t>
      </w:r>
    </w:p>
    <w:p>
      <w:pPr>
        <w:pStyle w:val="BodyText"/>
      </w:pPr>
      <w:r>
        <w:rPr>
          <w:bCs/>
          <w:b/>
        </w:rPr>
        <w:t xml:space="preserve">La tirzepatida</w:t>
      </w:r>
      <w:r>
        <w:t xml:space="preserve"> </w:t>
      </w:r>
      <w:r>
        <w:t xml:space="preserve">muestra que también un péptido que imita al humano puede ser reconocido con frecuencia. En siete estudios de fase 3 con 5025 participantes evaluables, el 51,1 % formó anticuerpos durante el tratamiento. Se encontraron anticuerpos neutralizantes contra el efecto sobre el receptor de GIP o de GLP-1 en el 1,9 % y el 2,1 %, respectivamente, y anticuerpos que neutralizaban también las hormonas endógenas en menos del 1 %. Esto no influyó en los niveles en sangre ni en el efecto. No obstante, los participantes positivos para anticuerpos experimentaron con más frecuencia reacciones de hipersensibilidad y reacciones en el lugar de inyección, en su mayoría leves a moderadas (Mullins 2024, PMID 37700637).</w:t>
      </w:r>
    </w:p>
    <w:p>
      <w:pPr>
        <w:pStyle w:val="BodyText"/>
      </w:pPr>
      <w:r>
        <w:t xml:space="preserve">Para los principios activos más recientes (retatrutida, survodutida, mazdutida, cagrilintida, amicretina y la maridebart cafraglutida, basada en anticuerpos) todavía no se han publicado análisis de conjunto comparables. En la maridebart cafraglutida esto es especialmente relevante, porque los medicamentos basados en anticuerpos pueden tener una inmunogenicidad propia (capítulo Maridebart cafraglutida).</w:t>
      </w:r>
    </w:p>
    <w:p>
      <w:pPr>
        <w:pStyle w:val="BodyText"/>
      </w:pPr>
      <w:r>
        <w:t xml:space="preserve">Para la mayoría de los péptidos del mercado gris no hay ningún dato sobre anticuerpos. Esto se aplica a BPC-157, TB-500, CJC-1295, ipamorelina, MOTS-c, humanina, epitalon y muchos otros. En los capítulos sobre MOTS-c, humanina y FOXO4-DRI se señala que los anticuerpos son concebibles con inyecciones repetidas, pero nunca se han estudiado. Quien se inyecta estas sustancias durante meses no puede saber, por tanto, si su organismo forma anticuerpos ni qué efecto tienen.</w:t>
      </w:r>
    </w:p>
    <w:bookmarkEnd w:id="996"/>
    <w:bookmarkStart w:id="997" w:name="reacciones-en-el-lugar-de-inyección"/>
    <w:p>
      <w:pPr>
        <w:pStyle w:val="Heading3"/>
      </w:pPr>
      <w:r>
        <w:t xml:space="preserve">Reacciones en el lugar de inyección</w:t>
      </w:r>
    </w:p>
    <w:p>
      <w:pPr>
        <w:pStyle w:val="FirstParagraph"/>
      </w:pPr>
      <w:r>
        <w:t xml:space="preserve">El enrojecimiento, el picor, la hinchazón, los pequeños hematomas o los nódulos palpables en el lugar de inyección son las reacciones inmunitarias y tisulares más frecuentes a los péptidos inyectados. Un metaanálisis de 14 estudios aleatorizados con 4861 participantes encontró con agonistas del receptor de GLP-1 un riesgo de estas reacciones unas tres veces y media mayor que en los grupos de comparación (riesgo relativo 3,55). En la base de datos de notificaciones de EE. UU. destacaron especialmente la exenatida y la dulaglutida por hemorragias en el lugar de inyección (Taj 2026, PMID 41395692).</w:t>
      </w:r>
    </w:p>
    <w:p>
      <w:pPr>
        <w:pStyle w:val="BodyText"/>
      </w:pPr>
      <w:r>
        <w:t xml:space="preserve">La frecuencia difiere considerablemente entre los péptidos: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Péptido</w:t>
            </w:r>
          </w:p>
        </w:tc>
        <w:tc>
          <w:tcPr/>
          <w:p>
            <w:pPr>
              <w:pStyle w:val="Compact"/>
              <w:jc w:val="left"/>
            </w:pPr>
            <w:r>
              <w:t xml:space="preserve">Reacciones en el lugar de inyección</w:t>
            </w:r>
          </w:p>
        </w:tc>
        <w:tc>
          <w:tcPr/>
          <w:p>
            <w:pPr>
              <w:pStyle w:val="Compact"/>
              <w:jc w:val="left"/>
            </w:pPr>
            <w:r>
              <w:t xml:space="preserve">Fuente</w:t>
            </w:r>
          </w:p>
        </w:tc>
      </w:tr>
      <w:tr>
        <w:tc>
          <w:tcPr/>
          <w:p>
            <w:pPr>
              <w:pStyle w:val="Compact"/>
              <w:jc w:val="left"/>
            </w:pPr>
            <w:r>
              <w:t xml:space="preserve">Setmelanotida</w:t>
            </w:r>
          </w:p>
        </w:tc>
        <w:tc>
          <w:tcPr/>
          <w:p>
            <w:pPr>
              <w:pStyle w:val="Compact"/>
              <w:jc w:val="left"/>
            </w:pPr>
            <w:r>
              <w:t xml:space="preserve">96 % (metaanálisis, 7 estudios)</w:t>
            </w:r>
          </w:p>
        </w:tc>
        <w:tc>
          <w:tcPr/>
          <w:p>
            <w:pPr>
              <w:pStyle w:val="Compact"/>
              <w:jc w:val="left"/>
            </w:pPr>
            <w:r>
              <w:t xml:space="preserve">Sridharan 2026, PMID 39924461</w:t>
            </w:r>
          </w:p>
        </w:tc>
      </w:tr>
      <w:tr>
        <w:tc>
          <w:tcPr/>
          <w:p>
            <w:pPr>
              <w:pStyle w:val="Compact"/>
              <w:jc w:val="left"/>
            </w:pPr>
            <w:r>
              <w:t xml:space="preserve">Elamipretida (SS-31)</w:t>
            </w:r>
          </w:p>
        </w:tc>
        <w:tc>
          <w:tcPr/>
          <w:p>
            <w:pPr>
              <w:pStyle w:val="Compact"/>
              <w:jc w:val="left"/>
            </w:pPr>
            <w:r>
              <w:t xml:space="preserve">80 %, en su mayoría leves</w:t>
            </w:r>
          </w:p>
        </w:tc>
        <w:tc>
          <w:tcPr/>
          <w:p>
            <w:pPr>
              <w:pStyle w:val="Compact"/>
              <w:jc w:val="left"/>
            </w:pPr>
            <w:r>
              <w:t xml:space="preserve">Karaa 2020, PMID 32096613</w:t>
            </w:r>
          </w:p>
        </w:tc>
      </w:tr>
      <w:tr>
        <w:tc>
          <w:tcPr/>
          <w:p>
            <w:pPr>
              <w:pStyle w:val="Compact"/>
              <w:jc w:val="left"/>
            </w:pPr>
            <w:r>
              <w:t xml:space="preserve">Mecasermina</w:t>
            </w:r>
          </w:p>
        </w:tc>
        <w:tc>
          <w:tcPr/>
          <w:p>
            <w:pPr>
              <w:pStyle w:val="Compact"/>
              <w:jc w:val="left"/>
            </w:pPr>
            <w:r>
              <w:t xml:space="preserve">alteraciones del tejido graso en el 32 %</w:t>
            </w:r>
          </w:p>
        </w:tc>
        <w:tc>
          <w:tcPr/>
          <w:p>
            <w:pPr>
              <w:pStyle w:val="Compact"/>
              <w:jc w:val="left"/>
            </w:pPr>
            <w:r>
              <w:t xml:space="preserve">Chernausek 2007, PMID 17192294</w:t>
            </w:r>
          </w:p>
        </w:tc>
      </w:tr>
      <w:tr>
        <w:tc>
          <w:tcPr/>
          <w:p>
            <w:pPr>
              <w:pStyle w:val="Compact"/>
              <w:jc w:val="left"/>
            </w:pPr>
            <w:r>
              <w:t xml:space="preserve">Tirzepatida</w:t>
            </w:r>
          </w:p>
        </w:tc>
        <w:tc>
          <w:tcPr/>
          <w:p>
            <w:pPr>
              <w:pStyle w:val="Compact"/>
              <w:jc w:val="left"/>
            </w:pPr>
            <w:r>
              <w:t xml:space="preserve">2 a 7 %</w:t>
            </w:r>
          </w:p>
        </w:tc>
        <w:tc>
          <w:tcPr/>
          <w:p>
            <w:pPr>
              <w:pStyle w:val="Compact"/>
              <w:jc w:val="left"/>
            </w:pPr>
            <w:r>
              <w:t xml:space="preserve">Gupta 2026, PMID 42930571</w:t>
            </w:r>
          </w:p>
        </w:tc>
      </w:tr>
      <w:tr>
        <w:tc>
          <w:tcPr/>
          <w:p>
            <w:pPr>
              <w:pStyle w:val="Compact"/>
              <w:jc w:val="left"/>
            </w:pPr>
            <w:r>
              <w:t xml:space="preserve">Bremelanotida</w:t>
            </w:r>
          </w:p>
        </w:tc>
        <w:tc>
          <w:tcPr/>
          <w:p>
            <w:pPr>
              <w:pStyle w:val="Compact"/>
              <w:jc w:val="left"/>
            </w:pPr>
            <w:r>
              <w:t xml:space="preserve">5,4 % frente a 0,5 % con placebo</w:t>
            </w:r>
          </w:p>
        </w:tc>
        <w:tc>
          <w:tcPr/>
          <w:p>
            <w:pPr>
              <w:pStyle w:val="Compact"/>
              <w:jc w:val="left"/>
            </w:pPr>
            <w:r>
              <w:t xml:space="preserve">Clayton 2022, PMID 35147466</w:t>
            </w:r>
          </w:p>
        </w:tc>
      </w:tr>
    </w:tbl>
    <w:p>
      <w:pPr>
        <w:pStyle w:val="BodyText"/>
      </w:pPr>
      <w:r>
        <w:t xml:space="preserve">Con la forma semanal de exenatida se forman a menudo pequeños nódulos, porque las microesferas que liberan lentamente el principio activo se degradan bajo la piel. En el análisis a cinco años de DURATION-1, estas reacciones se hicieron menos frecuentes con el tiempo (Wysham 2015, PMID 25744115). En el caso de la mecasermina se trataba de un engrosamiento del tejido graso en el lugar de inyección (lipohipertrofia).</w:t>
      </w:r>
    </w:p>
    <w:p>
      <w:pPr>
        <w:pStyle w:val="BodyText"/>
      </w:pPr>
      <w:r>
        <w:t xml:space="preserve">Es importante distinguirlas de una</w:t>
      </w:r>
      <w:r>
        <w:t xml:space="preserve"> </w:t>
      </w:r>
      <w:r>
        <w:rPr>
          <w:bCs/>
          <w:b/>
        </w:rPr>
        <w:t xml:space="preserve">infección</w:t>
      </w:r>
      <w:r>
        <w:t xml:space="preserve">. Un enrojecimiento que aumenta a lo largo de días, se calienta, duele, supura o va acompañado de fiebre no es una reacción inofensiva. Tras inyecciones de Argireline en la frente y las sienes, una mujer de 45 años desarrolló nódulos y abscesos; la causa fue la bacteria</w:t>
      </w:r>
      <w:r>
        <w:t xml:space="preserve"> </w:t>
      </w:r>
      <w:r>
        <w:rPr>
          <w:iCs/>
          <w:i/>
        </w:rPr>
        <w:t xml:space="preserve">Mycobacterium abscessus</w:t>
      </w:r>
      <w:r>
        <w:t xml:space="preserve">, difícil de tratar, y el tratamiento duró cinco meses (Chen 2021, PMID 33748252). Estas infecciones no suelen deberse al péptido, sino a productos o procedimientos no estériles; más información en el capítulo «Productos del mercado gris».</w:t>
      </w:r>
    </w:p>
    <w:bookmarkEnd w:id="997"/>
    <w:bookmarkStart w:id="998" w:name="reacciones-alérgicas-y-anafilaxia"/>
    <w:p>
      <w:pPr>
        <w:pStyle w:val="Heading3"/>
      </w:pPr>
      <w:r>
        <w:t xml:space="preserve">Reacciones alérgicas y anafilaxia</w:t>
      </w:r>
    </w:p>
    <w:p>
      <w:pPr>
        <w:pStyle w:val="FirstParagraph"/>
      </w:pPr>
      <w:r>
        <w:t xml:space="preserve">Una anafilaxia es una reacción alérgica grave que afecta a todo el organismo, con erupción cutánea, hinchazón, dificultad respiratoria y colapso circulatorio. Es rara con los medicamentos peptídicos, pero se produce.</w:t>
      </w:r>
    </w:p>
    <w:p>
      <w:pPr>
        <w:pStyle w:val="BodyText"/>
      </w:pPr>
      <w:r>
        <w:t xml:space="preserve">Para los medicamentos GLP-1 hay al respecto grandes estudios de bases de datos. En tres bases de datos de aseguradoras de EE. UU. con 696.089 nuevos usuarios, la frecuencia de anafilaxia osciló, según el principio activo, entre 1,0 (lixisenatida) y 6,0 (exenatida) casos por cada 10.000 años-persona; los autores consideran rara la anafilaxia con medicamentos GLP-1 (Anthony 2024, PMID 38363873). Un estudio del Reino Unido y EE. UU. comparó los agonistas del receptor de GLP-1 con otros dos grupos de antidiabéticos. Frente a los inhibidores de la DPP-4, el riesgo no estaba aumentado de forma demostrada (hazard ratio 1,15); frente a los inhibidores de SGLT2, era un 38 % mayor (40,7 frente a 29,4 casos por cada 100.000 años-persona) (Pradhan 2022, PMID 35136902). Se trata de un aumento relativo de una reacción muy rara en términos absolutos.</w:t>
      </w:r>
    </w:p>
    <w:p>
      <w:pPr>
        <w:pStyle w:val="BodyText"/>
      </w:pPr>
      <w:r>
        <w:t xml:space="preserve">Casos aislados muestran qué aspecto pueden tener estas reacciones:</w:t>
      </w:r>
    </w:p>
    <w:p>
      <w:pPr>
        <w:numPr>
          <w:ilvl w:val="0"/>
          <w:numId w:val="1343"/>
        </w:numPr>
        <w:pStyle w:val="Compact"/>
      </w:pPr>
      <w:r>
        <w:t xml:space="preserve">Varios casos clínicos describen anafilaxia con la forma semanal de exenatida (Ornelas 2018, PMID 30350785) y una reacción alérgica a la exenatida y a la lixisenatida, pero no a la liraglutida (Shamriz 2019, PMID 31296642), un indicio de que los principios activos derivados de lagartos se reconocen de forma distinta que los similares a los humanos.</w:t>
      </w:r>
    </w:p>
    <w:p>
      <w:pPr>
        <w:numPr>
          <w:ilvl w:val="0"/>
          <w:numId w:val="1343"/>
        </w:numPr>
        <w:pStyle w:val="Compact"/>
      </w:pPr>
      <w:r>
        <w:t xml:space="preserve">Con tirzepatida se ha descrito una anafilaxia bifásica, en la que los síntomas reaparecieron tras una mejoría inicial (He 2023, PMID 38186543).</w:t>
      </w:r>
    </w:p>
    <w:p>
      <w:pPr>
        <w:numPr>
          <w:ilvl w:val="0"/>
          <w:numId w:val="1343"/>
        </w:numPr>
        <w:pStyle w:val="Compact"/>
      </w:pPr>
      <w:r>
        <w:t xml:space="preserve">Una mujer de 50 años desarrolló, cuatro horas después de su primera inyección de semaglutida de una farmacia de fórmulas magistrales, una hinchazón masiva de labios, lengua y faringe y tuvo que recibir ventilación mecánica durante cuatro días. Solo después se descubrió que, por error, se había inyectado diez veces la cantidad prevista (Kraft 2026, PMID 42194666).</w:t>
      </w:r>
    </w:p>
    <w:p>
      <w:pPr>
        <w:numPr>
          <w:ilvl w:val="0"/>
          <w:numId w:val="1343"/>
        </w:numPr>
        <w:pStyle w:val="Compact"/>
      </w:pPr>
      <w:r>
        <w:t xml:space="preserve">Tras una infusión de cerebrolisina, un hombre de 85 años desarrolló una anafilaxia potencialmente mortal, confirmada en el laboratorio (Trimmel 2024, PMID 39055722). La cerebrolisina es una mezcla de péptidos procedentes de cerebro de cerdo; los extractos animales como este o la timalina aportan, por principio, más proteínas ajenas (capítulos Cerebrolisina, Timalina).</w:t>
      </w:r>
    </w:p>
    <w:p>
      <w:pPr>
        <w:pStyle w:val="FirstParagraph"/>
      </w:pPr>
      <w:r>
        <w:t xml:space="preserve">También con los péptidos cosméticos son posibles las alergias, aunque raras. En un pequeño estudio con una crema que contenía, entre otros ingredientes, palmitoil pentapéptido-4, se produjo una sospecha de reacción alérgica; qué componente fue el responsable quedó sin aclarar (Röper 2004, PMID 15127162).</w:t>
      </w:r>
    </w:p>
    <w:p>
      <w:pPr>
        <w:pStyle w:val="BodyText"/>
      </w:pPr>
      <w:r>
        <w:t xml:space="preserve">Para los péptidos del mercado gris no hay datos de frecuencia. Sin embargo, el riesgo de una reacción alérgica grave existe allí en especial medida, porque el uso suele producirse sin supervisión médica y, en caso de urgencia, no hay nadie preparado con medicamentos de emergencia. La dificultad respiratoria, la hinchazón de la cara o la faringe y los síntomas circulatorios tras una inyección son siempre una urgencia.</w:t>
      </w:r>
    </w:p>
    <w:bookmarkEnd w:id="998"/>
    <w:bookmarkStart w:id="999" w:name="Xeb08edd547340efb307cd0640af64499a0b74ae"/>
    <w:p>
      <w:pPr>
        <w:pStyle w:val="Heading3"/>
      </w:pPr>
      <w:r>
        <w:t xml:space="preserve">Reacciones inflamatorias y autoinmunitarias</w:t>
      </w:r>
    </w:p>
    <w:p>
      <w:pPr>
        <w:pStyle w:val="FirstParagraph"/>
      </w:pPr>
      <w:r>
        <w:t xml:space="preserve">Algunos péptidos forman parte del propio sistema inmunitario. Eso los hace interesantes, pero también arriesgados.</w:t>
      </w:r>
    </w:p>
    <w:p>
      <w:pPr>
        <w:pStyle w:val="BodyText"/>
      </w:pPr>
      <w:r>
        <w:rPr>
          <w:bCs/>
          <w:b/>
        </w:rPr>
        <w:t xml:space="preserve">El LL-37</w:t>
      </w:r>
      <w:r>
        <w:t xml:space="preserve"> </w:t>
      </w:r>
      <w:r>
        <w:t xml:space="preserve">es un péptido defensivo endógeno. En la psoriasis desempeña un papel clave: se une al material genético propio y lo hace visible para determinadas células inmunitarias, que a continuación liberan mensajeros inflamatorios (Lande 2007, PMID 17873860). En dos tercios de las personas con psoriasis moderada a grave se encontraron linfocitos T que reconocen específicamente el LL-37; allí actúa, por tanto, como un autoantígeno (Lande 2014, PMID 25470744). Tras inyecciones de LL-37 en metástasis cutáneas, una paciente presentó lesiones cutáneas inflamatorias de aspecto verrugoso (Dolkar 2018, PMID 29665030). Para las personas con psoriasis, rosácea u otras enfermedades autoinmunitarias es un indicio que debe tomarse en serio (capítulo LL-37).</w:t>
      </w:r>
    </w:p>
    <w:p>
      <w:pPr>
        <w:pStyle w:val="BodyText"/>
      </w:pPr>
      <w:r>
        <w:rPr>
          <w:bCs/>
          <w:b/>
        </w:rPr>
        <w:t xml:space="preserve">Los péptidos inmunoestimulantes</w:t>
      </w:r>
      <w:r>
        <w:t xml:space="preserve">, como la timosina alfa 1 y la timalina, deben estimular las defensas. Si esto resulta perjudicial en las enfermedades autoinmunitarias o tras un trasplante de órganos no se ha estudiado (capítulos Timosina alfa 1, Timalina).</w:t>
      </w:r>
    </w:p>
    <w:p>
      <w:pPr>
        <w:pStyle w:val="BodyText"/>
      </w:pPr>
      <w:r>
        <w:t xml:space="preserve">En los medicamentos GLP-1, una revisión sistemática describe, además de las reacciones cutáneas leves frecuentes, enfermedades inmunomediadas raras pero potencialmente graves, entre ellas angioedemas, enfermedades autoinmunitarias ampollosas, exantemas medicamentosos e inflamaciones vasculares (Gupta 2026, PMID 42930571). Su frecuencia no puede deducirse de los casos clínicos.</w:t>
      </w:r>
    </w:p>
    <w:bookmarkEnd w:id="999"/>
    <w:bookmarkStart w:id="1000" w:name="las-impurezas-como-desencadenantes"/>
    <w:p>
      <w:pPr>
        <w:pStyle w:val="Heading3"/>
      </w:pPr>
      <w:r>
        <w:t xml:space="preserve">Las impurezas como desencadenantes</w:t>
      </w:r>
    </w:p>
    <w:p>
      <w:pPr>
        <w:pStyle w:val="FirstParagraph"/>
      </w:pPr>
      <w:r>
        <w:t xml:space="preserve">Una parte de las reacciones inmunitarias no se debe al propio péptido, sino a lo que llega además al vial durante su fabricación.</w:t>
      </w:r>
    </w:p>
    <w:p>
      <w:pPr>
        <w:pStyle w:val="BodyText"/>
      </w:pPr>
      <w:r>
        <w:rPr>
          <w:bCs/>
          <w:b/>
        </w:rPr>
        <w:t xml:space="preserve">Péptidos defectuosos.</w:t>
      </w:r>
      <w:r>
        <w:t xml:space="preserve"> </w:t>
      </w:r>
      <w:r>
        <w:t xml:space="preserve">En la síntesis química se forman moléculas a las que les falta un componente, en las que este aparece duplicado o está modificado químicamente. Estas impurezas pueden contener estructuras nuevas que reconocen los linfocitos T del sistema inmunitario. Por eso, la autoridad de medicamentos de EE. UU. exige, para los productos de imitación de péptidos sintéticos, información sobre cada nueva impureza en comparación con el preparado original (De Groot 2023, PMID 37467878). Cómo es una evaluación de este tipo lo muestra una investigación con productos de imitación del péptido para la osteoporosis teriparatida, en la que las impurezas se evaluaron con métodos informáticos, ensayos de unión y experimentos con células inmunitarias humanas (Mattei 2025, PMID 41445733).</w:t>
      </w:r>
    </w:p>
    <w:p>
      <w:pPr>
        <w:pStyle w:val="BodyText"/>
      </w:pPr>
      <w:r>
        <w:rPr>
          <w:bCs/>
          <w:b/>
        </w:rPr>
        <w:t xml:space="preserve">Productos de imitación de GLP-1.</w:t>
      </w:r>
      <w:r>
        <w:t xml:space="preserve"> </w:t>
      </w:r>
      <w:r>
        <w:t xml:space="preserve">Un análisis cercano al fabricante de 16 productos de imitación de semaglutida inyectables y 8 orales encontró impurezas nuevas, entre ellas moléculas proteicas mayores, y nuevos sitios de reconocimiento para el sistema inmunitario predichos con métodos informáticos; en las imitaciones de liraglutida se observó una mayor tendencia a la agregación (Hach 2024, PMID 39379664). Si estas diferencias provocan realmente más anticuerpos en humanos no se midió. Que un producto de imitación sintético fabricado con cuidado no sea automáticamente más problemático lo muestra otra investigación: un genérico sintético de liraglutida no estimuló en el laboratorio las células inmunitarias humanas más que el original obtenido por ingeniería genética (Tang 2025, PMID 40398094). Lo decisivo, por tanto, no es el modo de fabricación, sino el control de calidad.</w:t>
      </w:r>
    </w:p>
    <w:p>
      <w:pPr>
        <w:pStyle w:val="BodyText"/>
      </w:pPr>
      <w:r>
        <w:rPr>
          <w:bCs/>
          <w:b/>
        </w:rPr>
        <w:t xml:space="preserve">Endotoxinas y gérmenes.</w:t>
      </w:r>
      <w:r>
        <w:t xml:space="preserve"> </w:t>
      </w:r>
      <w:r>
        <w:t xml:space="preserve">Las endotoxinas, componentes de la pared celular de las bacterias, activan directamente el sistema inmunitario innato y pueden desencadenar fiebre, escalofríos y reacciones circulatorias. En compras de prueba de semaglutida en farmacias en línea ilegales se detectaron en todas las muestras (Ashraf 2024, PMID 39509151; detalles en la Parte I). Un laboratorio de control detectó en dos preparados peptídicos ilegales para inyección la bacteria</w:t>
      </w:r>
      <w:r>
        <w:t xml:space="preserve"> </w:t>
      </w:r>
      <w:r>
        <w:rPr>
          <w:iCs/>
          <w:i/>
        </w:rPr>
        <w:t xml:space="preserve">Bacillus cereus</w:t>
      </w:r>
      <w:r>
        <w:t xml:space="preserve">, que puede destruir los glóbulos rojos (Janvier 2018, PMID 28941153).</w:t>
      </w:r>
    </w:p>
    <w:p>
      <w:pPr>
        <w:pStyle w:val="BodyText"/>
      </w:pPr>
      <w:r>
        <w:t xml:space="preserve">Para el mercado gris, esto significa: aunque un péptido en sí sea poco inmunógeno, el producto puede serlo. Y como en la mercancía del mercado gris no se controlan ni los perfiles de impurezas ni los límites de endotoxinas, a posteriori apenas es posible atribuir una reacción a un componente concreto.</w:t>
      </w:r>
    </w:p>
    <w:bookmarkEnd w:id="1000"/>
    <w:bookmarkStart w:id="1001" w:name="lo-que-significa-en-la-práctica"/>
    <w:p>
      <w:pPr>
        <w:pStyle w:val="Heading3"/>
      </w:pPr>
      <w:r>
        <w:t xml:space="preserve">Lo que significa en la práctica</w:t>
      </w:r>
    </w:p>
    <w:p>
      <w:pPr>
        <w:numPr>
          <w:ilvl w:val="0"/>
          <w:numId w:val="1344"/>
        </w:numPr>
        <w:pStyle w:val="Compact"/>
      </w:pPr>
      <w:r>
        <w:t xml:space="preserve">Los anticuerpos contra los medicamentos peptídicos son frecuentes, pero en su mayoría no tienen consecuencias. Con la exenatida, los títulos altos pueden atenuar el efecto; con la tirzepatida se asocian a algo más de reacciones cutáneas y de hipersensibilidad.</w:t>
      </w:r>
    </w:p>
    <w:p>
      <w:pPr>
        <w:numPr>
          <w:ilvl w:val="0"/>
          <w:numId w:val="1344"/>
        </w:numPr>
        <w:pStyle w:val="Compact"/>
      </w:pPr>
      <w:r>
        <w:t xml:space="preserve">Las reacciones en el lugar de inyección son la reacción inmunitaria más frecuente, y con algunos péptidos casi la norma. En cambio, un enrojecimiento creciente, calor, pus o fiebre apuntan a una infección.</w:t>
      </w:r>
    </w:p>
    <w:p>
      <w:pPr>
        <w:numPr>
          <w:ilvl w:val="0"/>
          <w:numId w:val="1344"/>
        </w:numPr>
        <w:pStyle w:val="Compact"/>
      </w:pPr>
      <w:r>
        <w:t xml:space="preserve">La anafilaxia es muy rara con los medicamentos GLP-1 autorizados, del orden de unos pocos casos por cada 10.000 años de tratamiento. También hay casos clínicos con tirzepatida, cerebrolisina y con una sobredosis accidental.</w:t>
      </w:r>
    </w:p>
    <w:p>
      <w:pPr>
        <w:numPr>
          <w:ilvl w:val="0"/>
          <w:numId w:val="1344"/>
        </w:numPr>
        <w:pStyle w:val="Compact"/>
      </w:pPr>
      <w:r>
        <w:t xml:space="preserve">Para la mayoría de los péptidos del mercado gris faltan por completo los datos sobre anticuerpos y alergias. Las impurezas y las endotoxinas son allí un riesgo adicional e incalculable.</w:t>
      </w:r>
    </w:p>
    <w:p>
      <w:pPr>
        <w:numPr>
          <w:ilvl w:val="0"/>
          <w:numId w:val="1344"/>
        </w:numPr>
        <w:pStyle w:val="Compact"/>
      </w:pPr>
      <w:r>
        <w:t xml:space="preserve">Quien ya haya tenido una reacción alérgica a un péptido debería indicarlo en cualquier tratamiento médico. Si se toleran principios activos emparentados solo puede aclararse con un médico.</w:t>
      </w:r>
    </w:p>
    <w:bookmarkEnd w:id="1001"/>
    <w:bookmarkEnd w:id="1002"/>
    <w:bookmarkStart w:id="1014" w:name="Xf0ff1ab792ce764b23455b75b5413cbb71314fa"/>
    <w:p>
      <w:pPr>
        <w:pStyle w:val="Heading2"/>
      </w:pPr>
      <w:r>
        <w:t xml:space="preserve">Productos del mercado gris: lo que muestran los análisis de laboratorio</w:t>
      </w:r>
    </w:p>
    <w:p>
      <w:pPr>
        <w:pStyle w:val="FirstParagraph"/>
      </w:pPr>
      <w:r>
        <w:t xml:space="preserve">La Parte I describió en el capítulo «El mercado gris» qué son los «research peptides» y presentó algunos hallazgos llamativos: polvo de semaglutida con una pureza del 7,7 al 14,4 %, viales de melanotán con menos de la mitad de la cantidad declarada, Ozempic falsificado con insulina. Este capítulo va un paso más allá. Se pregunta quién analiza realmente estos productos, qué tipos de defectos se repiten a lo largo de muchas investigaciones, qué no pueden mostrar estos análisis y qué revelan los datos de los centros de información toxicológica sobre las consecuencias de los errores de dosificación con medicamentos GLP-1.</w:t>
      </w:r>
    </w:p>
    <w:bookmarkStart w:id="1003" w:name="X7f53bfc5b8adc6558fdd8aabdf046337c8291d0"/>
    <w:p>
      <w:pPr>
        <w:pStyle w:val="Heading3"/>
      </w:pPr>
      <w:r>
        <w:t xml:space="preserve">Quién analiza los productos del mercado gris</w:t>
      </w:r>
    </w:p>
    <w:p>
      <w:pPr>
        <w:pStyle w:val="FirstParagraph"/>
      </w:pPr>
      <w:r>
        <w:t xml:space="preserve">La mayoría de los datos proceden de tres fuentes.</w:t>
      </w:r>
    </w:p>
    <w:p>
      <w:pPr>
        <w:pStyle w:val="BodyText"/>
      </w:pPr>
      <w:r>
        <w:rPr>
          <w:bCs/>
          <w:b/>
        </w:rPr>
        <w:t xml:space="preserve">Laboratorios oficiales de control de medicamentos.</w:t>
      </w:r>
      <w:r>
        <w:t xml:space="preserve"> </w:t>
      </w:r>
      <w:r>
        <w:t xml:space="preserve">En Europa colaboran en una red coordinada por la Dirección Europea de Calidad del Medicamento. Analizan muestras que incautan las aduanas, la policía o las autoridades sanitarias. Un laboratorio belga desarrolló, por ejemplo, un método de cribado con el que pueden identificarse en una sola pasada 25 péptidos distintos en preparados inyectables desconocidos, entre ellos algunos que todavía no se habían incautado, pero que ya se discutían en foros de internet (Vanhee 2015, PMID 26003685).</w:t>
      </w:r>
    </w:p>
    <w:p>
      <w:pPr>
        <w:pStyle w:val="BodyText"/>
      </w:pPr>
      <w:r>
        <w:rPr>
          <w:bCs/>
          <w:b/>
        </w:rPr>
        <w:t xml:space="preserve">Laboratorios antidopaje y forenses.</w:t>
      </w:r>
      <w:r>
        <w:t xml:space="preserve"> </w:t>
      </w:r>
      <w:r>
        <w:t xml:space="preserve">Analizan mercancía incautada del entorno deportivo para mantener actualizados sus métodos de detección. Los hallazgos de Colonia, Noruega y Dinamarca de la Parte I proceden de esta fuente.</w:t>
      </w:r>
    </w:p>
    <w:p>
      <w:pPr>
        <w:pStyle w:val="BodyText"/>
      </w:pPr>
      <w:r>
        <w:rPr>
          <w:bCs/>
          <w:b/>
        </w:rPr>
        <w:t xml:space="preserve">Compras de prueba por grupos de investigación.</w:t>
      </w:r>
      <w:r>
        <w:t xml:space="preserve"> </w:t>
      </w:r>
      <w:r>
        <w:t xml:space="preserve">Compran deliberadamente productos a proveedores en línea y comprueban lo que llega. Estas investigaciones son menos frecuentes, pero son las que más se acercan a la situación de los compradores.</w:t>
      </w:r>
    </w:p>
    <w:p>
      <w:pPr>
        <w:pStyle w:val="BodyText"/>
      </w:pPr>
      <w:r>
        <w:t xml:space="preserve">Se utilizan métodos que responden a preguntas distintas: la espectrometría de masas muestra</w:t>
      </w:r>
      <w:r>
        <w:t xml:space="preserve"> </w:t>
      </w:r>
      <w:r>
        <w:rPr>
          <w:iCs/>
          <w:i/>
        </w:rPr>
        <w:t xml:space="preserve">qué</w:t>
      </w:r>
      <w:r>
        <w:t xml:space="preserve"> </w:t>
      </w:r>
      <w:r>
        <w:t xml:space="preserve">sustancia hay; la cromatografía líquida mide</w:t>
      </w:r>
      <w:r>
        <w:t xml:space="preserve"> </w:t>
      </w:r>
      <w:r>
        <w:rPr>
          <w:iCs/>
          <w:i/>
        </w:rPr>
        <w:t xml:space="preserve">cuánta</w:t>
      </w:r>
      <w:r>
        <w:t xml:space="preserve"> </w:t>
      </w:r>
      <w:r>
        <w:t xml:space="preserve">y</w:t>
      </w:r>
      <w:r>
        <w:t xml:space="preserve"> </w:t>
      </w:r>
      <w:r>
        <w:rPr>
          <w:iCs/>
          <w:i/>
        </w:rPr>
        <w:t xml:space="preserve">con qué pureza</w:t>
      </w:r>
      <w:r>
        <w:t xml:space="preserve">; métodos especiales detectan metales, restos de disolventes, bacterias o endotoxinas. Ningún laboratorio lo comprueba todo de forma rutinaria. Si un informe solo determina la identidad, no dice nada sobre gérmenes, y viceversa.</w:t>
      </w:r>
    </w:p>
    <w:bookmarkEnd w:id="1003"/>
    <w:bookmarkStart w:id="1008" w:name="X44216b30148bbf7cc42bf600e5a36197076ade4"/>
    <w:p>
      <w:pPr>
        <w:pStyle w:val="Heading3"/>
      </w:pPr>
      <w:r>
        <w:t xml:space="preserve">Cuatro tipos de defectos que se repiten una y otra vez</w:t>
      </w:r>
    </w:p>
    <w:p>
      <w:pPr>
        <w:pStyle w:val="FirstParagraph"/>
      </w:pPr>
      <w:r>
        <w:t xml:space="preserve">A lo largo de los distintos análisis, los hallazgos pueden ordenarse en cuatro grupos.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 de defecto</w:t>
            </w:r>
          </w:p>
        </w:tc>
        <w:tc>
          <w:tcPr/>
          <w:p>
            <w:pPr>
              <w:pStyle w:val="Compact"/>
              <w:jc w:val="left"/>
            </w:pPr>
            <w:r>
              <w:t xml:space="preserve">Ejemplos de análisis</w:t>
            </w:r>
          </w:p>
        </w:tc>
        <w:tc>
          <w:tcPr/>
          <w:p>
            <w:pPr>
              <w:pStyle w:val="Compact"/>
              <w:jc w:val="left"/>
            </w:pPr>
            <w:r>
              <w:t xml:space="preserve">Fuente</w:t>
            </w:r>
          </w:p>
        </w:tc>
      </w:tr>
      <w:tr>
        <w:tc>
          <w:tcPr/>
          <w:p>
            <w:pPr>
              <w:pStyle w:val="Compact"/>
              <w:jc w:val="left"/>
            </w:pPr>
            <w:r>
              <w:t xml:space="preserve">Principio activo erróneo o ausente</w:t>
            </w:r>
          </w:p>
        </w:tc>
        <w:tc>
          <w:tcPr/>
          <w:p>
            <w:pPr>
              <w:pStyle w:val="Compact"/>
              <w:jc w:val="left"/>
            </w:pPr>
            <w:r>
              <w:t xml:space="preserve">9 de 36 muestras incautadas sin péptido ni proteína</w:t>
            </w:r>
          </w:p>
        </w:tc>
        <w:tc>
          <w:tcPr/>
          <w:p>
            <w:pPr>
              <w:pStyle w:val="Compact"/>
              <w:jc w:val="left"/>
            </w:pPr>
            <w:r>
              <w:t xml:space="preserve">Høj 2021, PMID 33686802</w:t>
            </w:r>
          </w:p>
        </w:tc>
      </w:tr>
      <w:tr>
        <w:tc>
          <w:tcPr/>
          <w:p>
            <w:pPr>
              <w:pStyle w:val="Compact"/>
              <w:jc w:val="left"/>
            </w:pPr>
            <w:r>
              <w:t xml:space="preserve">Cantidad errónea</w:t>
            </w:r>
          </w:p>
        </w:tc>
        <w:tc>
          <w:tcPr/>
          <w:p>
            <w:pPr>
              <w:pStyle w:val="Compact"/>
              <w:jc w:val="left"/>
            </w:pPr>
            <w:r>
              <w:t xml:space="preserve">solo el 41 % de 44 productos de internet con la cantidad correcta de principio activo</w:t>
            </w:r>
          </w:p>
        </w:tc>
        <w:tc>
          <w:tcPr/>
          <w:p>
            <w:pPr>
              <w:pStyle w:val="Compact"/>
              <w:jc w:val="left"/>
            </w:pPr>
            <w:r>
              <w:t xml:space="preserve">Van Wagoner 2017, PMID 29183075</w:t>
            </w:r>
          </w:p>
        </w:tc>
      </w:tr>
      <w:tr>
        <w:tc>
          <w:tcPr/>
          <w:p>
            <w:pPr>
              <w:pStyle w:val="Compact"/>
              <w:jc w:val="left"/>
            </w:pPr>
            <w:r>
              <w:t xml:space="preserve">Pureza baja, productos de degradación</w:t>
            </w:r>
          </w:p>
        </w:tc>
        <w:tc>
          <w:tcPr/>
          <w:p>
            <w:pPr>
              <w:pStyle w:val="Compact"/>
              <w:jc w:val="left"/>
            </w:pPr>
            <w:r>
              <w:t xml:space="preserve">pureza del 5 al 75 % en determinados péptidos</w:t>
            </w:r>
          </w:p>
        </w:tc>
        <w:tc>
          <w:tcPr/>
          <w:p>
            <w:pPr>
              <w:pStyle w:val="Compact"/>
              <w:jc w:val="left"/>
            </w:pPr>
            <w:r>
              <w:t xml:space="preserve">Janvier 2018, PMID 30029448</w:t>
            </w:r>
          </w:p>
        </w:tc>
      </w:tr>
      <w:tr>
        <w:tc>
          <w:tcPr/>
          <w:p>
            <w:pPr>
              <w:pStyle w:val="Compact"/>
              <w:jc w:val="left"/>
            </w:pPr>
            <w:r>
              <w:t xml:space="preserve">Sustancias acompañantes peligrosas</w:t>
            </w:r>
          </w:p>
        </w:tc>
        <w:tc>
          <w:tcPr/>
          <w:p>
            <w:pPr>
              <w:pStyle w:val="Compact"/>
              <w:jc w:val="left"/>
            </w:pPr>
            <w:r>
              <w:t xml:space="preserve">arsénico y plomo, en parte hasta diez veces el valor límite</w:t>
            </w:r>
          </w:p>
        </w:tc>
        <w:tc>
          <w:tcPr/>
          <w:p>
            <w:pPr>
              <w:pStyle w:val="Compact"/>
              <w:jc w:val="left"/>
            </w:pPr>
            <w:r>
              <w:t xml:space="preserve">Janvier 2018, PMID 30029448</w:t>
            </w:r>
          </w:p>
        </w:tc>
      </w:tr>
    </w:tbl>
    <w:bookmarkStart w:id="1004" w:name="principio-activo-erróneo-o-ausente"/>
    <w:p>
      <w:pPr>
        <w:pStyle w:val="Heading4"/>
      </w:pPr>
      <w:r>
        <w:t xml:space="preserve">Principio activo erróneo o ausente</w:t>
      </w:r>
    </w:p>
    <w:p>
      <w:pPr>
        <w:pStyle w:val="FirstParagraph"/>
      </w:pPr>
      <w:r>
        <w:t xml:space="preserve">Un laboratorio forense danés recibió en 2019 36 muestras incautadas en las que se sospechaba la presencia de péptidos o proteínas. 15 contenían una sustancia dopante prohibida, 12 una sustancia que no figuraba en la lista danesa de dopaje y 9 no contenían ningún péptido ni proteína (Høj 2021, PMID 33686802). En una operación aduanera a escala europea, los laboratorios comunicaron, entre los preparados inyectables incautados, hormona del crecimiento, sermorelina, melanotán II y preparados sin ningún principio activo; los envíos eran, de media, demasiado grandes para el consumo propio y probablemente estaban destinados en parte a la reventa (Venhuis 2016, PMID 26456392). En un caso belga, un preparado que se suponía que era IGF-1 contenía en su lugar otro factor de crecimiento, el factor de crecimiento epidérmico EGF (Vanhee 2017, PMID 27390261).</w:t>
      </w:r>
    </w:p>
    <w:p>
      <w:pPr>
        <w:pStyle w:val="BodyText"/>
      </w:pPr>
      <w:r>
        <w:t xml:space="preserve">Un laboratorio de dopaje equino analizó productos ofrecidos en internet con las denominaciones «TB500», «TB1000» y «SGF1000». El contenido de los productos TB no se correspondía de forma sistemática con las descripciones anteriores. «SGF1000» estaba compuesto mayoritariamente por proteínas del tejido conjuntivo y de la sangre de oveja; los componentes supuestamente promotores del crecimiento estaban extremadamente diluidos (Delcourt 2023, PMID 36482504).</w:t>
      </w:r>
    </w:p>
    <w:p>
      <w:pPr>
        <w:pStyle w:val="BodyText"/>
      </w:pPr>
      <w:r>
        <w:t xml:space="preserve">Con qué frecuencia divergen etiqueta y contenido lo muestra una investigación estadounidense que, aunque no se refería a péptidos sino a los llamados SARM, utiliza el mismo canal de distribución: de 44 productos de internet, solo el 52 % contenía siquiera un principio activo del grupo de sustancias promocionado. El 39 % contenía otras sustancias no autorizadas, entre ellas el liberador de hormona del crecimiento ibutamoreno, el 9 % ningún principio activo y el 25 % sustancias no declaradas (Van Wagoner 2017, PMID 29183075).</w:t>
      </w:r>
    </w:p>
    <w:bookmarkEnd w:id="1004"/>
    <w:bookmarkStart w:id="1005" w:name="cantidad-errónea"/>
    <w:p>
      <w:pPr>
        <w:pStyle w:val="Heading4"/>
      </w:pPr>
      <w:r>
        <w:t xml:space="preserve">Cantidad errónea</w:t>
      </w:r>
    </w:p>
    <w:p>
      <w:pPr>
        <w:pStyle w:val="FirstParagraph"/>
      </w:pPr>
      <w:r>
        <w:t xml:space="preserve">Incluso cuando la sustancia correcta está en el vial, la cantidad a menudo no lo está. En el análisis estadounidense mencionado, la cantidad de principio activo medida solo coincidía con lo indicado en la etiqueta en 18 de 44 productos (41 %) (Van Wagoner 2017, PMID 29183075). Un laboratorio de toxicología francés analizó 75 medicamentos del entorno del culturismo incautados en el mercado negro: el 33 % eran de calidad deficiente, es decir, mal dosificados, el 32 % falsificados, es decir, con un contenido distinto del declarado, y solo el 19 % se correspondía plenamente con el original (Fabresse 2021, PMID 33838562). Una vigilancia del mercado europeo de cinco años con 324 muestras de 13 países concluyó, a partir de los limitados datos de cantidad, que la mayoría de las muestras contenían cantidades eficaces y algunas incluso estaban sobredosificadas (Barrios 2025, PMID 40551438).</w:t>
      </w:r>
    </w:p>
    <w:p>
      <w:pPr>
        <w:pStyle w:val="BodyText"/>
      </w:pPr>
      <w:r>
        <w:t xml:space="preserve">Ambas cosas son peligrosas: demasiado poco principio activo induce a «redosificar»; demasiado conduce directamente a efectos adversos más intensos. En los medicamentos GLP-1, cuya tolerancia depende mucho de un aumento lento, una cantidad desconocida es especialmente problemática.</w:t>
      </w:r>
    </w:p>
    <w:bookmarkEnd w:id="1005"/>
    <w:bookmarkStart w:id="1006" w:name="X3796a12f2e113ff9847cc5d91886243a25d4c88"/>
    <w:p>
      <w:pPr>
        <w:pStyle w:val="Heading4"/>
      </w:pPr>
      <w:r>
        <w:t xml:space="preserve">Pureza baja, productos de degradación y variantes de diseño</w:t>
      </w:r>
    </w:p>
    <w:p>
      <w:pPr>
        <w:pStyle w:val="FirstParagraph"/>
      </w:pPr>
      <w:r>
        <w:t xml:space="preserve">La investigación sistemática más completa procede de Bélgica. El laboratorio de control compró los diez medicamentos peptídicos más falsificados del mercado belga en tres farmacias en línea presuntamente ilegales y los analizó en busca del principio activo, impurezas peptídicas, pequeñas sustancias orgánicas ajenas, metales y restos de disolventes. La cantidad por vial variaba mucho, y en los péptidos con el aminoácido cisteína la pureza oscilaba entre el 5 y el 75 % (Janvier 2018, PMID 30029448).</w:t>
      </w:r>
    </w:p>
    <w:p>
      <w:pPr>
        <w:pStyle w:val="BodyText"/>
      </w:pPr>
      <w:r>
        <w:t xml:space="preserve">Otros laboratorios encontraron en productos del mercado negro con variantes de IGF-1 numerosas formas peptídicas oxidadas, es decir, modificadas químicamente (Mongongu 2021, PMID 33587816), y en una muestra incautada de melanotán II una pureza del 30 % (Deville 2024, PMID 39302005). En preparados incautados por la aduana danesa se encontraron variantes de GHRP-2, GHRP-6, ipamorelina y un fragmento de GHRH a las que se había antepuesto en cada caso un aminoácido glicina adicional (Gajda 2019, PMID 30136411). Probablemente, estas «variantes de diseño» pretenden eludir los controles antidopaje. Su efecto y su seguridad en humanos son completamente desconocidos.</w:t>
      </w:r>
    </w:p>
    <w:bookmarkEnd w:id="1006"/>
    <w:bookmarkStart w:id="1007" w:name="sustancias-acompañantes-peligrosas"/>
    <w:p>
      <w:pPr>
        <w:pStyle w:val="Heading4"/>
      </w:pPr>
      <w:r>
        <w:t xml:space="preserve">Sustancias acompañantes peligrosas</w:t>
      </w:r>
    </w:p>
    <w:p>
      <w:pPr>
        <w:pStyle w:val="FirstParagraph"/>
      </w:pPr>
      <w:r>
        <w:t xml:space="preserve">En la investigación belga se encontraron los elementos tóxicos arsénico y plomo. Una muestra estaba contaminada con plomo, y varias contenían arsénico en concentraciones de hasta diez veces el valor límite internacional para medicamentos inyectables. El análisis más detallado mostró que el arsénico estaba íntegramente en su forma inorgánica, más tóxica. Los autores señalan que el arsénico es cancerígeno y que el plomo se acumula en el organismo, un riesgo adicional y silencioso con el uso repetido durante meses (Janvier 2018, PMID 30029448).</w:t>
      </w:r>
    </w:p>
    <w:p>
      <w:pPr>
        <w:pStyle w:val="BodyText"/>
      </w:pPr>
      <w:r>
        <w:t xml:space="preserve">A ello se suman gérmenes y componentes bacterianos. El mismo laboratorio detectó en dos preparados peptídicos ilegales para inyección la bacteria</w:t>
      </w:r>
      <w:r>
        <w:t xml:space="preserve"> </w:t>
      </w:r>
      <w:r>
        <w:rPr>
          <w:iCs/>
          <w:i/>
        </w:rPr>
        <w:t xml:space="preserve">Bacillus cereus</w:t>
      </w:r>
      <w:r>
        <w:t xml:space="preserve"> </w:t>
      </w:r>
      <w:r>
        <w:t xml:space="preserve">(Janvier 2018, PMID 28941153). En las compras de prueba de semaglutida de la Parte I se detectaron endotoxinas en todas las muestras (Ashraf 2024, PMID 39509151). Por qué esto es relevante para el sistema inmunitario lo describe el capítulo «Reacciones inmunitarias y anticuerpos».</w:t>
      </w:r>
    </w:p>
    <w:bookmarkEnd w:id="1007"/>
    <w:bookmarkEnd w:id="1008"/>
    <w:bookmarkStart w:id="1009" w:name="sustancias-siempre-nuevas"/>
    <w:p>
      <w:pPr>
        <w:pStyle w:val="Heading3"/>
      </w:pPr>
      <w:r>
        <w:t xml:space="preserve">Sustancias siempre nuevas</w:t>
      </w:r>
    </w:p>
    <w:p>
      <w:pPr>
        <w:pStyle w:val="FirstParagraph"/>
      </w:pPr>
      <w:r>
        <w:t xml:space="preserve">El mercado gris reacciona rápidamente a las tendencias. Una vigilancia del mercado europeo con 1104 casos notificados de 16 países entre 2017 y 2019 encontró que el 11 % de las muestras contenía moléculas biológicas, sobre todo «research peptides»; era la segunda categoría más frecuente de todas (Deconinck 2021, PMID 33453144). Laboratorios belgas identificaron en preparados incautados el «péptido antienvejecimiento» epitalon (Vanhee 2015, PMID 25535022), así como los péptidos nootrópicos Selank y Semax; a continuación, el laboratorio desarrolló un método de detección propio para diez de estos péptidos ofrecidos en internet (Vanhee 2020, PMID 31667971). Entretanto se ofrecen también principios activos que todavía se encuentran en ensayos clínicos, como la retatrutida y la amicretina (capítulos Retatrutida, Amicretina).</w:t>
      </w:r>
    </w:p>
    <w:p>
      <w:pPr>
        <w:pStyle w:val="BodyText"/>
      </w:pPr>
      <w:r>
        <w:t xml:space="preserve">Para los laboratorios de control, esto supone una carrera: una sustancia para la que todavía no existe una sustancia de referencia no puede identificarse con seguridad. Para los compradores, significa que de los productos más nuevos es de los que menos se sabe sobre su contenido y su calidad.</w:t>
      </w:r>
    </w:p>
    <w:p>
      <w:pPr>
        <w:pStyle w:val="BodyText"/>
      </w:pPr>
      <w:r>
        <w:t xml:space="preserve">Cada vez más aparecen productos del mercado gris también en formas que parecen más inofensivas que una inyección. Una investigación estadounidense encontró 24 parches y un gel vendidos como complementos alimenticios y promocionados como «GLP-1 natural». Ninguno presentaba un certificado de análisis, muchos hacían publicidad engañosa; según la legislación estadounidense, la venta de estos parches como complemento alimenticio no está permitida (White 2026, PMID 41480958). En la vigilancia del mercado europeo, el 24 % de los preparados para ganar músculo se presentaban como complementos alimenticios; quien los compra a menudo no sabe que está tomando un medicamento no autorizado (Barrios 2025, PMID 40551438).</w:t>
      </w:r>
    </w:p>
    <w:bookmarkEnd w:id="1009"/>
    <w:bookmarkStart w:id="1010" w:name="lo-que-los-análisis-no-muestran"/>
    <w:p>
      <w:pPr>
        <w:pStyle w:val="Heading3"/>
      </w:pPr>
      <w:r>
        <w:t xml:space="preserve">Lo que los análisis no muestran</w:t>
      </w:r>
    </w:p>
    <w:p>
      <w:pPr>
        <w:pStyle w:val="FirstParagraph"/>
      </w:pPr>
      <w:r>
        <w:t xml:space="preserve">Por claros que sean los hallazgos, tienen límites.</w:t>
      </w:r>
    </w:p>
    <w:p>
      <w:pPr>
        <w:numPr>
          <w:ilvl w:val="0"/>
          <w:numId w:val="1345"/>
        </w:numPr>
        <w:pStyle w:val="Compact"/>
      </w:pPr>
      <w:r>
        <w:rPr>
          <w:bCs/>
          <w:b/>
        </w:rPr>
        <w:t xml:space="preserve">No es una muestra representativa.</w:t>
      </w:r>
      <w:r>
        <w:t xml:space="preserve"> </w:t>
      </w:r>
      <w:r>
        <w:t xml:space="preserve">La mercancía incautada es una selección de lo que llama la atención de las aduanas. Las compras de prueba suelen abarcar solo a pocos proveedores. A partir de ello no puede calcularse qué proporción del mercado total representan los productos defectuosos.</w:t>
      </w:r>
    </w:p>
    <w:p>
      <w:pPr>
        <w:numPr>
          <w:ilvl w:val="0"/>
          <w:numId w:val="1345"/>
        </w:numPr>
        <w:pStyle w:val="Compact"/>
      </w:pPr>
      <w:r>
        <w:rPr>
          <w:bCs/>
          <w:b/>
        </w:rPr>
        <w:t xml:space="preserve">Instantáneas.</w:t>
      </w:r>
      <w:r>
        <w:t xml:space="preserve"> </w:t>
      </w:r>
      <w:r>
        <w:t xml:space="preserve">Un proveedor cuya mercancía es correcta hoy puede suministrar mañana otro lote. Los buenos resultados de un análisis no valen para el siguiente vial.</w:t>
      </w:r>
    </w:p>
    <w:p>
      <w:pPr>
        <w:numPr>
          <w:ilvl w:val="0"/>
          <w:numId w:val="1345"/>
        </w:numPr>
        <w:pStyle w:val="Compact"/>
      </w:pPr>
      <w:r>
        <w:rPr>
          <w:bCs/>
          <w:b/>
        </w:rPr>
        <w:t xml:space="preserve">No se comprueba todo.</w:t>
      </w:r>
      <w:r>
        <w:t xml:space="preserve"> </w:t>
      </w:r>
      <w:r>
        <w:t xml:space="preserve">Muchos informes solo determinan la identidad del principio activo. Si un producto con el contenido «correcto» era estéril y estaba libre de endotoxinas queda entonces sin aclarar.</w:t>
      </w:r>
    </w:p>
    <w:p>
      <w:pPr>
        <w:numPr>
          <w:ilvl w:val="0"/>
          <w:numId w:val="1345"/>
        </w:numPr>
        <w:pStyle w:val="Compact"/>
      </w:pPr>
      <w:r>
        <w:rPr>
          <w:bCs/>
          <w:b/>
        </w:rPr>
        <w:t xml:space="preserve">Ninguna afirmación sobre eficacia y seguridad.</w:t>
      </w:r>
      <w:r>
        <w:t xml:space="preserve"> </w:t>
      </w:r>
      <w:r>
        <w:t xml:space="preserve">Incluso un producto puro solo es tan seguro como el propio principio activo. Para la mayoría de los péptidos del mercado gris faltan estudios en humanos al respecto (véase la Parte II).</w:t>
      </w:r>
    </w:p>
    <w:bookmarkEnd w:id="1010"/>
    <w:bookmarkStart w:id="1011" w:name="Xc0401e63df1c40c1522c6d7a37ee8664d176c88"/>
    <w:p>
      <w:pPr>
        <w:pStyle w:val="Heading3"/>
      </w:pPr>
      <w:r>
        <w:t xml:space="preserve">Medicamentos GLP-1: lo que comunican los centros de información toxicológica</w:t>
      </w:r>
    </w:p>
    <w:p>
      <w:pPr>
        <w:pStyle w:val="FirstParagraph"/>
      </w:pPr>
      <w:r>
        <w:t xml:space="preserve">Para los medicamentos GLP-1 existe una fuente de datos adicional que muestra lo que realmente sale mal en el uso: las llamadas a los centros de información toxicológica. En EE. UU. se recopilan en una base de datos nacional. Estos datos no siempre distinguen entre el original, la fórmula magistral y la mercancía del mercado gris, pero muestran el orden de magnitud de los problemas.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Estudio</w:t>
            </w:r>
          </w:p>
        </w:tc>
        <w:tc>
          <w:tcPr/>
          <w:p>
            <w:pPr>
              <w:pStyle w:val="Compact"/>
              <w:jc w:val="left"/>
            </w:pPr>
            <w:r>
              <w:t xml:space="preserve">Periodo y volumen</w:t>
            </w:r>
          </w:p>
        </w:tc>
        <w:tc>
          <w:tcPr/>
          <w:p>
            <w:pPr>
              <w:pStyle w:val="Compact"/>
              <w:jc w:val="left"/>
            </w:pPr>
            <w:r>
              <w:t xml:space="preserve">Hallazgos más importantes</w:t>
            </w:r>
          </w:p>
        </w:tc>
      </w:tr>
      <w:tr>
        <w:tc>
          <w:tcPr/>
          <w:p>
            <w:pPr>
              <w:pStyle w:val="Compact"/>
              <w:jc w:val="left"/>
            </w:pPr>
            <w:r>
              <w:t xml:space="preserve">Gaw 2024, PMID 38421490</w:t>
            </w:r>
          </w:p>
        </w:tc>
        <w:tc>
          <w:tcPr/>
          <w:p>
            <w:pPr>
              <w:pStyle w:val="Compact"/>
              <w:jc w:val="left"/>
            </w:pPr>
            <w:r>
              <w:t xml:space="preserve">EE. UU., 2017–2022, 5713 casos</w:t>
            </w:r>
          </w:p>
        </w:tc>
        <w:tc>
          <w:tcPr/>
          <w:p>
            <w:pPr>
              <w:pStyle w:val="Compact"/>
              <w:jc w:val="left"/>
            </w:pPr>
            <w:r>
              <w:t xml:space="preserve">79,9 % errores de uso; 6,2 % evoluciones graves, una muerte</w:t>
            </w:r>
          </w:p>
        </w:tc>
      </w:tr>
      <w:tr>
        <w:tc>
          <w:tcPr/>
          <w:p>
            <w:pPr>
              <w:pStyle w:val="Compact"/>
              <w:jc w:val="left"/>
            </w:pPr>
            <w:r>
              <w:t xml:space="preserve">Miller 2026, PMID 41634285</w:t>
            </w:r>
          </w:p>
        </w:tc>
        <w:tc>
          <w:tcPr/>
          <w:p>
            <w:pPr>
              <w:pStyle w:val="Compact"/>
              <w:jc w:val="left"/>
            </w:pPr>
            <w:r>
              <w:t xml:space="preserve">EE. UU., 2012–2023, 10.033 casos</w:t>
            </w:r>
          </w:p>
        </w:tc>
        <w:tc>
          <w:tcPr/>
          <w:p>
            <w:pPr>
              <w:pStyle w:val="Compact"/>
              <w:jc w:val="left"/>
            </w:pPr>
            <w:r>
              <w:t xml:space="preserve">tras la autorización para la obesidad, más casos; proporción con contacto con médico o clínica del 23,0 al 33,5 %</w:t>
            </w:r>
          </w:p>
        </w:tc>
      </w:tr>
      <w:tr>
        <w:tc>
          <w:tcPr/>
          <w:p>
            <w:pPr>
              <w:pStyle w:val="Compact"/>
              <w:jc w:val="left"/>
            </w:pPr>
            <w:r>
              <w:t xml:space="preserve">Senthilkumar 2026, PMID 41784916</w:t>
            </w:r>
          </w:p>
        </w:tc>
        <w:tc>
          <w:tcPr/>
          <w:p>
            <w:pPr>
              <w:pStyle w:val="Compact"/>
              <w:jc w:val="left"/>
            </w:pPr>
            <w:r>
              <w:t xml:space="preserve">EE. UU., 2017–2024, 13.924 casos</w:t>
            </w:r>
          </w:p>
        </w:tc>
        <w:tc>
          <w:tcPr/>
          <w:p>
            <w:pPr>
              <w:pStyle w:val="Compact"/>
              <w:jc w:val="left"/>
            </w:pPr>
            <w:r>
              <w:t xml:space="preserve">91,7 % sin consecuencias o con consecuencias leves; 42 evoluciones graves, dos muertes</w:t>
            </w:r>
          </w:p>
        </w:tc>
      </w:tr>
      <w:tr>
        <w:tc>
          <w:tcPr/>
          <w:p>
            <w:pPr>
              <w:pStyle w:val="Compact"/>
              <w:jc w:val="left"/>
            </w:pPr>
            <w:r>
              <w:t xml:space="preserve">Ho 2025, PMID 40371098</w:t>
            </w:r>
          </w:p>
        </w:tc>
        <w:tc>
          <w:tcPr/>
          <w:p>
            <w:pPr>
              <w:pStyle w:val="Compact"/>
              <w:jc w:val="left"/>
            </w:pPr>
            <w:r>
              <w:t xml:space="preserve">California, 2017–2023, 1047 casos</w:t>
            </w:r>
          </w:p>
        </w:tc>
        <w:tc>
          <w:tcPr/>
          <w:p>
            <w:pPr>
              <w:pStyle w:val="Compact"/>
              <w:jc w:val="left"/>
            </w:pPr>
            <w:r>
              <w:t xml:space="preserve">21,0 % en urgencias, 4,4 % hospitalizados; hipoglucemia en el 3,8 %</w:t>
            </w:r>
          </w:p>
        </w:tc>
      </w:tr>
    </w:tbl>
    <w:p>
      <w:pPr>
        <w:pStyle w:val="BodyText"/>
      </w:pPr>
      <w:r>
        <w:t xml:space="preserve">Llaman la atención varios patrones:</w:t>
      </w:r>
    </w:p>
    <w:p>
      <w:pPr>
        <w:pStyle w:val="BodyText"/>
      </w:pPr>
      <w:r>
        <w:rPr>
          <w:bCs/>
          <w:b/>
        </w:rPr>
        <w:t xml:space="preserve">El número de casos aumentó mucho con la difusión.</w:t>
      </w:r>
      <w:r>
        <w:t xml:space="preserve"> </w:t>
      </w:r>
      <w:r>
        <w:t xml:space="preserve">De 2021 a 2022, la tasa de casos notificados por millón de habitantes aumentó un 80,9 % (Gaw 2024, PMID 38421490). Entre 2017 y 2024 aumentó en total un 1830,8 % (Senthilkumar 2026, PMID 41784916).</w:t>
      </w:r>
    </w:p>
    <w:p>
      <w:pPr>
        <w:pStyle w:val="BodyText"/>
      </w:pPr>
      <w:r>
        <w:rPr>
          <w:bCs/>
          <w:b/>
        </w:rPr>
        <w:t xml:space="preserve">La mayoría de los casos son errores de uso.</w:t>
      </w:r>
      <w:r>
        <w:t xml:space="preserve"> </w:t>
      </w:r>
      <w:r>
        <w:t xml:space="preserve">En todos los análisis predominaron los errores involuntarios en el uso, por ejemplo una dosis doble o mal medida (Gaw 2024, PMID 38421490; Ho 2025, PMID 40371098). En un análisis de un único centro, el 21 % de los casos se debía a errores en el primer uso de la pluma precargada (Marshall 2024, PMID 38861153). Por tanto, los errores ocurren también con productos autorizados. En el análisis californiano, 36 casos correspondían a fórmulas magistrales; en ellos, la causa en el 91,7 % fueron errores al medir o al inyectar (Ho 2025, PMID 40371098). Esto encaja con los casos clínicos de confusiones entre mililitros, «unidades» y miligramos con viales, descritos en la Parte I.</w:t>
      </w:r>
    </w:p>
    <w:p>
      <w:pPr>
        <w:pStyle w:val="BodyText"/>
      </w:pPr>
      <w:r>
        <w:rPr>
          <w:bCs/>
          <w:b/>
        </w:rPr>
        <w:t xml:space="preserve">Las consecuencias suelen ser leves, pero no siempre.</w:t>
      </w:r>
      <w:r>
        <w:t xml:space="preserve"> </w:t>
      </w:r>
      <w:r>
        <w:t xml:space="preserve">Predominan las náuseas y los vómitos. Pero una minoría apreciable necesita tratamiento médico, y hubo muertes (Gaw 2024, PMID 38421490; Senthilkumar 2026, PMID 41784916). Las hipoglucemias aparecieron en el 3,4 % (Muschler 2025, PMID 39803696) al 3,8 % (Ho 2025, PMID 40371098) de los casos; en otro análisis se produjeron raramente, pero también tras el uso de un medicamento GLP-1 solo (Marshall 2024, PMID 38861153). Lo grave que puede ser una sobredosis lo muestra el caso, descrito en el capítulo «Reacciones inmunitarias», de una mujer que, tras una dosis diez veces mayor por error procedente de una farmacia de fórmulas magistrales, tuvo que recibir ventilación mecánica por una hinchazón masiva de la faringe y desarrolló además una hipoglucemia (Kraft 2026, PMID 42194666).</w:t>
      </w:r>
    </w:p>
    <w:p>
      <w:pPr>
        <w:pStyle w:val="BodyText"/>
      </w:pPr>
      <w:r>
        <w:rPr>
          <w:bCs/>
          <w:b/>
        </w:rPr>
        <w:t xml:space="preserve">Los adolescentes son un grupo de riesgo propio.</w:t>
      </w:r>
      <w:r>
        <w:t xml:space="preserve"> </w:t>
      </w:r>
      <w:r>
        <w:t xml:space="preserve">En niños y adolescentes de entre 6 y 17 años, la tasa de casos fue la que más aumentó entre 2017 y 2024. Fueron hospitalizados con más frecuencia que los adultos (riesgo relativo 2,66), y sus casos se debieron con mucha más frecuencia a un uso indebido intencionado (riesgo relativo 8,12) (Senthilkumar 2026, PMID 41784916). Más información en el capítulo siguiente.</w:t>
      </w:r>
    </w:p>
    <w:bookmarkEnd w:id="1011"/>
    <w:bookmarkStart w:id="1012" w:name="lo-que-se-desprende-de-ello"/>
    <w:p>
      <w:pPr>
        <w:pStyle w:val="Heading3"/>
      </w:pPr>
      <w:r>
        <w:t xml:space="preserve">Lo que se desprende de ello</w:t>
      </w:r>
    </w:p>
    <w:p>
      <w:pPr>
        <w:pStyle w:val="FirstParagraph"/>
      </w:pPr>
      <w:r>
        <w:t xml:space="preserve">Los análisis de laboratorio y los datos de los centros de información toxicológica describen dos caras del mismo problema. Los análisis muestran que los productos del mercado gris pueden apartarse de la etiqueta en todos los aspectos imaginables: en la sustancia, en la cantidad, en la pureza y en sustancias acompañantes tóxicas. Los datos de los centros toxicológicos muestran que incluso con productos controlados los errores de medición son frecuentes, y que los viales que primero hay que reconstituir y cuyas dosis hay que calcular son especialmente propensos a errores.</w:t>
      </w:r>
    </w:p>
    <w:p>
      <w:pPr>
        <w:pStyle w:val="BodyText"/>
      </w:pPr>
      <w:r>
        <w:t xml:space="preserve">Si se combinan ambas cosas, resulta un riesgo que ningún estudio sobre un principio activo puede describir: quien se inyecta un péptido del mercado gris no conoce ni el contenido ni la cantidad, y cada desviación se ve agravada por posibles errores de cálculo propios. Los datos de seguridad de los estudios de autorización descritos en la Parte II no son válidos para estos productos.</w:t>
      </w:r>
    </w:p>
    <w:bookmarkEnd w:id="1012"/>
    <w:bookmarkStart w:id="1013" w:name="lo-más-importante-en-pocas-palabras-1"/>
    <w:p>
      <w:pPr>
        <w:pStyle w:val="Heading3"/>
      </w:pPr>
      <w:r>
        <w:t xml:space="preserve">Lo más importante en pocas palabras</w:t>
      </w:r>
    </w:p>
    <w:p>
      <w:pPr>
        <w:numPr>
          <w:ilvl w:val="0"/>
          <w:numId w:val="1346"/>
        </w:numPr>
        <w:pStyle w:val="Compact"/>
      </w:pPr>
      <w:r>
        <w:t xml:space="preserve">Los laboratorios oficiales, forenses y antidopaje encuentran regularmente en los péptidos del mercado gris principios activos erróneos, cantidades erróneas, pureza baja y variantes de diseño.</w:t>
      </w:r>
    </w:p>
    <w:p>
      <w:pPr>
        <w:numPr>
          <w:ilvl w:val="0"/>
          <w:numId w:val="1346"/>
        </w:numPr>
        <w:pStyle w:val="Compact"/>
      </w:pPr>
      <w:r>
        <w:t xml:space="preserve">Un análisis sistemático belga encontró además arsénico y plomo, en parte hasta diez veces el valor límite para inyectables, así como bacterias en preparados inyectables.</w:t>
      </w:r>
    </w:p>
    <w:p>
      <w:pPr>
        <w:numPr>
          <w:ilvl w:val="0"/>
          <w:numId w:val="1346"/>
        </w:numPr>
        <w:pStyle w:val="Compact"/>
      </w:pPr>
      <w:r>
        <w:t xml:space="preserve">Los nuevos «research peptides» aparecen más deprisa de lo que los laboratorios de control pueden desarrollar métodos de detección.</w:t>
      </w:r>
    </w:p>
    <w:p>
      <w:pPr>
        <w:numPr>
          <w:ilvl w:val="0"/>
          <w:numId w:val="1346"/>
        </w:numPr>
        <w:pStyle w:val="Compact"/>
      </w:pPr>
      <w:r>
        <w:t xml:space="preserve">Los análisis son instantáneas; un buen resultado no vale para el siguiente lote.</w:t>
      </w:r>
    </w:p>
    <w:p>
      <w:pPr>
        <w:numPr>
          <w:ilvl w:val="0"/>
          <w:numId w:val="1346"/>
        </w:numPr>
        <w:pStyle w:val="Compact"/>
      </w:pPr>
      <w:r>
        <w:t xml:space="preserve">En EE. UU., el número de llamadas a los centros toxicológicos por medicamentos GLP-1 ha aumentado mucho. La mayoría de los casos son errores de uso con consecuencias leves; una minoría evoluciona de forma grave. Con las fórmulas magistrales, casi todos los casos se debieron a errores de medición.</w:t>
      </w:r>
    </w:p>
    <w:bookmarkEnd w:id="1013"/>
    <w:bookmarkEnd w:id="1014"/>
    <w:bookmarkStart w:id="1025" w:name="Xad43c0fe0a059f33e9c040f78243cfb75fa6ffd"/>
    <w:p>
      <w:pPr>
        <w:pStyle w:val="Heading2"/>
      </w:pPr>
      <w:r>
        <w:t xml:space="preserve">Interacciones y grupos de riesgo especiales</w:t>
      </w:r>
    </w:p>
    <w:p>
      <w:pPr>
        <w:pStyle w:val="FirstParagraph"/>
      </w:pPr>
      <w:r>
        <w:t xml:space="preserve">Los estudios en los que se basa la autorización de un medicamento excluyen casi siempre a determinadas personas: embarazadas, niños, personas muy mayores o con varias enfermedades, personas con trastornos de la conducta alimentaria o con enfermedades psíquicas graves. Por eso, lo que vale para los participantes de los estudios solo puede trasladarse de forma limitada a estos grupos. A ello se suman las interacciones con otros medicamentos y situaciones como una anestesia, en las que un efecto por lo demás inofensivo puede volverse de repente peligroso.</w:t>
      </w:r>
    </w:p>
    <w:p>
      <w:pPr>
        <w:pStyle w:val="BodyText"/>
      </w:pPr>
      <w:r>
        <w:t xml:space="preserve">Este capítulo reúne estas cuestiones. No sustituye el asesoramiento médico ni la ficha técnica. En los medicamentos autorizados, la ficha técnica regula de forma vinculante las contraindicaciones y las interacciones; para los péptidos no autorizados no suele haber ningún dato sobre estos grupos.</w:t>
      </w:r>
    </w:p>
    <w:bookmarkStart w:id="1015" w:name="embarazo-y-lactancia"/>
    <w:p>
      <w:pPr>
        <w:pStyle w:val="Heading3"/>
      </w:pPr>
      <w:r>
        <w:t xml:space="preserve">Embarazo y lactancia</w:t>
      </w:r>
    </w:p>
    <w:p>
      <w:pPr>
        <w:pStyle w:val="FirstParagraph"/>
      </w:pPr>
      <w:r>
        <w:t xml:space="preserve">Para casi todos los péptidos de este libro se cumple: en el embarazo no están estudiados o no están indicados. Las fichas técnicas de los medicamentos GLP-1 establecen que no deben utilizarse durante el embarazo y que deben suspenderse con suficiente antelación antes de un embarazo planificado (capítulos Semaglutida, Tirzepatida). En la maridebart cafraglutida esto es especialmente importante, porque en un estudio temprano su efecto se mantuvo hasta 150 días después de la última dosis (capítulo Maridebart cafraglutida).</w:t>
      </w:r>
    </w:p>
    <w:p>
      <w:pPr>
        <w:pStyle w:val="BodyText"/>
      </w:pPr>
      <w:r>
        <w:t xml:space="preserve">Como los medicamentos GLP-1 se utilizan en muchas mujeres en edad fértil y una pérdida de peso puede mejorar la fertilidad, se producen a pesar de todo embarazos no planificados durante el tratamiento. Para esta situación existen ya datos, en su mayoría tranquilizadores:</w:t>
      </w:r>
    </w:p>
    <w:p>
      <w:pPr>
        <w:numPr>
          <w:ilvl w:val="0"/>
          <w:numId w:val="1347"/>
        </w:numPr>
        <w:pStyle w:val="Compact"/>
      </w:pPr>
      <w:r>
        <w:t xml:space="preserve">En un gran estudio de cuatro países nórdicos, EE. UU. e Israel, la tasa de malformaciones graves en los hijos de mujeres con diabetes tipo 2 que habían recibido agonistas del receptor de GLP-1 en torno a la concepción no fue mayor que con insulina (riesgo relativo ajustado 0,95) (Cesta 2024, PMID 38079178).</w:t>
      </w:r>
    </w:p>
    <w:p>
      <w:pPr>
        <w:numPr>
          <w:ilvl w:val="0"/>
          <w:numId w:val="1347"/>
        </w:numPr>
        <w:pStyle w:val="Compact"/>
      </w:pPr>
      <w:r>
        <w:t xml:space="preserve">Un análisis de seis servicios de información sobre medicamentos en el embarazo encontró, en 168 embarazos con exposición a GLP-1 en el primer trimestre, malformaciones graves en el 2,6 %, y en los grupos de comparación en el 2,3 % y el 3,9 % (Dao 2024, PMID 38663923).</w:t>
      </w:r>
    </w:p>
    <w:p>
      <w:pPr>
        <w:numPr>
          <w:ilvl w:val="0"/>
          <w:numId w:val="1347"/>
        </w:numPr>
        <w:pStyle w:val="Compact"/>
      </w:pPr>
      <w:r>
        <w:t xml:space="preserve">Un estudio estadounidense con 3572 embarazos comparó a mujeres que siguieron dispensándose el medicamento durante el primer trimestre con mujeres que lo suspendieron. No se encontró un riesgo claramente aumentado de aborto espontáneo o muerte fetal, trastornos del crecimiento o malformaciones; sin embargo, las estimaciones para las malformaciones eran tan imprecisas que tampoco puede descartarse una diferencia relevante (Brown 2026, PMID 42258827).</w:t>
      </w:r>
    </w:p>
    <w:p>
      <w:pPr>
        <w:numPr>
          <w:ilvl w:val="0"/>
          <w:numId w:val="1347"/>
        </w:numPr>
        <w:pStyle w:val="Compact"/>
      </w:pPr>
      <w:r>
        <w:t xml:space="preserve">Un metaanálisis de siete estudios de cohortes con más de 40.000 embarazos expuestos no encontró un aumento estadísticamente significativo de las malformaciones graves; una señal de malformaciones de las vías urinarias se basaba solo en datos no ajustados. Los autores califican de baja la certeza de la evidencia (Uysal 2026, PMID 42420519).</w:t>
      </w:r>
    </w:p>
    <w:p>
      <w:pPr>
        <w:pStyle w:val="FirstParagraph"/>
      </w:pPr>
      <w:r>
        <w:t xml:space="preserve">Estos datos ayudan a valorar una exposición</w:t>
      </w:r>
      <w:r>
        <w:t xml:space="preserve"> </w:t>
      </w:r>
      <w:r>
        <w:rPr>
          <w:iCs/>
          <w:i/>
        </w:rPr>
        <w:t xml:space="preserve">accidental</w:t>
      </w:r>
      <w:r>
        <w:t xml:space="preserve">. No son una prueba de que un uso planificado durante el embarazo sea seguro. Para la lactancia, los datos son todavía más escasos; sobre el paso de la bremelanotida a la leche materna se ha completado un pequeño estudio con diez mujeres (NCT06867835).</w:t>
      </w:r>
    </w:p>
    <w:p>
      <w:pPr>
        <w:pStyle w:val="BodyText"/>
      </w:pPr>
      <w:r>
        <w:t xml:space="preserve">Algunos péptidos son peligrosos en el embarazo por su propio principio de acción. La oxitocina desencadena contracciones; su uso en espray nasal fuera del control médico es arriesgado durante el embarazo (capítulo Oxitocina). Para los péptidos del mercado gris como BPC-157, TB-500, epitalon o los liberadores de hormona del crecimiento no hay ningún dato sobre embarazo y lactancia.</w:t>
      </w:r>
    </w:p>
    <w:bookmarkEnd w:id="1015"/>
    <w:bookmarkStart w:id="1016" w:name="Xab831372af32ccb155f1f1f3ce9e176d251557a"/>
    <w:p>
      <w:pPr>
        <w:pStyle w:val="Heading3"/>
      </w:pPr>
      <w:r>
        <w:t xml:space="preserve">Anticoncepción oral y vaciamiento gástrico</w:t>
      </w:r>
    </w:p>
    <w:p>
      <w:pPr>
        <w:pStyle w:val="FirstParagraph"/>
      </w:pPr>
      <w:r>
        <w:t xml:space="preserve">Los medicamentos GLP-1, los análogos de la amilina como la pramlintida y también la bremelanotida ralentizan el vaciamiento del estómago. Por ello, los comprimidos que se toman al mismo tiempo pueden pasar a la sangre más tarde o en otra cantidad. Esto afecta sobre todo a los medicamentos en los que importa un inicio rápido del efecto o un nivel en sangre uniforme.</w:t>
      </w:r>
    </w:p>
    <w:p>
      <w:pPr>
        <w:pStyle w:val="BodyText"/>
      </w:pPr>
      <w:r>
        <w:t xml:space="preserve">La píldora anticonceptiva se ha estudiado con especial detalle. Para la semaglutida, un estudio con 43 mujeres no encontró una menor absorción de las dos hormonas de una píldora combinada habitual; el nivel del gestágeno fue incluso un 20 % más alto con semaglutida (Kapitza 2015, PMID 25475122). Con la tirzepatida es distinto: una revisión de seis estudios encontró solo con tirzepatida una reducción significativa de la cantidad de hormona absorbida, y no con los demás agonistas del receptor de GLP-1. Como explicación, los autores mencionan el mayor retraso del vaciamiento gástrico tras la primera dosis y tras los aumentos de dosis (Skelley 2024, PMID 37940101). Por eso, la ficha técnica de la tirzepatida contiene una advertencia específica sobre la anticoncepción con comprimidos; los detalles figuran allí y deberían comentarse con el médico.</w:t>
      </w:r>
    </w:p>
    <w:p>
      <w:pPr>
        <w:pStyle w:val="BodyText"/>
      </w:pPr>
      <w:r>
        <w:t xml:space="preserve">Con independencia del principio activo, se cumple: los vómitos o la diarrea intensos, frecuentes con los medicamentos GLP-1, pueden afectar a la absorción de cualquier comprimido, también de la píldora.</w:t>
      </w:r>
    </w:p>
    <w:p>
      <w:pPr>
        <w:pStyle w:val="BodyText"/>
      </w:pPr>
      <w:r>
        <w:t xml:space="preserve">Otras interacciones conocidas, en resumen: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Péptido</w:t>
            </w:r>
          </w:p>
        </w:tc>
        <w:tc>
          <w:tcPr/>
          <w:p>
            <w:pPr>
              <w:pStyle w:val="Compact"/>
              <w:jc w:val="left"/>
            </w:pPr>
            <w:r>
              <w:t xml:space="preserve">Interacción</w:t>
            </w:r>
          </w:p>
        </w:tc>
        <w:tc>
          <w:tcPr/>
          <w:p>
            <w:pPr>
              <w:pStyle w:val="Compact"/>
              <w:jc w:val="left"/>
            </w:pPr>
            <w:r>
              <w:t xml:space="preserve">Relevancia</w:t>
            </w:r>
          </w:p>
        </w:tc>
        <w:tc>
          <w:tcPr/>
          <w:p>
            <w:pPr>
              <w:pStyle w:val="Compact"/>
              <w:jc w:val="left"/>
            </w:pPr>
            <w:r>
              <w:t xml:space="preserve">Capítulo</w:t>
            </w:r>
          </w:p>
        </w:tc>
      </w:tr>
      <w:tr>
        <w:tc>
          <w:tcPr/>
          <w:p>
            <w:pPr>
              <w:pStyle w:val="Compact"/>
              <w:jc w:val="left"/>
            </w:pPr>
            <w:r>
              <w:t xml:space="preserve">Medicamentos GLP-1, pramlintida</w:t>
            </w:r>
          </w:p>
        </w:tc>
        <w:tc>
          <w:tcPr/>
          <w:p>
            <w:pPr>
              <w:pStyle w:val="Compact"/>
              <w:jc w:val="left"/>
            </w:pPr>
            <w:r>
              <w:t xml:space="preserve">absorción retardada de comprimidos</w:t>
            </w:r>
          </w:p>
        </w:tc>
        <w:tc>
          <w:tcPr/>
          <w:p>
            <w:pPr>
              <w:pStyle w:val="Compact"/>
              <w:jc w:val="left"/>
            </w:pPr>
            <w:r>
              <w:t xml:space="preserve">tener en cuenta con medicamentos de margen terapéutico estrecho</w:t>
            </w:r>
          </w:p>
        </w:tc>
        <w:tc>
          <w:tcPr/>
          <w:p>
            <w:pPr>
              <w:pStyle w:val="Compact"/>
              <w:jc w:val="left"/>
            </w:pPr>
            <w:r>
              <w:t xml:space="preserve">Semaglutida, Pramlintida</w:t>
            </w:r>
          </w:p>
        </w:tc>
      </w:tr>
      <w:tr>
        <w:tc>
          <w:tcPr/>
          <w:p>
            <w:pPr>
              <w:pStyle w:val="Compact"/>
              <w:jc w:val="left"/>
            </w:pPr>
            <w:r>
              <w:t xml:space="preserve">Tirzepatida</w:t>
            </w:r>
          </w:p>
        </w:tc>
        <w:tc>
          <w:tcPr/>
          <w:p>
            <w:pPr>
              <w:pStyle w:val="Compact"/>
              <w:jc w:val="left"/>
            </w:pPr>
            <w:r>
              <w:t xml:space="preserve">menos hormona de la píldora</w:t>
            </w:r>
          </w:p>
        </w:tc>
        <w:tc>
          <w:tcPr/>
          <w:p>
            <w:pPr>
              <w:pStyle w:val="Compact"/>
              <w:jc w:val="left"/>
            </w:pPr>
            <w:r>
              <w:t xml:space="preserve">advertencia en la ficha técnica</w:t>
            </w:r>
          </w:p>
        </w:tc>
        <w:tc>
          <w:tcPr/>
          <w:p>
            <w:pPr>
              <w:pStyle w:val="Compact"/>
              <w:jc w:val="left"/>
            </w:pPr>
            <w:r>
              <w:t xml:space="preserve">Tirzepatida</w:t>
            </w:r>
          </w:p>
        </w:tc>
      </w:tr>
      <w:tr>
        <w:tc>
          <w:tcPr/>
          <w:p>
            <w:pPr>
              <w:pStyle w:val="Compact"/>
              <w:jc w:val="left"/>
            </w:pPr>
            <w:r>
              <w:t xml:space="preserve">Bremelanotida</w:t>
            </w:r>
          </w:p>
        </w:tc>
        <w:tc>
          <w:tcPr/>
          <w:p>
            <w:pPr>
              <w:pStyle w:val="Compact"/>
              <w:jc w:val="left"/>
            </w:pPr>
            <w:r>
              <w:t xml:space="preserve">niveles más bajos de indometacina y naltrexona</w:t>
            </w:r>
          </w:p>
        </w:tc>
        <w:tc>
          <w:tcPr/>
          <w:p>
            <w:pPr>
              <w:pStyle w:val="Compact"/>
              <w:jc w:val="left"/>
            </w:pPr>
            <w:r>
              <w:t xml:space="preserve">el efecto de estos fármacos puede disminuir</w:t>
            </w:r>
          </w:p>
        </w:tc>
        <w:tc>
          <w:tcPr/>
          <w:p>
            <w:pPr>
              <w:pStyle w:val="Compact"/>
              <w:jc w:val="left"/>
            </w:pPr>
            <w:r>
              <w:t xml:space="preserve">Bremelanotida</w:t>
            </w:r>
          </w:p>
        </w:tc>
      </w:tr>
      <w:tr>
        <w:tc>
          <w:tcPr/>
          <w:p>
            <w:pPr>
              <w:pStyle w:val="Compact"/>
              <w:jc w:val="left"/>
            </w:pPr>
            <w:r>
              <w:t xml:space="preserve">Macimorelina</w:t>
            </w:r>
          </w:p>
        </w:tc>
        <w:tc>
          <w:tcPr/>
          <w:p>
            <w:pPr>
              <w:pStyle w:val="Compact"/>
              <w:jc w:val="left"/>
            </w:pPr>
            <w:r>
              <w:t xml:space="preserve">prolonga el intervalo QT</w:t>
            </w:r>
          </w:p>
        </w:tc>
        <w:tc>
          <w:tcPr/>
          <w:p>
            <w:pPr>
              <w:pStyle w:val="Compact"/>
              <w:jc w:val="left"/>
            </w:pPr>
            <w:r>
              <w:t xml:space="preserve">precaución con otros fármacos que prolongan el QT</w:t>
            </w:r>
          </w:p>
        </w:tc>
        <w:tc>
          <w:tcPr/>
          <w:p>
            <w:pPr>
              <w:pStyle w:val="Compact"/>
              <w:jc w:val="left"/>
            </w:pPr>
            <w:r>
              <w:t xml:space="preserve">Macimorelina</w:t>
            </w:r>
          </w:p>
        </w:tc>
      </w:tr>
      <w:tr>
        <w:tc>
          <w:tcPr/>
          <w:p>
            <w:pPr>
              <w:pStyle w:val="Compact"/>
              <w:jc w:val="left"/>
            </w:pPr>
            <w:r>
              <w:t xml:space="preserve">Orforglipron</w:t>
            </w:r>
          </w:p>
        </w:tc>
        <w:tc>
          <w:tcPr/>
          <w:p>
            <w:pPr>
              <w:pStyle w:val="Compact"/>
              <w:jc w:val="left"/>
            </w:pPr>
            <w:r>
              <w:t xml:space="preserve">metabolismo por enzimas hepáticas</w:t>
            </w:r>
          </w:p>
        </w:tc>
        <w:tc>
          <w:tcPr/>
          <w:p>
            <w:pPr>
              <w:pStyle w:val="Compact"/>
              <w:jc w:val="left"/>
            </w:pPr>
            <w:r>
              <w:t xml:space="preserve">posibles interacciones con otros medicamentos</w:t>
            </w:r>
          </w:p>
        </w:tc>
        <w:tc>
          <w:tcPr/>
          <w:p>
            <w:pPr>
              <w:pStyle w:val="Compact"/>
              <w:jc w:val="left"/>
            </w:pPr>
            <w:r>
              <w:t xml:space="preserve">Orforglipron</w:t>
            </w:r>
          </w:p>
        </w:tc>
      </w:tr>
      <w:tr>
        <w:tc>
          <w:tcPr/>
          <w:p>
            <w:pPr>
              <w:pStyle w:val="Compact"/>
              <w:jc w:val="left"/>
            </w:pPr>
            <w:r>
              <w:t xml:space="preserve">Selank, DSIP</w:t>
            </w:r>
          </w:p>
        </w:tc>
        <w:tc>
          <w:tcPr/>
          <w:p>
            <w:pPr>
              <w:pStyle w:val="Compact"/>
              <w:jc w:val="left"/>
            </w:pPr>
            <w:r>
              <w:t xml:space="preserve">sedantes e hipnóticos, alcohol</w:t>
            </w:r>
          </w:p>
        </w:tc>
        <w:tc>
          <w:tcPr/>
          <w:p>
            <w:pPr>
              <w:pStyle w:val="Compact"/>
              <w:jc w:val="left"/>
            </w:pPr>
            <w:r>
              <w:t xml:space="preserve">no estudiado</w:t>
            </w:r>
          </w:p>
        </w:tc>
        <w:tc>
          <w:tcPr/>
          <w:p>
            <w:pPr>
              <w:pStyle w:val="Compact"/>
              <w:jc w:val="left"/>
            </w:pPr>
            <w:r>
              <w:t xml:space="preserve">Selank, DSIP</w:t>
            </w:r>
          </w:p>
        </w:tc>
      </w:tr>
      <w:tr>
        <w:tc>
          <w:tcPr/>
          <w:p>
            <w:pPr>
              <w:pStyle w:val="Compact"/>
              <w:jc w:val="left"/>
            </w:pPr>
            <w:r>
              <w:t xml:space="preserve">BPC-157</w:t>
            </w:r>
          </w:p>
        </w:tc>
        <w:tc>
          <w:tcPr/>
          <w:p>
            <w:pPr>
              <w:pStyle w:val="Compact"/>
              <w:jc w:val="left"/>
            </w:pPr>
            <w:r>
              <w:t xml:space="preserve">coagulación sanguínea (solo datos en animales)</w:t>
            </w:r>
          </w:p>
        </w:tc>
        <w:tc>
          <w:tcPr/>
          <w:p>
            <w:pPr>
              <w:pStyle w:val="Compact"/>
              <w:jc w:val="left"/>
            </w:pPr>
            <w:r>
              <w:t xml:space="preserve">desconocido con anticoagulantes</w:t>
            </w:r>
          </w:p>
        </w:tc>
        <w:tc>
          <w:tcPr/>
          <w:p>
            <w:pPr>
              <w:pStyle w:val="Compact"/>
              <w:jc w:val="left"/>
            </w:pPr>
            <w:r>
              <w:t xml:space="preserve">BPC-157</w:t>
            </w:r>
          </w:p>
        </w:tc>
      </w:tr>
    </w:tbl>
    <w:p>
      <w:pPr>
        <w:pStyle w:val="BodyText"/>
      </w:pPr>
      <w:r>
        <w:t xml:space="preserve">La interacción de la bremelanotida con la indometacina y la naltrexona está descrita en los datos de autorización (Clayton 2022, PMID 35147466). La prolongación del QT por la macimorelina se midió en un estudio exhaustivo del ECG (Lissy 2021, PMID 32961034).</w:t>
      </w:r>
    </w:p>
    <w:bookmarkEnd w:id="1016"/>
    <w:bookmarkStart w:id="1017" w:name="X43bb6f447de75ead4c4e28c54806a91315450a7"/>
    <w:p>
      <w:pPr>
        <w:pStyle w:val="Heading3"/>
      </w:pPr>
      <w:r>
        <w:t xml:space="preserve">Anestesia, endoscopia digestiva alta y aspiración</w:t>
      </w:r>
    </w:p>
    <w:p>
      <w:pPr>
        <w:pStyle w:val="FirstParagraph"/>
      </w:pPr>
      <w:r>
        <w:t xml:space="preserve">Antes de una anestesia, el estómago debe estar vacío. El motivo: si el contenido gástrico pasa a las vías respiratorias durante la anestesia (aspiración), puede producirse una neumonía grave. Como los medicamentos GLP-1 ralentizan el vaciamiento gástrico, el estómago puede contener todavía restos de alimentos pese a haber respetado el ayuno prescrito.</w:t>
      </w:r>
    </w:p>
    <w:p>
      <w:pPr>
        <w:pStyle w:val="BodyText"/>
      </w:pPr>
      <w:r>
        <w:t xml:space="preserve">Los estudios al respecto ofrecen una imagen dividida:</w:t>
      </w:r>
    </w:p>
    <w:p>
      <w:pPr>
        <w:numPr>
          <w:ilvl w:val="0"/>
          <w:numId w:val="1348"/>
        </w:numPr>
        <w:pStyle w:val="Compact"/>
      </w:pPr>
      <w:r>
        <w:rPr>
          <w:bCs/>
          <w:b/>
        </w:rPr>
        <w:t xml:space="preserve">Un mayor contenido residual en el estómago está bien demostrado.</w:t>
      </w:r>
      <w:r>
        <w:t xml:space="preserve"> </w:t>
      </w:r>
      <w:r>
        <w:t xml:space="preserve">Un metaanálisis de 23 estudios observacionales con 262.018 personas sometidas a una endoscopia digestiva alta encontró con agonistas del receptor de GLP-1 un riesgo de restos de alimentos en el estómago unas cuatro veces y media mayor (odds ratio 4,54) y, del mismo modo, exploraciones interrumpidas antes de tiempo con más frecuencia. La neumonía por aspiración no fue más frecuente (odds ratio 0,96) (Baig 2025, PMID 39694296).</w:t>
      </w:r>
    </w:p>
    <w:p>
      <w:pPr>
        <w:numPr>
          <w:ilvl w:val="0"/>
          <w:numId w:val="1348"/>
        </w:numPr>
        <w:pStyle w:val="Compact"/>
      </w:pPr>
      <w:r>
        <w:t xml:space="preserve">En un estudio con ecografía gástrica antes de operaciones programadas, el 49 % de las personas tratadas con semaglutida tenían el «estómago lleno», frente a solo el 18 % de los controles comparables; se encontraron restos sólidos de alimentos en el 42 % frente al 7 %. Esto ocurrió aunque se hubiera omitido una dosis antes de la operación (Vlaeminck 2026, PMID 41631344).</w:t>
      </w:r>
    </w:p>
    <w:p>
      <w:pPr>
        <w:numPr>
          <w:ilvl w:val="0"/>
          <w:numId w:val="1348"/>
        </w:numPr>
        <w:pStyle w:val="Compact"/>
      </w:pPr>
      <w:r>
        <w:rPr>
          <w:bCs/>
          <w:b/>
        </w:rPr>
        <w:t xml:space="preserve">Las aspiraciones reales son raras.</w:t>
      </w:r>
      <w:r>
        <w:t xml:space="preserve"> </w:t>
      </w:r>
      <w:r>
        <w:t xml:space="preserve">En un gran estudio de bases de datos estadounidense con 296.389 parejas de personas con diabetes tipo 2, las complicaciones respiratorias tras operaciones fueron incluso menos frecuentes con agonistas del receptor de GLP-1 (0,09 % frente a 0,34 %), y las aspiraciones se dieron en el 0,01 % frente al 0,03 %. Los autores subrayan que no está claro si en estos casos ya se habían tomado medidas de precaución (Wu 2026, PMID 40940281).</w:t>
      </w:r>
    </w:p>
    <w:p>
      <w:pPr>
        <w:pStyle w:val="FirstParagraph"/>
      </w:pPr>
      <w:r>
        <w:t xml:space="preserve">Posiblemente, las tasas de aspiración son bajas porque los equipos de anestesia conocen el riesgo y adaptan su forma de actuar. Si pausar el medicamento antes de una endoscopia digestiva alta reduce el problema es lo que debe aclarar un gran estudio en China (NCT07276763). Para las personas tratadas, esto significa sobre todo: antes de cualquier operación, anestesia o endoscopia digestiva alta, indicar que se utiliza un medicamento GLP-1, aunque proceda de una farmacia de fórmulas magistrales o del mercado gris. Cómo manejar el medicamento antes de la intervención lo decide el equipo médico según las recomendaciones vigentes en cada caso. Quien no considera un producto del mercado gris como medicamento y por eso no lo menciona priva al equipo de anestesia de esta posibilidad.</w:t>
      </w:r>
    </w:p>
    <w:bookmarkEnd w:id="1017"/>
    <w:bookmarkStart w:id="1018" w:name="X5e84f531af87b390371729cca4673ba8dfb5a21"/>
    <w:p>
      <w:pPr>
        <w:pStyle w:val="Heading3"/>
      </w:pPr>
      <w:r>
        <w:t xml:space="preserve">Combinación con antidiabéticos e hipoglucemia</w:t>
      </w:r>
    </w:p>
    <w:p>
      <w:pPr>
        <w:pStyle w:val="FirstParagraph"/>
      </w:pPr>
      <w:r>
        <w:t xml:space="preserve">Como se describe en el capítulo «Efectos adversos por sistemas orgánicos», los medicamentos GLP-1 por sí solos apenas causan hipoglucemias peligrosas. Esto cambia en combinación con insulina o sulfonilureas, que reducen la glucemia con independencia del valor actual. En un estudio con exenatida añadida a metformina y una sulfonilurea se produjeron hipoglucemias leves a moderadas en hasta el 28 %, frente al 13 % con placebo; con una sulfonilurea en dosis bajas fueron menos frecuentes (Kendall 2005, PMID 15855571). Con la pramlintida, que se utiliza junto con insulina, las hipoglucemias graves fueron más frecuentes que con placebo (Edelman 2006, PMID 17003291). Por eso, las fichas técnicas prevén revisar la dosis de los demás antidiabéticos al inicio; su aplicación corresponde a los profesionales médicos.</w:t>
      </w:r>
    </w:p>
    <w:p>
      <w:pPr>
        <w:pStyle w:val="BodyText"/>
      </w:pPr>
      <w:r>
        <w:t xml:space="preserve">Para varios péptidos no autorizados es teóricamente concebible una reducción adicional de la glucemia, por ejemplo para MOTS-c o IGF-1 LR3 (capítulos MOTS-c, IGF-1 LR3). No se ha estudiado. A la inversa, los péptidos del eje de la hormona del crecimiento pueden aumentar la glucemia y desequilibrar un tratamiento antidiabético existente (capítulos Ibutamoreno, Tesamorelina).</w:t>
      </w:r>
    </w:p>
    <w:bookmarkEnd w:id="1018"/>
    <w:bookmarkStart w:id="1019" w:name="niños-y-adolescentes-3"/>
    <w:p>
      <w:pPr>
        <w:pStyle w:val="Heading3"/>
      </w:pPr>
      <w:r>
        <w:t xml:space="preserve">Niños y adolescentes</w:t>
      </w:r>
    </w:p>
    <w:p>
      <w:pPr>
        <w:pStyle w:val="FirstParagraph"/>
      </w:pPr>
      <w:r>
        <w:t xml:space="preserve">La semaglutida y la liraglutida están autorizadas en la UE y en EE. UU. también para adolescentes a partir de doce años con obesidad (situación en 2026, compruébese la información actualizada). Los estudios de autorización muestran un perfil de efectos adversos similar al de los adultos: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w:t>
            </w:r>
          </w:p>
        </w:tc>
        <w:tc>
          <w:tcPr/>
          <w:p>
            <w:pPr>
              <w:pStyle w:val="Compact"/>
              <w:jc w:val="left"/>
            </w:pPr>
            <w:r>
              <w:t xml:space="preserve">Molestias gastrointestinales</w:t>
            </w:r>
          </w:p>
        </w:tc>
        <w:tc>
          <w:tcPr/>
          <w:p>
            <w:pPr>
              <w:pStyle w:val="Compact"/>
              <w:jc w:val="left"/>
            </w:pPr>
            <w:r>
              <w:t xml:space="preserve">Otros hallazgos</w:t>
            </w:r>
          </w:p>
        </w:tc>
      </w:tr>
      <w:tr>
        <w:tc>
          <w:tcPr/>
          <w:p>
            <w:pPr>
              <w:pStyle w:val="Compact"/>
              <w:jc w:val="left"/>
            </w:pPr>
            <w:r>
              <w:t xml:space="preserve">STEP TEENS (Weghuber 2022), PMID 36322838</w:t>
            </w:r>
          </w:p>
        </w:tc>
        <w:tc>
          <w:tcPr/>
          <w:p>
            <w:pPr>
              <w:pStyle w:val="Compact"/>
              <w:jc w:val="left"/>
            </w:pPr>
            <w:r>
              <w:t xml:space="preserve">201 adolescentes, semaglutida, 68 semanas</w:t>
            </w:r>
          </w:p>
        </w:tc>
        <w:tc>
          <w:tcPr/>
          <w:p>
            <w:pPr>
              <w:pStyle w:val="Compact"/>
              <w:jc w:val="left"/>
            </w:pPr>
            <w:r>
              <w:t xml:space="preserve">62 % frente a 42 %</w:t>
            </w:r>
          </w:p>
        </w:tc>
        <w:tc>
          <w:tcPr/>
          <w:p>
            <w:pPr>
              <w:pStyle w:val="Compact"/>
              <w:jc w:val="left"/>
            </w:pPr>
            <w:r>
              <w:t xml:space="preserve">cálculos biliares en el 4 %; acontecimientos graves 11 % frente a 9 %</w:t>
            </w:r>
          </w:p>
        </w:tc>
      </w:tr>
      <w:tr>
        <w:tc>
          <w:tcPr/>
          <w:p>
            <w:pPr>
              <w:pStyle w:val="Compact"/>
              <w:jc w:val="left"/>
            </w:pPr>
            <w:r>
              <w:t xml:space="preserve">SCALE Teens (Kelly 2020), PMID 32233338</w:t>
            </w:r>
          </w:p>
        </w:tc>
        <w:tc>
          <w:tcPr/>
          <w:p>
            <w:pPr>
              <w:pStyle w:val="Compact"/>
              <w:jc w:val="left"/>
            </w:pPr>
            <w:r>
              <w:t xml:space="preserve">251 adolescentes, liraglutida, 56 semanas</w:t>
            </w:r>
          </w:p>
        </w:tc>
        <w:tc>
          <w:tcPr/>
          <w:p>
            <w:pPr>
              <w:pStyle w:val="Compact"/>
              <w:jc w:val="left"/>
            </w:pPr>
            <w:r>
              <w:t xml:space="preserve">64,8 % frente a 36,5 %</w:t>
            </w:r>
          </w:p>
        </w:tc>
        <w:tc>
          <w:tcPr/>
          <w:p>
            <w:pPr>
              <w:pStyle w:val="Compact"/>
              <w:jc w:val="left"/>
            </w:pPr>
            <w:r>
              <w:t xml:space="preserve">abandono por efectos adversos 10,4 % frente a 0 %</w:t>
            </w:r>
          </w:p>
        </w:tc>
      </w:tr>
    </w:tbl>
    <w:p>
      <w:pPr>
        <w:pStyle w:val="BodyText"/>
      </w:pPr>
      <w:r>
        <w:t xml:space="preserve">En el estudio con liraglutida, el IMC volvió a aumentar tras la suspensión más que con placebo, y se produjo un suicidio en el grupo de liraglutida que los investigadores consideraron probablemente no relacionado con el tratamiento (Kelly 2020, PMID 32233338). Un metaanálisis de nueve estudios aleatorizados y dos observacionales con adolescentes no encontró en conjunto un aumento de la conducta suicida ni de la depresión (Silva 2026, PMID 42115753).</w:t>
      </w:r>
    </w:p>
    <w:p>
      <w:pPr>
        <w:pStyle w:val="BodyText"/>
      </w:pPr>
      <w:r>
        <w:t xml:space="preserve">Una imagen distinta ofrecen los datos de los centros de información toxicológica de EE. UU. En niños y adolescentes de entre 6 y 17 años, los casos notificados con medicamentos GLP-1 fueron los que más aumentaron entre 2017 y 2024. Fueron hospitalizados con más frecuencia que los adultos (riesgo relativo 2,66), vomitaron con más frecuencia, y sus casos se debieron unas ocho veces más a menudo a un uso indebido intencionado (Senthilkumar 2026, PMID 41784916). Esto indica que los adolescentes utilizan en parte estos medicamentos fuera de un tratamiento médico.</w:t>
      </w:r>
    </w:p>
    <w:p>
      <w:pPr>
        <w:pStyle w:val="BodyText"/>
      </w:pPr>
      <w:r>
        <w:t xml:space="preserve">En el caso de los péptidos del entorno del fitness y el culturismo, no está claro hasta qué punto están extendidos entre los adolescentes. Una revisión señala la publicidad en redes sociales e indicios de un uso creciente también por parte de deportistas aficionados más jóvenes, pero subraya que faltan estudios sobre la frecuencia (Coutinho 2026, PMID 41880199). Para los adolescentes, cuyo crecimiento y sistema hormonal todavía no han concluido, intervenir en el eje de la hormona del crecimiento o de las hormonas sexuales con sustancias no autorizadas es especialmente arriesgado. Los péptidos autorizados para niños, como la mecasermina en el déficit grave de IGF-1, se utilizan exclusivamente bajo control de un especialista (capítulo Mecasermina).</w:t>
      </w:r>
    </w:p>
    <w:bookmarkEnd w:id="1019"/>
    <w:bookmarkStart w:id="1020" w:name="personas-mayores"/>
    <w:p>
      <w:pPr>
        <w:pStyle w:val="Heading3"/>
      </w:pPr>
      <w:r>
        <w:t xml:space="preserve">Personas mayores</w:t>
      </w:r>
    </w:p>
    <w:p>
      <w:pPr>
        <w:pStyle w:val="FirstParagraph"/>
      </w:pPr>
      <w:r>
        <w:t xml:space="preserve">Con la edad aumenta el riesgo de que los efectos adversos sean más graves. Para las personas mayores, en relación con los péptidos son importantes sobre todo cuatro puntos:</w:t>
      </w:r>
    </w:p>
    <w:p>
      <w:pPr>
        <w:numPr>
          <w:ilvl w:val="0"/>
          <w:numId w:val="1349"/>
        </w:numPr>
        <w:pStyle w:val="Compact"/>
      </w:pPr>
      <w:r>
        <w:rPr>
          <w:bCs/>
          <w:b/>
        </w:rPr>
        <w:t xml:space="preserve">Pérdida de líquidos.</w:t>
      </w:r>
      <w:r>
        <w:t xml:space="preserve"> </w:t>
      </w:r>
      <w:r>
        <w:t xml:space="preserve">Los vómitos y la diarrea con medicamentos GLP-1 pueden provocar en personas mayores con más rapidez deshidratación y problemas renales.</w:t>
      </w:r>
    </w:p>
    <w:p>
      <w:pPr>
        <w:numPr>
          <w:ilvl w:val="0"/>
          <w:numId w:val="1349"/>
        </w:numPr>
        <w:pStyle w:val="Compact"/>
      </w:pPr>
      <w:r>
        <w:rPr>
          <w:bCs/>
          <w:b/>
        </w:rPr>
        <w:t xml:space="preserve">Masa muscular.</w:t>
      </w:r>
      <w:r>
        <w:t xml:space="preserve"> </w:t>
      </w:r>
      <w:r>
        <w:t xml:space="preserve">Quien ya tiene poca musculatura tolera mal una pérdida adicional (véase el apartado siguiente).</w:t>
      </w:r>
    </w:p>
    <w:p>
      <w:pPr>
        <w:numPr>
          <w:ilvl w:val="0"/>
          <w:numId w:val="1349"/>
        </w:numPr>
        <w:pStyle w:val="Compact"/>
      </w:pPr>
      <w:r>
        <w:rPr>
          <w:bCs/>
          <w:b/>
        </w:rPr>
        <w:t xml:space="preserve">Retención de líquidos y corazón.</w:t>
      </w:r>
      <w:r>
        <w:t xml:space="preserve"> </w:t>
      </w:r>
      <w:r>
        <w:t xml:space="preserve">La hormona del crecimiento provocó en personas mayores sanas con más frecuencia hinchazón de los tejidos, dolor articular y síndrome del túnel carpiano (Liu 2007, PMID 17227934). Un estudio con ibutamoreno en personas mayores tras una fractura de cadera se interrumpió por una señal de insuficiencia cardiaca (Adunsky 2011, PMID 21067829). Precisamente los péptidos que se promocionan como productos «antienvejecimiento» suponen, por tanto, más bien una carga para los corazones mayores.</w:t>
      </w:r>
    </w:p>
    <w:p>
      <w:pPr>
        <w:numPr>
          <w:ilvl w:val="0"/>
          <w:numId w:val="1349"/>
        </w:numPr>
        <w:pStyle w:val="Compact"/>
      </w:pPr>
      <w:r>
        <w:rPr>
          <w:bCs/>
          <w:b/>
        </w:rPr>
        <w:t xml:space="preserve">Varios medicamentos.</w:t>
      </w:r>
      <w:r>
        <w:t xml:space="preserve"> </w:t>
      </w:r>
      <w:r>
        <w:t xml:space="preserve">Las personas mayores toman a menudo muchos medicamentos al mismo tiempo. El vaciamiento gástrico retardado puede alterar su absorción, y las combinaciones con fármacos hipoglucemiantes aumentan el riesgo de hipoglucemia y caídas.</w:t>
      </w:r>
    </w:p>
    <w:bookmarkEnd w:id="1020"/>
    <w:bookmarkStart w:id="1021" w:name="X308c1527099f7c702987d4f27720b60ef3a839c"/>
    <w:p>
      <w:pPr>
        <w:pStyle w:val="Heading3"/>
      </w:pPr>
      <w:r>
        <w:t xml:space="preserve">Pérdida muscular con una pérdida de peso intensa</w:t>
      </w:r>
    </w:p>
    <w:p>
      <w:pPr>
        <w:pStyle w:val="FirstParagraph"/>
      </w:pPr>
      <w:r>
        <w:t xml:space="preserve">En toda pérdida de peso se pierde, además de grasa, también masa libre de grasa, que incluye músculos, órganos y agua. En los medicamentos GLP-1 de gran eficacia, la cuestión es si esta proporción es inusualmente alta y si resulta perjudicial.</w:t>
      </w:r>
    </w:p>
    <w:p>
      <w:pPr>
        <w:numPr>
          <w:ilvl w:val="0"/>
          <w:numId w:val="1350"/>
        </w:numPr>
        <w:pStyle w:val="Compact"/>
      </w:pPr>
      <w:r>
        <w:t xml:space="preserve">En un subestudio de SURMOUNT-1 con 160 participantes, el peso perdido con tirzepatida estaba compuesto en un 75 % aproximadamente por grasa y en un 25 % por masa libre de grasa, en la misma proporción que con placebo, solo que con una pérdida total claramente mayor. Estas proporciones se mantuvieron similares en la mayoría de los subgrupos, también separados por edad (Look 2025, PMID 39996356).</w:t>
      </w:r>
    </w:p>
    <w:p>
      <w:pPr>
        <w:numPr>
          <w:ilvl w:val="0"/>
          <w:numId w:val="1350"/>
        </w:numPr>
        <w:pStyle w:val="Compact"/>
      </w:pPr>
      <w:r>
        <w:t xml:space="preserve">Un metaanálisis en red de 22 estudios encontró igualmente que alrededor del 25 % de la pérdida de peso correspondía a masa libre de grasa. La semaglutida y la tirzepatida produjeron la mayor pérdida de peso, pero también estuvieron entre los principios activos con los que más masa libre de grasa se perdió (Karakasis 2025, PMID 39719170).</w:t>
      </w:r>
    </w:p>
    <w:p>
      <w:pPr>
        <w:numPr>
          <w:ilvl w:val="0"/>
          <w:numId w:val="1350"/>
        </w:numPr>
        <w:pStyle w:val="Compact"/>
      </w:pPr>
      <w:r>
        <w:t xml:space="preserve">Una revisión sistemática de 35 estudios obtuvo una proporción algo mayor: en la mediana, el 28,3 % de la pérdida de peso correspondía a medidas relacionadas con el músculo, y en el 65 % de los estudios la proporción superaba un valor de referencia de aproximadamente el 25 %. Ni un solo estudio había medido objetivamente la capacidad física (Batsis 2026, PMID 41996180).</w:t>
      </w:r>
    </w:p>
    <w:p>
      <w:pPr>
        <w:numPr>
          <w:ilvl w:val="0"/>
          <w:numId w:val="1350"/>
        </w:numPr>
        <w:pStyle w:val="Compact"/>
      </w:pPr>
      <w:r>
        <w:t xml:space="preserve">Otro metaanálisis subraya el otro lado: como la grasa disminuye más que el músculo, la</w:t>
      </w:r>
      <w:r>
        <w:t xml:space="preserve"> </w:t>
      </w:r>
      <w:r>
        <w:rPr>
          <w:iCs/>
          <w:i/>
        </w:rPr>
        <w:t xml:space="preserve">proporción</w:t>
      </w:r>
      <w:r>
        <w:t xml:space="preserve"> </w:t>
      </w:r>
      <w:r>
        <w:t xml:space="preserve">de masa libre de grasa en el peso corporal aumentó 1,81 puntos porcentuales. Los autores recomiendan acompañar el tratamiento con programas de nutrición y actividad física (Laverde 2026, PMID 42321502).</w:t>
      </w:r>
    </w:p>
    <w:p>
      <w:pPr>
        <w:pStyle w:val="FirstParagraph"/>
      </w:pPr>
      <w:r>
        <w:t xml:space="preserve">En resumen: la pérdida muscular con medicamentos GLP-1 no parece ser, en relación con la pérdida total, sustancialmente mayor que con otras formas de reducción de peso, pero en kilogramos absolutos es considerable debido a la gran pérdida. Si esto tiene consecuencias para la fuerza, las caídas o la autonomía no se ha estudiado. Para las personas mayores, las personas con poca masa muscular y las personas con fragilidad es una cuestión abierta. Si las combinaciones con cagrilintida influyen en la pérdida muscular se está investigando actualmente (capítulo Cagrilintida).</w:t>
      </w:r>
    </w:p>
    <w:bookmarkEnd w:id="1021"/>
    <w:bookmarkStart w:id="1022" w:name="trastornos-de-la-conducta-alimentaria"/>
    <w:p>
      <w:pPr>
        <w:pStyle w:val="Heading3"/>
      </w:pPr>
      <w:r>
        <w:t xml:space="preserve">Trastornos de la conducta alimentaria</w:t>
      </w:r>
    </w:p>
    <w:p>
      <w:pPr>
        <w:pStyle w:val="FirstParagraph"/>
      </w:pPr>
      <w:r>
        <w:t xml:space="preserve">Los medicamentos GLP-1 atenúan el apetito y la sensación de hambre. Para las personas con anorexia (anorexia nerviosa) o bulimia, precisamente este efecto puede ser peligroso: puede reforzar la conducta alimentaria restrictiva y agravar una enfermedad. Un caso clínico describe el abuso de semaglutida en una anorexia atípica (Guerdjikova 2024, PMID 38329147), y un estudio transversal estadounidense investigó lo extendidos que están el uso y el abuso de medicamentos GLP-1 entre las personas con trastornos de la conducta alimentaria (Peiper 2026, PMID 42340738).</w:t>
      </w:r>
    </w:p>
    <w:p>
      <w:pPr>
        <w:pStyle w:val="BodyText"/>
      </w:pPr>
      <w:r>
        <w:t xml:space="preserve">Un panel de 45 especialistas y personas afectadas elaboró en 2026 recomendaciones mediante un procedimiento de consenso. Según ellas, antes de iniciar un tratamiento con GLP-1 debería preguntarse por trastornos de la conducta alimentaria actuales y pasados con un cuestionario breve y validado, los síntomas deberían vigilarse a lo largo del tratamiento y, en caso de anorexia activa, anorexia atípica o bulimia con una fuerte restricción de la ingesta, estos medicamentos no deberían utilizarse por regla general. También con trastornos de la conducta alimentaria previos sería necesaria precaución (Keshen 2026, PMID 42742590).</w:t>
      </w:r>
    </w:p>
    <w:p>
      <w:pPr>
        <w:pStyle w:val="BodyText"/>
      </w:pPr>
      <w:r>
        <w:t xml:space="preserve">Para el trastorno por atracón, en el que se producen atracones sin conductas compensatorias, hay en cambio primeros indicios de que los medicamentos GLP-1 podrían reducir los atracones (Keshen 2026, PMID 42742590). Esto muestra lo importante que es un diagnóstico preciso. A través del mercado gris y de proveedores en línea con poco acompañamiento médico desaparece precisamente esta indagación.</w:t>
      </w:r>
    </w:p>
    <w:bookmarkEnd w:id="1022"/>
    <w:bookmarkStart w:id="1023" w:name="X42e970d555ac09fd6efe2ed758730daef16ec06"/>
    <w:p>
      <w:pPr>
        <w:pStyle w:val="Heading3"/>
      </w:pPr>
      <w:r>
        <w:t xml:space="preserve">Deporte de competición y controles antidopaje</w:t>
      </w:r>
    </w:p>
    <w:p>
      <w:pPr>
        <w:pStyle w:val="FirstParagraph"/>
      </w:pPr>
      <w:r>
        <w:t xml:space="preserve">Para los deportistas sometidos a controles antidopaje, la situación con los péptidos es especialmente delicada. Según la lista de prohibiciones de la Agencia Mundial Antidopaje (WADA), en líneas generales (situación en 2026, compruébese la información actualizada):</w:t>
      </w:r>
    </w:p>
    <w:p>
      <w:pPr>
        <w:numPr>
          <w:ilvl w:val="0"/>
          <w:numId w:val="1351"/>
        </w:numPr>
        <w:pStyle w:val="Compact"/>
      </w:pPr>
      <w:r>
        <w:rPr>
          <w:bCs/>
          <w:b/>
        </w:rPr>
        <w:t xml:space="preserve">Prohibidos (S2, hormonas peptídicas y factores de crecimiento):</w:t>
      </w:r>
      <w:r>
        <w:t xml:space="preserve"> </w:t>
      </w:r>
      <w:r>
        <w:t xml:space="preserve">todos los liberadores de hormona del crecimiento y las variantes de IGF-1, la timosina beta 4 y TB-500, ARA-290, en los hombres la gonadorelina y los liberadores de LH como la kisspeptina.</w:t>
      </w:r>
    </w:p>
    <w:p>
      <w:pPr>
        <w:numPr>
          <w:ilvl w:val="0"/>
          <w:numId w:val="1351"/>
        </w:numPr>
        <w:pStyle w:val="Compact"/>
      </w:pPr>
      <w:r>
        <w:rPr>
          <w:bCs/>
          <w:b/>
        </w:rPr>
        <w:t xml:space="preserve">Prohibidos (S0, sustancias no aprobadas):</w:t>
      </w:r>
      <w:r>
        <w:t xml:space="preserve"> </w:t>
      </w:r>
      <w:r>
        <w:t xml:space="preserve">sustancias sin autorización como medicamento de uso humano, como BPC-157, el melanotán II y los agonistas múltiples de GLP-1 que todavía están en estudio, como la retatrutida.</w:t>
      </w:r>
    </w:p>
    <w:p>
      <w:pPr>
        <w:numPr>
          <w:ilvl w:val="0"/>
          <w:numId w:val="1351"/>
        </w:numPr>
        <w:pStyle w:val="Compact"/>
      </w:pPr>
      <w:r>
        <w:rPr>
          <w:bCs/>
          <w:b/>
        </w:rPr>
        <w:t xml:space="preserve">Prohibido (S4):</w:t>
      </w:r>
      <w:r>
        <w:t xml:space="preserve"> </w:t>
      </w:r>
      <w:r>
        <w:t xml:space="preserve">MOTS-c como activador de la enzima AMPK.</w:t>
      </w:r>
    </w:p>
    <w:p>
      <w:pPr>
        <w:numPr>
          <w:ilvl w:val="0"/>
          <w:numId w:val="1351"/>
        </w:numPr>
        <w:pStyle w:val="Compact"/>
      </w:pPr>
      <w:r>
        <w:rPr>
          <w:bCs/>
          <w:b/>
        </w:rPr>
        <w:t xml:space="preserve">No prohibidos:</w:t>
      </w:r>
      <w:r>
        <w:t xml:space="preserve"> </w:t>
      </w:r>
      <w:r>
        <w:t xml:space="preserve">los medicamentos GLP-1 autorizados. No obstante, la semaglutida y la tirzepatida se incluyeron en el programa de seguimiento de la WADA para detectar un posible abuso; los laboratorios ya han desarrollado métodos de detección en sangre y en gotas de sangre seca (Borschel 2026, PMID 42874322).</w:t>
      </w:r>
    </w:p>
    <w:p>
      <w:pPr>
        <w:pStyle w:val="FirstParagraph"/>
      </w:pPr>
      <w:r>
        <w:t xml:space="preserve">Los detalles figuran en los capítulos correspondientes. Hay tres puntos importantes para todos los péptidos.</w:t>
      </w:r>
    </w:p>
    <w:p>
      <w:pPr>
        <w:pStyle w:val="BodyText"/>
      </w:pPr>
      <w:r>
        <w:rPr>
          <w:bCs/>
          <w:b/>
        </w:rPr>
        <w:t xml:space="preserve">Productos contaminados.</w:t>
      </w:r>
      <w:r>
        <w:t xml:space="preserve"> </w:t>
      </w:r>
      <w:r>
        <w:t xml:space="preserve">Un deportista es responsable de toda sustancia prohibida que haya en su organismo, aunque proceda de un producto mal etiquetado. Los análisis de laboratorio del capítulo «Productos del mercado gris» muestran que la mercancía del mercado gris contiene a menudo otras sustancias o sustancias adicionales, y que también aparecen principios activos prohibidos en productos presentados como complementos alimenticios (Barrios 2025, PMID 40551438).</w:t>
      </w:r>
    </w:p>
    <w:p>
      <w:pPr>
        <w:pStyle w:val="BodyText"/>
      </w:pPr>
      <w:r>
        <w:rPr>
          <w:bCs/>
          <w:b/>
        </w:rPr>
        <w:t xml:space="preserve">Variantes de diseño.</w:t>
      </w:r>
      <w:r>
        <w:t xml:space="preserve"> </w:t>
      </w:r>
      <w:r>
        <w:t xml:space="preserve">Los péptidos modificados, como Gly-GHRP-2 o Gly-ipamorelina, pretenden probablemente eludir los controles (Gajda 2019, PMID 30136411). Su efecto y su seguridad son completamente desconocidos. La experiencia muestra que los laboratorios antidopaje actualizan sus métodos; además, las muestras se almacenan a largo plazo y pueden volver a analizarse más adelante.</w:t>
      </w:r>
    </w:p>
    <w:p>
      <w:pPr>
        <w:pStyle w:val="BodyText"/>
      </w:pPr>
      <w:r>
        <w:rPr>
          <w:bCs/>
          <w:b/>
        </w:rPr>
        <w:t xml:space="preserve">Beneficio dudoso.</w:t>
      </w:r>
      <w:r>
        <w:t xml:space="preserve"> </w:t>
      </w:r>
      <w:r>
        <w:t xml:space="preserve">Una revisión sobre los fármacos incretínicos en el deporte concluye que los ensayos clínicos no muestran una mejora uniforme del rendimiento físico en humanos y que entre el 20 y el 30 % de la pérdida de peso corresponde a masa libre de grasa (La Vignera 2026, PMID 42511463). Para los péptidos regenerativos y los liberadores de hormona del crecimiento, una revisión de medicina deportiva llega a la conclusión de que siguen siendo experimentales, con un perfil de seguridad incierto, una calidad de producto dudosa y amplias prohibiciones antidopaje (Villegas Meza 2026, PMID 42160466).</w:t>
      </w:r>
    </w:p>
    <w:bookmarkEnd w:id="1023"/>
    <w:bookmarkStart w:id="1024" w:name="lo-más-importante-en-pocas-palabras-2"/>
    <w:p>
      <w:pPr>
        <w:pStyle w:val="Heading3"/>
      </w:pPr>
      <w:r>
        <w:t xml:space="preserve">Lo más importante en pocas palabras</w:t>
      </w:r>
    </w:p>
    <w:p>
      <w:pPr>
        <w:numPr>
          <w:ilvl w:val="0"/>
          <w:numId w:val="1352"/>
        </w:numPr>
        <w:pStyle w:val="Compact"/>
      </w:pPr>
      <w:r>
        <w:t xml:space="preserve">En el embarazo, casi todos los péptidos no están estudiados o no están indicados. Para una exposición accidental a medicamentos GLP-1, los datos son en su mayoría tranquilizadores, pero inciertos.</w:t>
      </w:r>
    </w:p>
    <w:p>
      <w:pPr>
        <w:numPr>
          <w:ilvl w:val="0"/>
          <w:numId w:val="1352"/>
        </w:numPr>
        <w:pStyle w:val="Compact"/>
      </w:pPr>
      <w:r>
        <w:t xml:space="preserve">La tirzepatida puede reducir la absorción de la píldora; con la semaglutida no se observó. Los vómitos y la diarrea afectan a la toma de cualquier comprimido.</w:t>
      </w:r>
    </w:p>
    <w:p>
      <w:pPr>
        <w:numPr>
          <w:ilvl w:val="0"/>
          <w:numId w:val="1352"/>
        </w:numPr>
        <w:pStyle w:val="Compact"/>
      </w:pPr>
      <w:r>
        <w:t xml:space="preserve">Con los medicamentos GLP-1, el estómago permanece lleno con más frecuencia. Antes de una anestesia o una endoscopia digestiva alta, el equipo médico debe saberlo.</w:t>
      </w:r>
    </w:p>
    <w:p>
      <w:pPr>
        <w:numPr>
          <w:ilvl w:val="0"/>
          <w:numId w:val="1352"/>
        </w:numPr>
        <w:pStyle w:val="Compact"/>
      </w:pPr>
      <w:r>
        <w:t xml:space="preserve">En combinación con insulina o sulfonilureas aumenta el riesgo de hipoglucemia.</w:t>
      </w:r>
    </w:p>
    <w:p>
      <w:pPr>
        <w:numPr>
          <w:ilvl w:val="0"/>
          <w:numId w:val="1352"/>
        </w:numPr>
        <w:pStyle w:val="Compact"/>
      </w:pPr>
      <w:r>
        <w:t xml:space="preserve">Los adolescentes destacan en los datos de los centros toxicológicos por un uso indebido intencionado; en los trastornos de la conducta alimentaria, los medicamentos GLP-1 no deberían utilizarse por regla general.</w:t>
      </w:r>
    </w:p>
    <w:p>
      <w:pPr>
        <w:numPr>
          <w:ilvl w:val="0"/>
          <w:numId w:val="1352"/>
        </w:numPr>
        <w:pStyle w:val="Compact"/>
      </w:pPr>
      <w:r>
        <w:t xml:space="preserve">Alrededor de una cuarta parte de la pérdida de peso con medicamentos GLP-1 corresponde a masa libre de grasa; si esto tiene consecuencias funcionales sigue abierto.</w:t>
      </w:r>
    </w:p>
    <w:p>
      <w:pPr>
        <w:numPr>
          <w:ilvl w:val="0"/>
          <w:numId w:val="1352"/>
        </w:numPr>
        <w:pStyle w:val="Compact"/>
      </w:pPr>
      <w:r>
        <w:t xml:space="preserve">Para los deportistas, la mayoría de los péptidos están prohibidos, y los productos del mercado gris entrañan además el riesgo de sustancias dopantes no declaradas.</w:t>
      </w:r>
    </w:p>
    <w:bookmarkEnd w:id="1024"/>
    <w:bookmarkEnd w:id="1025"/>
    <w:bookmarkEnd w:id="1026"/>
    <w:bookmarkStart w:id="1079" w:name="parte-v-el-futuro"/>
    <w:p>
      <w:pPr>
        <w:pStyle w:val="Heading1"/>
      </w:pPr>
      <w:r>
        <w:t xml:space="preserve">Parte V – El futuro</w:t>
      </w:r>
    </w:p>
    <w:p>
      <w:pPr>
        <w:pStyle w:val="FirstParagraph"/>
      </w:pPr>
      <w:r>
        <w:t xml:space="preserve">Las partes anteriores han descrito lo que se sabe hoy sobre los péptidos. Esta última parte mira hacia delante: ¿qué principios activos están en los grandes estudios que terminarán en los próximos años? ¿Serán sustituidas las inyecciones por comprimidos? ¿Qué significa la expiración de las patentes para los precios y el suministro? ¿Y qué evoluciones cabe esperar hasta 2035?</w:t>
      </w:r>
    </w:p>
    <w:p>
      <w:pPr>
        <w:pStyle w:val="BodyText"/>
      </w:pPr>
      <w:r>
        <w:t xml:space="preserve">En este libro, las afirmaciones sobre el futuro se separan de forma estricta. Está</w:t>
      </w:r>
      <w:r>
        <w:t xml:space="preserve"> </w:t>
      </w:r>
      <w:r>
        <w:rPr>
          <w:bCs/>
          <w:b/>
        </w:rPr>
        <w:t xml:space="preserve">confirmado</w:t>
      </w:r>
      <w:r>
        <w:t xml:space="preserve"> </w:t>
      </w:r>
      <w:r>
        <w:t xml:space="preserve">lo que figura en un registro de ensayos, se ha publicado en un estudio revisado por pares o ha sido decidido por las autoridades. También esto es solo una instantánea: los estudios se prolongan, se reducen o se interrumpen, y las fechas de finalización previstas se aplazan a menudo años. Todo lo demás es</w:t>
      </w:r>
      <w:r>
        <w:t xml:space="preserve"> </w:t>
      </w:r>
      <w:r>
        <w:rPr>
          <w:bCs/>
          <w:b/>
        </w:rPr>
        <w:t xml:space="preserve">valoración del autor</w:t>
      </w:r>
      <w:r>
        <w:t xml:space="preserve"> </w:t>
      </w:r>
      <w:r>
        <w:t xml:space="preserve">y se identifica expresamente como tal. La investigación refleja la situación de octubre de 2026.</w:t>
      </w:r>
    </w:p>
    <w:bookmarkStart w:id="1038" w:name="Xed3d5bc9a4a70a502d06283f94b0cc5fcc874df"/>
    <w:p>
      <w:pPr>
        <w:pStyle w:val="Heading2"/>
      </w:pPr>
      <w:r>
        <w:t xml:space="preserve">La cartera de desarrollo: lo que está en fase 2 y 3</w:t>
      </w:r>
    </w:p>
    <w:p>
      <w:pPr>
        <w:pStyle w:val="FirstParagraph"/>
      </w:pPr>
      <w:r>
        <w:t xml:space="preserve">La industria farmacéutica llama «pipeline» o cartera de desarrollo al conjunto de principios activos que se encuentran en desarrollo. Las fases se explican en la Parte I: en la</w:t>
      </w:r>
      <w:r>
        <w:t xml:space="preserve"> </w:t>
      </w:r>
      <w:r>
        <w:rPr>
          <w:bCs/>
          <w:b/>
        </w:rPr>
        <w:t xml:space="preserve">fase 1</w:t>
      </w:r>
      <w:r>
        <w:t xml:space="preserve">, un principio activo se evalúa en cuanto a tolerabilidad, por lo general en pocas personas sanas; en la</w:t>
      </w:r>
      <w:r>
        <w:t xml:space="preserve"> </w:t>
      </w:r>
      <w:r>
        <w:rPr>
          <w:bCs/>
          <w:b/>
        </w:rPr>
        <w:t xml:space="preserve">fase 2</w:t>
      </w:r>
      <w:r>
        <w:t xml:space="preserve">, en algunos cientos de personas enfermas, en cuanto a eficacia y dosis adecuada; en la</w:t>
      </w:r>
      <w:r>
        <w:t xml:space="preserve"> </w:t>
      </w:r>
      <w:r>
        <w:rPr>
          <w:bCs/>
          <w:b/>
        </w:rPr>
        <w:t xml:space="preserve">fase 3</w:t>
      </w:r>
      <w:r>
        <w:t xml:space="preserve">, en miles de personas, para la autorización. La</w:t>
      </w:r>
      <w:r>
        <w:t xml:space="preserve"> </w:t>
      </w:r>
      <w:r>
        <w:rPr>
          <w:bCs/>
          <w:b/>
        </w:rPr>
        <w:t xml:space="preserve">fase 4</w:t>
      </w:r>
      <w:r>
        <w:t xml:space="preserve"> </w:t>
      </w:r>
      <w:r>
        <w:t xml:space="preserve">designa los estudios con medicamentos ya autorizados. Quien quiera saber qué podría llegar al mercado en los próximos cinco años tiene que fijarse sobre todo en la fase 3.</w:t>
      </w:r>
    </w:p>
    <w:bookmarkStart w:id="1027" w:name="cómo-se-hizo-el-análisis"/>
    <w:p>
      <w:pPr>
        <w:pStyle w:val="Heading3"/>
      </w:pPr>
      <w:r>
        <w:t xml:space="preserve">Cómo se hizo el análisis</w:t>
      </w:r>
    </w:p>
    <w:p>
      <w:pPr>
        <w:pStyle w:val="FirstParagraph"/>
      </w:pPr>
      <w:r>
        <w:t xml:space="preserve">La base son las listas del registro ClinicalTrials.gov, consultadas en octubre de 2026 para los 58 principios activos de este libro (véase la Metodología en el anexo). Un pequeño programa de análisis filtró todas las entradas que</w:t>
      </w:r>
    </w:p>
    <w:p>
      <w:pPr>
        <w:numPr>
          <w:ilvl w:val="0"/>
          <w:numId w:val="1353"/>
        </w:numPr>
        <w:pStyle w:val="Compact"/>
      </w:pPr>
      <w:r>
        <w:t xml:space="preserve">describen un estudio</w:t>
      </w:r>
      <w:r>
        <w:t xml:space="preserve"> </w:t>
      </w:r>
      <w:r>
        <w:rPr>
          <w:bCs/>
          <w:b/>
        </w:rPr>
        <w:t xml:space="preserve">intervencionista</w:t>
      </w:r>
      <w:r>
        <w:t xml:space="preserve">, es decir, un estudio en el que se administra un principio activo de forma deliberada (no una mera observación), y</w:t>
      </w:r>
    </w:p>
    <w:p>
      <w:pPr>
        <w:numPr>
          <w:ilvl w:val="0"/>
          <w:numId w:val="1353"/>
        </w:numPr>
        <w:pStyle w:val="Compact"/>
      </w:pPr>
      <w:r>
        <w:t xml:space="preserve">figuran como</w:t>
      </w:r>
      <w:r>
        <w:t xml:space="preserve"> </w:t>
      </w:r>
      <w:r>
        <w:rPr>
          <w:bCs/>
          <w:b/>
        </w:rPr>
        <w:t xml:space="preserve">en curso</w:t>
      </w:r>
      <w:r>
        <w:t xml:space="preserve">: en reclutamiento, activo sin más reclutamiento, todavía sin reclutar o con participación solo por invitación.</w:t>
      </w:r>
    </w:p>
    <w:p>
      <w:pPr>
        <w:pStyle w:val="FirstParagraph"/>
      </w:pPr>
      <w:r>
        <w:t xml:space="preserve">Los estudios que aparecen con varios principios activos, por ejemplo una comparación de retatrutida con tirzepatida, se contaron una sola vez.</w:t>
      </w:r>
    </w:p>
    <w:p>
      <w:pPr>
        <w:pStyle w:val="BodyText"/>
      </w:pPr>
      <w:r>
        <w:rPr>
          <w:bCs/>
          <w:b/>
        </w:rPr>
        <w:t xml:space="preserve">Lo que se excluyó, y por qué:</w:t>
      </w:r>
    </w:p>
    <w:p>
      <w:pPr>
        <w:numPr>
          <w:ilvl w:val="0"/>
          <w:numId w:val="1354"/>
        </w:numPr>
        <w:pStyle w:val="Compact"/>
      </w:pPr>
      <w:r>
        <w:rPr>
          <w:bCs/>
          <w:b/>
        </w:rPr>
        <w:t xml:space="preserve">Ocho entradas del promotor «Hudson Biotech»</w:t>
      </w:r>
      <w:r>
        <w:t xml:space="preserve"> </w:t>
      </w:r>
      <w:r>
        <w:t xml:space="preserve">(una para cada uno de BPC-157, GHK-Cu, melanotán II, MOTS-c, retatrutida, TB-500, tesamorelina y tirzepatida). Una entrada de este promotor se describe a sí misma, en su propia descripción, como un ejemplo ficticio (véanse los capítulos BPC-157 y TB-500). Ninguna de estas entradas se considera en este libro un estudio real.</w:t>
      </w:r>
    </w:p>
    <w:p>
      <w:pPr>
        <w:numPr>
          <w:ilvl w:val="0"/>
          <w:numId w:val="1354"/>
        </w:numPr>
        <w:pStyle w:val="Compact"/>
      </w:pPr>
      <w:r>
        <w:rPr>
          <w:bCs/>
          <w:b/>
        </w:rPr>
        <w:t xml:space="preserve">Los 1000 resultados del término de búsqueda «Gonadorelin».</w:t>
      </w:r>
      <w:r>
        <w:t xml:space="preserve"> </w:t>
      </w:r>
      <w:r>
        <w:t xml:space="preserve">Se refieren de forma muy mayoritaria a variantes sintéticas de la hormona GnRH (como la leuprorelina o la triptorelina) en el tratamiento del cáncer de próstata y de mama o en la medicina reproductiva, es decir, a otros medicamentos. Las pocas entradas sobre GnRH natural se comentan en el capítulo Gonadorelina; ninguna de ellas es un estudio de fase 3 en curso.</w:t>
      </w:r>
    </w:p>
    <w:p>
      <w:pPr>
        <w:pStyle w:val="FirstParagraph"/>
      </w:pPr>
      <w:r>
        <w:rPr>
          <w:bCs/>
          <w:b/>
        </w:rPr>
        <w:t xml:space="preserve">Lo que no se excluyó, pero se revisó:</w:t>
      </w:r>
      <w:r>
        <w:t xml:space="preserve"> </w:t>
      </w:r>
      <w:r>
        <w:t xml:space="preserve">en el glutatión, el colágeno y la carnosina, los términos de búsqueda son tan generales que muchos resultados solo mencionan la sustancia como componente de una mezcla, como comparador o como variable de medición. Así, con glutatión aparece un gran estudio sobre el dengue porque en él se evalúa la N-acetilcisteína, un precursor del glutatión (NCT07543458). Con larazotida aparecen dos estudios sobre un principio activo completamente distinto contra la enfermedad de Fabry (NCT04020055, NCT06904261). Estos resultados están incluidos en las cifras totales, pero en la valoración no se cuentan como estudios de péptidos.</w:t>
      </w:r>
    </w:p>
    <w:p>
      <w:pPr>
        <w:pStyle w:val="BodyText"/>
      </w:pPr>
      <w:r>
        <w:rPr>
          <w:bCs/>
          <w:b/>
        </w:rPr>
        <w:t xml:space="preserve">Dos límites del análisis:</w:t>
      </w:r>
      <w:r>
        <w:t xml:space="preserve"> </w:t>
      </w:r>
      <w:r>
        <w:t xml:space="preserve">en primer lugar, no todos los promotores comunican a tiempo la finalización de su estudio; algunas entradas con fecha de finalización en 2025 figuran todavía como «en curso» en el registro. En segundo lugar, la consulta solo abarca los 58 principios activos de este libro. Las moléculas nuevas sin capítulo propio solo aparecen si se enfrentan a uno de estos principios activos. Por eso, para los nuevos principios de acción se hizo más abajo una búsqueda específica.</w:t>
      </w:r>
    </w:p>
    <w:bookmarkEnd w:id="1027"/>
    <w:bookmarkStart w:id="1028" w:name="el-resultado-en-cifras"/>
    <w:p>
      <w:pPr>
        <w:pStyle w:val="Heading3"/>
      </w:pPr>
      <w:r>
        <w:t xml:space="preserve">El resultado en cifras</w:t>
      </w:r>
    </w:p>
    <w:p>
      <w:pPr>
        <w:pStyle w:val="FirstParagraph"/>
      </w:pPr>
      <w:r>
        <w:t xml:space="preserve">Tras las exclusiones quedaron 730 estudios intervencionistas en curso. De ellos, 568, algo más de tres cuartas partes, se refieren a principios activos del grupo A (metabolismo y peso).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estudios en curso en total</w:t>
            </w:r>
          </w:p>
        </w:tc>
        <w:tc>
          <w:tcPr/>
          <w:p>
            <w:pPr>
              <w:pStyle w:val="Compact"/>
              <w:jc w:val="left"/>
            </w:pPr>
            <w:r>
              <w:t xml:space="preserve">de ellos, grupo A</w:t>
            </w:r>
          </w:p>
        </w:tc>
      </w:tr>
      <w:tr>
        <w:tc>
          <w:tcPr/>
          <w:p>
            <w:pPr>
              <w:pStyle w:val="Compact"/>
              <w:jc w:val="left"/>
            </w:pPr>
            <w:r>
              <w:t xml:space="preserve">Fase 1</w:t>
            </w:r>
          </w:p>
        </w:tc>
        <w:tc>
          <w:tcPr/>
          <w:p>
            <w:pPr>
              <w:pStyle w:val="Compact"/>
              <w:jc w:val="left"/>
            </w:pPr>
            <w:r>
              <w:t xml:space="preserve">80</w:t>
            </w:r>
          </w:p>
        </w:tc>
        <w:tc>
          <w:tcPr/>
          <w:p>
            <w:pPr>
              <w:pStyle w:val="Compact"/>
              <w:jc w:val="left"/>
            </w:pPr>
            <w:r>
              <w:t xml:space="preserve">55</w:t>
            </w:r>
          </w:p>
        </w:tc>
      </w:tr>
      <w:tr>
        <w:tc>
          <w:tcPr/>
          <w:p>
            <w:pPr>
              <w:pStyle w:val="Compact"/>
              <w:jc w:val="left"/>
            </w:pPr>
            <w:r>
              <w:t xml:space="preserve">Fase 1/2</w:t>
            </w:r>
          </w:p>
        </w:tc>
        <w:tc>
          <w:tcPr/>
          <w:p>
            <w:pPr>
              <w:pStyle w:val="Compact"/>
              <w:jc w:val="left"/>
            </w:pPr>
            <w:r>
              <w:t xml:space="preserve">19</w:t>
            </w:r>
          </w:p>
        </w:tc>
        <w:tc>
          <w:tcPr/>
          <w:p>
            <w:pPr>
              <w:pStyle w:val="Compact"/>
              <w:jc w:val="left"/>
            </w:pPr>
            <w:r>
              <w:t xml:space="preserve">16</w:t>
            </w:r>
          </w:p>
        </w:tc>
      </w:tr>
      <w:tr>
        <w:tc>
          <w:tcPr/>
          <w:p>
            <w:pPr>
              <w:pStyle w:val="Compact"/>
              <w:jc w:val="left"/>
            </w:pPr>
            <w:r>
              <w:t xml:space="preserve">Fase 2</w:t>
            </w:r>
          </w:p>
        </w:tc>
        <w:tc>
          <w:tcPr/>
          <w:p>
            <w:pPr>
              <w:pStyle w:val="Compact"/>
              <w:jc w:val="left"/>
            </w:pPr>
            <w:r>
              <w:t xml:space="preserve">179</w:t>
            </w:r>
          </w:p>
        </w:tc>
        <w:tc>
          <w:tcPr/>
          <w:p>
            <w:pPr>
              <w:pStyle w:val="Compact"/>
              <w:jc w:val="left"/>
            </w:pPr>
            <w:r>
              <w:t xml:space="preserve">125</w:t>
            </w:r>
          </w:p>
        </w:tc>
      </w:tr>
      <w:tr>
        <w:tc>
          <w:tcPr/>
          <w:p>
            <w:pPr>
              <w:pStyle w:val="Compact"/>
              <w:jc w:val="left"/>
            </w:pPr>
            <w:r>
              <w:t xml:space="preserve">Fase 2/3</w:t>
            </w:r>
          </w:p>
        </w:tc>
        <w:tc>
          <w:tcPr/>
          <w:p>
            <w:pPr>
              <w:pStyle w:val="Compact"/>
              <w:jc w:val="left"/>
            </w:pPr>
            <w:r>
              <w:t xml:space="preserve">19</w:t>
            </w:r>
          </w:p>
        </w:tc>
        <w:tc>
          <w:tcPr/>
          <w:p>
            <w:pPr>
              <w:pStyle w:val="Compact"/>
              <w:jc w:val="left"/>
            </w:pPr>
            <w:r>
              <w:t xml:space="preserve">15</w:t>
            </w:r>
          </w:p>
        </w:tc>
      </w:tr>
      <w:tr>
        <w:tc>
          <w:tcPr/>
          <w:p>
            <w:pPr>
              <w:pStyle w:val="Compact"/>
              <w:jc w:val="left"/>
            </w:pPr>
            <w:r>
              <w:t xml:space="preserve">Fase 3</w:t>
            </w:r>
          </w:p>
        </w:tc>
        <w:tc>
          <w:tcPr/>
          <w:p>
            <w:pPr>
              <w:pStyle w:val="Compact"/>
              <w:jc w:val="left"/>
            </w:pPr>
            <w:r>
              <w:t xml:space="preserve">157</w:t>
            </w:r>
          </w:p>
        </w:tc>
        <w:tc>
          <w:tcPr/>
          <w:p>
            <w:pPr>
              <w:pStyle w:val="Compact"/>
              <w:jc w:val="left"/>
            </w:pPr>
            <w:r>
              <w:t xml:space="preserve">142</w:t>
            </w:r>
          </w:p>
        </w:tc>
      </w:tr>
      <w:tr>
        <w:tc>
          <w:tcPr/>
          <w:p>
            <w:pPr>
              <w:pStyle w:val="Compact"/>
              <w:jc w:val="left"/>
            </w:pPr>
            <w:r>
              <w:t xml:space="preserve">Fase 4</w:t>
            </w:r>
          </w:p>
        </w:tc>
        <w:tc>
          <w:tcPr/>
          <w:p>
            <w:pPr>
              <w:pStyle w:val="Compact"/>
              <w:jc w:val="left"/>
            </w:pPr>
            <w:r>
              <w:t xml:space="preserve">140</w:t>
            </w:r>
          </w:p>
        </w:tc>
        <w:tc>
          <w:tcPr/>
          <w:p>
            <w:pPr>
              <w:pStyle w:val="Compact"/>
              <w:jc w:val="left"/>
            </w:pPr>
            <w:r>
              <w:t xml:space="preserve">132</w:t>
            </w:r>
          </w:p>
        </w:tc>
      </w:tr>
      <w:tr>
        <w:tc>
          <w:tcPr/>
          <w:p>
            <w:pPr>
              <w:pStyle w:val="Compact"/>
              <w:jc w:val="left"/>
            </w:pPr>
            <w:r>
              <w:t xml:space="preserve">sin indicación de fase</w:t>
            </w:r>
          </w:p>
        </w:tc>
        <w:tc>
          <w:tcPr/>
          <w:p>
            <w:pPr>
              <w:pStyle w:val="Compact"/>
              <w:jc w:val="left"/>
            </w:pPr>
            <w:r>
              <w:t xml:space="preserve">136</w:t>
            </w:r>
          </w:p>
        </w:tc>
        <w:tc>
          <w:tcPr/>
          <w:p>
            <w:pPr>
              <w:pStyle w:val="Compact"/>
              <w:jc w:val="left"/>
            </w:pPr>
            <w:r>
              <w:t xml:space="preserve">83</w:t>
            </w:r>
          </w:p>
        </w:tc>
      </w:tr>
      <w:tr>
        <w:tc>
          <w:tcPr/>
          <w:p>
            <w:pPr>
              <w:pStyle w:val="Compact"/>
              <w:jc w:val="left"/>
            </w:pPr>
            <w:r>
              <w:rPr>
                <w:bCs/>
                <w:b/>
              </w:rPr>
              <w:t xml:space="preserve">Total</w:t>
            </w:r>
          </w:p>
        </w:tc>
        <w:tc>
          <w:tcPr/>
          <w:p>
            <w:pPr>
              <w:pStyle w:val="Compact"/>
              <w:jc w:val="left"/>
            </w:pPr>
            <w:r>
              <w:rPr>
                <w:bCs/>
                <w:b/>
              </w:rPr>
              <w:t xml:space="preserve">730</w:t>
            </w:r>
          </w:p>
        </w:tc>
        <w:tc>
          <w:tcPr/>
          <w:p>
            <w:pPr>
              <w:pStyle w:val="Compact"/>
              <w:jc w:val="left"/>
            </w:pPr>
            <w:r>
              <w:rPr>
                <w:bCs/>
                <w:b/>
              </w:rPr>
              <w:t xml:space="preserve">568</w:t>
            </w:r>
          </w:p>
        </w:tc>
      </w:tr>
    </w:tbl>
    <w:p>
      <w:pPr>
        <w:pStyle w:val="BodyText"/>
      </w:pPr>
      <w:r>
        <w:t xml:space="preserve">De los 157 estudios de fase 3 en curso, 68 todavía estaban reclutando, 54 estaban activos sin más inclusiones y 35 aún no habían comenzado. Si se añaden los estudios combinados de fase 2/3, hay 176 estudios tardíos; 157 de ellos (142 en fase 3, 15 en fase 2/3), casi nueve de cada diez, pertenecen al grupo A.</w:t>
      </w:r>
    </w:p>
    <w:p>
      <w:pPr>
        <w:pStyle w:val="BodyText"/>
      </w:pPr>
      <w:r>
        <w:t xml:space="preserve">En el grupo A, aproximadamente uno de cada tres de estos estudios tardíos está promovido por universidades y hospitales, y los demás por empresas. Las fechas de finalización previstas se distribuyen así: 21 estudios deben terminar en 2026, 49 en 2027, 41 en 2028 y 44 entre 2029 y 2033. La verdadera ola de nuevos resultados llegará, por tanto, en 2027 y 2028.</w:t>
      </w:r>
    </w:p>
    <w:p>
      <w:pPr>
        <w:pStyle w:val="BodyText"/>
      </w:pPr>
      <w:r>
        <w:rPr>
          <w:bCs/>
          <w:b/>
        </w:rPr>
        <w:t xml:space="preserve">Los grupos B a F</w:t>
      </w:r>
      <w:r>
        <w:t xml:space="preserve"> </w:t>
      </w:r>
      <w:r>
        <w:t xml:space="preserve">tienen un aspecto completamente distinto. Tras revisar las entradas, solo quedan cinco estudios de fase 3 en curso en los que un principio activo de este libro es realmente el fármaco en investigación: la timosina alfa 1 tras cirugía de cáncer colorrectal (NCT05086614), un colirio de timosina beta 4 en la queratopatía neurotrófica (NCT05555589), la elamipretida en la degeneración macular seca (NCT06373731), la afamelanotida en el vitíligo (NCT06109649) y el ibutamoreno, que no es un péptido, en niños con déficit de hormona del crecimiento (NCT06948214). A ellos se suman algunos estudios combinados de fase 2/3, por ejemplo sobre oxitocina en espray nasal en el dolor crónico (NCT04903002) y sobre timosina alfa 1 en el fallo de implantación recurrente tras fecundación in vitro (NCT07675980). Para los «péptidos de investigación» más populares en internet (BPC-157, CJC-1295, ipamorelina, epitalon, Semax, Selank) no hay en curso ni un solo estudio de fase 3.</w:t>
      </w:r>
    </w:p>
    <w:bookmarkEnd w:id="1028"/>
    <w:bookmarkStart w:id="1029" w:name="X8f382b2dbff10b36258a0047c84908161085967"/>
    <w:p>
      <w:pPr>
        <w:pStyle w:val="Heading3"/>
      </w:pPr>
      <w:r>
        <w:t xml:space="preserve">Los estudios de fase 3 en curso más importantes</w:t>
      </w:r>
    </w:p>
    <w:p>
      <w:pPr>
        <w:pStyle w:val="FirstParagraph"/>
      </w:pPr>
      <w:r>
        <w:t xml:space="preserve">Las siguientes tablas muestran una selección según tamaño y relevancia. «Finalización prevista» es la fecha de finalización del estudio indicada en el registro (situación en octubre de 2026); la variable principal se analiza a menudo algunos meses antes, y las publicaciones suelen llegar entre medio año y un año después.</w:t>
      </w:r>
    </w:p>
    <w:p>
      <w:pPr>
        <w:pStyle w:val="BodyText"/>
      </w:pPr>
      <w:r>
        <w:rPr>
          <w:bCs/>
          <w:b/>
        </w:rPr>
        <w:t xml:space="preserve">Metabolismo y peso (grupo 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 / NCT</w:t>
            </w:r>
          </w:p>
        </w:tc>
        <w:tc>
          <w:tcPr/>
          <w:p>
            <w:pPr>
              <w:pStyle w:val="Compact"/>
              <w:jc w:val="left"/>
            </w:pPr>
            <w:r>
              <w:t xml:space="preserve">Principio activo</w:t>
            </w:r>
          </w:p>
        </w:tc>
        <w:tc>
          <w:tcPr/>
          <w:p>
            <w:pPr>
              <w:pStyle w:val="Compact"/>
              <w:jc w:val="left"/>
            </w:pPr>
            <w:r>
              <w:t xml:space="preserve">Pregunta</w:t>
            </w:r>
          </w:p>
        </w:tc>
        <w:tc>
          <w:tcPr/>
          <w:p>
            <w:pPr>
              <w:pStyle w:val="Compact"/>
              <w:jc w:val="left"/>
            </w:pPr>
            <w:r>
              <w:t xml:space="preserve">Finalización prevista</w:t>
            </w:r>
          </w:p>
        </w:tc>
      </w:tr>
      <w:tr>
        <w:tc>
          <w:tcPr/>
          <w:p>
            <w:pPr>
              <w:pStyle w:val="Compact"/>
              <w:jc w:val="left"/>
            </w:pPr>
            <w:r>
              <w:t xml:space="preserve">TRIUMPH-5, NCT06662383</w:t>
            </w:r>
          </w:p>
        </w:tc>
        <w:tc>
          <w:tcPr/>
          <w:p>
            <w:pPr>
              <w:pStyle w:val="Compact"/>
              <w:jc w:val="left"/>
            </w:pPr>
            <w:r>
              <w:t xml:space="preserve">Retatrutida frente a tirzepatida</w:t>
            </w:r>
          </w:p>
        </w:tc>
        <w:tc>
          <w:tcPr/>
          <w:p>
            <w:pPr>
              <w:pStyle w:val="Compact"/>
              <w:jc w:val="left"/>
            </w:pPr>
            <w:r>
              <w:t xml:space="preserve">pérdida de peso, 800 adultos</w:t>
            </w:r>
          </w:p>
        </w:tc>
        <w:tc>
          <w:tcPr/>
          <w:p>
            <w:pPr>
              <w:pStyle w:val="Compact"/>
              <w:jc w:val="left"/>
            </w:pPr>
            <w:r>
              <w:t xml:space="preserve">diciembre de 2026</w:t>
            </w:r>
          </w:p>
        </w:tc>
      </w:tr>
      <w:tr>
        <w:tc>
          <w:tcPr/>
          <w:p>
            <w:pPr>
              <w:pStyle w:val="Compact"/>
              <w:jc w:val="left"/>
            </w:pPr>
            <w:r>
              <w:t xml:space="preserve">MARITIME-1, NCT06858839</w:t>
            </w:r>
          </w:p>
        </w:tc>
        <w:tc>
          <w:tcPr/>
          <w:p>
            <w:pPr>
              <w:pStyle w:val="Compact"/>
              <w:jc w:val="left"/>
            </w:pPr>
            <w:r>
              <w:t xml:space="preserve">Maridebart cafraglutida</w:t>
            </w:r>
          </w:p>
        </w:tc>
        <w:tc>
          <w:tcPr/>
          <w:p>
            <w:pPr>
              <w:pStyle w:val="Compact"/>
              <w:jc w:val="left"/>
            </w:pPr>
            <w:r>
              <w:t xml:space="preserve">pérdida de peso sin diabetes, 3853 participantes</w:t>
            </w:r>
          </w:p>
        </w:tc>
        <w:tc>
          <w:tcPr/>
          <w:p>
            <w:pPr>
              <w:pStyle w:val="Compact"/>
              <w:jc w:val="left"/>
            </w:pPr>
            <w:r>
              <w:t xml:space="preserve">abril de 2027</w:t>
            </w:r>
          </w:p>
        </w:tc>
      </w:tr>
      <w:tr>
        <w:tc>
          <w:tcPr/>
          <w:p>
            <w:pPr>
              <w:pStyle w:val="Compact"/>
              <w:jc w:val="left"/>
            </w:pPr>
            <w:r>
              <w:t xml:space="preserve">SURMOUNT-MMO, NCT05556512</w:t>
            </w:r>
          </w:p>
        </w:tc>
        <w:tc>
          <w:tcPr/>
          <w:p>
            <w:pPr>
              <w:pStyle w:val="Compact"/>
              <w:jc w:val="left"/>
            </w:pPr>
            <w:r>
              <w:t xml:space="preserve">Tirzepatida</w:t>
            </w:r>
          </w:p>
        </w:tc>
        <w:tc>
          <w:tcPr/>
          <w:p>
            <w:pPr>
              <w:pStyle w:val="Compact"/>
              <w:jc w:val="left"/>
            </w:pPr>
            <w:r>
              <w:t xml:space="preserve">acontecimientos cardiovasculares y muerte, 15.374 participantes</w:t>
            </w:r>
          </w:p>
        </w:tc>
        <w:tc>
          <w:tcPr/>
          <w:p>
            <w:pPr>
              <w:pStyle w:val="Compact"/>
              <w:jc w:val="left"/>
            </w:pPr>
            <w:r>
              <w:t xml:space="preserve">octubre de 2027</w:t>
            </w:r>
          </w:p>
        </w:tc>
      </w:tr>
      <w:tr>
        <w:tc>
          <w:tcPr/>
          <w:p>
            <w:pPr>
              <w:pStyle w:val="Compact"/>
              <w:jc w:val="left"/>
            </w:pPr>
            <w:r>
              <w:t xml:space="preserve">REDEFINE 3, NCT05669755</w:t>
            </w:r>
          </w:p>
        </w:tc>
        <w:tc>
          <w:tcPr/>
          <w:p>
            <w:pPr>
              <w:pStyle w:val="Compact"/>
              <w:jc w:val="left"/>
            </w:pPr>
            <w:r>
              <w:t xml:space="preserve">CagriSema</w:t>
            </w:r>
          </w:p>
        </w:tc>
        <w:tc>
          <w:tcPr/>
          <w:p>
            <w:pPr>
              <w:pStyle w:val="Compact"/>
              <w:jc w:val="left"/>
            </w:pPr>
            <w:r>
              <w:t xml:space="preserve">acontecimientos cardiovasculares, 7101 participantes</w:t>
            </w:r>
          </w:p>
        </w:tc>
        <w:tc>
          <w:tcPr/>
          <w:p>
            <w:pPr>
              <w:pStyle w:val="Compact"/>
              <w:jc w:val="left"/>
            </w:pPr>
            <w:r>
              <w:t xml:space="preserve">octubre de 2027</w:t>
            </w:r>
          </w:p>
        </w:tc>
      </w:tr>
      <w:tr>
        <w:tc>
          <w:tcPr/>
          <w:p>
            <w:pPr>
              <w:pStyle w:val="Compact"/>
              <w:jc w:val="left"/>
            </w:pPr>
            <w:r>
              <w:t xml:space="preserve">NCT07564414</w:t>
            </w:r>
          </w:p>
        </w:tc>
        <w:tc>
          <w:tcPr/>
          <w:p>
            <w:pPr>
              <w:pStyle w:val="Compact"/>
              <w:jc w:val="left"/>
            </w:pPr>
            <w:r>
              <w:t xml:space="preserve">CagriSema (dosis más altas) frente a semaglutida</w:t>
            </w:r>
          </w:p>
        </w:tc>
        <w:tc>
          <w:tcPr/>
          <w:p>
            <w:pPr>
              <w:pStyle w:val="Compact"/>
              <w:jc w:val="left"/>
            </w:pPr>
            <w:r>
              <w:t xml:space="preserve">pérdida de peso, 2500 participantes</w:t>
            </w:r>
          </w:p>
        </w:tc>
        <w:tc>
          <w:tcPr/>
          <w:p>
            <w:pPr>
              <w:pStyle w:val="Compact"/>
              <w:jc w:val="left"/>
            </w:pPr>
            <w:r>
              <w:t xml:space="preserve">abril de 2028</w:t>
            </w:r>
          </w:p>
        </w:tc>
      </w:tr>
      <w:tr>
        <w:tc>
          <w:tcPr/>
          <w:p>
            <w:pPr>
              <w:pStyle w:val="Compact"/>
              <w:jc w:val="left"/>
            </w:pPr>
            <w:r>
              <w:t xml:space="preserve">TRIUMPH-6, NCT06859268</w:t>
            </w:r>
          </w:p>
        </w:tc>
        <w:tc>
          <w:tcPr/>
          <w:p>
            <w:pPr>
              <w:pStyle w:val="Compact"/>
              <w:jc w:val="left"/>
            </w:pPr>
            <w:r>
              <w:t xml:space="preserve">Retatrutida</w:t>
            </w:r>
          </w:p>
        </w:tc>
        <w:tc>
          <w:tcPr/>
          <w:p>
            <w:pPr>
              <w:pStyle w:val="Compact"/>
              <w:jc w:val="left"/>
            </w:pPr>
            <w:r>
              <w:t xml:space="preserve">mantenimiento del peso tras la pérdida, 643 participantes</w:t>
            </w:r>
          </w:p>
        </w:tc>
        <w:tc>
          <w:tcPr/>
          <w:p>
            <w:pPr>
              <w:pStyle w:val="Compact"/>
              <w:jc w:val="left"/>
            </w:pPr>
            <w:r>
              <w:t xml:space="preserve">abril de 2028</w:t>
            </w:r>
          </w:p>
        </w:tc>
      </w:tr>
      <w:tr>
        <w:tc>
          <w:tcPr/>
          <w:p>
            <w:pPr>
              <w:pStyle w:val="Compact"/>
              <w:jc w:val="left"/>
            </w:pPr>
            <w:r>
              <w:t xml:space="preserve">TRIUMPH-Outcomes, NCT06383390</w:t>
            </w:r>
          </w:p>
        </w:tc>
        <w:tc>
          <w:tcPr/>
          <w:p>
            <w:pPr>
              <w:pStyle w:val="Compact"/>
              <w:jc w:val="left"/>
            </w:pPr>
            <w:r>
              <w:t xml:space="preserve">Retatrutida</w:t>
            </w:r>
          </w:p>
        </w:tc>
        <w:tc>
          <w:tcPr/>
          <w:p>
            <w:pPr>
              <w:pStyle w:val="Compact"/>
              <w:jc w:val="left"/>
            </w:pPr>
            <w:r>
              <w:t xml:space="preserve">acontecimientos cardiacos y renales, 10.000 participantes</w:t>
            </w:r>
          </w:p>
        </w:tc>
        <w:tc>
          <w:tcPr/>
          <w:p>
            <w:pPr>
              <w:pStyle w:val="Compact"/>
              <w:jc w:val="left"/>
            </w:pPr>
            <w:r>
              <w:t xml:space="preserve">febrero de 2029</w:t>
            </w:r>
          </w:p>
        </w:tc>
      </w:tr>
      <w:tr>
        <w:tc>
          <w:tcPr/>
          <w:p>
            <w:pPr>
              <w:pStyle w:val="Compact"/>
              <w:jc w:val="left"/>
            </w:pPr>
            <w:r>
              <w:t xml:space="preserve">ESSENCE, NCT04822181</w:t>
            </w:r>
          </w:p>
        </w:tc>
        <w:tc>
          <w:tcPr/>
          <w:p>
            <w:pPr>
              <w:pStyle w:val="Compact"/>
              <w:jc w:val="left"/>
            </w:pPr>
            <w:r>
              <w:t xml:space="preserve">Semaglutida</w:t>
            </w:r>
          </w:p>
        </w:tc>
        <w:tc>
          <w:tcPr/>
          <w:p>
            <w:pPr>
              <w:pStyle w:val="Compact"/>
              <w:jc w:val="left"/>
            </w:pPr>
            <w:r>
              <w:t xml:space="preserve">hígado graso (MASH), 1205 participantes</w:t>
            </w:r>
          </w:p>
        </w:tc>
        <w:tc>
          <w:tcPr/>
          <w:p>
            <w:pPr>
              <w:pStyle w:val="Compact"/>
              <w:jc w:val="left"/>
            </w:pPr>
            <w:r>
              <w:t xml:space="preserve">abril de 2029</w:t>
            </w:r>
          </w:p>
        </w:tc>
      </w:tr>
      <w:tr>
        <w:tc>
          <w:tcPr/>
          <w:p>
            <w:pPr>
              <w:pStyle w:val="Compact"/>
              <w:jc w:val="left"/>
            </w:pPr>
            <w:r>
              <w:t xml:space="preserve">LIVERAGE-Cirrhosis, NCT06632457</w:t>
            </w:r>
          </w:p>
        </w:tc>
        <w:tc>
          <w:tcPr/>
          <w:p>
            <w:pPr>
              <w:pStyle w:val="Compact"/>
              <w:jc w:val="left"/>
            </w:pPr>
            <w:r>
              <w:t xml:space="preserve">Survodutida</w:t>
            </w:r>
          </w:p>
        </w:tc>
        <w:tc>
          <w:tcPr/>
          <w:p>
            <w:pPr>
              <w:pStyle w:val="Compact"/>
              <w:jc w:val="left"/>
            </w:pPr>
            <w:r>
              <w:t xml:space="preserve">complicaciones hepáticas en la cirrosis, 1590 participantes</w:t>
            </w:r>
          </w:p>
        </w:tc>
        <w:tc>
          <w:tcPr/>
          <w:p>
            <w:pPr>
              <w:pStyle w:val="Compact"/>
              <w:jc w:val="left"/>
            </w:pPr>
            <w:r>
              <w:t xml:space="preserve">junio de 2029</w:t>
            </w:r>
          </w:p>
        </w:tc>
      </w:tr>
      <w:tr>
        <w:tc>
          <w:tcPr/>
          <w:p>
            <w:pPr>
              <w:pStyle w:val="Compact"/>
              <w:jc w:val="left"/>
            </w:pPr>
            <w:r>
              <w:t xml:space="preserve">AMAZE 1, NCT07339423</w:t>
            </w:r>
          </w:p>
        </w:tc>
        <w:tc>
          <w:tcPr/>
          <w:p>
            <w:pPr>
              <w:pStyle w:val="Compact"/>
              <w:jc w:val="left"/>
            </w:pPr>
            <w:r>
              <w:t xml:space="preserve">Amicretina (zenagamtida)</w:t>
            </w:r>
          </w:p>
        </w:tc>
        <w:tc>
          <w:tcPr/>
          <w:p>
            <w:pPr>
              <w:pStyle w:val="Compact"/>
              <w:jc w:val="left"/>
            </w:pPr>
            <w:r>
              <w:t xml:space="preserve">pérdida de peso, 1150 participantes</w:t>
            </w:r>
          </w:p>
        </w:tc>
        <w:tc>
          <w:tcPr/>
          <w:p>
            <w:pPr>
              <w:pStyle w:val="Compact"/>
              <w:jc w:val="left"/>
            </w:pPr>
            <w:r>
              <w:t xml:space="preserve">agosto de 2029</w:t>
            </w:r>
          </w:p>
        </w:tc>
      </w:tr>
      <w:tr>
        <w:tc>
          <w:tcPr/>
          <w:p>
            <w:pPr>
              <w:pStyle w:val="Compact"/>
              <w:jc w:val="left"/>
            </w:pPr>
            <w:r>
              <w:t xml:space="preserve">MARITIME-CV, NCT07037433</w:t>
            </w:r>
          </w:p>
        </w:tc>
        <w:tc>
          <w:tcPr/>
          <w:p>
            <w:pPr>
              <w:pStyle w:val="Compact"/>
              <w:jc w:val="left"/>
            </w:pPr>
            <w:r>
              <w:t xml:space="preserve">Maridebart cafraglutida</w:t>
            </w:r>
          </w:p>
        </w:tc>
        <w:tc>
          <w:tcPr/>
          <w:p>
            <w:pPr>
              <w:pStyle w:val="Compact"/>
              <w:jc w:val="left"/>
            </w:pPr>
            <w:r>
              <w:t xml:space="preserve">acontecimientos cardiovasculares, 12.800 participantes</w:t>
            </w:r>
          </w:p>
        </w:tc>
        <w:tc>
          <w:tcPr/>
          <w:p>
            <w:pPr>
              <w:pStyle w:val="Compact"/>
              <w:jc w:val="left"/>
            </w:pPr>
            <w:r>
              <w:t xml:space="preserve">septiembre de 2030</w:t>
            </w:r>
          </w:p>
        </w:tc>
      </w:tr>
      <w:tr>
        <w:tc>
          <w:tcPr/>
          <w:p>
            <w:pPr>
              <w:pStyle w:val="Compact"/>
              <w:jc w:val="left"/>
            </w:pPr>
            <w:r>
              <w:t xml:space="preserve">MARITIME-HF, NCT07037459</w:t>
            </w:r>
          </w:p>
        </w:tc>
        <w:tc>
          <w:tcPr/>
          <w:p>
            <w:pPr>
              <w:pStyle w:val="Compact"/>
              <w:jc w:val="left"/>
            </w:pPr>
            <w:r>
              <w:t xml:space="preserve">Maridebart cafraglutida</w:t>
            </w:r>
          </w:p>
        </w:tc>
        <w:tc>
          <w:tcPr/>
          <w:p>
            <w:pPr>
              <w:pStyle w:val="Compact"/>
              <w:jc w:val="left"/>
            </w:pPr>
            <w:r>
              <w:t xml:space="preserve">insuficiencia cardiaca con obesidad, 5056 participantes</w:t>
            </w:r>
          </w:p>
        </w:tc>
        <w:tc>
          <w:tcPr/>
          <w:p>
            <w:pPr>
              <w:pStyle w:val="Compact"/>
              <w:jc w:val="left"/>
            </w:pPr>
            <w:r>
              <w:t xml:space="preserve">septiembre de 2030</w:t>
            </w:r>
          </w:p>
        </w:tc>
      </w:tr>
      <w:tr>
        <w:tc>
          <w:tcPr/>
          <w:p>
            <w:pPr>
              <w:pStyle w:val="Compact"/>
              <w:jc w:val="left"/>
            </w:pPr>
            <w:r>
              <w:t xml:space="preserve">AMBIENCE, NCT07861100</w:t>
            </w:r>
          </w:p>
        </w:tc>
        <w:tc>
          <w:tcPr/>
          <w:p>
            <w:pPr>
              <w:pStyle w:val="Compact"/>
              <w:jc w:val="left"/>
            </w:pPr>
            <w:r>
              <w:t xml:space="preserve">Amicretina (zenagamtida)</w:t>
            </w:r>
          </w:p>
        </w:tc>
        <w:tc>
          <w:tcPr/>
          <w:p>
            <w:pPr>
              <w:pStyle w:val="Compact"/>
              <w:jc w:val="left"/>
            </w:pPr>
            <w:r>
              <w:t xml:space="preserve">acontecimientos cardiovasculares, 8500 previstos</w:t>
            </w:r>
          </w:p>
        </w:tc>
        <w:tc>
          <w:tcPr/>
          <w:p>
            <w:pPr>
              <w:pStyle w:val="Compact"/>
              <w:jc w:val="left"/>
            </w:pPr>
            <w:r>
              <w:t xml:space="preserve">septiembre de 2030</w:t>
            </w:r>
          </w:p>
        </w:tc>
      </w:tr>
      <w:tr>
        <w:tc>
          <w:tcPr/>
          <w:p>
            <w:pPr>
              <w:pStyle w:val="Compact"/>
              <w:jc w:val="left"/>
            </w:pPr>
            <w:r>
              <w:t xml:space="preserve">ATTAIN-Outcomes, NCT07241390</w:t>
            </w:r>
          </w:p>
        </w:tc>
        <w:tc>
          <w:tcPr/>
          <w:p>
            <w:pPr>
              <w:pStyle w:val="Compact"/>
              <w:jc w:val="left"/>
            </w:pPr>
            <w:r>
              <w:t xml:space="preserve">Orforglipron (no es un péptido)</w:t>
            </w:r>
          </w:p>
        </w:tc>
        <w:tc>
          <w:tcPr/>
          <w:p>
            <w:pPr>
              <w:pStyle w:val="Compact"/>
              <w:jc w:val="left"/>
            </w:pPr>
            <w:r>
              <w:t xml:space="preserve">acontecimientos cardiovasculares, 7140 participantes</w:t>
            </w:r>
          </w:p>
        </w:tc>
        <w:tc>
          <w:tcPr/>
          <w:p>
            <w:pPr>
              <w:pStyle w:val="Compact"/>
              <w:jc w:val="left"/>
            </w:pPr>
            <w:r>
              <w:t xml:space="preserve">agosto de 2031</w:t>
            </w:r>
          </w:p>
        </w:tc>
      </w:tr>
      <w:tr>
        <w:tc>
          <w:tcPr/>
          <w:p>
            <w:pPr>
              <w:pStyle w:val="Compact"/>
              <w:jc w:val="left"/>
            </w:pPr>
            <w:r>
              <w:t xml:space="preserve">LIVERAGE, NCT06632444</w:t>
            </w:r>
          </w:p>
        </w:tc>
        <w:tc>
          <w:tcPr/>
          <w:p>
            <w:pPr>
              <w:pStyle w:val="Compact"/>
              <w:jc w:val="left"/>
            </w:pPr>
            <w:r>
              <w:t xml:space="preserve">Survodutida</w:t>
            </w:r>
          </w:p>
        </w:tc>
        <w:tc>
          <w:tcPr/>
          <w:p>
            <w:pPr>
              <w:pStyle w:val="Compact"/>
              <w:jc w:val="left"/>
            </w:pPr>
            <w:r>
              <w:t xml:space="preserve">MASH con fibrosis, 1800 participantes</w:t>
            </w:r>
          </w:p>
        </w:tc>
        <w:tc>
          <w:tcPr/>
          <w:p>
            <w:pPr>
              <w:pStyle w:val="Compact"/>
              <w:jc w:val="left"/>
            </w:pPr>
            <w:r>
              <w:t xml:space="preserve">diciembre de 2031</w:t>
            </w:r>
          </w:p>
        </w:tc>
      </w:tr>
      <w:tr>
        <w:tc>
          <w:tcPr/>
          <w:p>
            <w:pPr>
              <w:pStyle w:val="Compact"/>
              <w:jc w:val="left"/>
            </w:pPr>
            <w:r>
              <w:t xml:space="preserve">SYNERGY-Outcomes, NCT07165028</w:t>
            </w:r>
          </w:p>
        </w:tc>
        <w:tc>
          <w:tcPr/>
          <w:p>
            <w:pPr>
              <w:pStyle w:val="Compact"/>
              <w:jc w:val="left"/>
            </w:pPr>
            <w:r>
              <w:t xml:space="preserve">Tirzepatida y retatrutida</w:t>
            </w:r>
          </w:p>
        </w:tc>
        <w:tc>
          <w:tcPr/>
          <w:p>
            <w:pPr>
              <w:pStyle w:val="Compact"/>
              <w:jc w:val="left"/>
            </w:pPr>
            <w:r>
              <w:t xml:space="preserve">acontecimientos hepáticos graves, 4500 participantes</w:t>
            </w:r>
          </w:p>
        </w:tc>
        <w:tc>
          <w:tcPr/>
          <w:p>
            <w:pPr>
              <w:pStyle w:val="Compact"/>
              <w:jc w:val="left"/>
            </w:pPr>
            <w:r>
              <w:t xml:space="preserve">agosto de 2032</w:t>
            </w:r>
          </w:p>
        </w:tc>
      </w:tr>
    </w:tbl>
    <w:p>
      <w:pPr>
        <w:pStyle w:val="BodyText"/>
      </w:pPr>
      <w:r>
        <w:rPr>
          <w:bCs/>
          <w:b/>
        </w:rPr>
        <w:t xml:space="preserve">Otros grupos: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 / NCT</w:t>
            </w:r>
          </w:p>
        </w:tc>
        <w:tc>
          <w:tcPr/>
          <w:p>
            <w:pPr>
              <w:pStyle w:val="Compact"/>
              <w:jc w:val="left"/>
            </w:pPr>
            <w:r>
              <w:t xml:space="preserve">Principio activo</w:t>
            </w:r>
          </w:p>
        </w:tc>
        <w:tc>
          <w:tcPr/>
          <w:p>
            <w:pPr>
              <w:pStyle w:val="Compact"/>
              <w:jc w:val="left"/>
            </w:pPr>
            <w:r>
              <w:t xml:space="preserve">Pregunta</w:t>
            </w:r>
          </w:p>
        </w:tc>
        <w:tc>
          <w:tcPr/>
          <w:p>
            <w:pPr>
              <w:pStyle w:val="Compact"/>
              <w:jc w:val="left"/>
            </w:pPr>
            <w:r>
              <w:t xml:space="preserve">Finalización prevista</w:t>
            </w:r>
          </w:p>
        </w:tc>
      </w:tr>
      <w:tr>
        <w:tc>
          <w:tcPr/>
          <w:p>
            <w:pPr>
              <w:pStyle w:val="Compact"/>
              <w:jc w:val="left"/>
            </w:pPr>
            <w:r>
              <w:t xml:space="preserve">SEER-2, NCT05555589</w:t>
            </w:r>
          </w:p>
        </w:tc>
        <w:tc>
          <w:tcPr/>
          <w:p>
            <w:pPr>
              <w:pStyle w:val="Compact"/>
              <w:jc w:val="left"/>
            </w:pPr>
            <w:r>
              <w:t xml:space="preserve">Timosina beta 4 (colirio)</w:t>
            </w:r>
          </w:p>
        </w:tc>
        <w:tc>
          <w:tcPr/>
          <w:p>
            <w:pPr>
              <w:pStyle w:val="Compact"/>
              <w:jc w:val="left"/>
            </w:pPr>
            <w:r>
              <w:t xml:space="preserve">curación de la córnea, 70 participantes</w:t>
            </w:r>
          </w:p>
        </w:tc>
        <w:tc>
          <w:tcPr/>
          <w:p>
            <w:pPr>
              <w:pStyle w:val="Compact"/>
              <w:jc w:val="left"/>
            </w:pPr>
            <w:r>
              <w:t xml:space="preserve">mayo de 2026 (resultado pendiente)</w:t>
            </w:r>
          </w:p>
        </w:tc>
      </w:tr>
      <w:tr>
        <w:tc>
          <w:tcPr/>
          <w:p>
            <w:pPr>
              <w:pStyle w:val="Compact"/>
              <w:jc w:val="left"/>
            </w:pPr>
            <w:r>
              <w:t xml:space="preserve">NCT06109649</w:t>
            </w:r>
          </w:p>
        </w:tc>
        <w:tc>
          <w:tcPr/>
          <w:p>
            <w:pPr>
              <w:pStyle w:val="Compact"/>
              <w:jc w:val="left"/>
            </w:pPr>
            <w:r>
              <w:t xml:space="preserve">Afamelanotida</w:t>
            </w:r>
          </w:p>
        </w:tc>
        <w:tc>
          <w:tcPr/>
          <w:p>
            <w:pPr>
              <w:pStyle w:val="Compact"/>
              <w:jc w:val="left"/>
            </w:pPr>
            <w:r>
              <w:t xml:space="preserve">vitíligo con fototerapia, 200 participantes</w:t>
            </w:r>
          </w:p>
        </w:tc>
        <w:tc>
          <w:tcPr/>
          <w:p>
            <w:pPr>
              <w:pStyle w:val="Compact"/>
              <w:jc w:val="left"/>
            </w:pPr>
            <w:r>
              <w:t xml:space="preserve">junio de 2026 (resultado pendiente)</w:t>
            </w:r>
          </w:p>
        </w:tc>
      </w:tr>
      <w:tr>
        <w:tc>
          <w:tcPr/>
          <w:p>
            <w:pPr>
              <w:pStyle w:val="Compact"/>
              <w:jc w:val="left"/>
            </w:pPr>
            <w:r>
              <w:t xml:space="preserve">NCT05086614</w:t>
            </w:r>
          </w:p>
        </w:tc>
        <w:tc>
          <w:tcPr/>
          <w:p>
            <w:pPr>
              <w:pStyle w:val="Compact"/>
              <w:jc w:val="left"/>
            </w:pPr>
            <w:r>
              <w:t xml:space="preserve">Timosina alfa 1</w:t>
            </w:r>
          </w:p>
        </w:tc>
        <w:tc>
          <w:tcPr/>
          <w:p>
            <w:pPr>
              <w:pStyle w:val="Compact"/>
              <w:jc w:val="left"/>
            </w:pPr>
            <w:r>
              <w:t xml:space="preserve">supervivencia libre de enfermedad tras cáncer colorrectal, 2500 participantes</w:t>
            </w:r>
          </w:p>
        </w:tc>
        <w:tc>
          <w:tcPr/>
          <w:p>
            <w:pPr>
              <w:pStyle w:val="Compact"/>
              <w:jc w:val="left"/>
            </w:pPr>
            <w:r>
              <w:t xml:space="preserve">marzo de 2027</w:t>
            </w:r>
          </w:p>
        </w:tc>
      </w:tr>
      <w:tr>
        <w:tc>
          <w:tcPr/>
          <w:p>
            <w:pPr>
              <w:pStyle w:val="Compact"/>
              <w:jc w:val="left"/>
            </w:pPr>
            <w:r>
              <w:t xml:space="preserve">ReNEW, NCT06373731</w:t>
            </w:r>
          </w:p>
        </w:tc>
        <w:tc>
          <w:tcPr/>
          <w:p>
            <w:pPr>
              <w:pStyle w:val="Compact"/>
              <w:jc w:val="left"/>
            </w:pPr>
            <w:r>
              <w:t xml:space="preserve">Elamipretida (SS-31)</w:t>
            </w:r>
          </w:p>
        </w:tc>
        <w:tc>
          <w:tcPr/>
          <w:p>
            <w:pPr>
              <w:pStyle w:val="Compact"/>
              <w:jc w:val="left"/>
            </w:pPr>
            <w:r>
              <w:t xml:space="preserve">degeneración macular seca, 313 participantes</w:t>
            </w:r>
          </w:p>
        </w:tc>
        <w:tc>
          <w:tcPr/>
          <w:p>
            <w:pPr>
              <w:pStyle w:val="Compact"/>
              <w:jc w:val="left"/>
            </w:pPr>
            <w:r>
              <w:t xml:space="preserve">septiembre de 2027</w:t>
            </w:r>
          </w:p>
        </w:tc>
      </w:tr>
      <w:tr>
        <w:tc>
          <w:tcPr/>
          <w:p>
            <w:pPr>
              <w:pStyle w:val="Compact"/>
              <w:jc w:val="left"/>
            </w:pPr>
            <w:r>
              <w:t xml:space="preserve">NCT06948214</w:t>
            </w:r>
          </w:p>
        </w:tc>
        <w:tc>
          <w:tcPr/>
          <w:p>
            <w:pPr>
              <w:pStyle w:val="Compact"/>
              <w:jc w:val="left"/>
            </w:pPr>
            <w:r>
              <w:t xml:space="preserve">Ibutamoreno (LUM-201, no es un péptido)</w:t>
            </w:r>
          </w:p>
        </w:tc>
        <w:tc>
          <w:tcPr/>
          <w:p>
            <w:pPr>
              <w:pStyle w:val="Compact"/>
              <w:jc w:val="left"/>
            </w:pPr>
            <w:r>
              <w:t xml:space="preserve">crecimiento en niños con déficit hormonal, 150 participantes</w:t>
            </w:r>
          </w:p>
        </w:tc>
        <w:tc>
          <w:tcPr/>
          <w:p>
            <w:pPr>
              <w:pStyle w:val="Compact"/>
              <w:jc w:val="left"/>
            </w:pPr>
            <w:r>
              <w:t xml:space="preserve">enero de 2028</w:t>
            </w:r>
          </w:p>
        </w:tc>
      </w:tr>
    </w:tbl>
    <w:p>
      <w:pPr>
        <w:pStyle w:val="BodyText"/>
      </w:pPr>
      <w:r>
        <w:t xml:space="preserve">Los detalles de cada estudio figuran en el apartado «Estudios en curso y perspectivas» del capítulo correspondiente.</w:t>
      </w:r>
    </w:p>
    <w:bookmarkEnd w:id="1029"/>
    <w:bookmarkStart w:id="1030" w:name="X7b4c062d34cae8030d1f07d9b3224434198927c"/>
    <w:p>
      <w:pPr>
        <w:pStyle w:val="Heading3"/>
      </w:pPr>
      <w:r>
        <w:t xml:space="preserve">Lo que el registro revela sobre la dirección</w:t>
      </w:r>
    </w:p>
    <w:p>
      <w:pPr>
        <w:pStyle w:val="FirstParagraph"/>
      </w:pPr>
      <w:r>
        <w:rPr>
          <w:bCs/>
          <w:b/>
        </w:rPr>
        <w:t xml:space="preserve">De la báscula a las variables duras.</w:t>
      </w:r>
      <w:r>
        <w:t xml:space="preserve"> </w:t>
      </w:r>
      <w:r>
        <w:t xml:space="preserve">La primera generación de estudios de pérdida de peso medía sobre todo kilogramos. Los grandes estudios de los próximos años se preguntan si los infartos, los ictus, la insuficiencia cardiaca, la insuficiencia renal o la cirrosis hepática se vuelven menos frecuentes. Los seis estudios de fase 3 en curso del grupo A con más de 5000 participantes cada uno son estudios de resultados de este tipo. Para los sistemas de salud y las aseguradoras que deciden sobre la financiación, estos resultados son más importantes que cualquier récord de pérdida de peso.</w:t>
      </w:r>
    </w:p>
    <w:p>
      <w:pPr>
        <w:pStyle w:val="BodyText"/>
      </w:pPr>
      <w:r>
        <w:rPr>
          <w:bCs/>
          <w:b/>
        </w:rPr>
        <w:t xml:space="preserve">Comparaciones directas.</w:t>
      </w:r>
      <w:r>
        <w:t xml:space="preserve"> </w:t>
      </w:r>
      <w:r>
        <w:t xml:space="preserve">Los nuevos principios activos tienen que medirse cada vez más con los ya establecidos, no solo con placebo: la retatrutida frente a la tirzepatida (NCT06662383), la zenagamtida frente a la semaglutida (AMAZE 7, NCT07668414), la maridebart cafraglutida frente a la semaglutida en la diabetes tipo 2 (MARITIME-T2D-3, NCT07866066). También los nuevos fabricantes compiten directamente: Roche evalúa el agonista doble GLP-1/GIP enicepatida frente a la tirzepatida (NCT07889648), la empresa Kailera el principio activo ribupatida frente a la semaglutida (KaiNETIC-3, NCT07284979), y AstraZeneca el principio activo de toma diaria elecoglipron frente a la semaglutida en comprimido (Eluminate-2, NCT07662213).</w:t>
      </w:r>
    </w:p>
    <w:p>
      <w:pPr>
        <w:pStyle w:val="BodyText"/>
      </w:pPr>
      <w:r>
        <w:rPr>
          <w:bCs/>
          <w:b/>
        </w:rPr>
        <w:t xml:space="preserve">Mantener el peso en lugar de solo perderlo.</w:t>
      </w:r>
      <w:r>
        <w:t xml:space="preserve"> </w:t>
      </w:r>
      <w:r>
        <w:t xml:space="preserve">Varios estudios evalúan expresamente el periodo posterior a la pérdida de peso: la retatrutida para el mantenimiento del peso (TRIUMPH-6, NCT06859268), un estudio a largo plazo de CagriSema de dos años más una extensión (NCT06780449), y el cambio desde otros medicamentos GLP-1 a la maridebart cafraglutida, administrada mensualmente (NCT07575399), o a la berobenatida, un principio activo en investigación de Pfizer de inyección mensual (NCT07845500). El trasfondo son estudios como SURMOUNT-4: quien suspendió la tirzepatida a las 36 semanas recuperó de media un 14,0 % al año siguiente, mientras que con el tratamiento continuado el peso bajó otro 5,5 % (Aronne 2024, PMID 38078870).</w:t>
      </w:r>
    </w:p>
    <w:p>
      <w:pPr>
        <w:pStyle w:val="BodyText"/>
      </w:pPr>
      <w:r>
        <w:rPr>
          <w:bCs/>
          <w:b/>
        </w:rPr>
        <w:t xml:space="preserve">Nuevos países, nuevas moléculas.</w:t>
      </w:r>
      <w:r>
        <w:t xml:space="preserve"> </w:t>
      </w:r>
      <w:r>
        <w:t xml:space="preserve">Una gran parte de los nuevos estudios de fase 3 procede de empresas chinas que evalúan principios activos propios basados en GLP-1 frente a semaglutida o dulaglutida, como la bofanglutida, inyectada cada dos semanas (BALANCE-OBS, NCT07622810), o la proteína de fusión de exendina-4 JY09 (NCT06257966). El mercado se vuelve, por tanto, más amplio, no solo más potente.</w:t>
      </w:r>
    </w:p>
    <w:p>
      <w:pPr>
        <w:pStyle w:val="BodyText"/>
      </w:pPr>
      <w:r>
        <w:rPr>
          <w:bCs/>
          <w:b/>
        </w:rPr>
        <w:t xml:space="preserve">Niños y adolescentes.</w:t>
      </w:r>
      <w:r>
        <w:t xml:space="preserve"> </w:t>
      </w:r>
      <w:r>
        <w:t xml:space="preserve">Para casi todos los grandes principios activos hay estudios en curso en adolescentes, en parte también en niños, por ejemplo para la tirzepatida (NCT06439277, NCT07817875), el orforglipron (NCT06672939) y CagriSema (NCT07253285, finalización prevista en 2033).</w:t>
      </w:r>
    </w:p>
    <w:p>
      <w:pPr>
        <w:pStyle w:val="BodyText"/>
      </w:pPr>
      <w:r>
        <w:rPr>
          <w:bCs/>
          <w:b/>
        </w:rPr>
        <w:t xml:space="preserve">¿Y fuera del metabolismo?</w:t>
      </w:r>
      <w:r>
        <w:t xml:space="preserve"> </w:t>
      </w:r>
      <w:r>
        <w:t xml:space="preserve">Aquí la cartera es escasa. Cuando un péptido no es patentable, ya se vende como complemento alimenticio o solo existe en el mercado gris, casi nadie financia costosos estudios de autorización. Eso explica por qué precisamente los péptidos más debatidos en internet faltan prácticamente en los registros.</w:t>
      </w:r>
    </w:p>
    <w:bookmarkEnd w:id="1030"/>
    <w:bookmarkStart w:id="1036" w:name="nuevos-principios-de-acción"/>
    <w:p>
      <w:pPr>
        <w:pStyle w:val="Heading3"/>
      </w:pPr>
      <w:r>
        <w:t xml:space="preserve">Nuevos principios de acción</w:t>
      </w:r>
    </w:p>
    <w:bookmarkStart w:id="1031" w:name="agonistas-triples"/>
    <w:p>
      <w:pPr>
        <w:pStyle w:val="Heading4"/>
      </w:pPr>
      <w:r>
        <w:t xml:space="preserve">Agonistas triples</w:t>
      </w:r>
    </w:p>
    <w:p>
      <w:pPr>
        <w:pStyle w:val="FirstParagraph"/>
      </w:pPr>
      <w:r>
        <w:t xml:space="preserve">La retatrutida activa tres receptores a la vez: GLP-1, GIP y glucagón. El componente de glucagón debe aumentar el gasto energético y la degradación de grasa en el hígado. En el estudio de fase 2 con 338 adultos, el peso bajó a las 48 semanas un 24,2 % con la dosis más alta estudiada, y un 2,1 % con placebo (Jastreboff 2023, PMID 37366315). El primer estudio de fase 3, TRIUMPH-1, con 2339 adultos, lo confirmó: a las 80 semanas, la pérdida de peso fue, según la dosis, del 17,6 al 25,0 %, y con placebo del 3,9 %. En los participantes con artrosis de rodilla disminuyó el dolor, y en los que tenían apnea del sueño, el número de pausas respiratorias (Jastreboff 2026, PMID 42814954). Si esta pérdida de peso adicional conduce también a menos acontecimientos cardiacos y renales es lo que debe mostrar TRIUMPH-Outcomes hasta 2029 (NCT06383390). Los detalles y los efectos adversos se describen en el capítulo Retatrutida.</w:t>
      </w:r>
    </w:p>
    <w:bookmarkEnd w:id="1031"/>
    <w:bookmarkStart w:id="1032" w:name="amilina-la-cuarta-vía-hormonal"/>
    <w:p>
      <w:pPr>
        <w:pStyle w:val="Heading4"/>
      </w:pPr>
      <w:r>
        <w:t xml:space="preserve">Amilina: la cuarta vía hormonal</w:t>
      </w:r>
    </w:p>
    <w:p>
      <w:pPr>
        <w:pStyle w:val="FirstParagraph"/>
      </w:pPr>
      <w:r>
        <w:t xml:space="preserve">La amilina se secreta junto con la insulina y produce saciedad actuando en el tronco del encéfalo. Hay que distinguir tres líneas de desarrollo:</w:t>
      </w:r>
    </w:p>
    <w:p>
      <w:pPr>
        <w:numPr>
          <w:ilvl w:val="0"/>
          <w:numId w:val="1355"/>
        </w:numPr>
        <w:pStyle w:val="Compact"/>
      </w:pPr>
      <w:r>
        <w:rPr>
          <w:bCs/>
          <w:b/>
        </w:rPr>
        <w:t xml:space="preserve">Combinación en una inyección:</w:t>
      </w:r>
      <w:r>
        <w:t xml:space="preserve"> </w:t>
      </w:r>
      <w:r>
        <w:t xml:space="preserve">CagriSema une el análogo de amilina cagrilintida con semaglutida. En REDEFINE 1, con 3417 adultos, el peso bajó a las 68 semanas un 20,4 %, y con placebo un 3,0 %; las molestias gastrointestinales aparecieron en el 79,6 % frente al 39,9 % (Garvey 2025, PMID 40544433).</w:t>
      </w:r>
    </w:p>
    <w:p>
      <w:pPr>
        <w:numPr>
          <w:ilvl w:val="0"/>
          <w:numId w:val="1355"/>
        </w:numPr>
        <w:pStyle w:val="Compact"/>
      </w:pPr>
      <w:r>
        <w:rPr>
          <w:bCs/>
          <w:b/>
        </w:rPr>
        <w:t xml:space="preserve">Una molécula para dos receptores:</w:t>
      </w:r>
      <w:r>
        <w:t xml:space="preserve"> </w:t>
      </w:r>
      <w:r>
        <w:t xml:space="preserve">la amicretina, desde 2026 zenagamtida, activa a la vez los receptores de GLP-1 y de amilina. En un pequeño estudio de fase 1b/2a con 125 participantes, el peso bajó con el nivel de dosis más alto un 24,3 % a las 36 semanas (Dahl 2025, PMID 40550231). El programa de fase 3 AMAZE está en marcha desde 2026.</w:t>
      </w:r>
    </w:p>
    <w:p>
      <w:pPr>
        <w:numPr>
          <w:ilvl w:val="0"/>
          <w:numId w:val="1355"/>
        </w:numPr>
        <w:pStyle w:val="Compact"/>
      </w:pPr>
      <w:r>
        <w:rPr>
          <w:bCs/>
          <w:b/>
        </w:rPr>
        <w:t xml:space="preserve">Amilina sola:</w:t>
      </w:r>
      <w:r>
        <w:t xml:space="preserve"> </w:t>
      </w:r>
      <w:r>
        <w:t xml:space="preserve">aquí la esperanza es una mejor tolerabilidad. La eloralintida, un agonista selectivo del receptor de amilina de Lilly, produjo en un estudio de fase 2 con 263 adultos, a las 48 semanas, una pérdida de peso del 9 al 20 % frente al 0,4 % con placebo; las náuseas y el cansancio fueron, según la dosis, claramente más frecuentes que con placebo (Billings 2025, PMID 41207310). La petrelintida de Zealand Pharma redujo el peso en el estudio de fase 2 ZUPREME 1, con 493 participantes, entre un 7,9 y un 9,8 % a las 28 semanas (placebo 1,7 %). Las náuseas aparecieron en el 20 % frente al 6 %, pero los vómitos no fueron más frecuentes que con placebo (Garvey 2026, PMID 42810355).</w:t>
      </w:r>
    </w:p>
    <w:p>
      <w:pPr>
        <w:pStyle w:val="FirstParagraph"/>
      </w:pPr>
      <w:r>
        <w:t xml:space="preserve">Ambos principios activos de amilina pura están ya en fase 3: la eloralintida en ENLIGHTEN-1, con 1980 participantes previstos (NCT07321886, finalización en julio de 2030), y la petrelintida en ZUPREME-3, con 3900 participantes previstos bajo la dirección de Roche (NCT07843498, finalización en marzo de 2029). Lilly evalúa además una combinación de eloralintida y tirzepatida (AMPLIFY-1, NCT07881432, 2115 participantes previstos).</w:t>
      </w:r>
    </w:p>
    <w:bookmarkEnd w:id="1032"/>
    <w:bookmarkStart w:id="1033" w:name="conjugados-anticuerpo-péptido"/>
    <w:p>
      <w:pPr>
        <w:pStyle w:val="Heading4"/>
      </w:pPr>
      <w:r>
        <w:t xml:space="preserve">Conjugados anticuerpo-péptido</w:t>
      </w:r>
    </w:p>
    <w:p>
      <w:pPr>
        <w:pStyle w:val="FirstParagraph"/>
      </w:pPr>
      <w:r>
        <w:t xml:space="preserve">Los péptidos se degradan rápidamente en el organismo y se eliminan por los riñones. Una solución es acoplarlos a un anticuerpo que permanezca semanas en la sangre. Una revisión describe estos conjugados anticuerpo-péptido como una clase de principios activos nueva y propia: a diferencia de las proteínas de fusión, el péptido se fabrica químicamente y solo después se une al anticuerpo, de modo que también puede contener componentes inusuales (Yie 2026, PMID 42592044).</w:t>
      </w:r>
    </w:p>
    <w:p>
      <w:pPr>
        <w:pStyle w:val="BodyText"/>
      </w:pPr>
      <w:r>
        <w:t xml:space="preserve">El ejemplo más conocido es la maridebart cafraglutida (MariTide). Une un anticuerpo que bloquea el receptor de GIP con péptidos de tipo GLP-1 que activan el receptor de GLP-1. En el estudio de fase 2 con 592 participantes se inyectó cada cuatro u ocho semanas. A las 52 semanas, la pérdida de peso sin diabetes fue del 12,3 al 16,2 % (placebo 2,5 %), y con diabetes tipo 2 del 8,4 al 12,3 % (placebo 1,7 %). Las molestias gastrointestinales fueron frecuentes, pero menos cuando la dosis se aumentaba lentamente (Jastreboff 2025, PMID 40549887). El concepto es: menos inyecciones en lugar del máximo efecto.</w:t>
      </w:r>
    </w:p>
    <w:bookmarkEnd w:id="1033"/>
    <w:bookmarkStart w:id="1034" w:name="preservar-el-músculo-al-perder-peso"/>
    <w:p>
      <w:pPr>
        <w:pStyle w:val="Heading4"/>
      </w:pPr>
      <w:r>
        <w:t xml:space="preserve">Preservar el músculo al perder peso</w:t>
      </w:r>
    </w:p>
    <w:p>
      <w:pPr>
        <w:pStyle w:val="FirstParagraph"/>
      </w:pPr>
      <w:r>
        <w:t xml:space="preserve">En toda pérdida de peso intensa se pierde también masa muscular y ósea. Un enfoque es el anticuerpo</w:t>
      </w:r>
      <w:r>
        <w:t xml:space="preserve"> </w:t>
      </w:r>
      <w:r>
        <w:rPr>
          <w:bCs/>
          <w:b/>
        </w:rPr>
        <w:t xml:space="preserve">bimagrumab</w:t>
      </w:r>
      <w:r>
        <w:t xml:space="preserve">, que bloquea los receptores de activina de tipo II, interruptores que frenan el crecimiento muscular. El bimagrumab no es un péptido, pero se combina deliberadamente con medicamentos peptídicos.</w:t>
      </w:r>
    </w:p>
    <w:p>
      <w:pPr>
        <w:numPr>
          <w:ilvl w:val="0"/>
          <w:numId w:val="1356"/>
        </w:numPr>
        <w:pStyle w:val="Compact"/>
      </w:pPr>
      <w:r>
        <w:t xml:space="preserve">En un estudio de fase 2 con 75 adultos con diabetes tipo 2 y sobrepeso, con bimagrumab solo, la masa grasa bajó a las 48 semanas un 20,5 %, mientras que la masa libre de grasa aumentó un 3,6 % (placebo −0,5 % y −0,8 %) (Heymsfield 2021, PMID 33439265).</w:t>
      </w:r>
    </w:p>
    <w:p>
      <w:pPr>
        <w:numPr>
          <w:ilvl w:val="0"/>
          <w:numId w:val="1356"/>
        </w:numPr>
        <w:pStyle w:val="Compact"/>
      </w:pPr>
      <w:r>
        <w:t xml:space="preserve">En un estudio de fase 2 con 507 adultos con obesidad, la pérdida de peso a las 48 semanas fue de 9,3 kg con bimagrumab solo, de 14,2 kg con semaglutida sola y de 17,8 kg con la combinación (placebo 3,3 kg). Los efectos adversos frecuentes del bimagrumab fueron calambres musculares, diarrea y acné (Heymsfield 2026, PMID 41772149).</w:t>
      </w:r>
    </w:p>
    <w:p>
      <w:pPr>
        <w:pStyle w:val="FirstParagraph"/>
      </w:pPr>
      <w:r>
        <w:t xml:space="preserve">Lilly evalúa ahora el bimagrumab con tirzepatida (NCT06643728, 252 participantes, finalización en enero de 2027). Un estudio más pequeño en el Massachusetts General Hospital investiga la misma combinación en relación con la composición corporal y el hueso (NCT05933499). Si más masa muscular en la exploración significa también más fuerza, menos caídas o menos fracturas no está demostrado hasta ahora. En el registro no figuran estudios de fase 3.</w:t>
      </w:r>
    </w:p>
    <w:bookmarkEnd w:id="1034"/>
    <w:bookmarkStart w:id="1035" w:name="comprimidos"/>
    <w:p>
      <w:pPr>
        <w:pStyle w:val="Heading4"/>
      </w:pPr>
      <w:r>
        <w:t xml:space="preserve">Comprimidos</w:t>
      </w:r>
    </w:p>
    <w:p>
      <w:pPr>
        <w:pStyle w:val="FirstParagraph"/>
      </w:pPr>
      <w:r>
        <w:t xml:space="preserve">El cambio quizá de mayores consecuencias no afecta al receptor, sino a la vía de entrada en el organismo: comprimidos con péptidos y moléculas pequeñas que actúan como péptidos. A este tema está dedicado el capítulo siguiente.</w:t>
      </w:r>
    </w:p>
    <w:bookmarkEnd w:id="1035"/>
    <w:bookmarkEnd w:id="1036"/>
    <w:bookmarkStart w:id="1037" w:name="lo-más-importante-en-pocas-palabras-3"/>
    <w:p>
      <w:pPr>
        <w:pStyle w:val="Heading3"/>
      </w:pPr>
      <w:r>
        <w:t xml:space="preserve">Lo más importante en pocas palabras</w:t>
      </w:r>
    </w:p>
    <w:p>
      <w:pPr>
        <w:numPr>
          <w:ilvl w:val="0"/>
          <w:numId w:val="1357"/>
        </w:numPr>
        <w:pStyle w:val="Compact"/>
      </w:pPr>
      <w:r>
        <w:t xml:space="preserve">Tras excluir las entradas ficticias y ajenas al tema, hay en curso 730 estudios intervencionistas sobre los principios activos de este libro, 157 de ellos en fase 3.</w:t>
      </w:r>
    </w:p>
    <w:p>
      <w:pPr>
        <w:numPr>
          <w:ilvl w:val="0"/>
          <w:numId w:val="1357"/>
        </w:numPr>
        <w:pStyle w:val="Compact"/>
      </w:pPr>
      <w:r>
        <w:t xml:space="preserve">Casi nueve de cada diez estudios tardíos se refieren al metabolismo y el peso. Para los populares péptidos del mercado gris no hay en curso ni un solo estudio de fase 3.</w:t>
      </w:r>
    </w:p>
    <w:p>
      <w:pPr>
        <w:numPr>
          <w:ilvl w:val="0"/>
          <w:numId w:val="1357"/>
        </w:numPr>
        <w:pStyle w:val="Compact"/>
      </w:pPr>
      <w:r>
        <w:t xml:space="preserve">Los grandes estudios cardiovasculares, renales y hepáticos terminan entre 2027 y 2032. Solo ellos mostrarán si los nuevos principios activos aportan algo más que reducir el peso.</w:t>
      </w:r>
    </w:p>
    <w:p>
      <w:pPr>
        <w:numPr>
          <w:ilvl w:val="0"/>
          <w:numId w:val="1357"/>
        </w:numPr>
        <w:pStyle w:val="Compact"/>
      </w:pPr>
      <w:r>
        <w:t xml:space="preserve">Los nuevos principios de acción (agonistas triples, amilina, conjugados anticuerpo-péptido, protección muscular) están respaldados por estudios de fase 2, y la mayoría se encuentra en fase 3. Para ninguno de estos nuevos principios activos está asegurada una autorización.</w:t>
      </w:r>
    </w:p>
    <w:bookmarkEnd w:id="1037"/>
    <w:bookmarkEnd w:id="1038"/>
    <w:bookmarkStart w:id="1052" w:name="comprimidos-en-lugar-de-inyecciones"/>
    <w:p>
      <w:pPr>
        <w:pStyle w:val="Heading2"/>
      </w:pPr>
      <w:r>
        <w:t xml:space="preserve">Comprimidos en lugar de inyecciones</w:t>
      </w:r>
    </w:p>
    <w:p>
      <w:pPr>
        <w:pStyle w:val="FirstParagraph"/>
      </w:pPr>
      <w:r>
        <w:t xml:space="preserve">Casi todos los medicamentos peptídicos de este libro se inyectan. Hay un motivo sencillo: el tubo digestivo está diseñado para descomponer las proteínas y los péptidos en sus componentes. Lo que tiene sentido para los alimentos inutiliza un péptido como medicamento antes de que llegue a la sangre. La Parte I describió con detalle estos obstáculos (capítulo «Cómo llegan los péptidos al organismo»).</w:t>
      </w:r>
    </w:p>
    <w:p>
      <w:pPr>
        <w:pStyle w:val="BodyText"/>
      </w:pPr>
      <w:r>
        <w:t xml:space="preserve">Que, a pesar de ello, se investigue intensamente en comprimidos tiene varios motivos. A muchas personas no les gusta inyectarse. Las inyecciones suelen tener que conservarse en frío, y las plumas son costosas de fabricar. Y como los medicamentos contra la obesidad, según los conocimientos actuales, deben tomarse de forma continuada para que actúen, cualquier facilidad para el tratamiento a largo plazo cuenta. Una revisión describe que en ensayos clínicos ya se habían probado formas orales de insulina, calcitonina, hormona paratiroidea y vasopresina, y que solo la semaglutida supuso el gran avance para un principio activo de uso amplio (Drucker 2020, PMID 31848464).</w:t>
      </w:r>
    </w:p>
    <w:p>
      <w:pPr>
        <w:pStyle w:val="BodyText"/>
      </w:pPr>
      <w:r>
        <w:t xml:space="preserve">Hoy existen dos vías fundamentalmente distintas hacia el comprimido: proteger un</w:t>
      </w:r>
      <w:r>
        <w:t xml:space="preserve"> </w:t>
      </w:r>
      <w:r>
        <w:rPr>
          <w:bCs/>
          <w:b/>
        </w:rPr>
        <w:t xml:space="preserve">péptido</w:t>
      </w:r>
      <w:r>
        <w:t xml:space="preserve"> </w:t>
      </w:r>
      <w:r>
        <w:t xml:space="preserve">de forma que al menos una pequeña parte se absorba, o sustituir el péptido por una</w:t>
      </w:r>
      <w:r>
        <w:t xml:space="preserve"> </w:t>
      </w:r>
      <w:r>
        <w:rPr>
          <w:bCs/>
          <w:b/>
        </w:rPr>
        <w:t xml:space="preserve">molécula pequeña</w:t>
      </w:r>
      <w:r>
        <w:t xml:space="preserve"> </w:t>
      </w:r>
      <w:r>
        <w:t xml:space="preserve">que pase del intestino a la sangre como un medicamento corriente y, aun así, actúe sobre el mismo receptor.</w:t>
      </w:r>
    </w:p>
    <w:bookmarkStart w:id="1044" w:name="Xd484d6e7e8350f3fdb65a5125ebafc9e7eefe7e"/>
    <w:p>
      <w:pPr>
        <w:pStyle w:val="Heading3"/>
      </w:pPr>
      <w:r>
        <w:t xml:space="preserve">Vía 1: péptido más potenciador de la absorción</w:t>
      </w:r>
    </w:p>
    <w:bookmarkStart w:id="1039" w:name="el-principio"/>
    <w:p>
      <w:pPr>
        <w:pStyle w:val="Heading4"/>
      </w:pPr>
      <w:r>
        <w:t xml:space="preserve">El principio</w:t>
      </w:r>
    </w:p>
    <w:p>
      <w:pPr>
        <w:pStyle w:val="FirstParagraph"/>
      </w:pPr>
      <w:r>
        <w:t xml:space="preserve">Un</w:t>
      </w:r>
      <w:r>
        <w:t xml:space="preserve"> </w:t>
      </w:r>
      <w:r>
        <w:rPr>
          <w:bCs/>
          <w:b/>
        </w:rPr>
        <w:t xml:space="preserve">potenciador de la absorción</w:t>
      </w:r>
      <w:r>
        <w:t xml:space="preserve"> </w:t>
      </w:r>
      <w:r>
        <w:t xml:space="preserve">(término técnico: potenciador de la permeación) es un excipiente que hace la mucosa más permeable durante un breve tiempo o protege el péptido de la degradación. En el comprimido de semaglutida es el excipiente</w:t>
      </w:r>
      <w:r>
        <w:t xml:space="preserve"> </w:t>
      </w:r>
      <w:r>
        <w:rPr>
          <w:bCs/>
          <w:b/>
        </w:rPr>
        <w:t xml:space="preserve">SNAC</w:t>
      </w:r>
      <w:r>
        <w:t xml:space="preserve">. Eleva el pH en el entorno inmediato del comprimido, atenúa la activación de la enzima digestiva pepsina y hace que la semaglutida se encuentre como molécula individual, que se absorbe con más facilidad. Aun así, según una revisión, solo alrededor del 0,4 al 1 % del principio activo llega a la sangre, y solo en ayunas y con poca agua. Tras una comida, prácticamente no se detecta semaglutida en sangre (Vahora 2026, PMID 42687069). De ahí se derivan las estrictas normas de toma que figuran en la ficha técnica.</w:t>
      </w:r>
    </w:p>
    <w:bookmarkEnd w:id="1039"/>
    <w:bookmarkStart w:id="1040" w:name="X561bee458f62a2399ca728b95a4f6db2075b972"/>
    <w:p>
      <w:pPr>
        <w:pStyle w:val="Heading4"/>
      </w:pPr>
      <w:r>
        <w:t xml:space="preserve">El comprimido de semaglutida en la obesidad</w:t>
      </w:r>
    </w:p>
    <w:p>
      <w:pPr>
        <w:pStyle w:val="FirstParagraph"/>
      </w:pPr>
      <w:r>
        <w:t xml:space="preserve">Para la diabetes tipo 2, el comprimido de semaglutida (Rybelsus) está autorizado en la UE desde 2020. Para la obesidad se evaluaron dosis más altas: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Estudio</w:t>
            </w:r>
          </w:p>
        </w:tc>
        <w:tc>
          <w:tcPr/>
          <w:p>
            <w:pPr>
              <w:pStyle w:val="Compact"/>
              <w:jc w:val="left"/>
            </w:pPr>
            <w:r>
              <w:t xml:space="preserve">Participantes y diseño</w:t>
            </w:r>
          </w:p>
        </w:tc>
        <w:tc>
          <w:tcPr/>
          <w:p>
            <w:pPr>
              <w:pStyle w:val="Compact"/>
              <w:jc w:val="left"/>
            </w:pPr>
            <w:r>
              <w:t xml:space="preserve">Duración</w:t>
            </w:r>
          </w:p>
        </w:tc>
        <w:tc>
          <w:tcPr/>
          <w:p>
            <w:pPr>
              <w:pStyle w:val="Compact"/>
              <w:jc w:val="left"/>
            </w:pPr>
            <w:r>
              <w:t xml:space="preserve">Resultado</w:t>
            </w:r>
          </w:p>
        </w:tc>
      </w:tr>
      <w:tr>
        <w:tc>
          <w:tcPr/>
          <w:p>
            <w:pPr>
              <w:pStyle w:val="Compact"/>
              <w:jc w:val="left"/>
            </w:pPr>
            <w:r>
              <w:t xml:space="preserve">OASIS 1 (Knop 2023), PMID 37385278</w:t>
            </w:r>
          </w:p>
        </w:tc>
        <w:tc>
          <w:tcPr/>
          <w:p>
            <w:pPr>
              <w:pStyle w:val="Compact"/>
              <w:jc w:val="left"/>
            </w:pPr>
            <w:r>
              <w:t xml:space="preserve">667 adultos sin diabetes, comprimido frente a placebo</w:t>
            </w:r>
          </w:p>
        </w:tc>
        <w:tc>
          <w:tcPr/>
          <w:p>
            <w:pPr>
              <w:pStyle w:val="Compact"/>
              <w:jc w:val="left"/>
            </w:pPr>
            <w:r>
              <w:t xml:space="preserve">68 semanas</w:t>
            </w:r>
          </w:p>
        </w:tc>
        <w:tc>
          <w:tcPr/>
          <w:p>
            <w:pPr>
              <w:pStyle w:val="Compact"/>
              <w:jc w:val="left"/>
            </w:pPr>
            <w:r>
              <w:t xml:space="preserve">−15,1 % de peso frente a −2,4 %</w:t>
            </w:r>
          </w:p>
        </w:tc>
      </w:tr>
      <w:tr>
        <w:tc>
          <w:tcPr/>
          <w:p>
            <w:pPr>
              <w:pStyle w:val="Compact"/>
              <w:jc w:val="left"/>
            </w:pPr>
            <w:r>
              <w:t xml:space="preserve">OASIS 4 (Wharton 2025), PMID 40934115</w:t>
            </w:r>
          </w:p>
        </w:tc>
        <w:tc>
          <w:tcPr/>
          <w:p>
            <w:pPr>
              <w:pStyle w:val="Compact"/>
              <w:jc w:val="left"/>
            </w:pPr>
            <w:r>
              <w:t xml:space="preserve">307 adultos sin diabetes, dosis de comprimido más baja frente a placebo</w:t>
            </w:r>
          </w:p>
        </w:tc>
        <w:tc>
          <w:tcPr/>
          <w:p>
            <w:pPr>
              <w:pStyle w:val="Compact"/>
              <w:jc w:val="left"/>
            </w:pPr>
            <w:r>
              <w:t xml:space="preserve">64 semanas</w:t>
            </w:r>
          </w:p>
        </w:tc>
        <w:tc>
          <w:tcPr/>
          <w:p>
            <w:pPr>
              <w:pStyle w:val="Compact"/>
              <w:jc w:val="left"/>
            </w:pPr>
            <w:r>
              <w:t xml:space="preserve">−13,6 % frente a −2,2 %</w:t>
            </w:r>
          </w:p>
        </w:tc>
      </w:tr>
      <w:tr>
        <w:tc>
          <w:tcPr/>
          <w:p>
            <w:pPr>
              <w:pStyle w:val="Compact"/>
              <w:jc w:val="left"/>
            </w:pPr>
            <w:r>
              <w:t xml:space="preserve">A modo de comparación: STEP 1 (Wilding 2021), PMID 33567185</w:t>
            </w:r>
          </w:p>
        </w:tc>
        <w:tc>
          <w:tcPr/>
          <w:p>
            <w:pPr>
              <w:pStyle w:val="Compact"/>
              <w:jc w:val="left"/>
            </w:pPr>
            <w:r>
              <w:t xml:space="preserve">1961 adultos sin diabetes, inyección semanal frente a placebo</w:t>
            </w:r>
          </w:p>
        </w:tc>
        <w:tc>
          <w:tcPr/>
          <w:p>
            <w:pPr>
              <w:pStyle w:val="Compact"/>
              <w:jc w:val="left"/>
            </w:pPr>
            <w:r>
              <w:t xml:space="preserve">68 semanas</w:t>
            </w:r>
          </w:p>
        </w:tc>
        <w:tc>
          <w:tcPr/>
          <w:p>
            <w:pPr>
              <w:pStyle w:val="Compact"/>
              <w:jc w:val="left"/>
            </w:pPr>
            <w:r>
              <w:t xml:space="preserve">−14,9 % frente a −2,4 %</w:t>
            </w:r>
          </w:p>
        </w:tc>
      </w:tr>
    </w:tbl>
    <w:p>
      <w:pPr>
        <w:pStyle w:val="BodyText"/>
      </w:pPr>
      <w:r>
        <w:t xml:space="preserve">En ambos estudios con comprimidos, las molestias gastrointestinales fueron frecuentes: 80 % frente a 46 % con placebo en OASIS 1, y 74,0 % frente a 42,2 % en OASIS 4. Según el capítulo Semaglutida, el estudio OASIS 4 es la base del comprimido de Wegovy autorizado en EE. UU. (compruébese la situación actual de la autorización). Está en curso otro estudio de fase 3 sobre el comprimido (OASIS 5, NCT07770841, finalización en abril de 2028).</w:t>
      </w:r>
    </w:p>
    <w:p>
      <w:pPr>
        <w:pStyle w:val="BodyText"/>
      </w:pPr>
      <w:r>
        <w:t xml:space="preserve">Las cifras se acercan a las de la inyección. No obstante, falta una gran comparación directa entre comprimido e inyección en la obesidad, y las comparaciones cruzadas entre estudios solo son una orientación aproximada.</w:t>
      </w:r>
    </w:p>
    <w:p>
      <w:pPr>
        <w:pStyle w:val="BodyText"/>
      </w:pPr>
      <w:r>
        <w:rPr>
          <w:bCs/>
          <w:b/>
        </w:rPr>
        <w:t xml:space="preserve">Un inconveniente que rara vez se menciona:</w:t>
      </w:r>
      <w:r>
        <w:t xml:space="preserve"> </w:t>
      </w:r>
      <w:r>
        <w:t xml:space="preserve">como solo se absorbe una fracción, el comprimido necesita una cantidad de principio activo muchas veces mayor. Una estimación de costes para los genéricos tras la expiración de la patente obtuvo para la semaglutida inyectable entre 28 y 140 dólares estadounidenses por persona y año, y para el comprimido entre 186 y 380 dólares (Levi 2026, PMID 42437874). El comprimido no es, por tanto, automáticamente la solución más barata (más información en el capítulo «Patentes, genéricos y precios»).</w:t>
      </w:r>
    </w:p>
    <w:bookmarkEnd w:id="1040"/>
    <w:bookmarkStart w:id="1041" w:name="variables-duras-soul"/>
    <w:p>
      <w:pPr>
        <w:pStyle w:val="Heading4"/>
      </w:pPr>
      <w:r>
        <w:t xml:space="preserve">Variables duras: SOUL</w:t>
      </w:r>
    </w:p>
    <w:p>
      <w:pPr>
        <w:pStyle w:val="FirstParagraph"/>
      </w:pPr>
      <w:r>
        <w:t xml:space="preserve">Para la diabetes tipo 2, el beneficio del comprimido de semaglutida está demostrado más allá de la glucemia. En SOUL, con 9650 personas con diabetes tipo 2 y enfermedad vascular o renal, los acontecimientos cardiovasculares graves aparecieron, a lo largo de un tiempo de observación medio de unos cuatro años, en el 12,0 % con el comprimido y en el 13,8 % con placebo (hazard ratio 0,86). Las variables renales confirmatorias no difirieron significativamente (McGuire 2025, PMID 40162642). Para las personas con obesidad sin diabetes todavía no existe un estudio de este tipo con el comprimido.</w:t>
      </w:r>
    </w:p>
    <w:bookmarkEnd w:id="1041"/>
    <w:bookmarkStart w:id="1042" w:name="amilina-y-glp-1-en-comprimido"/>
    <w:p>
      <w:pPr>
        <w:pStyle w:val="Heading4"/>
      </w:pPr>
      <w:r>
        <w:t xml:space="preserve">Amilina y GLP-1 en comprimido</w:t>
      </w:r>
    </w:p>
    <w:p>
      <w:pPr>
        <w:pStyle w:val="FirstParagraph"/>
      </w:pPr>
      <w:r>
        <w:t xml:space="preserve">Novo Nordisk desarrolla también la amicretina (desde 2026, zenagamtida) en comprimido. Según la publicación del estudio, el péptido actúa sobre los receptores de GLP-1, de amilina y de calcitonina. En un estudio de fase 2 con 186 adultos con diabetes tipo 2, la HbA1c bajó a las 36 semanas, en los tres grupos de dosis, entre 0,5 y 1,1 puntos porcentuales más que con placebo. Las molestias gastrointestinales aparecieron, según la dosis, en el 26 al 47 % (placebo 23 %); los acontecimientos adversos graves afectaron al 4 % con zenagamtida y a nadie con placebo (Mora 2026, PMID 42532079). El estudio de fase 3 AMAZE 9 evalúa el comprimido en el sobrepeso con 950 participantes (NCT07720271, finalización en agosto de 2028). Un estudio de fase 1 investiga expresamente cómo influyen la cantidad de agua y el momento de la comida en la absorción (NCT07815067), un indicio de que también este comprimido probablemente estará sujeto a normas de toma.</w:t>
      </w:r>
    </w:p>
    <w:bookmarkEnd w:id="1042"/>
    <w:bookmarkStart w:id="1043" w:name="péptidos-orales-fuera-del-metabolismo"/>
    <w:p>
      <w:pPr>
        <w:pStyle w:val="Heading4"/>
      </w:pPr>
      <w:r>
        <w:t xml:space="preserve">Péptidos orales fuera del metabolismo</w:t>
      </w:r>
    </w:p>
    <w:p>
      <w:pPr>
        <w:pStyle w:val="FirstParagraph"/>
      </w:pPr>
      <w:r>
        <w:t xml:space="preserve">El avance no se limita a los adelgazantes. Dos ejemplos muestran que los péptidos orales se están convirtiendo en una clase de medicamentos propia:</w:t>
      </w:r>
    </w:p>
    <w:p>
      <w:pPr>
        <w:numPr>
          <w:ilvl w:val="0"/>
          <w:numId w:val="1358"/>
        </w:numPr>
        <w:pStyle w:val="Compact"/>
      </w:pPr>
      <w:r>
        <w:rPr>
          <w:bCs/>
          <w:b/>
        </w:rPr>
        <w:t xml:space="preserve">La enlicitida</w:t>
      </w:r>
      <w:r>
        <w:t xml:space="preserve"> </w:t>
      </w:r>
      <w:r>
        <w:t xml:space="preserve">es un péptido cíclico (macrocíclico) que inhibe la proteína PCSK9 y reduce así el colesterol LDL. Hasta ahora, estos inhibidores solo existían como inyección (anticuerpos). El principio activo se encontró con un método que rastrea bibliotecas de péptidos muy grandes en busca de compañeros de unión adecuados, y después se optimizó químicamente de forma específica (Johns 2023, PMID 37125593). En el estudio de fase 3 CORALreef Lipids, con 2909 participantes, el colesterol LDL bajó a las 24 semanas un 57,1 %, mientras que con placebo subió un 3,0 %. Los acontecimientos adversos fueron igual de frecuentes en ambos grupos (Navar 2026, PMID 41879224). Si esto también previene infartos e ictus es lo que debe mostrar CORALreef Outcomes, con 14.550 participantes (NCT06008756, finalización en noviembre de 2031).</w:t>
      </w:r>
    </w:p>
    <w:p>
      <w:pPr>
        <w:numPr>
          <w:ilvl w:val="0"/>
          <w:numId w:val="1358"/>
        </w:numPr>
        <w:pStyle w:val="Compact"/>
      </w:pPr>
      <w:r>
        <w:rPr>
          <w:bCs/>
          <w:b/>
        </w:rPr>
        <w:t xml:space="preserve">El icotrokinra</w:t>
      </w:r>
      <w:r>
        <w:t xml:space="preserve"> </w:t>
      </w:r>
      <w:r>
        <w:t xml:space="preserve">es un péptido oral que bloquea el receptor del mensajero inflamatorio interleucina 23. En el estudio de fase 3 ICONIC-LEAD, con 684 adultos y adolescentes con psoriasis moderada a grave, a las 16 semanas el 65 % alcanzó una piel (casi) sin lesiones, frente al 8 % con placebo; los acontecimientos adversos fueron igual de frecuentes en ambos grupos (49 %) (Bissonnette 2025, PMID 41191940). En marzo de 2026, el icotrokinra se autorizó en EE. UU., y en la UE estaba en evaluación (Keam 2026, PMID 42243571; compruébese la situación actual). Llama la atención el camino hasta ahí: según una investigación farmacológica, el icotrokinra funciona</w:t>
      </w:r>
      <w:r>
        <w:t xml:space="preserve"> </w:t>
      </w:r>
      <w:r>
        <w:rPr>
          <w:bCs/>
          <w:b/>
        </w:rPr>
        <w:t xml:space="preserve">sin</w:t>
      </w:r>
      <w:r>
        <w:t xml:space="preserve"> </w:t>
      </w:r>
      <w:r>
        <w:t xml:space="preserve">potenciador de la absorción. En experimentos con animales, solo el 0,1 al 0,3 % llegó a la sangre, y aun así se pudo medir un efecto en todo el organismo, porque el péptido es muy estable y muy potente (Knight 2025, PMID 40629250). Están en curso estudios en la colitis ulcerosa (ICONIC-UC, NCT07196748).</w:t>
      </w:r>
    </w:p>
    <w:p>
      <w:pPr>
        <w:pStyle w:val="FirstParagraph"/>
      </w:pPr>
      <w:r>
        <w:t xml:space="preserve">Ninguno de los dos principios activos es un péptido del mercado gris; son moléculas diseñadas de forma deliberada que se han evaluado durante años en grandes estudios. No tienen nada en común con los péptidos «orales» que se ofrecen en internet.</w:t>
      </w:r>
    </w:p>
    <w:bookmarkEnd w:id="1043"/>
    <w:bookmarkEnd w:id="1044"/>
    <w:bookmarkStart w:id="1047" w:name="X884164c0eb4af697574c9a13d817399a16d78b6"/>
    <w:p>
      <w:pPr>
        <w:pStyle w:val="Heading3"/>
      </w:pPr>
      <w:r>
        <w:t xml:space="preserve">Vía 2: moléculas pequeñas en lugar de péptidos</w:t>
      </w:r>
    </w:p>
    <w:bookmarkStart w:id="1045" w:name="orforglipron"/>
    <w:p>
      <w:pPr>
        <w:pStyle w:val="Heading4"/>
      </w:pPr>
      <w:r>
        <w:t xml:space="preserve">Orforglipron</w:t>
      </w:r>
    </w:p>
    <w:p>
      <w:pPr>
        <w:pStyle w:val="FirstParagraph"/>
      </w:pPr>
      <w:r>
        <w:t xml:space="preserve">El orforglipron no es un péptido, sino una molécula pequeña obtenida por síntesis química que activa el receptor de GLP-1 (con detalle en el capítulo Orforglipron de la Parte II · A). Se toma como un comprimido corriente una vez al día, según los estudios sin tener en cuenta las comidas ni la cantidad de agua (Rosenstock 2026, PMID 41765029).</w:t>
      </w:r>
    </w:p>
    <w:p>
      <w:pPr>
        <w:numPr>
          <w:ilvl w:val="0"/>
          <w:numId w:val="1359"/>
        </w:numPr>
        <w:pStyle w:val="Compact"/>
      </w:pPr>
      <w:r>
        <w:rPr>
          <w:bCs/>
          <w:b/>
        </w:rPr>
        <w:t xml:space="preserve">Peso:</w:t>
      </w:r>
      <w:r>
        <w:t xml:space="preserve"> </w:t>
      </w:r>
      <w:r>
        <w:t xml:space="preserve">en ATTAIN-1, con 3127 adultos con obesidad, el peso bajó a las 72 semanas un 11,2 % con la dosis más alta, y un 2,1 % con placebo. Por efectos adversos abandonó entre el 5,3 y el 10,3 % (placebo 2,7 %) (Wharton 2025, PMID 40960239).</w:t>
      </w:r>
    </w:p>
    <w:p>
      <w:pPr>
        <w:numPr>
          <w:ilvl w:val="0"/>
          <w:numId w:val="1359"/>
        </w:numPr>
        <w:pStyle w:val="Compact"/>
      </w:pPr>
      <w:r>
        <w:rPr>
          <w:bCs/>
          <w:b/>
        </w:rPr>
        <w:t xml:space="preserve">Glucemia:</w:t>
      </w:r>
      <w:r>
        <w:t xml:space="preserve"> </w:t>
      </w:r>
      <w:r>
        <w:t xml:space="preserve">en la comparación abierta con el comprimido de semaglutida (ACHIEVE-3, 1698 participantes), el orforglipron redujo más la HbA1c a las 52 semanas, con las dosis más altas en cada caso 1,91 frente a 1,47 puntos porcentuales (Rosenstock 2026, PMID 41765029).</w:t>
      </w:r>
    </w:p>
    <w:p>
      <w:pPr>
        <w:numPr>
          <w:ilvl w:val="0"/>
          <w:numId w:val="1359"/>
        </w:numPr>
        <w:pStyle w:val="Compact"/>
      </w:pPr>
      <w:r>
        <w:rPr>
          <w:bCs/>
          <w:b/>
        </w:rPr>
        <w:t xml:space="preserve">Mantener el peso:</w:t>
      </w:r>
      <w:r>
        <w:t xml:space="preserve"> </w:t>
      </w:r>
      <w:r>
        <w:t xml:space="preserve">en ATTAIN-MAINTAIN, tras una pérdida de peso con tirzepatida o semaglutida inyectables, los participantes cambiaron a orforglipron o a placebo. A las 52 semanas, con orforglipron mantuvieron el 74,7 % y el 79,3 %, respectivamente, de su pérdida de peso, y con placebo el 49,2 % y el 37,6 %. No hubo un grupo que simplemente siguiera recibiendo la inyección; los propios autores lo mencionan como limitación (Aronne 2026, PMID 42120723).</w:t>
      </w:r>
    </w:p>
    <w:p>
      <w:pPr>
        <w:numPr>
          <w:ilvl w:val="0"/>
          <w:numId w:val="1359"/>
        </w:numPr>
        <w:pStyle w:val="Compact"/>
      </w:pPr>
      <w:r>
        <w:rPr>
          <w:bCs/>
          <w:b/>
        </w:rPr>
        <w:t xml:space="preserve">Hígado:</w:t>
      </w:r>
      <w:r>
        <w:t xml:space="preserve"> </w:t>
      </w:r>
      <w:r>
        <w:t xml:space="preserve">con las moléculas pequeñas de GLP-1, los valores hepáticos eran una preocupación especial. Un análisis agrupado de siete estudios de fase 3 con 11.220 participantes no encontró para el orforglipron ningún caso que cumpliera los criterios de una lesión hepática inducida por medicamentos (Wharton 2026, PMID 42338042).</w:t>
      </w:r>
    </w:p>
    <w:bookmarkEnd w:id="1045"/>
    <w:bookmarkStart w:id="1046" w:name="X3310bfeed8ad88ddb241531e0d9e950c0aac10b"/>
    <w:p>
      <w:pPr>
        <w:pStyle w:val="Heading4"/>
      </w:pPr>
      <w:r>
        <w:t xml:space="preserve">No todas las moléculas pequeñas lo consiguen</w:t>
      </w:r>
    </w:p>
    <w:p>
      <w:pPr>
        <w:pStyle w:val="FirstParagraph"/>
      </w:pPr>
      <w:r>
        <w:t xml:space="preserve">Que el camino es difícil lo muestra el</w:t>
      </w:r>
      <w:r>
        <w:t xml:space="preserve"> </w:t>
      </w:r>
      <w:r>
        <w:rPr>
          <w:bCs/>
          <w:b/>
        </w:rPr>
        <w:t xml:space="preserve">danuglipron</w:t>
      </w:r>
      <w:r>
        <w:t xml:space="preserve"> </w:t>
      </w:r>
      <w:r>
        <w:t xml:space="preserve">de Pfizer. En un estudio de fase 2b con 628 adultos con obesidad, en el que los comprimidos se tomaban dos veces al día, el peso bajó claramente más que con placebo, pero solo el 39,3 % completó el tratamiento; alrededor del 38 % abandonó por efectos adversos (Buckeridge 2025, PMID 40539310). Según comunicados del fabricante, el desarrollo se abandonó (situación en 2026, compruébese). Otras empresas desarrollan sus propios comprimidos; AstraZeneca, por ejemplo, evalúa el principio activo elecoglipron en un estudio de fase 3 frente al comprimido de semaglutida (Eluminate-2, NCT07662213).</w:t>
      </w:r>
    </w:p>
    <w:bookmarkEnd w:id="1046"/>
    <w:bookmarkEnd w:id="1047"/>
    <w:bookmarkStart w:id="1048" w:name="X1fbc14e77471f37f7b138184769195f71b786f8"/>
    <w:p>
      <w:pPr>
        <w:pStyle w:val="Heading3"/>
      </w:pPr>
      <w:r>
        <w:t xml:space="preserve">Comprimido peptídico o molécula pequeña: una comparación</w:t>
      </w:r>
    </w:p>
    <w:p>
      <w:pPr>
        <w:pStyle w:val="FirstParagraph"/>
      </w:pPr>
      <w:r>
        <w:t xml:space="preserve">Falta una comparación directa del comprimido de semaglutida con el orforglipron en la obesidad. Un análisis los comparó de forma indirecta, ajustando los datos individuales de OASIS 4 a los datos globales publicados de ATTAIN-1. Según este análisis, la pérdida de peso con el comprimido de semaglutida fue alrededor de 3 puntos porcentuales mayor, y los abandonos por efectos adversos fueron más frecuentes con orforglipron (Michalak 2026, PMID 42225305). Estas comparaciones indirectas deben leerse con cautela: solo se disponía de los datos individuales de uno de los dos estudios, y precisamente los del programa de semaglutida.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Inyección peptídica</w:t>
            </w:r>
          </w:p>
        </w:tc>
        <w:tc>
          <w:tcPr/>
          <w:p>
            <w:pPr>
              <w:pStyle w:val="Compact"/>
              <w:jc w:val="left"/>
            </w:pPr>
            <w:r>
              <w:t xml:space="preserve">Comprimido peptídico</w:t>
            </w:r>
          </w:p>
        </w:tc>
        <w:tc>
          <w:tcPr/>
          <w:p>
            <w:pPr>
              <w:pStyle w:val="Compact"/>
              <w:jc w:val="left"/>
            </w:pPr>
            <w:r>
              <w:t xml:space="preserve">Molécula pequeña</w:t>
            </w:r>
          </w:p>
        </w:tc>
      </w:tr>
      <w:tr>
        <w:tc>
          <w:tcPr/>
          <w:p>
            <w:pPr>
              <w:pStyle w:val="Compact"/>
              <w:jc w:val="left"/>
            </w:pPr>
            <w:r>
              <w:t xml:space="preserve">Ejemplo</w:t>
            </w:r>
          </w:p>
        </w:tc>
        <w:tc>
          <w:tcPr/>
          <w:p>
            <w:pPr>
              <w:pStyle w:val="Compact"/>
              <w:jc w:val="left"/>
            </w:pPr>
            <w:r>
              <w:t xml:space="preserve">Semaglutida, tirzepatida</w:t>
            </w:r>
          </w:p>
        </w:tc>
        <w:tc>
          <w:tcPr/>
          <w:p>
            <w:pPr>
              <w:pStyle w:val="Compact"/>
              <w:jc w:val="left"/>
            </w:pPr>
            <w:r>
              <w:t xml:space="preserve">Comprimido de semaglutida, comprimido de zenagamtida</w:t>
            </w:r>
          </w:p>
        </w:tc>
        <w:tc>
          <w:tcPr/>
          <w:p>
            <w:pPr>
              <w:pStyle w:val="Compact"/>
              <w:jc w:val="left"/>
            </w:pPr>
            <w:r>
              <w:t xml:space="preserve">Orforglipron</w:t>
            </w:r>
          </w:p>
        </w:tc>
      </w:tr>
      <w:tr>
        <w:tc>
          <w:tcPr/>
          <w:p>
            <w:pPr>
              <w:pStyle w:val="Compact"/>
              <w:jc w:val="left"/>
            </w:pPr>
            <w:r>
              <w:t xml:space="preserve">Toma</w:t>
            </w:r>
          </w:p>
        </w:tc>
        <w:tc>
          <w:tcPr/>
          <w:p>
            <w:pPr>
              <w:pStyle w:val="Compact"/>
              <w:jc w:val="left"/>
            </w:pPr>
            <w:r>
              <w:t xml:space="preserve">semanal a mensual</w:t>
            </w:r>
          </w:p>
        </w:tc>
        <w:tc>
          <w:tcPr/>
          <w:p>
            <w:pPr>
              <w:pStyle w:val="Compact"/>
              <w:jc w:val="left"/>
            </w:pPr>
            <w:r>
              <w:t xml:space="preserve">diaria, en ayunas, con normas de toma</w:t>
            </w:r>
          </w:p>
        </w:tc>
        <w:tc>
          <w:tcPr/>
          <w:p>
            <w:pPr>
              <w:pStyle w:val="Compact"/>
              <w:jc w:val="left"/>
            </w:pPr>
            <w:r>
              <w:t xml:space="preserve">diaria, sin normas sobre las comidas</w:t>
            </w:r>
          </w:p>
        </w:tc>
      </w:tr>
      <w:tr>
        <w:tc>
          <w:tcPr/>
          <w:p>
            <w:pPr>
              <w:pStyle w:val="Compact"/>
              <w:jc w:val="left"/>
            </w:pPr>
            <w:r>
              <w:t xml:space="preserve">Necesidad de principio activo</w:t>
            </w:r>
          </w:p>
        </w:tc>
        <w:tc>
          <w:tcPr/>
          <w:p>
            <w:pPr>
              <w:pStyle w:val="Compact"/>
              <w:jc w:val="left"/>
            </w:pPr>
            <w:r>
              <w:t xml:space="preserve">baja</w:t>
            </w:r>
          </w:p>
        </w:tc>
        <w:tc>
          <w:tcPr/>
          <w:p>
            <w:pPr>
              <w:pStyle w:val="Compact"/>
              <w:jc w:val="left"/>
            </w:pPr>
            <w:r>
              <w:t xml:space="preserve">muy alta (absorción de alrededor del 1 %)</w:t>
            </w:r>
          </w:p>
        </w:tc>
        <w:tc>
          <w:tcPr/>
          <w:p>
            <w:pPr>
              <w:pStyle w:val="Compact"/>
              <w:jc w:val="left"/>
            </w:pPr>
            <w:r>
              <w:t xml:space="preserve">normal para comprimidos</w:t>
            </w:r>
          </w:p>
        </w:tc>
      </w:tr>
      <w:tr>
        <w:tc>
          <w:tcPr/>
          <w:p>
            <w:pPr>
              <w:pStyle w:val="Compact"/>
              <w:jc w:val="left"/>
            </w:pPr>
            <w:r>
              <w:t xml:space="preserve">Pérdida de peso en los estudios</w:t>
            </w:r>
          </w:p>
        </w:tc>
        <w:tc>
          <w:tcPr/>
          <w:p>
            <w:pPr>
              <w:pStyle w:val="Compact"/>
              <w:jc w:val="left"/>
            </w:pPr>
            <w:r>
              <w:t xml:space="preserve">la más alta</w:t>
            </w:r>
          </w:p>
        </w:tc>
        <w:tc>
          <w:tcPr/>
          <w:p>
            <w:pPr>
              <w:pStyle w:val="Compact"/>
              <w:jc w:val="left"/>
            </w:pPr>
            <w:r>
              <w:t xml:space="preserve">similar a la de la inyección de semaglutida</w:t>
            </w:r>
          </w:p>
        </w:tc>
        <w:tc>
          <w:tcPr/>
          <w:p>
            <w:pPr>
              <w:pStyle w:val="Compact"/>
              <w:jc w:val="left"/>
            </w:pPr>
            <w:r>
              <w:t xml:space="preserve">algo menor</w:t>
            </w:r>
          </w:p>
        </w:tc>
      </w:tr>
      <w:tr>
        <w:tc>
          <w:tcPr/>
          <w:p>
            <w:pPr>
              <w:pStyle w:val="Compact"/>
              <w:jc w:val="left"/>
            </w:pPr>
            <w:r>
              <w:t xml:space="preserve">Degradación, interacciones</w:t>
            </w:r>
          </w:p>
        </w:tc>
        <w:tc>
          <w:tcPr/>
          <w:p>
            <w:pPr>
              <w:pStyle w:val="Compact"/>
              <w:jc w:val="left"/>
            </w:pPr>
            <w:r>
              <w:t xml:space="preserve">como una proteína, apenas interacciones</w:t>
            </w:r>
          </w:p>
        </w:tc>
        <w:tc>
          <w:tcPr/>
          <w:p>
            <w:pPr>
              <w:pStyle w:val="Compact"/>
              <w:jc w:val="left"/>
            </w:pPr>
            <w:r>
              <w:t xml:space="preserve">como una proteína</w:t>
            </w:r>
          </w:p>
        </w:tc>
        <w:tc>
          <w:tcPr/>
          <w:p>
            <w:pPr>
              <w:pStyle w:val="Compact"/>
              <w:jc w:val="left"/>
            </w:pPr>
            <w:r>
              <w:t xml:space="preserve">por enzimas hepáticas, posibles interacciones</w:t>
            </w:r>
          </w:p>
        </w:tc>
      </w:tr>
      <w:tr>
        <w:tc>
          <w:tcPr/>
          <w:p>
            <w:pPr>
              <w:pStyle w:val="Compact"/>
              <w:jc w:val="left"/>
            </w:pPr>
            <w:r>
              <w:t xml:space="preserve">Variables duras</w:t>
            </w:r>
          </w:p>
        </w:tc>
        <w:tc>
          <w:tcPr/>
          <w:p>
            <w:pPr>
              <w:pStyle w:val="Compact"/>
              <w:jc w:val="left"/>
            </w:pPr>
            <w:r>
              <w:t xml:space="preserve">demostradas para varios principios activos</w:t>
            </w:r>
          </w:p>
        </w:tc>
        <w:tc>
          <w:tcPr/>
          <w:p>
            <w:pPr>
              <w:pStyle w:val="Compact"/>
              <w:jc w:val="left"/>
            </w:pPr>
            <w:r>
              <w:t xml:space="preserve">demostradas en la diabetes tipo 2 (SOUL)</w:t>
            </w:r>
          </w:p>
        </w:tc>
        <w:tc>
          <w:tcPr/>
          <w:p>
            <w:pPr>
              <w:pStyle w:val="Compact"/>
              <w:jc w:val="left"/>
            </w:pPr>
            <w:r>
              <w:t xml:space="preserve">estudio de resultados en curso hasta 2031</w:t>
            </w:r>
          </w:p>
        </w:tc>
      </w:tr>
    </w:tbl>
    <w:p>
      <w:pPr>
        <w:pStyle w:val="BodyText"/>
      </w:pPr>
      <w:r>
        <w:t xml:space="preserve">El punto «interacciones» merece una explicación: los péptidos se degradan en el organismo como otras proteínas. Las moléculas pequeñas como el orforglipron, en cambio, se metabolizan a través de enzimas hepáticas por las que pasan también muchos otros medicamentos. Por eso, para el orforglipron se han realizado numerosos estudios de interacciones (véase el capítulo Orforglipron).</w:t>
      </w:r>
    </w:p>
    <w:bookmarkEnd w:id="1048"/>
    <w:bookmarkStart w:id="1049" w:name="preguntas-abiertas"/>
    <w:p>
      <w:pPr>
        <w:pStyle w:val="Heading3"/>
      </w:pPr>
      <w:r>
        <w:t xml:space="preserve">Preguntas abiertas</w:t>
      </w:r>
    </w:p>
    <w:p>
      <w:pPr>
        <w:pStyle w:val="FirstParagraph"/>
      </w:pPr>
      <w:r>
        <w:rPr>
          <w:bCs/>
          <w:b/>
        </w:rPr>
        <w:t xml:space="preserve">¿Se toma un comprimido diario con más regularidad que una inyección semanal?</w:t>
      </w:r>
      <w:r>
        <w:t xml:space="preserve"> </w:t>
      </w:r>
      <w:r>
        <w:t xml:space="preserve">No está en absoluto claro. Quien cambia una inyección a la semana por siete comprimidos tiene siete ocasiones por semana de olvidar una dosis. En el comprimido de semaglutida se añade que basta una comida demasiado temprana para impedir prácticamente la absorción (Vahora 2026, PMID 42687069). Cómo repercute esto en el efecto en la vida diaria no lo muestran los estudios de autorización, con sus participantes estrechamente supervisados.</w:t>
      </w:r>
    </w:p>
    <w:p>
      <w:pPr>
        <w:pStyle w:val="BodyText"/>
      </w:pPr>
      <w:r>
        <w:rPr>
          <w:bCs/>
          <w:b/>
        </w:rPr>
        <w:t xml:space="preserve">¿Hay variables duras para los comprimidos en la obesidad?</w:t>
      </w:r>
      <w:r>
        <w:t xml:space="preserve"> </w:t>
      </w:r>
      <w:r>
        <w:t xml:space="preserve">Todavía no. SOUL se refería a personas con diabetes tipo 2. El estudio cardiovascular del orforglipron está en curso hasta 2031 (NCT07241390), y el orforglipron se está evaluando incluso en personas con sobrepeso para evitar la progresión hacia la obesidad o hacia enfermedades secundarias (ATTAIN-NOW, NCT07794579, 2001 participantes, finalización en septiembre de 2030).</w:t>
      </w:r>
    </w:p>
    <w:p>
      <w:pPr>
        <w:pStyle w:val="BodyText"/>
      </w:pPr>
      <w:r>
        <w:rPr>
          <w:bCs/>
          <w:b/>
        </w:rPr>
        <w:t xml:space="preserve">¿Es el comprimido el medio para el mantenimiento?</w:t>
      </w:r>
      <w:r>
        <w:t xml:space="preserve"> </w:t>
      </w:r>
      <w:r>
        <w:t xml:space="preserve">ATTAIN-MAINTAIN sugiere que el cambio de la inyección a un comprimido puede mantener una gran parte de la pérdida de peso. Si es igual de bueno que continuar con la inyección no se ha evaluado.</w:t>
      </w:r>
    </w:p>
    <w:p>
      <w:pPr>
        <w:pStyle w:val="BodyText"/>
      </w:pPr>
      <w:r>
        <w:rPr>
          <w:bCs/>
          <w:b/>
        </w:rPr>
        <w:t xml:space="preserve">¿Serán más baratos los comprimidos?</w:t>
      </w:r>
      <w:r>
        <w:t xml:space="preserve"> </w:t>
      </w:r>
      <w:r>
        <w:t xml:space="preserve">Para las moléculas pequeñas es plausible, porque se fabrican con procedimientos químicos estándar. Para los comprimidos peptídicos, la estimación de costes apunta más bien en contra, porque necesitan mucho más principio activo (Levi 2026, PMID 42437874). Los precios concretos en Europa están por ver.</w:t>
      </w:r>
    </w:p>
    <w:p>
      <w:pPr>
        <w:pStyle w:val="BodyText"/>
      </w:pPr>
      <w:r>
        <w:rPr>
          <w:bCs/>
          <w:b/>
        </w:rPr>
        <w:t xml:space="preserve">¿Y las gotas, los comprimidos bucodispersables y los espráis nasales de internet?</w:t>
      </w:r>
      <w:r>
        <w:t xml:space="preserve"> </w:t>
      </w:r>
      <w:r>
        <w:t xml:space="preserve">Aquí es aconsejable la cautela. Una investigación de preparaciones farmacéuticas elaboradas en EE. UU. encontró preparaciones de semaglutida o tirzepatida para uso sublingual y en comprimidos bucodispersables para las que no hay pruebas de eficacia ni de seguridad (Belcourt 2026, PMID 41689811). En un análisis de laboratorio, productos de imitación de semaglutida oral contenían en parte claramente menos principio activo del declarado y liberaban el principio activo y el SNAC de forma distinta que el original (Hach 2024, PMID 39379664). Un péptido que se vende «en comprimido» apenas se absorbe sin una formulación evaluada; esto vale tanto para la semaglutida como para BPC-157 u otros péptidos del mercado gris.</w:t>
      </w:r>
    </w:p>
    <w:bookmarkEnd w:id="1049"/>
    <w:bookmarkStart w:id="1050" w:name="valoración-del-autor"/>
    <w:p>
      <w:pPr>
        <w:pStyle w:val="Heading3"/>
      </w:pPr>
      <w:r>
        <w:t xml:space="preserve">Valoración del autor</w:t>
      </w:r>
    </w:p>
    <w:p>
      <w:pPr>
        <w:pStyle w:val="FirstParagraph"/>
      </w:pPr>
      <w:r>
        <w:t xml:space="preserve">La inyección no desaparecerá, pero su posición de monopolio ha terminado. Para la fase de pérdida de peso intensa, los principios activos inyectables probablemente seguirán a la cabeza en los próximos años, porque en los estudios son los que más efecto consiguen y porque los datos cardiovasculares existen hasta ahora casi exclusivamente para ellos. Para el mantenimiento durante años, para las personas con miedo a las inyecciones y para los países sin una cadena de frío fiable, en cambio, los comprimidos son un verdadero avance. Que se impongan más bien los comprimidos peptídicos o las moléculas pequeñas se decidirá menos por el efecto que por el precio, la comodidad de la toma y la seguridad a largo plazo. Es una valoración; lo único confirmado es que ambas vías se están evaluando en grandes estudios de fase 3.</w:t>
      </w:r>
    </w:p>
    <w:bookmarkEnd w:id="1050"/>
    <w:bookmarkStart w:id="1051" w:name="lo-más-importante-en-pocas-palabras-4"/>
    <w:p>
      <w:pPr>
        <w:pStyle w:val="Heading3"/>
      </w:pPr>
      <w:r>
        <w:t xml:space="preserve">Lo más importante en pocas palabras</w:t>
      </w:r>
    </w:p>
    <w:p>
      <w:pPr>
        <w:numPr>
          <w:ilvl w:val="0"/>
          <w:numId w:val="1360"/>
        </w:numPr>
        <w:pStyle w:val="Compact"/>
      </w:pPr>
      <w:r>
        <w:t xml:space="preserve">Los péptidos en comprimido solo funcionan con un gran esfuerzo técnico. Con el comprimido de semaglutida llega a la sangre alrededor del 1 % del principio activo y, aun así, en los estudios alcanza pérdidas de peso similares a las de la inyección.</w:t>
      </w:r>
    </w:p>
    <w:p>
      <w:pPr>
        <w:numPr>
          <w:ilvl w:val="0"/>
          <w:numId w:val="1360"/>
        </w:numPr>
        <w:pStyle w:val="Compact"/>
      </w:pPr>
      <w:r>
        <w:t xml:space="preserve">Las moléculas pequeñas como el orforglipron evitan el problema, pero en los estudios lograron algo menos de pérdida de peso y se degradan a través de enzimas hepáticas.</w:t>
      </w:r>
    </w:p>
    <w:p>
      <w:pPr>
        <w:numPr>
          <w:ilvl w:val="0"/>
          <w:numId w:val="1360"/>
        </w:numPr>
        <w:pStyle w:val="Compact"/>
      </w:pPr>
      <w:r>
        <w:t xml:space="preserve">Los péptidos orales se están convirtiendo también fuera del metabolismo en una clase de medicamentos propia, por ejemplo contra el colesterol alto (enlicitida) y la psoriasis (icotrokinra).</w:t>
      </w:r>
    </w:p>
    <w:p>
      <w:pPr>
        <w:numPr>
          <w:ilvl w:val="0"/>
          <w:numId w:val="1360"/>
        </w:numPr>
        <w:pStyle w:val="Compact"/>
      </w:pPr>
      <w:r>
        <w:t xml:space="preserve">Siguen abiertos los datos a largo plazo, las variables duras en la obesidad, la adherencia terapéutica en la vida diaria y los precios.</w:t>
      </w:r>
    </w:p>
    <w:p>
      <w:pPr>
        <w:numPr>
          <w:ilvl w:val="0"/>
          <w:numId w:val="1360"/>
        </w:numPr>
        <w:pStyle w:val="Compact"/>
      </w:pPr>
      <w:r>
        <w:t xml:space="preserve">Los medicamentos deben utilizarse solo con acompañamiento médico y según la ficha técnica; los péptidos «orales» del mercado gris no tienen nada que ver con estos avances.</w:t>
      </w:r>
    </w:p>
    <w:bookmarkEnd w:id="1051"/>
    <w:bookmarkEnd w:id="1052"/>
    <w:bookmarkStart w:id="1063" w:name="patentes-genéricos-y-precios"/>
    <w:p>
      <w:pPr>
        <w:pStyle w:val="Heading2"/>
      </w:pPr>
      <w:r>
        <w:t xml:space="preserve">Patentes, genéricos y precios</w:t>
      </w:r>
    </w:p>
    <w:p>
      <w:pPr>
        <w:pStyle w:val="FirstParagraph"/>
      </w:pPr>
      <w:r>
        <w:t xml:space="preserve">Si un medicamento funciona lo deciden los estudios. Si llega a las personas lo deciden las patentes, los precios, las cadenas de suministro y las aseguradoras. En los medicamentos GLP-1, esta segunda parte de la historia es casi tan dramática como la primera: problemas de suministro, un mercado de copias elaboradas en farmacias en EE. UU., falsificaciones en todo el mundo y, en 2026, la expiración de las primeras patentes de semaglutida en países grandes.</w:t>
      </w:r>
    </w:p>
    <w:p>
      <w:pPr>
        <w:pStyle w:val="BodyText"/>
      </w:pPr>
      <w:r>
        <w:rPr>
          <w:bCs/>
          <w:b/>
        </w:rPr>
        <w:t xml:space="preserve">Una advertencia importante de antemano:</w:t>
      </w:r>
      <w:r>
        <w:t xml:space="preserve"> </w:t>
      </w:r>
      <w:r>
        <w:t xml:space="preserve">los precios, la vigencia de las patentes y las normas de financiación cambian rápidamente y solo están documentados en parte en trabajos científicos. Cuando este capítulo da datos sin respaldo en estudios, se identifican con «situación en 2026, compruébese». Deliberadamente no se indican precios concretos en euros, porque varían según el país, el envase y el momento.</w:t>
      </w:r>
    </w:p>
    <w:bookmarkStart w:id="1053" w:name="X5a5f6ebb5bf8470f0a856354ba5d2a5669ea217"/>
    <w:p>
      <w:pPr>
        <w:pStyle w:val="Heading3"/>
      </w:pPr>
      <w:r>
        <w:t xml:space="preserve">Patentes, genéricos y biosimilares: los conceptos</w:t>
      </w:r>
    </w:p>
    <w:p>
      <w:pPr>
        <w:pStyle w:val="FirstParagraph"/>
      </w:pPr>
      <w:r>
        <w:t xml:space="preserve">Una</w:t>
      </w:r>
      <w:r>
        <w:t xml:space="preserve"> </w:t>
      </w:r>
      <w:r>
        <w:rPr>
          <w:bCs/>
          <w:b/>
        </w:rPr>
        <w:t xml:space="preserve">patente</w:t>
      </w:r>
      <w:r>
        <w:t xml:space="preserve"> </w:t>
      </w:r>
      <w:r>
        <w:t xml:space="preserve">concede al fabricante, durante un tiempo limitado, el derecho exclusivo a vender un principio activo. En la UE y en EE. UU., la vigencia básica es de 20 años desde la solicitud; como el desarrollo dura muchos años, para los medicamentos puede prolongarse hasta cinco años mediante un certificado complementario de protección. Además de la patente sobre el propio principio activo, a menudo hay otras patentes sobre procedimientos de fabricación, formas farmacéuticas o plumas (situación en 2026, compruébese).</w:t>
      </w:r>
    </w:p>
    <w:p>
      <w:pPr>
        <w:pStyle w:val="BodyText"/>
      </w:pPr>
      <w:r>
        <w:t xml:space="preserve">Una vez expirada la protección, otros fabricantes pueden ofrecer productos de imitación:</w:t>
      </w:r>
    </w:p>
    <w:p>
      <w:pPr>
        <w:numPr>
          <w:ilvl w:val="0"/>
          <w:numId w:val="1361"/>
        </w:numPr>
        <w:pStyle w:val="Compact"/>
      </w:pPr>
      <w:r>
        <w:rPr>
          <w:bCs/>
          <w:b/>
        </w:rPr>
        <w:t xml:space="preserve">Los genéricos</w:t>
      </w:r>
      <w:r>
        <w:t xml:space="preserve"> </w:t>
      </w:r>
      <w:r>
        <w:t xml:space="preserve">son copias de principios activos obtenidos por síntesis química. Deben demostrar que contienen el mismo principio activo y que tienen la misma biodisponibilidad en el organismo; no son necesarios nuevos grandes estudios de eficacia.</w:t>
      </w:r>
    </w:p>
    <w:p>
      <w:pPr>
        <w:numPr>
          <w:ilvl w:val="0"/>
          <w:numId w:val="1361"/>
        </w:numPr>
        <w:pStyle w:val="Compact"/>
      </w:pPr>
      <w:r>
        <w:rPr>
          <w:bCs/>
          <w:b/>
        </w:rPr>
        <w:t xml:space="preserve">Los biosimilares</w:t>
      </w:r>
      <w:r>
        <w:t xml:space="preserve"> </w:t>
      </w:r>
      <w:r>
        <w:t xml:space="preserve">son sucesores de principios activos obtenidos por procedimientos biológicos, como anticuerpos o proteínas de fusión. Como la producción biológica nunca proporciona moléculas totalmente idénticas, su autorización es más compleja.</w:t>
      </w:r>
    </w:p>
    <w:p>
      <w:pPr>
        <w:pStyle w:val="FirstParagraph"/>
      </w:pPr>
      <w:r>
        <w:t xml:space="preserve">Los péptidos cortos, como la liraglutida o la semaglutida, se sitúan en medio: pueden fabricarse por ingeniería genética o por síntesis química. Esto tiene consecuencias prácticas. Un análisis de laboratorio comparó 16 productos de imitación de semaglutida inyectables y 8 orales, así como 2 productos de imitación de liraglutida, con los originales. Encontró impurezas nuevas, claramente menos principio activo del declarado en varios comprimidos de semaglutida y una mayor tendencia a la agregación en la liraglutida (Hach 2024, PMID 39379664). Según los autores, no se sabe si las diferencias tienen relevancia clínica. Pero el análisis muestra por qué las autoridades examinan con atención las imitaciones de péptidos.</w:t>
      </w:r>
    </w:p>
    <w:bookmarkEnd w:id="1053"/>
    <w:bookmarkStart w:id="1054" w:name="liraglutida-el-primer-genérico-de-glp-1"/>
    <w:p>
      <w:pPr>
        <w:pStyle w:val="Heading3"/>
      </w:pPr>
      <w:r>
        <w:t xml:space="preserve">Liraglutida: el primer genérico de GLP-1</w:t>
      </w:r>
    </w:p>
    <w:p>
      <w:pPr>
        <w:pStyle w:val="FirstParagraph"/>
      </w:pPr>
      <w:r>
        <w:t xml:space="preserve">La liraglutida es el primer principio activo GLP-1 cuya protección ha expirado en mercados grandes. En EE. UU. hay en el mercado genéricos de la forma para la diabetes (Victoza) desde 2024 y también de la forma para la obesidad (Saxenda) desde 2025. En Europa se van incorporando productos de imitación poco a poco; la situación varía según el país (véase el capítulo Liraglutida; situación en 2026, compruébese).</w:t>
      </w:r>
    </w:p>
    <w:p>
      <w:pPr>
        <w:pStyle w:val="BodyText"/>
      </w:pPr>
      <w:r>
        <w:t xml:space="preserve">Para el suministro, esto tiene dos caras. Por un lado, un principio activo con un beneficio cardiovascular demostrado en la diabetes tipo 2 se abarata. Por otro, la liraglutida debe inyectarse a diario y su efecto sobre el peso es claramente menor que el de la semaglutida: en STEP 8, el peso bajó de media un 15,8 % con semaglutida semanal y un 6,4 % con liraglutida diaria; al menos una quinta parte de su peso la perdió el 38,5 % frente al 6,0 % (Rubino 2022, PMID 35015037). Para las personas que no pueden pagar el fármaco más reciente, un fármaco más antiguo y barato puede ser, aun así, mejor opción que ninguno.</w:t>
      </w:r>
    </w:p>
    <w:bookmarkEnd w:id="1054"/>
    <w:bookmarkStart w:id="1055" w:name="semaglutida-2026-como-año-de-inflexión"/>
    <w:p>
      <w:pPr>
        <w:pStyle w:val="Heading3"/>
      </w:pPr>
      <w:r>
        <w:t xml:space="preserve">Semaglutida: 2026 como año de inflexión</w:t>
      </w:r>
    </w:p>
    <w:p>
      <w:pPr>
        <w:pStyle w:val="FirstParagraph"/>
      </w:pPr>
      <w:r>
        <w:t xml:space="preserve">Para la semaglutida, las patentes expiran en 2026 en varios países grandes fuera de la UE y de EE. UU., entre ellos, según el capítulo Semaglutida, Canadá, China, la India y Brasil. Un análisis de bases de datos de patentes llegó a la siguiente imagen (Levi 2026, PMID 42437874):</w:t>
      </w:r>
    </w:p>
    <w:p>
      <w:pPr>
        <w:numPr>
          <w:ilvl w:val="0"/>
          <w:numId w:val="1362"/>
        </w:numPr>
        <w:pStyle w:val="Compact"/>
      </w:pPr>
      <w:r>
        <w:t xml:space="preserve">En doce países, la protección por patente termina en 2026. En ellos vive el 47 % de las personas con obesidad y el 49 % de las personas con diabetes tipo 2 de todo el mundo.</w:t>
      </w:r>
    </w:p>
    <w:p>
      <w:pPr>
        <w:numPr>
          <w:ilvl w:val="0"/>
          <w:numId w:val="1362"/>
        </w:numPr>
        <w:pStyle w:val="Compact"/>
      </w:pPr>
      <w:r>
        <w:t xml:space="preserve">En otros 150 países, los autores no encontraron ninguna solicitud de patente.</w:t>
      </w:r>
    </w:p>
    <w:p>
      <w:pPr>
        <w:numPr>
          <w:ilvl w:val="0"/>
          <w:numId w:val="1362"/>
        </w:numPr>
        <w:pStyle w:val="Compact"/>
      </w:pPr>
      <w:r>
        <w:t xml:space="preserve">A finales de 2026, las imitaciones de semaglutida inyectable podrían estar disponibles en 162 países en los que vive el 69 % de las personas con diabetes tipo 2 y el 84 % de las personas con obesidad clínica.</w:t>
      </w:r>
    </w:p>
    <w:p>
      <w:pPr>
        <w:numPr>
          <w:ilvl w:val="0"/>
          <w:numId w:val="1362"/>
        </w:numPr>
        <w:pStyle w:val="Compact"/>
      </w:pPr>
      <w:r>
        <w:t xml:space="preserve">A partir de datos sobre envíos de principio activo desde la India estimaron los costes de producción: un año de semaglutida inyectable podría ofrecerse como genérico por 28 a 140 dólares estadounidenses por persona, y el comprimido por 186 a 380 dólares. La pluma suponía una parte desproporcionadamente grande de los costes.</w:t>
      </w:r>
    </w:p>
    <w:p>
      <w:pPr>
        <w:pStyle w:val="FirstParagraph"/>
      </w:pPr>
      <w:r>
        <w:t xml:space="preserve">Los propios autores subrayan que los costes de la pluma, otras patentes y unos sistemas sanitarios débiles pueden limitar, a pesar de todo, el acceso. Cuánto pueden bajar los precios los genéricos lo muestra un análisis de la India: allí, los precios de los inhibidores de SGLT2 y de los agonistas del receptor de GLP-1 bajaron entre un 60 y un 90 % aproximadamente tras la expiración de las patentes. Entre los precios de los genéricos indios y los precios de catálogo de EE. UU., los autores encontraron diferencias de 15 a 65 veces. Pero también señalan que los genéricos de distintos fabricantes pueden diferir en calidad y en absorción en el organismo (Mohan 2026, PMID 42747945).</w:t>
      </w:r>
    </w:p>
    <w:p>
      <w:pPr>
        <w:pStyle w:val="BodyText"/>
      </w:pPr>
      <w:r>
        <w:rPr>
          <w:bCs/>
          <w:b/>
        </w:rPr>
        <w:t xml:space="preserve">En la UE y en EE. UU.</w:t>
      </w:r>
      <w:r>
        <w:t xml:space="preserve">, los genéricos de semaglutida no se esperan hasta alrededor de 2031/2032 (situación en 2026, compruébese). Para los lectores de Austria y Alemania, esto significa: un genérico de semaglutida vendido legalmente en Canadá o la India no es allí un medicamento autorizado. Las normas sobre la importación para uso personal son estrictas (véase el capítulo «Marco jurídico» de la Parte I), y las ofertas en línea que invocan estos genéricos son una vía de entrada típica para las falsificaciones (véase el capítulo «El mercado gris»).</w:t>
      </w:r>
    </w:p>
    <w:p>
      <w:pPr>
        <w:pStyle w:val="BodyText"/>
      </w:pPr>
      <w:r>
        <w:rPr>
          <w:bCs/>
          <w:b/>
        </w:rPr>
        <w:t xml:space="preserve">Una señal política:</w:t>
      </w:r>
      <w:r>
        <w:t xml:space="preserve"> </w:t>
      </w:r>
      <w:r>
        <w:t xml:space="preserve">la Organización Mundial de la Salud incluyó en septiembre de 2025 la semaglutida, la liraglutida, la dulaglutida y la tirzepatida en su lista de medicamentos esenciales. Un comentario lo considera un paso que debería facilitar las negociaciones de precios y el desarrollo de genéricos en los países de ingresos bajos y medios; al mismo tiempo, menciona como obstáculos la falta de recursos, una infraestructura débil y el riesgo de un uso acrítico (Mani 2025, PMID 41358329). En su primera directriz sobre tratamientos con GLP-1 en la obesidad, la OMS formula una recomendación condicional para el tratamiento a largo plazo junto con una terapia conductual intensiva. Como motivos de la restricción menciona, entre otros, los limitados datos a largo plazo, los costes y la cuestión del acceso equitativo (Celletti 2026, PMID 41324410).</w:t>
      </w:r>
    </w:p>
    <w:bookmarkEnd w:id="1055"/>
    <w:bookmarkStart w:id="1056" w:name="la-tirzepatida-y-sus-sucesores"/>
    <w:p>
      <w:pPr>
        <w:pStyle w:val="Heading3"/>
      </w:pPr>
      <w:r>
        <w:t xml:space="preserve">La tirzepatida y sus sucesores</w:t>
      </w:r>
    </w:p>
    <w:p>
      <w:pPr>
        <w:pStyle w:val="FirstParagraph"/>
      </w:pPr>
      <w:r>
        <w:t xml:space="preserve">Para la tirzepatida y todos los principios activos más recientes (retatrutida, CagriSema, amicretina, maridebart cafraglutida, orforglipron) no cabe esperar una expiración de patentes en esta década. Para la tirzepatida, según datos del sector, no se esperan genéricos antes de la segunda mitad de la década de 2030 (situación en 2026, compruébese). De ello se deriva un patrón previsible: los principios activos más antiguos se abaratan, los más potentes siguen siendo caros.</w:t>
      </w:r>
    </w:p>
    <w:bookmarkEnd w:id="1056"/>
    <w:bookmarkStart w:id="1057" w:name="el-fin-del-compounding-en-ee.-uu."/>
    <w:p>
      <w:pPr>
        <w:pStyle w:val="Heading3"/>
      </w:pPr>
      <w:r>
        <w:t xml:space="preserve">El fin del «compounding» en EE. UU.</w:t>
      </w:r>
    </w:p>
    <w:p>
      <w:pPr>
        <w:pStyle w:val="FirstParagraph"/>
      </w:pPr>
      <w:r>
        <w:t xml:space="preserve">Durante los desabastecimientos oficiales, las farmacias de EE. UU. pudieron preparar ellas mismas semaglutida y tirzepatida («compounding», elaboración de fórmulas magistrales, véase la Parte I). De ahí surgió un gran mercado. Una investigación en el estado de Colorado encontró en la primavera de 2024 93 empresas con 188 establecimientos que promocionaban estos preparados, en su mayoría como spas médicos o servicios de adelgazamiento. 41 de estas páginas web hacían referencia en sus descripciones de producto a la autorización de la FDA, aunque los preparados no la tenían. Un proveedor promocionaba una mezcla con BPC-157, una sustancia que la FDA ha clasificado como no apta para la elaboración magistral (DiStefano 2025, PMID 39776466).</w:t>
      </w:r>
    </w:p>
    <w:p>
      <w:pPr>
        <w:pStyle w:val="BodyText"/>
      </w:pPr>
      <w:r>
        <w:t xml:space="preserve">Después de que la FDA declarara terminados los desabastecimientos (para la tirzepatida a finales de 2024, para la semaglutida a principios de 2025), los plazos de transición para las copias de los preparados autorizados expiraron a lo largo de 2025 (situación en 2026, compruébese). Desde entonces solo están permitidas las preparaciones que difieren de los preparados autorizados. Un análisis encontró 33 de estos productos, entre ellos mezclas con vitamina B12, glicina o un laxante, así como gotas y comprimidos bucodispersables cuyo beneficio y seguridad son en gran medida desconocidos (Belcourt 2026, PMID 41689811). Un laboratorio encontró en mezclas de tirzepatida y B12 de distintos proveedores una impureza desconocida hasta entonces, que se forma por una reacción química entre la tirzepatida y determinadas formas de B12; qué consecuencias tiene para la salud es desconocido (Jordan 2026, PMID 42010938).</w:t>
      </w:r>
    </w:p>
    <w:p>
      <w:pPr>
        <w:pStyle w:val="BodyText"/>
      </w:pPr>
      <w:r>
        <w:t xml:space="preserve">El «compounding» no ha desaparecido con ello, sino que se ha desplazado a un nicho en el que los aditivos «personalizados» proporcionan la base jurídica. En Europa no existe un sistema comparable.</w:t>
      </w:r>
    </w:p>
    <w:bookmarkEnd w:id="1057"/>
    <w:bookmarkStart w:id="1058" w:name="problemas-de-suministro"/>
    <w:p>
      <w:pPr>
        <w:pStyle w:val="Heading3"/>
      </w:pPr>
      <w:r>
        <w:t xml:space="preserve">Problemas de suministro</w:t>
      </w:r>
    </w:p>
    <w:p>
      <w:pPr>
        <w:pStyle w:val="FirstParagraph"/>
      </w:pPr>
      <w:r>
        <w:t xml:space="preserve">A partir de 2022, la demanda de semaglutida y, más tarde, de tirzepatida superó la producción. Las personas con diabetes tipo 2 no recibieron temporalmente sus medicamentos. En Alemania y Austria, las autoridades y las sociedades científicas pidieron reservar Ozempic para las personas con diabetes tipo 2 y no prescribirlo para la mera pérdida de peso (situación en 2026, compruébese).</w:t>
      </w:r>
    </w:p>
    <w:p>
      <w:pPr>
        <w:pStyle w:val="BodyText"/>
      </w:pPr>
      <w:r>
        <w:t xml:space="preserve">¿Qué proporción tenían las prescripciones fuera de la indicación autorizada? Un estudio nacional de registros de Dinamarca ofrece una respuesta. El número de nuevos usuarios de Ozempic aumentó mucho a partir de 2022, hasta un máximo de 10 por cada 1000 adultos y año a principios de 2023. En 2022, un tercio de los nuevos usuarios no tenía una diabetes tipo 2 documentada; en 2023, esta proporción volvió a bajar. Los autores concluyen que las prescripciones para perder peso solo explican una parte menor del desabastecimiento (Mailhac 2024, PMID 38685990).</w:t>
      </w:r>
    </w:p>
    <w:p>
      <w:pPr>
        <w:pStyle w:val="BodyText"/>
      </w:pPr>
      <w:r>
        <w:t xml:space="preserve">Los desabastecimientos tienen consecuencias directas para el tratamiento. En una investigación estadounidense de 288 personas que suspendieron la semaglutida o la tirzepatida para perder peso dentro del primer año, el 11,8 % mencionó los problemas de suministro como motivo principal. Pero los más frecuentes fueron los problemas de costes o de seguro (47,6 %), seguidos de los efectos adversos (14,6 %); el 2,4 % se pasó a un preparado de farmacia (Gasoyan 2025, PMID 41039650).</w:t>
      </w:r>
    </w:p>
    <w:p>
      <w:pPr>
        <w:pStyle w:val="BodyText"/>
      </w:pPr>
      <w:r>
        <w:t xml:space="preserve">Desde entonces, los fabricantes han ampliado mucho su capacidad de producción, y los desabastecimientos oficiales se consideran terminados en EE. UU. En Europa, la situación varía según el preparado y el país (situación en 2026, compruébese).</w:t>
      </w:r>
    </w:p>
    <w:bookmarkEnd w:id="1058"/>
    <w:bookmarkStart w:id="1059" w:name="X8f8590cf14d501a2871c32dbab939551710a89c"/>
    <w:p>
      <w:pPr>
        <w:pStyle w:val="Heading3"/>
      </w:pPr>
      <w:r>
        <w:t xml:space="preserve">Precios: ¿cuánto vale un medicamento para adelgazar?</w:t>
      </w:r>
    </w:p>
    <w:p>
      <w:pPr>
        <w:pStyle w:val="FirstParagraph"/>
      </w:pPr>
      <w:r>
        <w:t xml:space="preserve">En EE. UU., los precios de catálogo de los medicamentos GLP-1 son claramente más altos que en Europa. Por eso, los trabajos de economía de la salud de EE. UU. se preguntan si el beneficio justifica el precio:</w:t>
      </w:r>
    </w:p>
    <w:p>
      <w:pPr>
        <w:numPr>
          <w:ilvl w:val="0"/>
          <w:numId w:val="1363"/>
        </w:numPr>
        <w:pStyle w:val="Compact"/>
      </w:pPr>
      <w:r>
        <w:t xml:space="preserve">Un cálculo de modelización para adultos estadounidenses mostró que la tirzepatida y la semaglutida evitarían a lo largo de la vida muchos casos de diabetes y enfermedades cardiovasculares, pero que a los precios netos de entonces no eran coste-efectivas. Para alcanzar un umbral habitual, los precios habrían tenido que bajar un 30,5 % adicional (tirzepatida) o un 81,9 % (semaglutida) (Hwang 2025, PMID 40085108).</w:t>
      </w:r>
    </w:p>
    <w:p>
      <w:pPr>
        <w:numPr>
          <w:ilvl w:val="0"/>
          <w:numId w:val="1363"/>
        </w:numPr>
        <w:pStyle w:val="Compact"/>
      </w:pPr>
      <w:r>
        <w:t xml:space="preserve">Un metaanálisis de nueve estudios de economía de la salud de países de ingresos altos concluyó que los agonistas del receptor de GLP-1 para el tratamiento de la obesidad sin diabetes no son, en general, coste-efectivos desde la perspectiva de los financiadores; en subgrupos y a lo largo de periodos más largos podría ser distinto (Dhippayom 2026, PMID 41365841).</w:t>
      </w:r>
    </w:p>
    <w:p>
      <w:pPr>
        <w:numPr>
          <w:ilvl w:val="0"/>
          <w:numId w:val="1363"/>
        </w:numPr>
        <w:pStyle w:val="Compact"/>
      </w:pPr>
      <w:r>
        <w:t xml:space="preserve">Para las personas sin diabetes que ya habían tenido un infarto o un ictus, un cálculo de modelización resultó más favorable: al precio que pagaban en EE. UU. quienes lo costeaban de su bolsillo en el momento del análisis, la semaglutida sería coste-efectiva en este grupo (Hennessy 2026, PMID 41637062).</w:t>
      </w:r>
    </w:p>
    <w:p>
      <w:pPr>
        <w:pStyle w:val="FirstParagraph"/>
      </w:pPr>
      <w:r>
        <w:t xml:space="preserve">Estos cálculos dependen mucho de los supuestos sobre los precios, y los precios se mueven. En EE. UU., los fabricantes han introducido desde 2025 ofertas directas claramente más baratas para quienes pagan de su bolsillo y han cerrado acuerdos de precios con el gobierno; la semaglutida es además objeto de las negociaciones estatales de precios para el programa para jubilados Medicare (situación en 2026, compruébese). Cuánto influye la cobertura de costes en el uso lo muestra un análisis estadounidense: después de que Wegovy se autorizara en marzo de 2024 para la reducción del riesgo cardiovascular y Medicare lo cubriera para este uso, el número de envases de Wegovy dispensados a través de Medicare aumentó en términos relativos un 598,1 % (Scannell 2026, PMID 42640207).</w:t>
      </w:r>
    </w:p>
    <w:p>
      <w:pPr>
        <w:pStyle w:val="BodyText"/>
      </w:pPr>
      <w:r>
        <w:rPr>
          <w:bCs/>
          <w:b/>
        </w:rPr>
        <w:t xml:space="preserve">Valoración del autor:</w:t>
      </w:r>
      <w:r>
        <w:t xml:space="preserve"> </w:t>
      </w:r>
      <w:r>
        <w:t xml:space="preserve">los precios de los medicamentos basados en GLP-1 bajarán en los próximos años, por los genéricos de los principios activos más antiguos, por la competencia entre fabricantes, por los comprimidos de moléculas pequeñas y por la presión política. Se notará más en los países con una expiración temprana de las patentes. En la UE, el gran salto de precios probablemente no llegará hasta los genéricos de semaglutida a principios de la década de 2030.</w:t>
      </w:r>
    </w:p>
    <w:bookmarkEnd w:id="1059"/>
    <w:bookmarkStart w:id="1060" w:name="financiación-en-alemania-y-austria"/>
    <w:p>
      <w:pPr>
        <w:pStyle w:val="Heading3"/>
      </w:pPr>
      <w:r>
        <w:t xml:space="preserve">Financiación en Alemania y Austria</w:t>
      </w:r>
    </w:p>
    <w:p>
      <w:pPr>
        <w:pStyle w:val="FirstParagraph"/>
      </w:pPr>
      <w:r>
        <w:rPr>
          <w:bCs/>
          <w:b/>
        </w:rPr>
        <w:t xml:space="preserve">Alemania:</w:t>
      </w:r>
      <w:r>
        <w:t xml:space="preserve"> </w:t>
      </w:r>
      <w:r>
        <w:t xml:space="preserve">en la diabetes tipo 2, el seguro médico obligatorio asume los costes de los medicamentos GLP-1 autorizados, como Ozempic, Rybelsus, Trulicity o Mounjaro, dentro de los límites de la autorización. En cambio, los medicamentos destinados principalmente a la reducción de peso están excluidos de la financiación según el § 34 SGB V; por eso, los asegurados del sistema obligatorio deben pagar por regla general de su bolsillo Wegovy, Saxenda y Mounjaro para el control del peso. Si esta norma se modificará para las personas con un riesgo cardiovascular alto se está debatiendo en el ámbito político y en los órganos de autogestión. Los seguros médicos privados deciden según sus propias condiciones de póliza (situación en 2026, compruébese).</w:t>
      </w:r>
    </w:p>
    <w:p>
      <w:pPr>
        <w:pStyle w:val="BodyText"/>
      </w:pPr>
      <w:r>
        <w:rPr>
          <w:bCs/>
          <w:b/>
        </w:rPr>
        <w:t xml:space="preserve">Austria:</w:t>
      </w:r>
      <w:r>
        <w:t xml:space="preserve"> </w:t>
      </w:r>
      <w:r>
        <w:t xml:space="preserve">para la diabetes tipo 2, los medicamentos GLP-1 son financiables, pero la cobertura está en parte sujeta a condiciones o a una autorización por parte de la caja de enfermedad. Para el mero control del peso, por regla general los costes no se cubren o solo en casos excepcionales (situación en 2026, compruébese).</w:t>
      </w:r>
    </w:p>
    <w:p>
      <w:pPr>
        <w:pStyle w:val="BodyText"/>
      </w:pPr>
      <w:r>
        <w:t xml:space="preserve">En ambos países se cumple: si un tratamiento se financia depende de la indicación, de los hallazgos clínicos y de la situación jurídica actual. El médico responsable del tratamiento y la caja de enfermedad son los interlocutores adecuados. Una prescripción para perder peso con un preparado que solo está autorizado para la diabetes es un uso fuera de la indicación autorizada y no se financia.</w:t>
      </w:r>
    </w:p>
    <w:bookmarkEnd w:id="1060"/>
    <w:bookmarkStart w:id="1061" w:name="lo-que-significa-para-los-pacientes"/>
    <w:p>
      <w:pPr>
        <w:pStyle w:val="Heading3"/>
      </w:pPr>
      <w:r>
        <w:t xml:space="preserve">Lo que significa para los pacientes</w:t>
      </w:r>
    </w:p>
    <w:p>
      <w:pPr>
        <w:numPr>
          <w:ilvl w:val="0"/>
          <w:numId w:val="1364"/>
        </w:numPr>
        <w:pStyle w:val="Compact"/>
      </w:pPr>
      <w:r>
        <w:rPr>
          <w:bCs/>
          <w:b/>
        </w:rPr>
        <w:t xml:space="preserve">Más barato no significa mercado gris.</w:t>
      </w:r>
      <w:r>
        <w:t xml:space="preserve"> </w:t>
      </w:r>
      <w:r>
        <w:t xml:space="preserve">Con la expiración de las patentes en otros países aumentarán las ofertas que invocan «genéricos». Para Austria y Alemania, solo los preparados autorizados allí y dispensados en farmacias son medicamentos controlados.</w:t>
      </w:r>
    </w:p>
    <w:p>
      <w:pPr>
        <w:numPr>
          <w:ilvl w:val="0"/>
          <w:numId w:val="1364"/>
        </w:numPr>
        <w:pStyle w:val="Compact"/>
      </w:pPr>
      <w:r>
        <w:rPr>
          <w:bCs/>
          <w:b/>
        </w:rPr>
        <w:t xml:space="preserve">Suspender el tratamiento por motivos de coste es frecuente y tiene consecuencias.</w:t>
      </w:r>
      <w:r>
        <w:t xml:space="preserve"> </w:t>
      </w:r>
      <w:r>
        <w:t xml:space="preserve">En la extensión de STEP 1, un año después de suspender la semaglutida, los participantes recuperaron de media dos tercios de su pérdida de peso, y las mejoras en la tensión arterial y en los valores sanguíneos revirtieron en gran medida (Wilding 2022, PMID 35441470). Quien se plantee suspender el tratamiento por motivos de coste debería hablarlo con su médico.</w:t>
      </w:r>
    </w:p>
    <w:p>
      <w:pPr>
        <w:numPr>
          <w:ilvl w:val="0"/>
          <w:numId w:val="1364"/>
        </w:numPr>
        <w:pStyle w:val="Compact"/>
      </w:pPr>
      <w:r>
        <w:rPr>
          <w:bCs/>
          <w:b/>
        </w:rPr>
        <w:t xml:space="preserve">Los principios activos más antiguos no carecen de valor.</w:t>
      </w:r>
      <w:r>
        <w:t xml:space="preserve"> </w:t>
      </w:r>
      <w:r>
        <w:t xml:space="preserve">La liraglutida o la dulaglutida están bien estudiadas y tienen un beneficio cardiovascular demostrado en la diabetes tipo 2. Qué principio activo es adecuado en cada caso es una decisión médica.</w:t>
      </w:r>
    </w:p>
    <w:bookmarkEnd w:id="1061"/>
    <w:bookmarkStart w:id="1062" w:name="lo-más-importante-en-pocas-palabras-5"/>
    <w:p>
      <w:pPr>
        <w:pStyle w:val="Heading3"/>
      </w:pPr>
      <w:r>
        <w:t xml:space="preserve">Lo más importante en pocas palabras</w:t>
      </w:r>
    </w:p>
    <w:p>
      <w:pPr>
        <w:numPr>
          <w:ilvl w:val="0"/>
          <w:numId w:val="1365"/>
        </w:numPr>
        <w:pStyle w:val="Compact"/>
      </w:pPr>
      <w:r>
        <w:t xml:space="preserve">En 2026 termina la protección por patente de la semaglutida en países en los que vive casi la mitad de las personas con obesidad. Allí, los genéricos podrían costar una fracción de los precios actuales; en la UE y en EE. UU. no se esperan hasta alrededor de 2031/2032 (compruébese).</w:t>
      </w:r>
    </w:p>
    <w:p>
      <w:pPr>
        <w:numPr>
          <w:ilvl w:val="0"/>
          <w:numId w:val="1365"/>
        </w:numPr>
        <w:pStyle w:val="Compact"/>
      </w:pPr>
      <w:r>
        <w:t xml:space="preserve">Para la liraglutida ya hay genéricos; la tirzepatida y todos los principios activos más recientes seguirán previsiblemente protegidos por patente hasta bien entrada la década de 2030.</w:t>
      </w:r>
    </w:p>
    <w:p>
      <w:pPr>
        <w:numPr>
          <w:ilvl w:val="0"/>
          <w:numId w:val="1365"/>
        </w:numPr>
        <w:pStyle w:val="Compact"/>
      </w:pPr>
      <w:r>
        <w:t xml:space="preserve">El «compounding» estadounidense con copias de preparados autorizados ha terminado en gran medida tras el fin de los desabastecimientos; quedan preparaciones modificadas con aditivos no evaluados.</w:t>
      </w:r>
    </w:p>
    <w:p>
      <w:pPr>
        <w:numPr>
          <w:ilvl w:val="0"/>
          <w:numId w:val="1365"/>
        </w:numPr>
        <w:pStyle w:val="Compact"/>
      </w:pPr>
      <w:r>
        <w:t xml:space="preserve">En los estudios, los costes son el motivo más frecuente para abandonar un tratamiento. En Alemania, los medicamentos para adelgazar están excluidos de la financiación, y en Austria solo se financian de forma restringida (situación en 2026, compruébese).</w:t>
      </w:r>
    </w:p>
    <w:bookmarkEnd w:id="1062"/>
    <w:bookmarkEnd w:id="1063"/>
    <w:bookmarkStart w:id="1078" w:name="pronósticos-para-2030-a-2035"/>
    <w:p>
      <w:pPr>
        <w:pStyle w:val="Heading2"/>
      </w:pPr>
      <w:r>
        <w:t xml:space="preserve">Pronósticos para 2030 a 2035</w:t>
      </w:r>
    </w:p>
    <w:p>
      <w:pPr>
        <w:pStyle w:val="FirstParagraph"/>
      </w:pPr>
      <w:r>
        <w:t xml:space="preserve">Las predicciones en medicina tienen un historial de aciertos escaso. También este libro conoce ejemplos: los experimentos con animales y los datos observacionales hacían esperar que los medicamentos GLP-1 frenaran el deterioro cognitivo en el alzhéimer. Sin embargo, en los dos estudios de fase 3 evoke y evoke+, con un total de 3808 participantes, la enfermedad progresó con los comprimidos de semaglutida exactamente igual de rápido que con placebo (Cummings 2026, PMID 41865758). En el párkinson, el estudio de fase 3 Exenatide-PD3, con 194 participantes, no encontró ningún indicio de que la exenatida ralentice la progresión (Vijiaratnam 2025, PMID 39919773).</w:t>
      </w:r>
    </w:p>
    <w:p>
      <w:pPr>
        <w:pStyle w:val="BodyText"/>
      </w:pPr>
      <w:r>
        <w:t xml:space="preserve">Por eso, este capítulo separa de forma estricta en cada apartado:</w:t>
      </w:r>
    </w:p>
    <w:p>
      <w:pPr>
        <w:numPr>
          <w:ilvl w:val="0"/>
          <w:numId w:val="1366"/>
        </w:numPr>
        <w:pStyle w:val="Compact"/>
      </w:pPr>
      <w:r>
        <w:rPr>
          <w:bCs/>
          <w:b/>
        </w:rPr>
        <w:t xml:space="preserve">Confirmado:</w:t>
      </w:r>
      <w:r>
        <w:t xml:space="preserve"> </w:t>
      </w:r>
      <w:r>
        <w:t xml:space="preserve">lo que figura en registros de ensayos (con fecha de finalización prevista), lo que se ha publicado en estudios revisados por pares y lo que han decidido las autoridades. También lo confirmado puede cambiar: las fechas de finalización se aplazan y los estudios se interrumpen.</w:t>
      </w:r>
    </w:p>
    <w:p>
      <w:pPr>
        <w:numPr>
          <w:ilvl w:val="0"/>
          <w:numId w:val="1366"/>
        </w:numPr>
        <w:pStyle w:val="Compact"/>
      </w:pPr>
      <w:r>
        <w:rPr>
          <w:bCs/>
          <w:b/>
        </w:rPr>
        <w:t xml:space="preserve">Valoración del autor:</w:t>
      </w:r>
      <w:r>
        <w:t xml:space="preserve"> </w:t>
      </w:r>
      <w:r>
        <w:t xml:space="preserve">una expectativa fundamentada que puede ser errónea. Se identifica como tal y se justifica en cada caso.</w:t>
      </w:r>
    </w:p>
    <w:p>
      <w:pPr>
        <w:pStyle w:val="FirstParagraph"/>
      </w:pPr>
      <w:r>
        <w:t xml:space="preserve">Los datos de los registros reflejan la situación de octubre de 2026.</w:t>
      </w:r>
    </w:p>
    <w:bookmarkStart w:id="1064" w:name="grupo-a-metabolismo-y-peso"/>
    <w:p>
      <w:pPr>
        <w:pStyle w:val="Heading3"/>
      </w:pPr>
      <w:r>
        <w:t xml:space="preserve">Grupo A – Metabolismo y peso</w:t>
      </w:r>
    </w:p>
    <w:p>
      <w:pPr>
        <w:pStyle w:val="FirstParagraph"/>
      </w:pPr>
      <w:r>
        <w:rPr>
          <w:bCs/>
          <w:b/>
        </w:rPr>
        <w:t xml:space="preserve">Confirmado:</w:t>
      </w:r>
    </w:p>
    <w:p>
      <w:pPr>
        <w:numPr>
          <w:ilvl w:val="0"/>
          <w:numId w:val="1367"/>
        </w:numPr>
        <w:pStyle w:val="Compact"/>
      </w:pPr>
      <w:r>
        <w:t xml:space="preserve">Hasta 2032 terminarán al menos nueve grandes estudios de resultados y estudios hepáticos: SURMOUNT-MMO sobre tirzepatida (NCT05556512) y REDEFINE 3 sobre CagriSema (NCT05669755) en 2027; TRIUMPH-Outcomes sobre retatrutida (NCT06383390) y LIVERAGE-Cirrhosis sobre survodutida (NCT06632457) en 2029; MARITIME-CV y MARITIME-HF sobre maridebart cafraglutida (NCT07037433, NCT07037459), así como AMBIENCE sobre zenagamtida (NCT07861100), en 2030; ATTAIN-Outcomes sobre orforglipron (NCT07241390) en 2031, y SYNERGY-Outcomes sobre tirzepatida y retatrutida (NCT07165028) en 2032.</w:t>
      </w:r>
    </w:p>
    <w:p>
      <w:pPr>
        <w:numPr>
          <w:ilvl w:val="0"/>
          <w:numId w:val="1367"/>
        </w:numPr>
        <w:pStyle w:val="Compact"/>
      </w:pPr>
      <w:r>
        <w:t xml:space="preserve">Los principios activos de amilina pura están en fase 3: eloralintida (ENLIGHTEN-1, NCT07321886, finalización en 2030) y petrelintida (ZUPREME-3, NCT07843498, finalización en 2029).</w:t>
      </w:r>
    </w:p>
    <w:p>
      <w:pPr>
        <w:numPr>
          <w:ilvl w:val="0"/>
          <w:numId w:val="1367"/>
        </w:numPr>
        <w:pStyle w:val="Compact"/>
      </w:pPr>
      <w:r>
        <w:t xml:space="preserve">Para CagriSema y el orforglipron, según los capítulos correspondientes, se han presentado o anunciado solicitudes de autorización; para la retatrutida se esperan tras la finalización de TRIUMPH-1 y TRIUMPH-2 (situación en octubre de 2026, compruébese).</w:t>
      </w:r>
    </w:p>
    <w:p>
      <w:pPr>
        <w:numPr>
          <w:ilvl w:val="0"/>
          <w:numId w:val="1367"/>
        </w:numPr>
        <w:pStyle w:val="Compact"/>
      </w:pPr>
      <w:r>
        <w:t xml:space="preserve">En doce países termina en 2026 la protección por patente de la semaglutida, entre ellos grandes mercados fuera de la UE y de EE. UU. (Levi 2026, PMID 42437874). En la UE y en EE. UU. se esperan genéricos hacia 2031/2032 (situación en 2026, compruébese).</w:t>
      </w:r>
    </w:p>
    <w:p>
      <w:pPr>
        <w:pStyle w:val="FirstParagraph"/>
      </w:pPr>
      <w:r>
        <w:rPr>
          <w:bCs/>
          <w:b/>
        </w:rPr>
        <w:t xml:space="preserve">Valoración del autor:</w:t>
      </w:r>
      <w:r>
        <w:t xml:space="preserve"> </w:t>
      </w:r>
      <w:r>
        <w:t xml:space="preserve">hasta 2030 es previsible que en la UE se autoricen varias clases nuevas de principios activos: al menos una combinación con amilina, un agonista triple y una molécula pequeña en comprimido. Justificación: los programas de fase 3 están muy avanzados, los resultados publicados hasta ahora son claramente positivos y los fabricantes han presentado o anunciado solicitudes de autorización. Una pérdida de peso media del 20 al 25 % en los estudios probablemente dejará de ser la excepción. Pero más importante que un nuevo récord será la cuestión de qué principio activo conviene a qué persona: quién necesita sobre todo protección cardiaca, quién tiene hígado graso, quién quiere evitar las inyecciones, quién tolera mal los efectos adversos. Entre 2030 y 2035 cuento con precios claramente más bajos de la semaglutida en Europa gracias a los genéricos, mientras que los principios activos más nuevos seguirán siendo caros. Considero real el riesgo de una atención de dos clases: los fármacos más potentes para quienes pagan de su bolsillo, los más antiguos para todos los demás.</w:t>
      </w:r>
    </w:p>
    <w:bookmarkEnd w:id="1064"/>
    <w:bookmarkStart w:id="1065" w:name="X6411a9b542831f0e3a1b0660dd84ebace545726"/>
    <w:p>
      <w:pPr>
        <w:pStyle w:val="Heading3"/>
      </w:pPr>
      <w:r>
        <w:t xml:space="preserve">Grupo B – Curación, regeneración y sistema inmunitario</w:t>
      </w:r>
    </w:p>
    <w:p>
      <w:pPr>
        <w:pStyle w:val="FirstParagraph"/>
      </w:pPr>
      <w:r>
        <w:rPr>
          <w:bCs/>
          <w:b/>
        </w:rPr>
        <w:t xml:space="preserve">Confirmado:</w:t>
      </w:r>
    </w:p>
    <w:p>
      <w:pPr>
        <w:numPr>
          <w:ilvl w:val="0"/>
          <w:numId w:val="1368"/>
        </w:numPr>
        <w:pStyle w:val="Compact"/>
      </w:pPr>
      <w:r>
        <w:t xml:space="preserve">El estudio de fase 3 sobre la timosina alfa 1 tras cirugía de cáncer colorrectal, con 2500 participantes, debe terminar en marzo de 2027 (NCT05086614).</w:t>
      </w:r>
    </w:p>
    <w:p>
      <w:pPr>
        <w:numPr>
          <w:ilvl w:val="0"/>
          <w:numId w:val="1368"/>
        </w:numPr>
        <w:pStyle w:val="Compact"/>
      </w:pPr>
      <w:r>
        <w:t xml:space="preserve">El estudio de fase 3 SEER-2 con colirio de timosina beta 4 en la queratopatía neurotrófica había terminado, según el registro, en mayo de 2026; en octubre de 2026 no había resultados disponibles (NCT05555589).</w:t>
      </w:r>
    </w:p>
    <w:p>
      <w:pPr>
        <w:numPr>
          <w:ilvl w:val="0"/>
          <w:numId w:val="1368"/>
        </w:numPr>
        <w:pStyle w:val="Compact"/>
      </w:pPr>
      <w:r>
        <w:t xml:space="preserve">Está previsto un estudio chino de fase 2 con timosina beta 4 recombinante tras un infarto de miocardio (NCT07586865, 189 participantes, finalización en mayo de 2028).</w:t>
      </w:r>
    </w:p>
    <w:p>
      <w:pPr>
        <w:numPr>
          <w:ilvl w:val="0"/>
          <w:numId w:val="1368"/>
        </w:numPr>
        <w:pStyle w:val="Compact"/>
      </w:pPr>
      <w:r>
        <w:t xml:space="preserve">Para BPC-157 está registrado un pequeño estudio aleatorizado con 30 participantes tras operaciones de hombro que todavía no ha comenzado (NCT07803250, finalización prevista en agosto de 2027).</w:t>
      </w:r>
    </w:p>
    <w:p>
      <w:pPr>
        <w:pStyle w:val="FirstParagraph"/>
      </w:pPr>
      <w:r>
        <w:rPr>
          <w:bCs/>
          <w:b/>
        </w:rPr>
        <w:t xml:space="preserve">Valoración del autor:</w:t>
      </w:r>
      <w:r>
        <w:t xml:space="preserve"> </w:t>
      </w:r>
      <w:r>
        <w:t xml:space="preserve">considero muy improbable una autorización de BPC-157, TB-500 o KPV en la UE hasta 2035. Justificación: no hay programas de fase 2 ni de fase 3, ningún fabricante con un interés reconocible en la autorización, e incluso un resultado positivo del pequeño estudio de hombro solo sería un primer indicio. Más realista es una autorización de nicho para el colirio de timosina beta 4 en una enfermedad rara de la córnea, siempre que SEER-2 resulte positivo. La timosina alfa 1 podría desempeñar en China un papel mayor en el seguimiento oncológico si el estudio de cáncer colorrectal es positivo, aunque con reservas por la falta de doble enmascaramiento.</w:t>
      </w:r>
    </w:p>
    <w:bookmarkEnd w:id="1065"/>
    <w:bookmarkStart w:id="1066" w:name="Xb99e6f9af8ab3c038e9785410838a71b8c4c7a6"/>
    <w:p>
      <w:pPr>
        <w:pStyle w:val="Heading3"/>
      </w:pPr>
      <w:r>
        <w:t xml:space="preserve">Grupo C – Eje de la hormona del crecimiento</w:t>
      </w:r>
    </w:p>
    <w:p>
      <w:pPr>
        <w:pStyle w:val="FirstParagraph"/>
      </w:pPr>
      <w:r>
        <w:rPr>
          <w:bCs/>
          <w:b/>
        </w:rPr>
        <w:t xml:space="preserve">Confirmado:</w:t>
      </w:r>
    </w:p>
    <w:p>
      <w:pPr>
        <w:numPr>
          <w:ilvl w:val="0"/>
          <w:numId w:val="1369"/>
        </w:numPr>
        <w:pStyle w:val="Compact"/>
      </w:pPr>
      <w:r>
        <w:t xml:space="preserve">El ibutamoreno (no es un péptido) se está evaluando como LUM-201 en un estudio de fase 3 con 150 niños con déficit de hormona del crecimiento (NCT06948214, finalización en enero de 2028). Un estudio de fase 2 con 202 personas mayores con obesidad debe investigar LUM-201 añadido a semaglutida (NCT07754045, finalización en febrero de 2028).</w:t>
      </w:r>
    </w:p>
    <w:p>
      <w:pPr>
        <w:numPr>
          <w:ilvl w:val="0"/>
          <w:numId w:val="1369"/>
        </w:numPr>
        <w:pStyle w:val="Compact"/>
      </w:pPr>
      <w:r>
        <w:t xml:space="preserve">El registro a largo plazo de la mecasermina está en curso hasta finales de 2027 (NCT00903110).</w:t>
      </w:r>
    </w:p>
    <w:p>
      <w:pPr>
        <w:numPr>
          <w:ilvl w:val="0"/>
          <w:numId w:val="1369"/>
        </w:numPr>
        <w:pStyle w:val="Compact"/>
      </w:pPr>
      <w:r>
        <w:t xml:space="preserve">Para la sermorelina, CJC-1295, la ipamorelina, GHRP-2, GHRP-6, la hexarelina e IGF-1 LR3 no hay registrado ningún estudio en curso (véanse los capítulos correspondientes).</w:t>
      </w:r>
    </w:p>
    <w:p>
      <w:pPr>
        <w:pStyle w:val="FirstParagraph"/>
      </w:pPr>
      <w:r>
        <w:rPr>
          <w:bCs/>
          <w:b/>
        </w:rPr>
        <w:t xml:space="preserve">Valoración del autor:</w:t>
      </w:r>
      <w:r>
        <w:t xml:space="preserve"> </w:t>
      </w:r>
      <w:r>
        <w:t xml:space="preserve">considero improbable hasta 2035 una nueva autorización de un péptido liberador de hormona del crecimiento para adultos. Justificación: las sustancias son antiguas, apenas patentables, y las cuestiones de seguridad en torno a unos niveles de IGF-1 permanentemente elevados (véase la Parte IV) hacen que los grandes estudios sean caros y arriesgados. Hay otra tendencia interesante: como la pérdida de peso intensa también cuesta músculo, el eje de la hormona del crecimiento podría recibir nueva atención como posible protección muscular; el estudio con LUM-201 y semaglutida es un primer ejemplo. Si de ello resulta un beneficio está completamente abierto.</w:t>
      </w:r>
    </w:p>
    <w:bookmarkEnd w:id="1066"/>
    <w:bookmarkStart w:id="1067" w:name="grupo-d-cerebro-sueño-y-longevidad"/>
    <w:p>
      <w:pPr>
        <w:pStyle w:val="Heading3"/>
      </w:pPr>
      <w:r>
        <w:t xml:space="preserve">Grupo D – Cerebro, sueño y longevidad</w:t>
      </w:r>
    </w:p>
    <w:p>
      <w:pPr>
        <w:pStyle w:val="FirstParagraph"/>
      </w:pPr>
      <w:r>
        <w:rPr>
          <w:bCs/>
          <w:b/>
        </w:rPr>
        <w:t xml:space="preserve">Confirmado:</w:t>
      </w:r>
    </w:p>
    <w:p>
      <w:pPr>
        <w:numPr>
          <w:ilvl w:val="0"/>
          <w:numId w:val="1370"/>
        </w:numPr>
        <w:pStyle w:val="Compact"/>
      </w:pPr>
      <w:r>
        <w:t xml:space="preserve">La elamipretida (SS-31) está autorizada en EE. UU. desde septiembre de 2025 por la vía acelerada para el síndrome de Barth, sujeta a un estudio confirmatorio (4TAZPower, NCT07531251, finalización en noviembre de 2029). El estudio de fase 3 ReNEW en la degeneración macular seca debe terminar en septiembre de 2027 (NCT06373731).</w:t>
      </w:r>
    </w:p>
    <w:p>
      <w:pPr>
        <w:numPr>
          <w:ilvl w:val="0"/>
          <w:numId w:val="1370"/>
        </w:numPr>
        <w:pStyle w:val="Compact"/>
      </w:pPr>
      <w:r>
        <w:t xml:space="preserve">Sobre cerebrolisina solo hay estudios menores en curso, por ejemplo en CADASIL (NCT05755997).</w:t>
      </w:r>
    </w:p>
    <w:p>
      <w:pPr>
        <w:numPr>
          <w:ilvl w:val="0"/>
          <w:numId w:val="1370"/>
        </w:numPr>
        <w:pStyle w:val="Compact"/>
      </w:pPr>
      <w:r>
        <w:t xml:space="preserve">Para Semax, Selank, Dihexa, DSIP, pinealon, humanina, FOXO4-DRI y MOTS-c no figura ningún estudio registrado de forma fiable sobre la administración del principio activo. Para el epitalon solo hay un estudio no controlado en el que es uno de los cinco componentes de un sérum cutáneo (NCT07888595).</w:t>
      </w:r>
    </w:p>
    <w:p>
      <w:pPr>
        <w:numPr>
          <w:ilvl w:val="0"/>
          <w:numId w:val="1370"/>
        </w:numPr>
        <w:pStyle w:val="Compact"/>
      </w:pPr>
      <w:r>
        <w:t xml:space="preserve">En EE. UU. se está revisando la clasificación de varios de estos péptidos para las fórmulas magistrales de farmacia (véanse los capítulos Semax y Dihexa; Willis 2026, PMID 42752426).</w:t>
      </w:r>
    </w:p>
    <w:p>
      <w:pPr>
        <w:pStyle w:val="FirstParagraph"/>
      </w:pPr>
      <w:r>
        <w:rPr>
          <w:bCs/>
          <w:b/>
        </w:rPr>
        <w:t xml:space="preserve">Valoración del autor:</w:t>
      </w:r>
      <w:r>
        <w:t xml:space="preserve"> </w:t>
      </w:r>
      <w:r>
        <w:t xml:space="preserve">previsiblemente, los péptidos de longevidad seguirán siendo hasta 2035 lo que son hoy: sustancias con datos interesantes en animales y una gran demanda en línea, pero sin demostración de beneficio en humanos. Justificación: los estudios sobre «envejecimiento saludable» requieren muchos años y variables claras, que apenas existen todavía para ello; ningún fabricante tiene un programa reconocible. Si las autoridades estadounidenses autorizaran determinados péptidos para fórmulas magistrales, esto aumentaría su difusión sin mejorar los datos disponibles. La elamipretida es el único principio activo de este grupo con un camino realista hacia una autorización más amplia, y también solo si ReNEW resulta positivo.</w:t>
      </w:r>
    </w:p>
    <w:bookmarkEnd w:id="1067"/>
    <w:bookmarkStart w:id="1068" w:name="X25a394421346afa30b2964e02f58b4f4c249bd4"/>
    <w:p>
      <w:pPr>
        <w:pStyle w:val="Heading3"/>
      </w:pPr>
      <w:r>
        <w:t xml:space="preserve">Grupo E – Hormonas, sexualidad y pigmentación</w:t>
      </w:r>
    </w:p>
    <w:p>
      <w:pPr>
        <w:pStyle w:val="FirstParagraph"/>
      </w:pPr>
      <w:r>
        <w:rPr>
          <w:bCs/>
          <w:b/>
        </w:rPr>
        <w:t xml:space="preserve">Confirmado:</w:t>
      </w:r>
    </w:p>
    <w:p>
      <w:pPr>
        <w:numPr>
          <w:ilvl w:val="0"/>
          <w:numId w:val="1371"/>
        </w:numPr>
        <w:pStyle w:val="Compact"/>
      </w:pPr>
      <w:r>
        <w:t xml:space="preserve">El estudio de fase 3 sobre la afamelanotida en el vitíligo, con 200 participantes, había terminado, según el registro, en junio de 2026; en octubre de 2026 no había resultados revisados por pares (NCT06109649).</w:t>
      </w:r>
    </w:p>
    <w:p>
      <w:pPr>
        <w:numPr>
          <w:ilvl w:val="0"/>
          <w:numId w:val="1371"/>
        </w:numPr>
        <w:pStyle w:val="Compact"/>
      </w:pPr>
      <w:r>
        <w:t xml:space="preserve">La kisspeptina se está investigando en pequeños estudios de fase 2 en el déficit hormonal congénito (NCT05896293, finalización en mayo de 2028) y en la amenorrea hipotalámica (NCT07224438, finalización en mayo de 2030).</w:t>
      </w:r>
    </w:p>
    <w:p>
      <w:pPr>
        <w:numPr>
          <w:ilvl w:val="0"/>
          <w:numId w:val="1371"/>
        </w:numPr>
        <w:pStyle w:val="Compact"/>
      </w:pPr>
      <w:r>
        <w:t xml:space="preserve">La oxitocina en espray nasal se está evaluando como complemento de una terapia de pareja en el trastorno de estrés postraumático con 240 participantes (NCT06194851, finalización en septiembre de 2028).</w:t>
      </w:r>
    </w:p>
    <w:p>
      <w:pPr>
        <w:pStyle w:val="FirstParagraph"/>
      </w:pPr>
      <w:r>
        <w:rPr>
          <w:bCs/>
          <w:b/>
        </w:rPr>
        <w:t xml:space="preserve">Valoración del autor:</w:t>
      </w:r>
      <w:r>
        <w:t xml:space="preserve"> </w:t>
      </w:r>
      <w:r>
        <w:t xml:space="preserve">lo más probable hasta 2030 es una ampliación de la autorización de la afamelanotida al vitíligo, si el estudio de fase 3 es positivo. La kisspeptina probablemente seguirá siendo una herramienta de investigación y diagnóstico; una autorización hasta 2035 requiere estudios comparativos más grandes, que hasta ahora faltan. Con la oxitocina en espray nasal no espero ninguna autorización para el autismo o la ansiedad social, como mucho pruebas para usos muy delimitados en combinación con psicoterapia. El melanotán II seguirá siendo un producto del mercado gris.</w:t>
      </w:r>
    </w:p>
    <w:bookmarkEnd w:id="1068"/>
    <w:bookmarkStart w:id="1069" w:name="grupo-f-colágeno-nutrición-y-cosmética"/>
    <w:p>
      <w:pPr>
        <w:pStyle w:val="Heading3"/>
      </w:pPr>
      <w:r>
        <w:t xml:space="preserve">Grupo F – Colágeno, nutrición y cosmética</w:t>
      </w:r>
    </w:p>
    <w:p>
      <w:pPr>
        <w:pStyle w:val="FirstParagraph"/>
      </w:pPr>
      <w:r>
        <w:rPr>
          <w:bCs/>
          <w:b/>
        </w:rPr>
        <w:t xml:space="preserve">Confirmado:</w:t>
      </w:r>
    </w:p>
    <w:p>
      <w:pPr>
        <w:numPr>
          <w:ilvl w:val="0"/>
          <w:numId w:val="1372"/>
        </w:numPr>
        <w:pStyle w:val="Compact"/>
      </w:pPr>
      <w:r>
        <w:t xml:space="preserve">Un estudio controlado con placebo con 204 participantes evalúa el hidrolizado de colágeno en la artrosis de rodilla, con el dolor como variable principal (NCT04998188, finalización en diciembre de 2027).</w:t>
      </w:r>
    </w:p>
    <w:p>
      <w:pPr>
        <w:numPr>
          <w:ilvl w:val="0"/>
          <w:numId w:val="1372"/>
        </w:numPr>
        <w:pStyle w:val="Compact"/>
      </w:pPr>
      <w:r>
        <w:t xml:space="preserve">Un estudio de fase 1/2 con 144 participantes investiga la carnosina en la enfermedad arterial periférica, con la distancia recorrida en seis minutos como variable principal (NCT06480760, finalización en octubre de 2028).</w:t>
      </w:r>
    </w:p>
    <w:p>
      <w:pPr>
        <w:numPr>
          <w:ilvl w:val="0"/>
          <w:numId w:val="1372"/>
        </w:numPr>
        <w:pStyle w:val="Compact"/>
      </w:pPr>
      <w:r>
        <w:t xml:space="preserve">Para los lactotripéptidos, Matrixyl y Argireline no hay registrado ningún estudio en curso.</w:t>
      </w:r>
    </w:p>
    <w:p>
      <w:pPr>
        <w:pStyle w:val="FirstParagraph"/>
      </w:pPr>
      <w:r>
        <w:rPr>
          <w:bCs/>
          <w:b/>
        </w:rPr>
        <w:t xml:space="preserve">Valoración del autor:</w:t>
      </w:r>
      <w:r>
        <w:t xml:space="preserve"> </w:t>
      </w:r>
      <w:r>
        <w:t xml:space="preserve">este grupo seguirá siendo alimentación y cosmética; no cabe esperar autorizaciones como medicamento, porque los productos ya son de venta libre y nadie tendría que asumir los costes de un programa de autorización. Lo que podría cambiar es la calidad de las pruebas: los estudios financiados de forma independiente y registrados previamente, como el de la artrosis de rodilla, mostrarán si los pequeños efectos de los estudios financiados por los fabricantes se mantienen. Espero que en esos estudios los efectos resulten más bien menores.</w:t>
      </w:r>
    </w:p>
    <w:bookmarkEnd w:id="1069"/>
    <w:bookmarkStart w:id="1075" w:name="temas-transversales"/>
    <w:p>
      <w:pPr>
        <w:pStyle w:val="Heading3"/>
      </w:pPr>
      <w:r>
        <w:t xml:space="preserve">Temas transversales</w:t>
      </w:r>
    </w:p>
    <w:bookmarkStart w:id="1070" w:name="datos-a-largo-plazo"/>
    <w:p>
      <w:pPr>
        <w:pStyle w:val="Heading4"/>
      </w:pPr>
      <w:r>
        <w:t xml:space="preserve">Datos a largo plazo</w:t>
      </w:r>
    </w:p>
    <w:p>
      <w:pPr>
        <w:pStyle w:val="FirstParagraph"/>
      </w:pPr>
      <w:r>
        <w:rPr>
          <w:bCs/>
          <w:b/>
        </w:rPr>
        <w:t xml:space="preserve">Confirmado:</w:t>
      </w:r>
      <w:r>
        <w:t xml:space="preserve"> </w:t>
      </w:r>
      <w:r>
        <w:t xml:space="preserve">la directriz de la OMS sobre tratamientos con GLP-1 en la obesidad solo formula una recomendación condicional y menciona los limitados datos a largo plazo como uno de los motivos (Celletti 2026, PMID 41324410). Los estudios de resultados en curso siguen a sus participantes durante varios años, pero casi ninguno durante más de diez.</w:t>
      </w:r>
    </w:p>
    <w:p>
      <w:pPr>
        <w:pStyle w:val="BodyText"/>
      </w:pPr>
      <w:r>
        <w:rPr>
          <w:bCs/>
          <w:b/>
        </w:rPr>
        <w:t xml:space="preserve">Valoración del autor:</w:t>
      </w:r>
      <w:r>
        <w:t xml:space="preserve"> </w:t>
      </w:r>
      <w:r>
        <w:t xml:space="preserve">hasta 2035, los datos a diez años procederán sobre todo de registros nacionales y de datos de aseguradoras, no de estudios aleatorizados. Captarán mejor los efectos adversos raros, pero les costará más separar causa y efecto. En niños y adolescentes, para quienes varios estudios se prolongan hasta principios de la década de 2030, la cuestión de las consecuencias a largo plazo es especialmente urgente.</w:t>
      </w:r>
    </w:p>
    <w:bookmarkEnd w:id="1070"/>
    <w:bookmarkStart w:id="1071" w:name="tratamiento-de-mantenimiento"/>
    <w:p>
      <w:pPr>
        <w:pStyle w:val="Heading4"/>
      </w:pPr>
      <w:r>
        <w:t xml:space="preserve">Tratamiento de mantenimiento</w:t>
      </w:r>
    </w:p>
    <w:p>
      <w:pPr>
        <w:pStyle w:val="FirstParagraph"/>
      </w:pPr>
      <w:r>
        <w:rPr>
          <w:bCs/>
          <w:b/>
        </w:rPr>
        <w:t xml:space="preserve">Confirmado:</w:t>
      </w:r>
      <w:r>
        <w:t xml:space="preserve"> </w:t>
      </w:r>
      <w:r>
        <w:t xml:space="preserve">tras la suspensión, vuelve una gran parte del peso perdido. En la extensión de STEP 1, un año después del fin del tratamiento con semaglutida fueron de media dos tercios (Wilding 2022, PMID 35441470). En SURMOUNT-4, tras el cambio de tirzepatida a placebo, los participantes recuperaron un 14,0 % al año siguiente (Aronne 2024, PMID 38078870). El cambio de la inyección a orforglipron mantuvo en ATTAIN-MAINTAIN una gran parte de la pérdida de peso (Aronne 2026, PMID 42120723). Están en curso otros estudios sobre el mantenimiento del peso (TRIUMPH-6, NCT06859268; cambio a principios activos mensuales, NCT07575399, NCT07845500). Los cálculos de modelización sugieren que administraciones menos frecuentes podrían mantener parte del efecto; esto no se ha evaluado hasta ahora en estudios y no es una base para modificar el tratamiento por cuenta propia (Cengiz 2025, PMID 39950222).</w:t>
      </w:r>
    </w:p>
    <w:p>
      <w:pPr>
        <w:pStyle w:val="BodyText"/>
      </w:pPr>
      <w:r>
        <w:rPr>
          <w:bCs/>
          <w:b/>
        </w:rPr>
        <w:t xml:space="preserve">Valoración del autor:</w:t>
      </w:r>
      <w:r>
        <w:t xml:space="preserve"> </w:t>
      </w:r>
      <w:r>
        <w:t xml:space="preserve">hasta 2030 se impondrá un modelo escalonado: primero una fase con un principio activo muy eficaz, después un mantenimiento con un comprimido, un preparado mensual o una intensidad menor. Justificación: varios fabricantes están probando exactamente esta secuencia, y resulta atractiva para los financiadores. Si el mantenimiento es necesario de por vida o si en algunas personas es posible suspender el tratamiento sin una gran recuperación de peso seguirá siendo una de las preguntas abiertas más importantes.</w:t>
      </w:r>
    </w:p>
    <w:bookmarkEnd w:id="1071"/>
    <w:bookmarkStart w:id="1072" w:name="personalización"/>
    <w:p>
      <w:pPr>
        <w:pStyle w:val="Heading4"/>
      </w:pPr>
      <w:r>
        <w:t xml:space="preserve">Personalización</w:t>
      </w:r>
    </w:p>
    <w:p>
      <w:pPr>
        <w:pStyle w:val="FirstParagraph"/>
      </w:pPr>
      <w:r>
        <w:rPr>
          <w:bCs/>
          <w:b/>
        </w:rPr>
        <w:t xml:space="preserve">Confirmado:</w:t>
      </w:r>
      <w:r>
        <w:t xml:space="preserve"> </w:t>
      </w:r>
      <w:r>
        <w:t xml:space="preserve">la medicina de precisión en la obesidad ya existe para formas genéticas raras: la setmelanotida solo está autorizada para determinados defectos genéticos (véase el capítulo Setmelanotida). El orforglipron se está evaluando en un estudio con 2001 participantes con sobrepeso para evitar la progresión hacia la obesidad o hacia enfermedades secundarias (ATTAIN-NOW, NCT07794579, finalización en septiembre de 2030). La OMS anuncia que, como siguiente paso, elaborará criterios sobre a quién debe tratarse primero cuando los recursos son limitados (Celletti 2026, PMID 41324410).</w:t>
      </w:r>
    </w:p>
    <w:p>
      <w:pPr>
        <w:pStyle w:val="BodyText"/>
      </w:pPr>
      <w:r>
        <w:rPr>
          <w:bCs/>
          <w:b/>
        </w:rPr>
        <w:t xml:space="preserve">Valoración del autor:</w:t>
      </w:r>
      <w:r>
        <w:t xml:space="preserve"> </w:t>
      </w:r>
      <w:r>
        <w:t xml:space="preserve">hasta 2030 no se vislumbra una prueba fiable que diga de antemano quién responde bien a qué principio activo. La personalización será al principio pragmática: según las enfermedades concomitantes, la tolerancia, la disposición a inyectarse y los costes. La cuestión de si los medicamentos deben utilizarse ya antes de que aparezca la obesidad seguirá siendo controvertida desde el punto de vista ético y económico.</w:t>
      </w:r>
    </w:p>
    <w:bookmarkEnd w:id="1072"/>
    <w:bookmarkStart w:id="1073" w:name="regulación-del-mercado-gris"/>
    <w:p>
      <w:pPr>
        <w:pStyle w:val="Heading4"/>
      </w:pPr>
      <w:r>
        <w:t xml:space="preserve">Regulación del mercado gris</w:t>
      </w:r>
    </w:p>
    <w:p>
      <w:pPr>
        <w:pStyle w:val="FirstParagraph"/>
      </w:pPr>
      <w:r>
        <w:rPr>
          <w:bCs/>
          <w:b/>
        </w:rPr>
        <w:t xml:space="preserve">Confirmado:</w:t>
      </w:r>
      <w:r>
        <w:t xml:space="preserve"> </w:t>
      </w:r>
      <w:r>
        <w:t xml:space="preserve">los análisis de laboratorio y los casos clínicos de la Parte I y la Parte IV muestran falsificaciones, errores de dosificación e impurezas. Entretanto se venden en línea también principios activos no autorizados como la retatrutida y la zenagamtida (Rubin 2026, PMID 42853576). En EE. UU., las copias de semaglutida y tirzepatida elaboradas en farmacias terminaron en gran medida tras el fin de los desabastecimientos; las preparaciones modificadas siguen existiendo (Belcourt 2026, PMID 41689811). La clasificación de los péptidos para fórmulas magistrales se está renegociando en EE. UU. (Willis 2026, PMID 42752426).</w:t>
      </w:r>
    </w:p>
    <w:p>
      <w:pPr>
        <w:pStyle w:val="BodyText"/>
      </w:pPr>
      <w:r>
        <w:rPr>
          <w:bCs/>
          <w:b/>
        </w:rPr>
        <w:t xml:space="preserve">Valoración del autor:</w:t>
      </w:r>
      <w:r>
        <w:t xml:space="preserve"> </w:t>
      </w:r>
      <w:r>
        <w:t xml:space="preserve">el mercado gris no desaparecerá hasta 2035, pero cambiará. La bajada de precios de los medicamentos autorizados probablemente reducirá el incentivo para falsificar semaglutida. Al mismo tiempo, cada nuevo principio activo que cause sensación en los estudios se ofrecerá ya antes de su autorización como «research peptide». Espero controles más estrictos de los comercios en línea y de los medios de pago en la UE, pero ninguna solución eficaz mientras sea posible hacer pedidos desde países con una supervisión débil.</w:t>
      </w:r>
    </w:p>
    <w:bookmarkEnd w:id="1073"/>
    <w:bookmarkStart w:id="1074" w:name="X8d98b582d57554881608f4d3cdc58afbfbb1f3f"/>
    <w:p>
      <w:pPr>
        <w:pStyle w:val="Heading4"/>
      </w:pPr>
      <w:r>
        <w:t xml:space="preserve">Inteligencia artificial en el diseño de péptidos</w:t>
      </w:r>
    </w:p>
    <w:p>
      <w:pPr>
        <w:pStyle w:val="FirstParagraph"/>
      </w:pPr>
      <w:r>
        <w:rPr>
          <w:bCs/>
          <w:b/>
        </w:rPr>
        <w:t xml:space="preserve">Confirmado:</w:t>
      </w:r>
      <w:r>
        <w:t xml:space="preserve"> </w:t>
      </w:r>
      <w:r>
        <w:t xml:space="preserve">hasta ahora, todas las pruebas publicadas proceden de experimentos de laboratorio y con animales. Un equipo de investigación diseñó con métodos de aprendizaje automático 10.000 nuevos agonistas del receptor de GLP-1, seleccionó 60 por ordenador y los probó en el laboratorio; dos candidatos actuaron en ratones unas tres veces más tiempo que la semaglutida (Wei 2025, PMID 40787887). Otro procedimiento diseñó péptidos cíclicos que se unen específicamente a proteínas predeterminadas; las estructuras determinadas en el laboratorio coincidieron estrechamente con los modelos informáticos (Rettie 2025, PMID 40542165). Con un modelo de aprendizaje se derivaron de péptidos bacterianos nuevos péptidos antimicrobianos, uno de los cuales redujo en más de un 95 % la carga bacteriana en ratones con una infección del muslo (Wang 2025, PMID 39825096). El péptido oral contra PCSK9 enlicitida se encontró con otro procedimiento de alto rendimiento y ya está en fase 3 (Johns 2023, PMID 37125593; NCT06008756).</w:t>
      </w:r>
    </w:p>
    <w:p>
      <w:pPr>
        <w:pStyle w:val="BodyText"/>
      </w:pPr>
      <w:r>
        <w:rPr>
          <w:bCs/>
          <w:b/>
        </w:rPr>
        <w:t xml:space="preserve">Valoración del autor:</w:t>
      </w:r>
      <w:r>
        <w:t xml:space="preserve"> </w:t>
      </w:r>
      <w:r>
        <w:t xml:space="preserve">hasta 2030, los primeros péptidos diseñados con métodos de IA estarán en estudios tempranos en humanos; una autorización hasta 2035 es posible, pero no probable, porque también una molécula encontrada rápidamente tiene que pasar por todas las fases clínicas. La IA acorta la búsqueda de candidatos, no la evaluación en humanos. Para los lectores, esto significa: las ofertas que prometen «péptidos optimizados con IA» son publicidad, no una prueba de eficacia.</w:t>
      </w:r>
    </w:p>
    <w:bookmarkEnd w:id="1074"/>
    <w:bookmarkEnd w:id="1075"/>
    <w:bookmarkStart w:id="1076" w:name="Xda3ce387ed0d8b0c80b57dbe56feeda3bf30249"/>
    <w:p>
      <w:pPr>
        <w:pStyle w:val="Heading3"/>
      </w:pPr>
      <w:r>
        <w:t xml:space="preserve">Cronología: lo que el registro anuncia hasta 2032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Periodo</w:t>
            </w:r>
          </w:p>
        </w:tc>
        <w:tc>
          <w:tcPr/>
          <w:p>
            <w:pPr>
              <w:pStyle w:val="Compact"/>
              <w:jc w:val="left"/>
            </w:pPr>
            <w:r>
              <w:t xml:space="preserve">Acontecimiento previsto según el registro</w:t>
            </w:r>
          </w:p>
        </w:tc>
        <w:tc>
          <w:tcPr/>
          <w:p>
            <w:pPr>
              <w:pStyle w:val="Compact"/>
              <w:jc w:val="left"/>
            </w:pPr>
            <w:r>
              <w:t xml:space="preserve">Principio activo</w:t>
            </w:r>
          </w:p>
        </w:tc>
        <w:tc>
          <w:tcPr/>
          <w:p>
            <w:pPr>
              <w:pStyle w:val="Compact"/>
              <w:jc w:val="left"/>
            </w:pPr>
            <w:r>
              <w:t xml:space="preserve">Estudio</w:t>
            </w:r>
          </w:p>
        </w:tc>
      </w:tr>
      <w:tr>
        <w:tc>
          <w:tcPr/>
          <w:p>
            <w:pPr>
              <w:pStyle w:val="Compact"/>
              <w:jc w:val="left"/>
            </w:pPr>
            <w:r>
              <w:t xml:space="preserve">2026/2027</w:t>
            </w:r>
          </w:p>
        </w:tc>
        <w:tc>
          <w:tcPr/>
          <w:p>
            <w:pPr>
              <w:pStyle w:val="Compact"/>
              <w:jc w:val="left"/>
            </w:pPr>
            <w:r>
              <w:t xml:space="preserve">resultados de la comparación directa con tirzepatida</w:t>
            </w:r>
          </w:p>
        </w:tc>
        <w:tc>
          <w:tcPr/>
          <w:p>
            <w:pPr>
              <w:pStyle w:val="Compact"/>
              <w:jc w:val="left"/>
            </w:pPr>
            <w:r>
              <w:t xml:space="preserve">Retatrutida</w:t>
            </w:r>
          </w:p>
        </w:tc>
        <w:tc>
          <w:tcPr/>
          <w:p>
            <w:pPr>
              <w:pStyle w:val="Compact"/>
              <w:jc w:val="left"/>
            </w:pPr>
            <w:r>
              <w:t xml:space="preserve">NCT06662383</w:t>
            </w:r>
          </w:p>
        </w:tc>
      </w:tr>
      <w:tr>
        <w:tc>
          <w:tcPr/>
          <w:p>
            <w:pPr>
              <w:pStyle w:val="Compact"/>
              <w:jc w:val="left"/>
            </w:pPr>
            <w:r>
              <w:t xml:space="preserve">2027</w:t>
            </w:r>
          </w:p>
        </w:tc>
        <w:tc>
          <w:tcPr/>
          <w:p>
            <w:pPr>
              <w:pStyle w:val="Compact"/>
              <w:jc w:val="left"/>
            </w:pPr>
            <w:r>
              <w:t xml:space="preserve">resultados cardiovasculares sin diabetes</w:t>
            </w:r>
          </w:p>
        </w:tc>
        <w:tc>
          <w:tcPr/>
          <w:p>
            <w:pPr>
              <w:pStyle w:val="Compact"/>
              <w:jc w:val="left"/>
            </w:pPr>
            <w:r>
              <w:t xml:space="preserve">Tirzepatida</w:t>
            </w:r>
          </w:p>
        </w:tc>
        <w:tc>
          <w:tcPr/>
          <w:p>
            <w:pPr>
              <w:pStyle w:val="Compact"/>
              <w:jc w:val="left"/>
            </w:pPr>
            <w:r>
              <w:t xml:space="preserve">NCT05556512</w:t>
            </w:r>
          </w:p>
        </w:tc>
      </w:tr>
      <w:tr>
        <w:tc>
          <w:tcPr/>
          <w:p>
            <w:pPr>
              <w:pStyle w:val="Compact"/>
              <w:jc w:val="left"/>
            </w:pPr>
            <w:r>
              <w:t xml:space="preserve">2027</w:t>
            </w:r>
          </w:p>
        </w:tc>
        <w:tc>
          <w:tcPr/>
          <w:p>
            <w:pPr>
              <w:pStyle w:val="Compact"/>
              <w:jc w:val="left"/>
            </w:pPr>
            <w:r>
              <w:t xml:space="preserve">resultados cardiovasculares</w:t>
            </w:r>
          </w:p>
        </w:tc>
        <w:tc>
          <w:tcPr/>
          <w:p>
            <w:pPr>
              <w:pStyle w:val="Compact"/>
              <w:jc w:val="left"/>
            </w:pPr>
            <w:r>
              <w:t xml:space="preserve">CagriSema</w:t>
            </w:r>
          </w:p>
        </w:tc>
        <w:tc>
          <w:tcPr/>
          <w:p>
            <w:pPr>
              <w:pStyle w:val="Compact"/>
              <w:jc w:val="left"/>
            </w:pPr>
            <w:r>
              <w:t xml:space="preserve">NCT05669755</w:t>
            </w:r>
          </w:p>
        </w:tc>
      </w:tr>
      <w:tr>
        <w:tc>
          <w:tcPr/>
          <w:p>
            <w:pPr>
              <w:pStyle w:val="Compact"/>
              <w:jc w:val="left"/>
            </w:pPr>
            <w:r>
              <w:t xml:space="preserve">2027</w:t>
            </w:r>
          </w:p>
        </w:tc>
        <w:tc>
          <w:tcPr/>
          <w:p>
            <w:pPr>
              <w:pStyle w:val="Compact"/>
              <w:jc w:val="left"/>
            </w:pPr>
            <w:r>
              <w:t xml:space="preserve">seguimiento del cáncer colorrectal</w:t>
            </w:r>
          </w:p>
        </w:tc>
        <w:tc>
          <w:tcPr/>
          <w:p>
            <w:pPr>
              <w:pStyle w:val="Compact"/>
              <w:jc w:val="left"/>
            </w:pPr>
            <w:r>
              <w:t xml:space="preserve">Timosina alfa 1</w:t>
            </w:r>
          </w:p>
        </w:tc>
        <w:tc>
          <w:tcPr/>
          <w:p>
            <w:pPr>
              <w:pStyle w:val="Compact"/>
              <w:jc w:val="left"/>
            </w:pPr>
            <w:r>
              <w:t xml:space="preserve">NCT05086614</w:t>
            </w:r>
          </w:p>
        </w:tc>
      </w:tr>
      <w:tr>
        <w:tc>
          <w:tcPr/>
          <w:p>
            <w:pPr>
              <w:pStyle w:val="Compact"/>
              <w:jc w:val="left"/>
            </w:pPr>
            <w:r>
              <w:t xml:space="preserve">2027</w:t>
            </w:r>
          </w:p>
        </w:tc>
        <w:tc>
          <w:tcPr/>
          <w:p>
            <w:pPr>
              <w:pStyle w:val="Compact"/>
              <w:jc w:val="left"/>
            </w:pPr>
            <w:r>
              <w:t xml:space="preserve">degeneración macular</w:t>
            </w:r>
          </w:p>
        </w:tc>
        <w:tc>
          <w:tcPr/>
          <w:p>
            <w:pPr>
              <w:pStyle w:val="Compact"/>
              <w:jc w:val="left"/>
            </w:pPr>
            <w:r>
              <w:t xml:space="preserve">Elamipretida</w:t>
            </w:r>
          </w:p>
        </w:tc>
        <w:tc>
          <w:tcPr/>
          <w:p>
            <w:pPr>
              <w:pStyle w:val="Compact"/>
              <w:jc w:val="left"/>
            </w:pPr>
            <w:r>
              <w:t xml:space="preserve">NCT06373731</w:t>
            </w:r>
          </w:p>
        </w:tc>
      </w:tr>
      <w:tr>
        <w:tc>
          <w:tcPr/>
          <w:p>
            <w:pPr>
              <w:pStyle w:val="Compact"/>
              <w:jc w:val="left"/>
            </w:pPr>
            <w:r>
              <w:t xml:space="preserve">2028</w:t>
            </w:r>
          </w:p>
        </w:tc>
        <w:tc>
          <w:tcPr/>
          <w:p>
            <w:pPr>
              <w:pStyle w:val="Compact"/>
              <w:jc w:val="left"/>
            </w:pPr>
            <w:r>
              <w:t xml:space="preserve">crecimiento en niños</w:t>
            </w:r>
          </w:p>
        </w:tc>
        <w:tc>
          <w:tcPr/>
          <w:p>
            <w:pPr>
              <w:pStyle w:val="Compact"/>
              <w:jc w:val="left"/>
            </w:pPr>
            <w:r>
              <w:t xml:space="preserve">Ibutamoreno (LUM-201)</w:t>
            </w:r>
          </w:p>
        </w:tc>
        <w:tc>
          <w:tcPr/>
          <w:p>
            <w:pPr>
              <w:pStyle w:val="Compact"/>
              <w:jc w:val="left"/>
            </w:pPr>
            <w:r>
              <w:t xml:space="preserve">NCT06948214</w:t>
            </w:r>
          </w:p>
        </w:tc>
      </w:tr>
      <w:tr>
        <w:tc>
          <w:tcPr/>
          <w:p>
            <w:pPr>
              <w:pStyle w:val="Compact"/>
              <w:jc w:val="left"/>
            </w:pPr>
            <w:r>
              <w:t xml:space="preserve">2029</w:t>
            </w:r>
          </w:p>
        </w:tc>
        <w:tc>
          <w:tcPr/>
          <w:p>
            <w:pPr>
              <w:pStyle w:val="Compact"/>
              <w:jc w:val="left"/>
            </w:pPr>
            <w:r>
              <w:t xml:space="preserve">acontecimientos cardiacos y renales</w:t>
            </w:r>
          </w:p>
        </w:tc>
        <w:tc>
          <w:tcPr/>
          <w:p>
            <w:pPr>
              <w:pStyle w:val="Compact"/>
              <w:jc w:val="left"/>
            </w:pPr>
            <w:r>
              <w:t xml:space="preserve">Retatrutida</w:t>
            </w:r>
          </w:p>
        </w:tc>
        <w:tc>
          <w:tcPr/>
          <w:p>
            <w:pPr>
              <w:pStyle w:val="Compact"/>
              <w:jc w:val="left"/>
            </w:pPr>
            <w:r>
              <w:t xml:space="preserve">NCT06383390</w:t>
            </w:r>
          </w:p>
        </w:tc>
      </w:tr>
      <w:tr>
        <w:tc>
          <w:tcPr/>
          <w:p>
            <w:pPr>
              <w:pStyle w:val="Compact"/>
              <w:jc w:val="left"/>
            </w:pPr>
            <w:r>
              <w:t xml:space="preserve">2030</w:t>
            </w:r>
          </w:p>
        </w:tc>
        <w:tc>
          <w:tcPr/>
          <w:p>
            <w:pPr>
              <w:pStyle w:val="Compact"/>
              <w:jc w:val="left"/>
            </w:pPr>
            <w:r>
              <w:t xml:space="preserve">resultados cardiovasculares, insuficiencia cardiaca</w:t>
            </w:r>
          </w:p>
        </w:tc>
        <w:tc>
          <w:tcPr/>
          <w:p>
            <w:pPr>
              <w:pStyle w:val="Compact"/>
              <w:jc w:val="left"/>
            </w:pPr>
            <w:r>
              <w:t xml:space="preserve">Maridebart cafraglutida</w:t>
            </w:r>
          </w:p>
        </w:tc>
        <w:tc>
          <w:tcPr/>
          <w:p>
            <w:pPr>
              <w:pStyle w:val="Compact"/>
              <w:jc w:val="left"/>
            </w:pPr>
            <w:r>
              <w:t xml:space="preserve">NCT07037433, NCT07037459</w:t>
            </w:r>
          </w:p>
        </w:tc>
      </w:tr>
      <w:tr>
        <w:tc>
          <w:tcPr/>
          <w:p>
            <w:pPr>
              <w:pStyle w:val="Compact"/>
              <w:jc w:val="left"/>
            </w:pPr>
            <w:r>
              <w:t xml:space="preserve">2030</w:t>
            </w:r>
          </w:p>
        </w:tc>
        <w:tc>
          <w:tcPr/>
          <w:p>
            <w:pPr>
              <w:pStyle w:val="Compact"/>
              <w:jc w:val="left"/>
            </w:pPr>
            <w:r>
              <w:t xml:space="preserve">resultados cardiovasculares</w:t>
            </w:r>
          </w:p>
        </w:tc>
        <w:tc>
          <w:tcPr/>
          <w:p>
            <w:pPr>
              <w:pStyle w:val="Compact"/>
              <w:jc w:val="left"/>
            </w:pPr>
            <w:r>
              <w:t xml:space="preserve">Zenagamtida</w:t>
            </w:r>
          </w:p>
        </w:tc>
        <w:tc>
          <w:tcPr/>
          <w:p>
            <w:pPr>
              <w:pStyle w:val="Compact"/>
              <w:jc w:val="left"/>
            </w:pPr>
            <w:r>
              <w:t xml:space="preserve">NCT07861100</w:t>
            </w:r>
          </w:p>
        </w:tc>
      </w:tr>
      <w:tr>
        <w:tc>
          <w:tcPr/>
          <w:p>
            <w:pPr>
              <w:pStyle w:val="Compact"/>
              <w:jc w:val="left"/>
            </w:pPr>
            <w:r>
              <w:t xml:space="preserve">2031</w:t>
            </w:r>
          </w:p>
        </w:tc>
        <w:tc>
          <w:tcPr/>
          <w:p>
            <w:pPr>
              <w:pStyle w:val="Compact"/>
              <w:jc w:val="left"/>
            </w:pPr>
            <w:r>
              <w:t xml:space="preserve">resultados cardiovasculares</w:t>
            </w:r>
          </w:p>
        </w:tc>
        <w:tc>
          <w:tcPr/>
          <w:p>
            <w:pPr>
              <w:pStyle w:val="Compact"/>
              <w:jc w:val="left"/>
            </w:pPr>
            <w:r>
              <w:t xml:space="preserve">Orforglipron</w:t>
            </w:r>
          </w:p>
        </w:tc>
        <w:tc>
          <w:tcPr/>
          <w:p>
            <w:pPr>
              <w:pStyle w:val="Compact"/>
              <w:jc w:val="left"/>
            </w:pPr>
            <w:r>
              <w:t xml:space="preserve">NCT07241390</w:t>
            </w:r>
          </w:p>
        </w:tc>
      </w:tr>
      <w:tr>
        <w:tc>
          <w:tcPr/>
          <w:p>
            <w:pPr>
              <w:pStyle w:val="Compact"/>
              <w:jc w:val="left"/>
            </w:pPr>
            <w:r>
              <w:t xml:space="preserve">2031</w:t>
            </w:r>
          </w:p>
        </w:tc>
        <w:tc>
          <w:tcPr/>
          <w:p>
            <w:pPr>
              <w:pStyle w:val="Compact"/>
              <w:jc w:val="left"/>
            </w:pPr>
            <w:r>
              <w:t xml:space="preserve">resultados cardiovasculares</w:t>
            </w:r>
          </w:p>
        </w:tc>
        <w:tc>
          <w:tcPr/>
          <w:p>
            <w:pPr>
              <w:pStyle w:val="Compact"/>
              <w:jc w:val="left"/>
            </w:pPr>
            <w:r>
              <w:t xml:space="preserve">Enlicitida (péptido oral)</w:t>
            </w:r>
          </w:p>
        </w:tc>
        <w:tc>
          <w:tcPr/>
          <w:p>
            <w:pPr>
              <w:pStyle w:val="Compact"/>
              <w:jc w:val="left"/>
            </w:pPr>
            <w:r>
              <w:t xml:space="preserve">NCT06008756</w:t>
            </w:r>
          </w:p>
        </w:tc>
      </w:tr>
      <w:tr>
        <w:tc>
          <w:tcPr/>
          <w:p>
            <w:pPr>
              <w:pStyle w:val="Compact"/>
              <w:jc w:val="left"/>
            </w:pPr>
            <w:r>
              <w:t xml:space="preserve">2032</w:t>
            </w:r>
          </w:p>
        </w:tc>
        <w:tc>
          <w:tcPr/>
          <w:p>
            <w:pPr>
              <w:pStyle w:val="Compact"/>
              <w:jc w:val="left"/>
            </w:pPr>
            <w:r>
              <w:t xml:space="preserve">acontecimientos hepáticos graves</w:t>
            </w:r>
          </w:p>
        </w:tc>
        <w:tc>
          <w:tcPr/>
          <w:p>
            <w:pPr>
              <w:pStyle w:val="Compact"/>
              <w:jc w:val="left"/>
            </w:pPr>
            <w:r>
              <w:t xml:space="preserve">Tirzepatida, retatrutida</w:t>
            </w:r>
          </w:p>
        </w:tc>
        <w:tc>
          <w:tcPr/>
          <w:p>
            <w:pPr>
              <w:pStyle w:val="Compact"/>
              <w:jc w:val="left"/>
            </w:pPr>
            <w:r>
              <w:t xml:space="preserve">NCT07165028</w:t>
            </w:r>
          </w:p>
        </w:tc>
      </w:tr>
    </w:tbl>
    <w:p>
      <w:pPr>
        <w:pStyle w:val="BodyText"/>
      </w:pPr>
      <w:r>
        <w:t xml:space="preserve">Los años son las fechas de finalización de los estudios indicadas en el registro. Las publicaciones suelen llegar más tarde, y los aplazamientos son frecuentes.</w:t>
      </w:r>
    </w:p>
    <w:bookmarkEnd w:id="1076"/>
    <w:bookmarkStart w:id="1077" w:name="conclusión-del-libro"/>
    <w:p>
      <w:pPr>
        <w:pStyle w:val="Heading3"/>
      </w:pPr>
      <w:r>
        <w:t xml:space="preserve">Conclusión del libro</w:t>
      </w:r>
    </w:p>
    <w:p>
      <w:pPr>
        <w:pStyle w:val="FirstParagraph"/>
      </w:pPr>
      <w:r>
        <w:t xml:space="preserve">De los péptidos de este libro, solo unos pocos han demostrado en grandes estudios en humanos lo que aportan, en primer lugar los medicamentos basados en GLP-1, cuyo beneficio está demostrado hasta en la reducción de los acontecimientos cardiovasculares. Para la mayoría de los péptidos que se promocionan en internet como remedios milagrosos para la curación, los músculos o una vida larga, en cambio, solo hay experimentos con animales, estudios pequeños o ningún dato, y tampoco ningún gran estudio en curso que vaya a cambiarlo pronto. Por eso, el futuro de la medicina de los péptidos no se decide en las tiendas en línea, sino en los estudios de resultados que terminarán entre 2027 y 2032. A quien se interese por un péptido le irá mejor con tres preguntas: ¿hay estudios aleatorizados en humanos?, ¿es el producto un medicamento evaluado?, y ¿acompaña un médico su uso?</w:t>
      </w:r>
    </w:p>
    <w:bookmarkEnd w:id="1077"/>
    <w:bookmarkEnd w:id="1078"/>
    <w:bookmarkEnd w:id="1079"/>
    <w:bookmarkStart w:id="1099" w:name="glosario"/>
    <w:p>
      <w:pPr>
        <w:pStyle w:val="Heading1"/>
      </w:pPr>
      <w:r>
        <w:t xml:space="preserve">Glosario</w:t>
      </w:r>
    </w:p>
    <w:p>
      <w:pPr>
        <w:pStyle w:val="FirstParagraph"/>
      </w:pPr>
      <w:r>
        <w:t xml:space="preserve">Las siguientes explicaciones son deliberadamente breves. Encontrará exposiciones más detalladas en los capítulos de la Parte I, en particular en «Qué son los péptidos y qué no son» y «Cómo leer correctamente los estudios».</w:t>
      </w:r>
    </w:p>
    <w:bookmarkStart w:id="1080" w:name="a"/>
    <w:p>
      <w:pPr>
        <w:pStyle w:val="Heading3"/>
      </w:pPr>
      <w:r>
        <w:t xml:space="preserve">A</w:t>
      </w:r>
    </w:p>
    <w:p>
      <w:pPr>
        <w:pStyle w:val="FirstParagraph"/>
      </w:pPr>
      <w:r>
        <w:rPr>
          <w:bCs/>
          <w:b/>
        </w:rPr>
        <w:t xml:space="preserve">Acontecimiento adverso</w:t>
      </w:r>
      <w:r>
        <w:t xml:space="preserve">: Cualquier problema de salud que aparece durante un estudio, con independencia de que lo haya causado el tratamiento. Solo la comparación con el grupo de control muestra si es probable una relación.</w:t>
      </w:r>
    </w:p>
    <w:p>
      <w:pPr>
        <w:pStyle w:val="BodyText"/>
      </w:pPr>
      <w:r>
        <w:rPr>
          <w:bCs/>
          <w:b/>
        </w:rPr>
        <w:t xml:space="preserve">Acromegalia</w:t>
      </w:r>
      <w:r>
        <w:t xml:space="preserve">: Enfermedad causada por una sobreproducción permanente de hormona del crecimiento en la edad adulta, por lo general debida a un tumor benigno de la hipófisis. Son típicos el aumento de tamaño de las manos, los pies y los rasgos faciales.</w:t>
      </w:r>
    </w:p>
    <w:p>
      <w:pPr>
        <w:pStyle w:val="BodyText"/>
      </w:pPr>
      <w:r>
        <w:rPr>
          <w:bCs/>
          <w:b/>
        </w:rPr>
        <w:t xml:space="preserve">Agonista</w:t>
      </w:r>
      <w:r>
        <w:t xml:space="preserve">: Una sustancia que se une a un receptor y lo activa, es decir, desencadena una señal. La semaglutida, por ejemplo, es un agonista del receptor de GLP-1.</w:t>
      </w:r>
    </w:p>
    <w:p>
      <w:pPr>
        <w:pStyle w:val="BodyText"/>
      </w:pPr>
      <w:r>
        <w:rPr>
          <w:bCs/>
          <w:b/>
        </w:rPr>
        <w:t xml:space="preserve">Agonista del receptor de GLP-1</w:t>
      </w:r>
      <w:r>
        <w:t xml:space="preserve">: Un principio activo que activa el receptor de GLP-1, por ejemplo la exenatida, la liraglutida, la dulaglutida o la semaglutida.</w:t>
      </w:r>
    </w:p>
    <w:p>
      <w:pPr>
        <w:pStyle w:val="BodyText"/>
      </w:pPr>
      <w:r>
        <w:rPr>
          <w:bCs/>
          <w:b/>
        </w:rPr>
        <w:t xml:space="preserve">Albúmina</w:t>
      </w:r>
      <w:r>
        <w:t xml:space="preserve">: La proteína más abundante del plasma sanguíneo. Algunos medicamentos peptídicos están diseñados para unirse a la albúmina y permanecer así más tiempo en el organismo.</w:t>
      </w:r>
    </w:p>
    <w:p>
      <w:pPr>
        <w:pStyle w:val="BodyText"/>
      </w:pPr>
      <w:r>
        <w:rPr>
          <w:bCs/>
          <w:b/>
        </w:rPr>
        <w:t xml:space="preserve">Aleatorización</w:t>
      </w:r>
      <w:r>
        <w:t xml:space="preserve">: La asignación al azar de los participantes a los grupos de un estudio. Garantiza que los grupos solo difieran sistemáticamente en el tratamiento.</w:t>
      </w:r>
    </w:p>
    <w:p>
      <w:pPr>
        <w:pStyle w:val="BodyText"/>
      </w:pPr>
      <w:r>
        <w:rPr>
          <w:bCs/>
          <w:b/>
        </w:rPr>
        <w:t xml:space="preserve">Amilina</w:t>
      </w:r>
      <w:r>
        <w:t xml:space="preserve">: Una hormona peptídica que se secreta junto con la insulina desde el páncreas e influye, entre otras cosas, en la saciedad y el vaciamiento gástrico. Variantes como la pramlintida y la cagrilintida se utilizan o investigan como medicamentos.</w:t>
      </w:r>
    </w:p>
    <w:p>
      <w:pPr>
        <w:pStyle w:val="BodyText"/>
      </w:pPr>
      <w:r>
        <w:rPr>
          <w:bCs/>
          <w:b/>
        </w:rPr>
        <w:t xml:space="preserve">Aminoácido</w:t>
      </w:r>
      <w:r>
        <w:t xml:space="preserve">: Componente básico de los péptidos y las proteínas. El ser humano utiliza esencialmente 20 aminoácidos estándar, que se unen en cadenas mediante enlaces peptídicos.</w:t>
      </w:r>
    </w:p>
    <w:p>
      <w:pPr>
        <w:pStyle w:val="BodyText"/>
      </w:pPr>
      <w:r>
        <w:rPr>
          <w:bCs/>
          <w:b/>
        </w:rPr>
        <w:t xml:space="preserve">Análisis por intención de tratar</w:t>
      </w:r>
      <w:r>
        <w:t xml:space="preserve">: Análisis de un estudio en el que todos los participantes se cuentan en el grupo al que fueron asignados, aunque hayan abandonado el tratamiento. Se considera una estimación más realista del efecto en la vida diaria.</w:t>
      </w:r>
    </w:p>
    <w:p>
      <w:pPr>
        <w:pStyle w:val="BodyText"/>
      </w:pPr>
      <w:r>
        <w:rPr>
          <w:bCs/>
          <w:b/>
        </w:rPr>
        <w:t xml:space="preserve">Análogo</w:t>
      </w:r>
      <w:r>
        <w:t xml:space="preserve">: Una molécula que imita un modelo natural, pero que se ha modificado de forma deliberada, por ejemplo para hacerla más estable o de acción más prolongada.</w:t>
      </w:r>
    </w:p>
    <w:p>
      <w:pPr>
        <w:pStyle w:val="BodyText"/>
      </w:pPr>
      <w:r>
        <w:rPr>
          <w:bCs/>
          <w:b/>
        </w:rPr>
        <w:t xml:space="preserve">Angiogénesis</w:t>
      </w:r>
      <w:r>
        <w:t xml:space="preserve">: Formación de nuevos vasos sanguíneos. Es importante para la cicatrización de heridas, pero también puede favorecer el crecimiento de tumores.</w:t>
      </w:r>
    </w:p>
    <w:p>
      <w:pPr>
        <w:pStyle w:val="BodyText"/>
      </w:pPr>
      <w:r>
        <w:rPr>
          <w:bCs/>
          <w:b/>
        </w:rPr>
        <w:t xml:space="preserve">Antagonista</w:t>
      </w:r>
      <w:r>
        <w:t xml:space="preserve">: Una sustancia que se une a un receptor sin activarlo y bloquea así el efecto de los mensajeros endógenos.</w:t>
      </w:r>
    </w:p>
    <w:p>
      <w:pPr>
        <w:pStyle w:val="BodyText"/>
      </w:pPr>
      <w:r>
        <w:rPr>
          <w:bCs/>
          <w:b/>
        </w:rPr>
        <w:t xml:space="preserve">Anticuerpos</w:t>
      </w:r>
      <w:r>
        <w:t xml:space="preserve">: Moléculas proteicas del sistema inmunitario que se unen de forma específica a estructuras ajenas. Los anticuerpos formados contra medicamentos peptídicos pueden atenuar su efecto o desencadenar reacciones.</w:t>
      </w:r>
    </w:p>
    <w:p>
      <w:pPr>
        <w:pStyle w:val="BodyText"/>
      </w:pPr>
      <w:r>
        <w:rPr>
          <w:bCs/>
          <w:b/>
        </w:rPr>
        <w:t xml:space="preserve">Autorización de comercialización</w:t>
      </w:r>
      <w:r>
        <w:t xml:space="preserve">: La aprobación por las autoridades para comercializar un medicamento, tras evaluar su calidad, eficacia y seguridad.</w:t>
      </w:r>
    </w:p>
    <w:bookmarkEnd w:id="1080"/>
    <w:bookmarkStart w:id="1081" w:name="b"/>
    <w:p>
      <w:pPr>
        <w:pStyle w:val="Heading3"/>
      </w:pPr>
      <w:r>
        <w:t xml:space="preserve">B</w:t>
      </w:r>
    </w:p>
    <w:p>
      <w:pPr>
        <w:pStyle w:val="FirstParagraph"/>
      </w:pPr>
      <w:r>
        <w:rPr>
          <w:bCs/>
          <w:b/>
        </w:rPr>
        <w:t xml:space="preserve">Biodisponibilidad</w:t>
      </w:r>
      <w:r>
        <w:t xml:space="preserve">: La proporción de un principio activo administrado que llega sin modificar al torrente sanguíneo. En una infusión intravenosa es del 100 %; en los comprimidos peptídicos, a menudo solo de un pequeño porcentaje o menos.</w:t>
      </w:r>
    </w:p>
    <w:p>
      <w:pPr>
        <w:pStyle w:val="BodyText"/>
      </w:pPr>
      <w:r>
        <w:rPr>
          <w:bCs/>
          <w:b/>
        </w:rPr>
        <w:t xml:space="preserve">Biosimilar</w:t>
      </w:r>
      <w:r>
        <w:t xml:space="preserve">: Un preparado sucesor de un medicamento biológico tras la expiración de la protección por patente. Debe ser demostrablemente muy similar al original en calidad, eficacia y seguridad.</w:t>
      </w:r>
    </w:p>
    <w:bookmarkEnd w:id="1081"/>
    <w:bookmarkStart w:id="1082" w:name="c"/>
    <w:p>
      <w:pPr>
        <w:pStyle w:val="Heading3"/>
      </w:pPr>
      <w:r>
        <w:t xml:space="preserve">C</w:t>
      </w:r>
    </w:p>
    <w:p>
      <w:pPr>
        <w:pStyle w:val="FirstParagraph"/>
      </w:pPr>
      <w:r>
        <w:rPr>
          <w:bCs/>
          <w:b/>
        </w:rPr>
        <w:t xml:space="preserve">C-terminal (extremo)</w:t>
      </w:r>
      <w:r>
        <w:t xml:space="preserve">: El extremo de una cadena peptídica con el grupo ácido libre. Las secuencias peptídicas se escriben del extremo N-terminal al C-terminal.</w:t>
      </w:r>
    </w:p>
    <w:p>
      <w:pPr>
        <w:pStyle w:val="BodyText"/>
      </w:pPr>
      <w:r>
        <w:rPr>
          <w:bCs/>
          <w:b/>
        </w:rPr>
        <w:t xml:space="preserve">Caso clínico</w:t>
      </w:r>
      <w:r>
        <w:t xml:space="preserve">: La descripción de un único caso de enfermedad en una revista especializada. Los casos clínicos son importantes para detectar efectos adversos raros, pero dicen poco sobre la eficacia.</w:t>
      </w:r>
    </w:p>
    <w:p>
      <w:pPr>
        <w:pStyle w:val="BodyText"/>
      </w:pPr>
      <w:r>
        <w:rPr>
          <w:bCs/>
          <w:b/>
        </w:rPr>
        <w:t xml:space="preserve">Complemento alimenticio</w:t>
      </w:r>
      <w:r>
        <w:t xml:space="preserve">: Un alimento destinado a complementar la alimentación normal con nutrientes u otras sustancias. No necesita autorización, pero no puede tener un efecto farmacológico.</w:t>
      </w:r>
    </w:p>
    <w:p>
      <w:pPr>
        <w:pStyle w:val="BodyText"/>
      </w:pPr>
      <w:r>
        <w:rPr>
          <w:bCs/>
          <w:b/>
        </w:rPr>
        <w:t xml:space="preserve">Compounding (elaboración en farmacia)</w:t>
      </w:r>
      <w:r>
        <w:t xml:space="preserve">: En EE. UU., la fabricación de medicamentos por las propias farmacias, por ejemplo en caso de desabastecimiento. Estas preparaciones no son especialidades farmacéuticas autorizadas.</w:t>
      </w:r>
    </w:p>
    <w:p>
      <w:pPr>
        <w:pStyle w:val="BodyText"/>
      </w:pPr>
      <w:r>
        <w:rPr>
          <w:bCs/>
          <w:b/>
        </w:rPr>
        <w:t xml:space="preserve">Conflicto de intereses</w:t>
      </w:r>
      <w:r>
        <w:t xml:space="preserve">: Una situación en la que intereses económicos o de otro tipo podrían influir en el juicio de los investigadores o autores, por ejemplo por la financiación de un estudio por parte del fabricante.</w:t>
      </w:r>
    </w:p>
    <w:p>
      <w:pPr>
        <w:pStyle w:val="BodyText"/>
      </w:pPr>
      <w:r>
        <w:rPr>
          <w:bCs/>
          <w:b/>
        </w:rPr>
        <w:t xml:space="preserve">Confusión (factor de confusión)</w:t>
      </w:r>
      <w:r>
        <w:t xml:space="preserve">: Un factor relacionado tanto con un tratamiento como con un resultado y que, por ello, puede generar una relación aparente. Es un problema típico de los estudios observacionales.</w:t>
      </w:r>
    </w:p>
    <w:bookmarkEnd w:id="1082"/>
    <w:bookmarkStart w:id="1083" w:name="d"/>
    <w:p>
      <w:pPr>
        <w:pStyle w:val="Heading3"/>
      </w:pPr>
      <w:r>
        <w:t xml:space="preserve">D</w:t>
      </w:r>
    </w:p>
    <w:p>
      <w:pPr>
        <w:pStyle w:val="FirstParagraph"/>
      </w:pPr>
      <w:r>
        <w:rPr>
          <w:bCs/>
          <w:b/>
        </w:rPr>
        <w:t xml:space="preserve">Dalton</w:t>
      </w:r>
      <w:r>
        <w:t xml:space="preserve">: Unidad de medida de la masa de las moléculas. Un aminoácido de una cadena peptídica pesa de media algo más de 100 dalton.</w:t>
      </w:r>
    </w:p>
    <w:p>
      <w:pPr>
        <w:pStyle w:val="BodyText"/>
      </w:pPr>
      <w:r>
        <w:rPr>
          <w:bCs/>
          <w:b/>
        </w:rPr>
        <w:t xml:space="preserve">Diabetes tipo 2</w:t>
      </w:r>
      <w:r>
        <w:t xml:space="preserve">: La forma más frecuente de diabetes, en la que el organismo utiliza la insulina con menos eficacia y el páncreas no produce suficiente para compensarlo. A menudo se asocia al sobrepeso.</w:t>
      </w:r>
    </w:p>
    <w:p>
      <w:pPr>
        <w:pStyle w:val="BodyText"/>
      </w:pPr>
      <w:r>
        <w:rPr>
          <w:bCs/>
          <w:b/>
        </w:rPr>
        <w:t xml:space="preserve">Dipeptidil peptidasa 4 (DPP-4)</w:t>
      </w:r>
      <w:r>
        <w:t xml:space="preserve">: Una enzima que degrada rápidamente, entre otras, la hormona intestinal GLP-1. Los inhibidores de esta enzima (gliptinas) se utilizan como comprimidos para la diabetes.</w:t>
      </w:r>
    </w:p>
    <w:p>
      <w:pPr>
        <w:pStyle w:val="BodyText"/>
      </w:pPr>
      <w:r>
        <w:rPr>
          <w:bCs/>
          <w:b/>
        </w:rPr>
        <w:t xml:space="preserve">Doble ciego</w:t>
      </w:r>
      <w:r>
        <w:t xml:space="preserve">: Un estudio en el que ni los participantes ni el personal del estudio saben quién recibe el principio activo y quién el placebo. Esto reduce la influencia de las expectativas en los resultados.</w:t>
      </w:r>
    </w:p>
    <w:bookmarkEnd w:id="1083"/>
    <w:bookmarkStart w:id="1084" w:name="e"/>
    <w:p>
      <w:pPr>
        <w:pStyle w:val="Heading3"/>
      </w:pPr>
      <w:r>
        <w:t xml:space="preserve">E</w:t>
      </w:r>
    </w:p>
    <w:p>
      <w:pPr>
        <w:pStyle w:val="FirstParagraph"/>
      </w:pPr>
      <w:r>
        <w:rPr>
          <w:bCs/>
          <w:b/>
        </w:rPr>
        <w:t xml:space="preserve">ECA (ensayo controlado aleatorizado; en inglés, RCT)</w:t>
      </w:r>
      <w:r>
        <w:t xml:space="preserve">: Un estudio con asignación al azar a un grupo de tratamiento y a un grupo de control. Se considera la forma más fiable de demostrar el efecto de un tratamiento.</w:t>
      </w:r>
    </w:p>
    <w:p>
      <w:pPr>
        <w:pStyle w:val="BodyText"/>
      </w:pPr>
      <w:r>
        <w:rPr>
          <w:bCs/>
          <w:b/>
        </w:rPr>
        <w:t xml:space="preserve">Efecto placebo</w:t>
      </w:r>
      <w:r>
        <w:t xml:space="preserve">: Una mejoría de los síntomas que no se debe a un principio activo, sino a las expectativas, la atención recibida o la evolución natural.</w:t>
      </w:r>
    </w:p>
    <w:p>
      <w:pPr>
        <w:pStyle w:val="BodyText"/>
      </w:pPr>
      <w:r>
        <w:rPr>
          <w:bCs/>
          <w:b/>
        </w:rPr>
        <w:t xml:space="preserve">Endotoxinas</w:t>
      </w:r>
      <w:r>
        <w:t xml:space="preserve">: Componentes termoestables de la pared celular de determinadas bacterias. Si pasan a la sangre, pueden desencadenar fiebre, inflamación y reacciones circulatorias; siguen siendo activas incluso después de que las bacterias hayan muerto.</w:t>
      </w:r>
    </w:p>
    <w:p>
      <w:pPr>
        <w:pStyle w:val="BodyText"/>
      </w:pPr>
      <w:r>
        <w:rPr>
          <w:bCs/>
          <w:b/>
        </w:rPr>
        <w:t xml:space="preserve">Enlace peptídico</w:t>
      </w:r>
      <w:r>
        <w:t xml:space="preserve">: La unión química entre el grupo ácido de un aminoácido y el grupo amino del siguiente, en cuya formación se desprende agua.</w:t>
      </w:r>
    </w:p>
    <w:p>
      <w:pPr>
        <w:pStyle w:val="BodyText"/>
      </w:pPr>
      <w:r>
        <w:rPr>
          <w:bCs/>
          <w:b/>
        </w:rPr>
        <w:t xml:space="preserve">Enmascaramiento</w:t>
      </w:r>
      <w:r>
        <w:t xml:space="preserve">: La ocultación de la asignación a los grupos a los participantes o al personal del estudio, o a ambos, para evitar efectos de las expectativas.</w:t>
      </w:r>
    </w:p>
    <w:p>
      <w:pPr>
        <w:pStyle w:val="BodyText"/>
      </w:pPr>
      <w:r>
        <w:rPr>
          <w:bCs/>
          <w:b/>
        </w:rPr>
        <w:t xml:space="preserve">Espectrometría de masas</w:t>
      </w:r>
      <w:r>
        <w:t xml:space="preserve">: Un método de medición que determina las moléculas según su masa. Permite identificar inequívocamente péptidos en productos y en líquidos corporales, por ejemplo en los controles antidopaje.</w:t>
      </w:r>
    </w:p>
    <w:p>
      <w:pPr>
        <w:pStyle w:val="BodyText"/>
      </w:pPr>
      <w:r>
        <w:rPr>
          <w:bCs/>
          <w:b/>
        </w:rPr>
        <w:t xml:space="preserve">Esterilidad</w:t>
      </w:r>
      <w:r>
        <w:t xml:space="preserve">: Ausencia de microorganismos vivos. Un producto estéril puede, no obstante, contener endotoxinas.</w:t>
      </w:r>
    </w:p>
    <w:p>
      <w:pPr>
        <w:pStyle w:val="BodyText"/>
      </w:pPr>
      <w:r>
        <w:rPr>
          <w:bCs/>
          <w:b/>
        </w:rPr>
        <w:t xml:space="preserve">Estimando</w:t>
      </w:r>
      <w:r>
        <w:t xml:space="preserve">: Una descripción precisa de qué efecto del tratamiento se estima en un estudio, por ejemplo con independencia de si los participantes abandonan el tratamiento, o solo para el tiempo en que realmente lo toman.</w:t>
      </w:r>
    </w:p>
    <w:p>
      <w:pPr>
        <w:pStyle w:val="BodyText"/>
      </w:pPr>
      <w:r>
        <w:rPr>
          <w:bCs/>
          <w:b/>
        </w:rPr>
        <w:t xml:space="preserve">Estudio abierto</w:t>
      </w:r>
      <w:r>
        <w:t xml:space="preserve">: Un estudio sin enmascaramiento, en el que los participantes y el personal del estudio saben qué tratamiento se administra.</w:t>
      </w:r>
    </w:p>
    <w:p>
      <w:pPr>
        <w:pStyle w:val="BodyText"/>
      </w:pPr>
      <w:r>
        <w:rPr>
          <w:bCs/>
          <w:b/>
        </w:rPr>
        <w:t xml:space="preserve">Estudio de cohortes</w:t>
      </w:r>
      <w:r>
        <w:t xml:space="preserve">: Un estudio observacional que sigue a un grupo de personas durante un periodo prolongado y compara con qué frecuencia aparecen determinados acontecimientos según sus características o tratamientos.</w:t>
      </w:r>
    </w:p>
    <w:p>
      <w:pPr>
        <w:pStyle w:val="BodyText"/>
      </w:pPr>
      <w:r>
        <w:rPr>
          <w:bCs/>
          <w:b/>
        </w:rPr>
        <w:t xml:space="preserve">Estudios preclínicos</w:t>
      </w:r>
      <w:r>
        <w:t xml:space="preserve">: Investigaciones en el laboratorio y con animales que se realizan antes de los primeros estudios en humanos.</w:t>
      </w:r>
    </w:p>
    <w:p>
      <w:pPr>
        <w:pStyle w:val="BodyText"/>
      </w:pPr>
      <w:r>
        <w:rPr>
          <w:bCs/>
          <w:b/>
        </w:rPr>
        <w:t xml:space="preserve">EudraVigilance</w:t>
      </w:r>
      <w:r>
        <w:t xml:space="preserve">: La base de datos de la Agencia Europea de Medicamentos para las notificaciones de sospechas de efectos adversos.</w:t>
      </w:r>
    </w:p>
    <w:bookmarkEnd w:id="1084"/>
    <w:bookmarkStart w:id="1085" w:name="f"/>
    <w:p>
      <w:pPr>
        <w:pStyle w:val="Heading3"/>
      </w:pPr>
      <w:r>
        <w:t xml:space="preserve">F</w:t>
      </w:r>
    </w:p>
    <w:p>
      <w:pPr>
        <w:pStyle w:val="FirstParagraph"/>
      </w:pPr>
      <w:r>
        <w:rPr>
          <w:bCs/>
          <w:b/>
        </w:rPr>
        <w:t xml:space="preserve">FAERS</w:t>
      </w:r>
      <w:r>
        <w:t xml:space="preserve">: El sistema de notificación de sospechas de efectos adversos de la FDA, la autoridad de medicamentos de EE. UU.</w:t>
      </w:r>
    </w:p>
    <w:p>
      <w:pPr>
        <w:pStyle w:val="BodyText"/>
      </w:pPr>
      <w:r>
        <w:rPr>
          <w:bCs/>
          <w:b/>
        </w:rPr>
        <w:t xml:space="preserve">Farmacocinética</w:t>
      </w:r>
      <w:r>
        <w:t xml:space="preserve">: El estudio de lo que el organismo hace con un principio activo: absorción, distribución, degradación y eliminación.</w:t>
      </w:r>
    </w:p>
    <w:p>
      <w:pPr>
        <w:pStyle w:val="BodyText"/>
      </w:pPr>
      <w:r>
        <w:rPr>
          <w:bCs/>
          <w:b/>
        </w:rPr>
        <w:t xml:space="preserve">Farmacodinámica</w:t>
      </w:r>
      <w:r>
        <w:t xml:space="preserve">: El estudio de lo que un principio activo produce en el organismo, es decir, de sus efectos y mecanismos de acción.</w:t>
      </w:r>
    </w:p>
    <w:p>
      <w:pPr>
        <w:pStyle w:val="BodyText"/>
      </w:pPr>
      <w:r>
        <w:rPr>
          <w:bCs/>
          <w:b/>
        </w:rPr>
        <w:t xml:space="preserve">Farmacovigilancia</w:t>
      </w:r>
      <w:r>
        <w:t xml:space="preserve">: La vigilancia sistemática de los medicamentos tras su autorización para detectar y evaluar efectos adversos.</w:t>
      </w:r>
    </w:p>
    <w:p>
      <w:pPr>
        <w:pStyle w:val="BodyText"/>
      </w:pPr>
      <w:r>
        <w:rPr>
          <w:bCs/>
          <w:b/>
        </w:rPr>
        <w:t xml:space="preserve">Fases de los estudios</w:t>
      </w:r>
      <w:r>
        <w:t xml:space="preserve">: Las etapas de la evaluación de medicamentos en humanos, desde la fase 1 (tolerabilidad en pocas personas) hasta la fase 3 (grandes estudios comparativos) y la fase 4 (observación tras la autorización).</w:t>
      </w:r>
    </w:p>
    <w:p>
      <w:pPr>
        <w:pStyle w:val="BodyText"/>
      </w:pPr>
      <w:r>
        <w:rPr>
          <w:bCs/>
          <w:b/>
        </w:rPr>
        <w:t xml:space="preserve">Ficha técnica</w:t>
      </w:r>
      <w:r>
        <w:t xml:space="preserve">: La información sobre un medicamento autorizado, aprobada por las autoridades y destinada a médicos y farmacias, con indicaciones, posología, contraindicaciones y efectos adversos.</w:t>
      </w:r>
    </w:p>
    <w:bookmarkEnd w:id="1085"/>
    <w:bookmarkStart w:id="1086" w:name="g"/>
    <w:p>
      <w:pPr>
        <w:pStyle w:val="Heading3"/>
      </w:pPr>
      <w:r>
        <w:t xml:space="preserve">G</w:t>
      </w:r>
    </w:p>
    <w:p>
      <w:pPr>
        <w:pStyle w:val="FirstParagraph"/>
      </w:pPr>
      <w:r>
        <w:rPr>
          <w:bCs/>
          <w:b/>
        </w:rPr>
        <w:t xml:space="preserve">GHRH (hormona liberadora de la hormona del crecimiento)</w:t>
      </w:r>
      <w:r>
        <w:t xml:space="preserve">: Una hormona del hipotálamo que estimula la hipófisis para que secrete hormona del crecimiento. La sermorelina, la tesamorelina y CJC-1295 derivan de ella.</w:t>
      </w:r>
    </w:p>
    <w:p>
      <w:pPr>
        <w:pStyle w:val="BodyText"/>
      </w:pPr>
      <w:r>
        <w:rPr>
          <w:bCs/>
          <w:b/>
        </w:rPr>
        <w:t xml:space="preserve">GHRP (péptidos liberadores de hormona del crecimiento)</w:t>
      </w:r>
      <w:r>
        <w:t xml:space="preserve">: Un grupo de péptidos sintéticos que aumentan la secreción de hormona del crecimiento a través del receptor de la grelina, como GHRP-2, GHRP-6, la hexarelina y la ipamorelina.</w:t>
      </w:r>
    </w:p>
    <w:p>
      <w:pPr>
        <w:pStyle w:val="BodyText"/>
      </w:pPr>
      <w:r>
        <w:rPr>
          <w:bCs/>
          <w:b/>
        </w:rPr>
        <w:t xml:space="preserve">GIP (polipéptido insulinotrópico dependiente de glucosa)</w:t>
      </w:r>
      <w:r>
        <w:t xml:space="preserve">: Una hormona intestinal del grupo de las incretinas. La tirzepatida activa, además del receptor de GLP-1, también el receptor de GIP.</w:t>
      </w:r>
    </w:p>
    <w:p>
      <w:pPr>
        <w:pStyle w:val="BodyText"/>
      </w:pPr>
      <w:r>
        <w:rPr>
          <w:bCs/>
          <w:b/>
        </w:rPr>
        <w:t xml:space="preserve">GLP-1 (péptido similar al glucagón tipo 1)</w:t>
      </w:r>
      <w:r>
        <w:t xml:space="preserve">: Una hormona intestinal que se secreta después de comer, potencia la liberación de insulina en función de la glucemia, ralentiza el vaciamiento gástrico e influye en la sensación de saciedad.</w:t>
      </w:r>
    </w:p>
    <w:p>
      <w:pPr>
        <w:pStyle w:val="BodyText"/>
      </w:pPr>
      <w:r>
        <w:rPr>
          <w:bCs/>
          <w:b/>
        </w:rPr>
        <w:t xml:space="preserve">Glucagón</w:t>
      </w:r>
      <w:r>
        <w:t xml:space="preserve">: Una hormona peptídica del páncreas que eleva la glucemia. Algunos principios activos nuevos activan además el receptor de glucagón.</w:t>
      </w:r>
    </w:p>
    <w:p>
      <w:pPr>
        <w:pStyle w:val="BodyText"/>
      </w:pPr>
      <w:r>
        <w:rPr>
          <w:bCs/>
          <w:b/>
        </w:rPr>
        <w:t xml:space="preserve">GnRH (hormona liberadora de gonadotropinas)</w:t>
      </w:r>
      <w:r>
        <w:t xml:space="preserve">: Una hormona del hipotálamo que regula la secreción de LH y FSH, las hormonas que controlan las hormonas sexuales. La gonadorelina es una forma sintética.</w:t>
      </w:r>
    </w:p>
    <w:p>
      <w:pPr>
        <w:pStyle w:val="BodyText"/>
      </w:pPr>
      <w:r>
        <w:rPr>
          <w:bCs/>
          <w:b/>
        </w:rPr>
        <w:t xml:space="preserve">Grelina</w:t>
      </w:r>
      <w:r>
        <w:t xml:space="preserve">: Una hormona peptídica que se produce sobre todo en el estómago, desencadena el hambre y estimula la secreción de hormona del crecimiento.</w:t>
      </w:r>
    </w:p>
    <w:p>
      <w:pPr>
        <w:pStyle w:val="BodyText"/>
      </w:pPr>
      <w:r>
        <w:rPr>
          <w:bCs/>
          <w:b/>
        </w:rPr>
        <w:t xml:space="preserve">Grupo de control</w:t>
      </w:r>
      <w:r>
        <w:t xml:space="preserve">: El grupo de comparación de un estudio, que no recibe principio activo, recibe un placebo o un tratamiento estándar.</w:t>
      </w:r>
    </w:p>
    <w:bookmarkEnd w:id="1086"/>
    <w:bookmarkStart w:id="1087" w:name="h"/>
    <w:p>
      <w:pPr>
        <w:pStyle w:val="Heading3"/>
      </w:pPr>
      <w:r>
        <w:t xml:space="preserve">H</w:t>
      </w:r>
    </w:p>
    <w:p>
      <w:pPr>
        <w:pStyle w:val="FirstParagraph"/>
      </w:pPr>
      <w:r>
        <w:rPr>
          <w:bCs/>
          <w:b/>
        </w:rPr>
        <w:t xml:space="preserve">Hazard ratio</w:t>
      </w:r>
      <w:r>
        <w:t xml:space="preserve">: Una medida de cómo difiere a lo largo del tiempo el riesgo de un acontecimiento entre dos grupos. Un valor de 0,80 significa un riesgo relativo alrededor de un 20 % menor.</w:t>
      </w:r>
    </w:p>
    <w:p>
      <w:pPr>
        <w:pStyle w:val="BodyText"/>
      </w:pPr>
      <w:r>
        <w:rPr>
          <w:bCs/>
          <w:b/>
        </w:rPr>
        <w:t xml:space="preserve">HbA1c</w:t>
      </w:r>
      <w:r>
        <w:t xml:space="preserve">: La proporción del pigmento rojo de la sangre a la que está unido el azúcar. Refleja la glucemia media de los últimos dos a tres meses y es una variable subrogada importante en los estudios de diabetes.</w:t>
      </w:r>
    </w:p>
    <w:p>
      <w:pPr>
        <w:pStyle w:val="BodyText"/>
      </w:pPr>
      <w:r>
        <w:rPr>
          <w:bCs/>
          <w:b/>
        </w:rPr>
        <w:t xml:space="preserve">Hidrolizado</w:t>
      </w:r>
      <w:r>
        <w:t xml:space="preserve">: Una mezcla de fragmentos que se forma cuando las proteínas se escinden con enzimas o ácido. Así se obtienen los péptidos de colágeno.</w:t>
      </w:r>
    </w:p>
    <w:p>
      <w:pPr>
        <w:pStyle w:val="BodyText"/>
      </w:pPr>
      <w:r>
        <w:rPr>
          <w:bCs/>
          <w:b/>
        </w:rPr>
        <w:t xml:space="preserve">Hipófisis</w:t>
      </w:r>
      <w:r>
        <w:t xml:space="preserve">: Una pequeña glándula hormonal situada en la base del cráneo que secreta, entre otras, la hormona del crecimiento y las hormonas que regulan la tiroides, las glándulas suprarrenales y las gónadas.</w:t>
      </w:r>
    </w:p>
    <w:p>
      <w:pPr>
        <w:pStyle w:val="BodyText"/>
      </w:pPr>
      <w:r>
        <w:rPr>
          <w:bCs/>
          <w:b/>
        </w:rPr>
        <w:t xml:space="preserve">Hipoglucemia</w:t>
      </w:r>
      <w:r>
        <w:t xml:space="preserve">: Un nivel de glucosa en sangre demasiado bajo. Puede provocar temblor, sudoración, confusión y pérdida de conciencia, y es una urgencia.</w:t>
      </w:r>
    </w:p>
    <w:p>
      <w:pPr>
        <w:pStyle w:val="BodyText"/>
      </w:pPr>
      <w:r>
        <w:rPr>
          <w:bCs/>
          <w:b/>
        </w:rPr>
        <w:t xml:space="preserve">Hipotálamo</w:t>
      </w:r>
      <w:r>
        <w:t xml:space="preserve">: Una región del cerebro que controla la hipófisis mediante hormonas liberadoras e interviene en el hambre, la sed, el sueño y la temperatura corporal.</w:t>
      </w:r>
    </w:p>
    <w:p>
      <w:pPr>
        <w:pStyle w:val="BodyText"/>
      </w:pPr>
      <w:r>
        <w:rPr>
          <w:bCs/>
          <w:b/>
        </w:rPr>
        <w:t xml:space="preserve">Hormona del crecimiento (somatotropina)</w:t>
      </w:r>
      <w:r>
        <w:t xml:space="preserve">: Una proteína de la hipófisis que influye en el crecimiento, el metabolismo y la composición corporal. Muchos péptidos de este libro pretenden aumentar su secreción.</w:t>
      </w:r>
    </w:p>
    <w:p>
      <w:pPr>
        <w:pStyle w:val="BodyText"/>
      </w:pPr>
      <w:r>
        <w:rPr>
          <w:bCs/>
          <w:b/>
        </w:rPr>
        <w:t xml:space="preserve">HPLC (cromatografía líquida de alta resolución)</w:t>
      </w:r>
      <w:r>
        <w:t xml:space="preserve">: Un procedimiento de laboratorio con el que pueden separarse mezclas de sustancias y determinarse la pureza de los péptidos.</w:t>
      </w:r>
    </w:p>
    <w:bookmarkEnd w:id="1087"/>
    <w:bookmarkStart w:id="1088" w:name="i"/>
    <w:p>
      <w:pPr>
        <w:pStyle w:val="Heading3"/>
      </w:pPr>
      <w:r>
        <w:t xml:space="preserve">I</w:t>
      </w:r>
    </w:p>
    <w:p>
      <w:pPr>
        <w:pStyle w:val="FirstParagraph"/>
      </w:pPr>
      <w:r>
        <w:rPr>
          <w:bCs/>
          <w:b/>
        </w:rPr>
        <w:t xml:space="preserve">IGF-1 (factor de crecimiento insulínico tipo 1)</w:t>
      </w:r>
      <w:r>
        <w:t xml:space="preserve">: Un factor de crecimiento que se produce sobre todo en el hígado bajo la influencia de la hormona del crecimiento. Media muchos efectos de la hormona del crecimiento y sirve como valor de laboratorio para valorarla.</w:t>
      </w:r>
    </w:p>
    <w:p>
      <w:pPr>
        <w:pStyle w:val="BodyText"/>
      </w:pPr>
      <w:r>
        <w:rPr>
          <w:bCs/>
          <w:b/>
        </w:rPr>
        <w:t xml:space="preserve">IMC (índice de masa corporal)</w:t>
      </w:r>
      <w:r>
        <w:t xml:space="preserve">: Peso corporal en kilogramos dividido por el cuadrado de la estatura en metros. Medida aproximada del peso insuficiente, normal o excesivo.</w:t>
      </w:r>
    </w:p>
    <w:p>
      <w:pPr>
        <w:pStyle w:val="BodyText"/>
      </w:pPr>
      <w:r>
        <w:rPr>
          <w:bCs/>
          <w:b/>
        </w:rPr>
        <w:t xml:space="preserve">Impureza</w:t>
      </w:r>
      <w:r>
        <w:t xml:space="preserve">: Componentes no deseados de un producto, como cadenas peptídicas defectuosas de la síntesis, restos de disolventes, metales o componentes bacterianos.</w:t>
      </w:r>
    </w:p>
    <w:p>
      <w:pPr>
        <w:pStyle w:val="BodyText"/>
      </w:pPr>
      <w:r>
        <w:rPr>
          <w:bCs/>
          <w:b/>
        </w:rPr>
        <w:t xml:space="preserve">In vitro</w:t>
      </w:r>
      <w:r>
        <w:t xml:space="preserve">: «En el vidrio»: experimentos de laboratorio con células, tejidos o moléculas aisladas fuera de un organismo vivo.</w:t>
      </w:r>
    </w:p>
    <w:p>
      <w:pPr>
        <w:pStyle w:val="BodyText"/>
      </w:pPr>
      <w:r>
        <w:rPr>
          <w:bCs/>
          <w:b/>
        </w:rPr>
        <w:t xml:space="preserve">Incretinas</w:t>
      </w:r>
      <w:r>
        <w:t xml:space="preserve">: Hormonas intestinales que potencian la secreción de insulina después de una comida. Las más importantes son el GLP-1 y el GIP.</w:t>
      </w:r>
    </w:p>
    <w:p>
      <w:pPr>
        <w:pStyle w:val="BodyText"/>
      </w:pPr>
      <w:r>
        <w:rPr>
          <w:bCs/>
          <w:b/>
        </w:rPr>
        <w:t xml:space="preserve">Inmunogenicidad</w:t>
      </w:r>
      <w:r>
        <w:t xml:space="preserve">: La propiedad de una sustancia de desencadenar una reacción del sistema inmunitario, por ejemplo la formación de anticuerpos.</w:t>
      </w:r>
    </w:p>
    <w:p>
      <w:pPr>
        <w:pStyle w:val="BodyText"/>
      </w:pPr>
      <w:r>
        <w:rPr>
          <w:bCs/>
          <w:b/>
        </w:rPr>
        <w:t xml:space="preserve">Insulina</w:t>
      </w:r>
      <w:r>
        <w:t xml:space="preserve">: Una hormona peptídica del páncreas formada por 51 aminoácidos que reduce la glucemia. En 1922 fue el primer péptido utilizado como medicamento.</w:t>
      </w:r>
    </w:p>
    <w:p>
      <w:pPr>
        <w:pStyle w:val="BodyText"/>
      </w:pPr>
      <w:r>
        <w:rPr>
          <w:bCs/>
          <w:b/>
        </w:rPr>
        <w:t xml:space="preserve">Intervalo de confianza</w:t>
      </w:r>
      <w:r>
        <w:t xml:space="preserve">: Un intervalo en torno a un resultado de un estudio en el que se encuentra el valor real con una determinada probabilidad (por lo general del 95 %). Los intervalos amplios indican una estimación incierta.</w:t>
      </w:r>
    </w:p>
    <w:bookmarkEnd w:id="1088"/>
    <w:bookmarkStart w:id="1089" w:name="l"/>
    <w:p>
      <w:pPr>
        <w:pStyle w:val="Heading3"/>
      </w:pPr>
      <w:r>
        <w:t xml:space="preserve">L</w:t>
      </w:r>
    </w:p>
    <w:p>
      <w:pPr>
        <w:pStyle w:val="FirstParagraph"/>
      </w:pPr>
      <w:r>
        <w:rPr>
          <w:bCs/>
          <w:b/>
        </w:rPr>
        <w:t xml:space="preserve">Liofilizado</w:t>
      </w:r>
      <w:r>
        <w:t xml:space="preserve">: Un polvo secado por congelación. Muchos péptidos se almacenan en esta forma y deben disolverse en un líquido antes de su uso.</w:t>
      </w:r>
    </w:p>
    <w:bookmarkEnd w:id="1089"/>
    <w:bookmarkStart w:id="1090" w:name="m"/>
    <w:p>
      <w:pPr>
        <w:pStyle w:val="Heading3"/>
      </w:pPr>
      <w:r>
        <w:t xml:space="preserve">M</w:t>
      </w:r>
    </w:p>
    <w:p>
      <w:pPr>
        <w:pStyle w:val="FirstParagraph"/>
      </w:pPr>
      <w:r>
        <w:rPr>
          <w:bCs/>
          <w:b/>
        </w:rPr>
        <w:t xml:space="preserve">Medicamento</w:t>
      </w:r>
      <w:r>
        <w:t xml:space="preserve">: Una sustancia o preparación destinada a curar, aliviar o prevenir enfermedades o que influye en las funciones corporales por vía farmacológica, inmunológica o metabólica. En la UE, un medicamento necesita una autorización antes de su venta.</w:t>
      </w:r>
    </w:p>
    <w:p>
      <w:pPr>
        <w:pStyle w:val="BodyText"/>
      </w:pPr>
      <w:r>
        <w:rPr>
          <w:bCs/>
          <w:b/>
        </w:rPr>
        <w:t xml:space="preserve">Medicamento biológico</w:t>
      </w:r>
      <w:r>
        <w:t xml:space="preserve">: Un medicamento cuyo principio activo se fabrica con ayuda de células vivas, por ejemplo mediante ingeniería genética en bacterias o en células de mamífero. Muchos péptidos de mayor tamaño y todos los medicamentos basados en anticuerpos pertenecen a este grupo.</w:t>
      </w:r>
    </w:p>
    <w:p>
      <w:pPr>
        <w:pStyle w:val="BodyText"/>
      </w:pPr>
      <w:r>
        <w:rPr>
          <w:bCs/>
          <w:b/>
        </w:rPr>
        <w:t xml:space="preserve">Medicamento por función</w:t>
      </w:r>
      <w:r>
        <w:t xml:space="preserve">: Término jurídico para un producto que se considera medicamento por su efecto farmacológico, inmunológico o metabólico, con independencia de cómo se promocione.</w:t>
      </w:r>
    </w:p>
    <w:p>
      <w:pPr>
        <w:pStyle w:val="BodyText"/>
      </w:pPr>
      <w:r>
        <w:rPr>
          <w:bCs/>
          <w:b/>
        </w:rPr>
        <w:t xml:space="preserve">Medicamento por presentación</w:t>
      </w:r>
      <w:r>
        <w:t xml:space="preserve">: Término jurídico para un producto que se considera medicamento porque se presenta o promociona como remedio contra enfermedades.</w:t>
      </w:r>
    </w:p>
    <w:p>
      <w:pPr>
        <w:pStyle w:val="BodyText"/>
      </w:pPr>
      <w:r>
        <w:rPr>
          <w:bCs/>
          <w:b/>
        </w:rPr>
        <w:t xml:space="preserve">Metaanálisis</w:t>
      </w:r>
      <w:r>
        <w:t xml:space="preserve">: Un resumen estadístico de los resultados de varios estudios sobre la misma pregunta. Solo es tan bueno como los estudios que incluye.</w:t>
      </w:r>
    </w:p>
    <w:p>
      <w:pPr>
        <w:pStyle w:val="BodyText"/>
      </w:pPr>
      <w:r>
        <w:rPr>
          <w:bCs/>
          <w:b/>
        </w:rPr>
        <w:t xml:space="preserve">Mimético</w:t>
      </w:r>
      <w:r>
        <w:t xml:space="preserve">: Una sustancia que imita el efecto de otra sin tener su estructura, por ejemplo una molécula pequeña que activa un receptor como una hormona peptídica.</w:t>
      </w:r>
    </w:p>
    <w:bookmarkEnd w:id="1090"/>
    <w:bookmarkStart w:id="1091" w:name="n"/>
    <w:p>
      <w:pPr>
        <w:pStyle w:val="Heading3"/>
      </w:pPr>
      <w:r>
        <w:t xml:space="preserve">N</w:t>
      </w:r>
    </w:p>
    <w:p>
      <w:pPr>
        <w:pStyle w:val="FirstParagraph"/>
      </w:pPr>
      <w:r>
        <w:rPr>
          <w:bCs/>
          <w:b/>
        </w:rPr>
        <w:t xml:space="preserve">N-terminal (extremo)</w:t>
      </w:r>
      <w:r>
        <w:t xml:space="preserve">: El comienzo de una cadena peptídica, con el grupo amino libre.</w:t>
      </w:r>
    </w:p>
    <w:p>
      <w:pPr>
        <w:pStyle w:val="BodyText"/>
      </w:pPr>
      <w:r>
        <w:rPr>
          <w:bCs/>
          <w:b/>
        </w:rPr>
        <w:t xml:space="preserve">Nivel de evidencia</w:t>
      </w:r>
      <w:r>
        <w:t xml:space="preserve">: En este libro, una clasificación de la A a la D de lo bien demostrado que está el efecto de un péptido en humanos. A corresponde a varios grandes estudios aleatorizados y autorización; D, exclusivamente a estudios con animales y de laboratorio.</w:t>
      </w:r>
    </w:p>
    <w:p>
      <w:pPr>
        <w:pStyle w:val="BodyText"/>
      </w:pPr>
      <w:r>
        <w:rPr>
          <w:bCs/>
          <w:b/>
        </w:rPr>
        <w:t xml:space="preserve">Novel Food (nuevo alimento)</w:t>
      </w:r>
      <w:r>
        <w:t xml:space="preserve">: En la UE, un alimento o ingrediente que no se consumía en una medida significativa antes del 15 de mayo de 1997. Estos productos necesitan una autorización antes de su venta.</w:t>
      </w:r>
    </w:p>
    <w:p>
      <w:pPr>
        <w:pStyle w:val="BodyText"/>
      </w:pPr>
      <w:r>
        <w:rPr>
          <w:bCs/>
          <w:b/>
        </w:rPr>
        <w:t xml:space="preserve">Número NCT</w:t>
      </w:r>
      <w:r>
        <w:t xml:space="preserve">: El número de identificación de un estudio en el registro ClinicalTrials.gov, formado por «NCT» y ocho cifras.</w:t>
      </w:r>
    </w:p>
    <w:p>
      <w:pPr>
        <w:pStyle w:val="BodyText"/>
      </w:pPr>
      <w:r>
        <w:rPr>
          <w:bCs/>
          <w:b/>
        </w:rPr>
        <w:t xml:space="preserve">Número necesario a tratar (NNT)</w:t>
      </w:r>
      <w:r>
        <w:t xml:space="preserve">: El número de personas que deben recibir un tratamiento durante un tiempo determinado para que una persona evite un acontecimiento. Se calcula a partir de la reducción absoluta del riesgo.</w:t>
      </w:r>
    </w:p>
    <w:bookmarkEnd w:id="1091"/>
    <w:bookmarkStart w:id="1092" w:name="o"/>
    <w:p>
      <w:pPr>
        <w:pStyle w:val="Heading3"/>
      </w:pPr>
      <w:r>
        <w:t xml:space="preserve">O</w:t>
      </w:r>
    </w:p>
    <w:p>
      <w:pPr>
        <w:pStyle w:val="FirstParagraph"/>
      </w:pPr>
      <w:r>
        <w:rPr>
          <w:bCs/>
          <w:b/>
        </w:rPr>
        <w:t xml:space="preserve">Obesidad</w:t>
      </w:r>
      <w:r>
        <w:t xml:space="preserve">: Sobrepeso patológico, definido por lo general como un índice de masa corporal de 30 o más. Se considera una enfermedad crónica con un riesgo aumentado de diabetes, enfermedades cardiovasculares y articulares.</w:t>
      </w:r>
    </w:p>
    <w:p>
      <w:pPr>
        <w:pStyle w:val="BodyText"/>
      </w:pPr>
      <w:r>
        <w:rPr>
          <w:bCs/>
          <w:b/>
        </w:rPr>
        <w:t xml:space="preserve">Off-label (uso fuera de indicación)</w:t>
      </w:r>
      <w:r>
        <w:t xml:space="preserve">: El uso de un medicamento autorizado fuera de las indicaciones, posologías o grupos de personas autorizados.</w:t>
      </w:r>
    </w:p>
    <w:p>
      <w:pPr>
        <w:pStyle w:val="BodyText"/>
      </w:pPr>
      <w:r>
        <w:rPr>
          <w:bCs/>
          <w:b/>
        </w:rPr>
        <w:t xml:space="preserve">Oligopéptido</w:t>
      </w:r>
      <w:r>
        <w:t xml:space="preserve">: Un péptido corto de aproximadamente dos a diez aminoácidos.</w:t>
      </w:r>
    </w:p>
    <w:bookmarkEnd w:id="1092"/>
    <w:bookmarkStart w:id="1093" w:name="p"/>
    <w:p>
      <w:pPr>
        <w:pStyle w:val="Heading3"/>
      </w:pPr>
      <w:r>
        <w:t xml:space="preserve">P</w:t>
      </w:r>
    </w:p>
    <w:p>
      <w:pPr>
        <w:pStyle w:val="FirstParagraph"/>
      </w:pPr>
      <w:r>
        <w:rPr>
          <w:bCs/>
          <w:b/>
        </w:rPr>
        <w:t xml:space="preserve">Pancreatitis</w:t>
      </w:r>
      <w:r>
        <w:t xml:space="preserve">: Inflamación del páncreas. Se discute como posible efecto adverso raro de los medicamentos GLP-1.</w:t>
      </w:r>
    </w:p>
    <w:p>
      <w:pPr>
        <w:pStyle w:val="BodyText"/>
      </w:pPr>
      <w:r>
        <w:rPr>
          <w:bCs/>
          <w:b/>
        </w:rPr>
        <w:t xml:space="preserve">Péptido</w:t>
      </w:r>
      <w:r>
        <w:t xml:space="preserve">: Una cadena de aminoácidos unidos por enlaces peptídicos. A partir de unos 50 aminoácidos se suele hablar de proteína.</w:t>
      </w:r>
    </w:p>
    <w:p>
      <w:pPr>
        <w:pStyle w:val="BodyText"/>
      </w:pPr>
      <w:r>
        <w:rPr>
          <w:bCs/>
          <w:b/>
        </w:rPr>
        <w:t xml:space="preserve">Péptido cíclico</w:t>
      </w:r>
      <w:r>
        <w:t xml:space="preserve">: Un péptido cuya cadena está cerrada en forma de anillo. Las estructuras en anillo suelen hacer los péptidos más estables frente a las enzimas.</w:t>
      </w:r>
    </w:p>
    <w:p>
      <w:pPr>
        <w:pStyle w:val="BodyText"/>
      </w:pPr>
      <w:r>
        <w:rPr>
          <w:bCs/>
          <w:b/>
        </w:rPr>
        <w:t xml:space="preserve">Péptidos antimicrobianos</w:t>
      </w:r>
      <w:r>
        <w:t xml:space="preserve">: Péptidos endógenos que forman parte de la defensa inmunitaria innata y pueden dañar bacterias, hongos o virus. Un ejemplo es el LL-37.</w:t>
      </w:r>
    </w:p>
    <w:p>
      <w:pPr>
        <w:pStyle w:val="BodyText"/>
      </w:pPr>
      <w:r>
        <w:rPr>
          <w:bCs/>
          <w:b/>
        </w:rPr>
        <w:t xml:space="preserve">Pirámide de la evidencia</w:t>
      </w:r>
      <w:r>
        <w:t xml:space="preserve">: Una clasificación de los tipos de estudio según su valor probatorio, desde los estudios de laboratorio y con animales en la base hasta los metaanálisis de estudios aleatorizados en la cúspide.</w:t>
      </w:r>
    </w:p>
    <w:p>
      <w:pPr>
        <w:pStyle w:val="BodyText"/>
      </w:pPr>
      <w:r>
        <w:rPr>
          <w:bCs/>
          <w:b/>
        </w:rPr>
        <w:t xml:space="preserve">Placebo</w:t>
      </w:r>
      <w:r>
        <w:t xml:space="preserve">: Un preparado simulado sin principio activo que se utiliza en los estudios como comparación.</w:t>
      </w:r>
    </w:p>
    <w:p>
      <w:pPr>
        <w:pStyle w:val="BodyText"/>
      </w:pPr>
      <w:r>
        <w:rPr>
          <w:bCs/>
          <w:b/>
        </w:rPr>
        <w:t xml:space="preserve">PMID</w:t>
      </w:r>
      <w:r>
        <w:t xml:space="preserve">: El número de identificación de PubMed, un número único para cada entrada de la base de datos bibliográfica PubMed.</w:t>
      </w:r>
    </w:p>
    <w:p>
      <w:pPr>
        <w:pStyle w:val="BodyText"/>
      </w:pPr>
      <w:r>
        <w:rPr>
          <w:bCs/>
          <w:b/>
        </w:rPr>
        <w:t xml:space="preserve">Polipéptido</w:t>
      </w:r>
      <w:r>
        <w:t xml:space="preserve">: Una cadena peptídica más larga, por lo general de más de diez aminoácidos.</w:t>
      </w:r>
    </w:p>
    <w:p>
      <w:pPr>
        <w:pStyle w:val="BodyText"/>
      </w:pPr>
      <w:r>
        <w:rPr>
          <w:bCs/>
          <w:b/>
        </w:rPr>
        <w:t xml:space="preserve">Preprint</w:t>
      </w:r>
      <w:r>
        <w:t xml:space="preserve">: Un trabajo científico que se hace público antes de la revisión por expertos.</w:t>
      </w:r>
    </w:p>
    <w:p>
      <w:pPr>
        <w:pStyle w:val="BodyText"/>
      </w:pPr>
      <w:r>
        <w:rPr>
          <w:bCs/>
          <w:b/>
        </w:rPr>
        <w:t xml:space="preserve">Producto cosmético</w:t>
      </w:r>
      <w:r>
        <w:t xml:space="preserve">: Un producto de aplicación externa que limpia, cuida, protege o modifica el aspecto. No puede atribuirse ningún efecto medicinal y en la UE no necesita autorización.</w:t>
      </w:r>
    </w:p>
    <w:p>
      <w:pPr>
        <w:pStyle w:val="BodyText"/>
      </w:pPr>
      <w:r>
        <w:rPr>
          <w:bCs/>
          <w:b/>
        </w:rPr>
        <w:t xml:space="preserve">Proteasa</w:t>
      </w:r>
      <w:r>
        <w:t xml:space="preserve">: Una enzima que escinde los enlaces peptídicos y degrada así las proteínas y los péptidos. También se denomina peptidasa.</w:t>
      </w:r>
    </w:p>
    <w:p>
      <w:pPr>
        <w:pStyle w:val="BodyText"/>
      </w:pPr>
      <w:r>
        <w:rPr>
          <w:bCs/>
          <w:b/>
        </w:rPr>
        <w:t xml:space="preserve">Proteína</w:t>
      </w:r>
      <w:r>
        <w:t xml:space="preserve">: Una molécula proteica grande, por lo general de más de 50 aminoácidos, con un plegamiento espacial determinado.</w:t>
      </w:r>
    </w:p>
    <w:p>
      <w:pPr>
        <w:pStyle w:val="BodyText"/>
      </w:pPr>
      <w:r>
        <w:rPr>
          <w:bCs/>
          <w:b/>
        </w:rPr>
        <w:t xml:space="preserve">PubMed</w:t>
      </w:r>
      <w:r>
        <w:t xml:space="preserve">: Una base de datos bibliográfica de libre acceso de la National Library of Medicine de EE. UU., con millones de entradas de la investigación biomédica.</w:t>
      </w:r>
    </w:p>
    <w:bookmarkEnd w:id="1093"/>
    <w:bookmarkStart w:id="1094" w:name="r"/>
    <w:p>
      <w:pPr>
        <w:pStyle w:val="Heading3"/>
      </w:pPr>
      <w:r>
        <w:t xml:space="preserve">R</w:t>
      </w:r>
    </w:p>
    <w:p>
      <w:pPr>
        <w:pStyle w:val="FirstParagraph"/>
      </w:pPr>
      <w:r>
        <w:rPr>
          <w:bCs/>
          <w:b/>
        </w:rPr>
        <w:t xml:space="preserve">Rabdomiólisis</w:t>
      </w:r>
      <w:r>
        <w:t xml:space="preserve">: Una destrucción del tejido muscular en la que componentes del músculo pasan a la sangre y pueden dañar los riñones.</w:t>
      </w:r>
    </w:p>
    <w:p>
      <w:pPr>
        <w:pStyle w:val="BodyText"/>
      </w:pPr>
      <w:r>
        <w:rPr>
          <w:bCs/>
          <w:b/>
        </w:rPr>
        <w:t xml:space="preserve">Receptor</w:t>
      </w:r>
      <w:r>
        <w:t xml:space="preserve">: Una molécula proteica, por lo general en la superficie celular, a la que se une un mensajero y desencadena así una señal en la célula.</w:t>
      </w:r>
    </w:p>
    <w:p>
      <w:pPr>
        <w:pStyle w:val="BodyText"/>
      </w:pPr>
      <w:r>
        <w:rPr>
          <w:bCs/>
          <w:b/>
        </w:rPr>
        <w:t xml:space="preserve">Receptores de melanocortina</w:t>
      </w:r>
      <w:r>
        <w:t xml:space="preserve">: Una familia de receptores que influyen, entre otras cosas, en la pigmentación de la piel, el apetito y la función sexual. La afamelanotida, la bremelanotida, el melanotán II y la setmelanotida actúan sobre estos receptores.</w:t>
      </w:r>
    </w:p>
    <w:p>
      <w:pPr>
        <w:pStyle w:val="BodyText"/>
      </w:pPr>
      <w:r>
        <w:rPr>
          <w:bCs/>
          <w:b/>
        </w:rPr>
        <w:t xml:space="preserve">Recombinante</w:t>
      </w:r>
      <w:r>
        <w:t xml:space="preserve">: Fabricado mediante ingeniería genética, introduciendo las instrucciones de construcción de un péptido o una proteína en bacterias, levaduras u otras células.</w:t>
      </w:r>
    </w:p>
    <w:p>
      <w:pPr>
        <w:pStyle w:val="BodyText"/>
      </w:pPr>
      <w:r>
        <w:rPr>
          <w:bCs/>
          <w:b/>
        </w:rPr>
        <w:t xml:space="preserve">Reducción absoluta del riesgo</w:t>
      </w:r>
      <w:r>
        <w:t xml:space="preserve">: La diferencia en la frecuencia de un acontecimiento entre dos grupos, expresada en puntos porcentuales. Si un riesgo baja del 8 % al 6,5 %, la reducción absoluta del riesgo es de 1,5 puntos porcentuales.</w:t>
      </w:r>
    </w:p>
    <w:p>
      <w:pPr>
        <w:pStyle w:val="BodyText"/>
      </w:pPr>
      <w:r>
        <w:rPr>
          <w:bCs/>
          <w:b/>
        </w:rPr>
        <w:t xml:space="preserve">Registro de ensayos</w:t>
      </w:r>
      <w:r>
        <w:t xml:space="preserve">: Bases de datos públicas en las que los ensayos clínicos se inscriben antes de su inicio, como ClinicalTrials.gov o el registro de la UE.</w:t>
      </w:r>
    </w:p>
    <w:p>
      <w:pPr>
        <w:pStyle w:val="BodyText"/>
      </w:pPr>
      <w:r>
        <w:rPr>
          <w:bCs/>
          <w:b/>
        </w:rPr>
        <w:t xml:space="preserve">Research peptides</w:t>
      </w:r>
      <w:r>
        <w:t xml:space="preserve">: Péptidos que se venden con la indicación «solo para fines de investigación» o «no apto para uso humano», pero a menudo a particulares. No son medicamentos controlados.</w:t>
      </w:r>
    </w:p>
    <w:p>
      <w:pPr>
        <w:pStyle w:val="BodyText"/>
      </w:pPr>
      <w:r>
        <w:rPr>
          <w:bCs/>
          <w:b/>
        </w:rPr>
        <w:t xml:space="preserve">Revisión sistemática</w:t>
      </w:r>
      <w:r>
        <w:t xml:space="preserve">: Un trabajo que, según reglas establecidas, busca, evalúa y resume todos los estudios disponibles sobre una pregunta.</w:t>
      </w:r>
    </w:p>
    <w:p>
      <w:pPr>
        <w:pStyle w:val="BodyText"/>
      </w:pPr>
      <w:r>
        <w:rPr>
          <w:bCs/>
          <w:b/>
        </w:rPr>
        <w:t xml:space="preserve">Riesgo relativo</w:t>
      </w:r>
      <w:r>
        <w:t xml:space="preserve">: La relación entre la frecuencia de un acontecimiento en dos grupos. Un riesgo relativo de 0,5 significa una reducción a la mitad, con independencia de lo frecuente que sea el acontecimiento en conjunto.</w:t>
      </w:r>
    </w:p>
    <w:bookmarkEnd w:id="1094"/>
    <w:bookmarkStart w:id="1095" w:name="s"/>
    <w:p>
      <w:pPr>
        <w:pStyle w:val="Heading3"/>
      </w:pPr>
      <w:r>
        <w:t xml:space="preserve">S</w:t>
      </w:r>
    </w:p>
    <w:p>
      <w:pPr>
        <w:pStyle w:val="FirstParagraph"/>
      </w:pPr>
      <w:r>
        <w:rPr>
          <w:bCs/>
          <w:b/>
        </w:rPr>
        <w:t xml:space="preserve">Secretagogo</w:t>
      </w:r>
      <w:r>
        <w:t xml:space="preserve">: Una sustancia que estimula la secreción de otra sustancia. Los secretagogos de la hormona del crecimiento aumentan la liberación de hormona del crecimiento.</w:t>
      </w:r>
    </w:p>
    <w:p>
      <w:pPr>
        <w:pStyle w:val="BodyText"/>
      </w:pPr>
      <w:r>
        <w:rPr>
          <w:bCs/>
          <w:b/>
        </w:rPr>
        <w:t xml:space="preserve">Secuencia</w:t>
      </w:r>
      <w:r>
        <w:t xml:space="preserve">: El orden de los aminoácidos en una cadena peptídica. Determina las propiedades del péptido.</w:t>
      </w:r>
    </w:p>
    <w:p>
      <w:pPr>
        <w:pStyle w:val="BodyText"/>
      </w:pPr>
      <w:r>
        <w:rPr>
          <w:bCs/>
          <w:b/>
        </w:rPr>
        <w:t xml:space="preserve">Semivida</w:t>
      </w:r>
      <w:r>
        <w:t xml:space="preserve">: El tiempo tras el cual la mitad de un principio activo se ha degradado o eliminado del organismo. Determina en gran medida con qué frecuencia debe administrarse un medicamento.</w:t>
      </w:r>
    </w:p>
    <w:p>
      <w:pPr>
        <w:pStyle w:val="BodyText"/>
      </w:pPr>
      <w:r>
        <w:rPr>
          <w:bCs/>
          <w:b/>
        </w:rPr>
        <w:t xml:space="preserve">Sesgo de publicación</w:t>
      </w:r>
      <w:r>
        <w:t xml:space="preserve">: La distorsión de la imagen global cuando los estudios con resultados positivos se publican con más frecuencia que los que tienen resultados negativos.</w:t>
      </w:r>
    </w:p>
    <w:p>
      <w:pPr>
        <w:pStyle w:val="BodyText"/>
      </w:pPr>
      <w:r>
        <w:rPr>
          <w:bCs/>
          <w:b/>
        </w:rPr>
        <w:t xml:space="preserve">Significación (estadística)</w:t>
      </w:r>
      <w:r>
        <w:t xml:space="preserve">: La afirmación de que una diferencia observada probablemente no se ha producido solo por azar. No dice nada sobre si la diferencia es grande o relevante.</w:t>
      </w:r>
    </w:p>
    <w:p>
      <w:pPr>
        <w:pStyle w:val="BodyText"/>
      </w:pPr>
      <w:r>
        <w:rPr>
          <w:bCs/>
          <w:b/>
        </w:rPr>
        <w:t xml:space="preserve">Síntesis de péptidos en fase sólida</w:t>
      </w:r>
      <w:r>
        <w:t xml:space="preserve">: Procedimiento químico en el que una cadena peptídica se construye componente a componente sobre un material de soporte sólido. Es la base de la fabricación de la mayoría de los péptidos cortos.</w:t>
      </w:r>
    </w:p>
    <w:p>
      <w:pPr>
        <w:pStyle w:val="BodyText"/>
      </w:pPr>
      <w:r>
        <w:rPr>
          <w:bCs/>
          <w:b/>
        </w:rPr>
        <w:t xml:space="preserve">SNAC</w:t>
      </w:r>
      <w:r>
        <w:t xml:space="preserve">: Un excipiente (N-[8-(2-hidroxibenzoil)amino]caprilato de sodio) que, en el comprimido de semaglutida, hace posible la absorción del péptido en el estómago.</w:t>
      </w:r>
    </w:p>
    <w:p>
      <w:pPr>
        <w:pStyle w:val="BodyText"/>
      </w:pPr>
      <w:r>
        <w:rPr>
          <w:bCs/>
          <w:b/>
        </w:rPr>
        <w:t xml:space="preserve">Subcutáneo</w:t>
      </w:r>
      <w:r>
        <w:t xml:space="preserve">: Inyectado bajo la piel, en el tejido graso subcutáneo. Es la vía de administración más frecuente de los medicamentos peptídicos.</w:t>
      </w:r>
    </w:p>
    <w:bookmarkEnd w:id="1095"/>
    <w:bookmarkStart w:id="1096" w:name="t"/>
    <w:p>
      <w:pPr>
        <w:pStyle w:val="Heading3"/>
      </w:pPr>
      <w:r>
        <w:t xml:space="preserve">T</w:t>
      </w:r>
    </w:p>
    <w:p>
      <w:pPr>
        <w:pStyle w:val="FirstParagraph"/>
      </w:pPr>
      <w:r>
        <w:rPr>
          <w:bCs/>
          <w:b/>
        </w:rPr>
        <w:t xml:space="preserve">TUE (Therapeutic Use Exemption, autorización de uso terapéutico)</w:t>
      </w:r>
      <w:r>
        <w:t xml:space="preserve">: Una autorización médica excepcional en el deporte que permite el uso de un medicamento prohibido pero médicamente necesario.</w:t>
      </w:r>
    </w:p>
    <w:bookmarkEnd w:id="1096"/>
    <w:bookmarkStart w:id="1097" w:name="v"/>
    <w:p>
      <w:pPr>
        <w:pStyle w:val="Heading3"/>
      </w:pPr>
      <w:r>
        <w:t xml:space="preserve">V</w:t>
      </w:r>
    </w:p>
    <w:p>
      <w:pPr>
        <w:pStyle w:val="FirstParagraph"/>
      </w:pPr>
      <w:r>
        <w:rPr>
          <w:bCs/>
          <w:b/>
        </w:rPr>
        <w:t xml:space="preserve">Valor p</w:t>
      </w:r>
      <w:r>
        <w:t xml:space="preserve">: Una medida estadística de lo probable que sería una diferencia al menos igual de grande si en realidad no hubiera ningún efecto. Los valores inferiores a 0,05 se consideran habitualmente estadísticamente significativos.</w:t>
      </w:r>
    </w:p>
    <w:p>
      <w:pPr>
        <w:pStyle w:val="BodyText"/>
      </w:pPr>
      <w:r>
        <w:rPr>
          <w:bCs/>
          <w:b/>
        </w:rPr>
        <w:t xml:space="preserve">Variable de resultado</w:t>
      </w:r>
      <w:r>
        <w:t xml:space="preserve">: La característica con la que se mide en un estudio el éxito de un tratamiento, por ejemplo la pérdida de peso, la glucemia o los infartos. La más importante se fija antes del inicio del estudio como variable principal.</w:t>
      </w:r>
    </w:p>
    <w:p>
      <w:pPr>
        <w:pStyle w:val="BodyText"/>
      </w:pPr>
      <w:r>
        <w:rPr>
          <w:bCs/>
          <w:b/>
        </w:rPr>
        <w:t xml:space="preserve">Variable dura</w:t>
      </w:r>
      <w:r>
        <w:t xml:space="preserve">: Un resultado de un estudio que importa directamente a los pacientes, como la muerte, el infarto de miocardio, el ictus o la fractura ósea.</w:t>
      </w:r>
    </w:p>
    <w:p>
      <w:pPr>
        <w:pStyle w:val="BodyText"/>
      </w:pPr>
      <w:r>
        <w:rPr>
          <w:bCs/>
          <w:b/>
        </w:rPr>
        <w:t xml:space="preserve">Variable subrogada</w:t>
      </w:r>
      <w:r>
        <w:t xml:space="preserve">: Un valor medido que se utiliza en representación de un acontecimiento clínicamente relevante, por ejemplo la glucemia en lugar del infarto. Las mejoras de una variable subrogada no implican automáticamente un beneficio para los pacientes.</w:t>
      </w:r>
    </w:p>
    <w:bookmarkEnd w:id="1097"/>
    <w:bookmarkStart w:id="1098" w:name="w"/>
    <w:p>
      <w:pPr>
        <w:pStyle w:val="Heading3"/>
      </w:pPr>
      <w:r>
        <w:t xml:space="preserve">W</w:t>
      </w:r>
    </w:p>
    <w:p>
      <w:pPr>
        <w:pStyle w:val="FirstParagraph"/>
      </w:pPr>
      <w:r>
        <w:rPr>
          <w:bCs/>
          <w:b/>
        </w:rPr>
        <w:t xml:space="preserve">WADA (Agencia Mundial Antidopaje)</w:t>
      </w:r>
      <w:r>
        <w:t xml:space="preserve">: La organización internacional que publica cada año la lista de sustancias y métodos prohibidos en el deporte.</w:t>
      </w:r>
    </w:p>
    <w:bookmarkEnd w:id="1098"/>
    <w:bookmarkEnd w:id="1099"/>
    <w:bookmarkStart w:id="1115" w:name="metodología"/>
    <w:p>
      <w:pPr>
        <w:pStyle w:val="Heading1"/>
      </w:pPr>
      <w:r>
        <w:t xml:space="preserve">Metodología</w:t>
      </w:r>
    </w:p>
    <w:p>
      <w:pPr>
        <w:pStyle w:val="FirstParagraph"/>
      </w:pPr>
      <w:r>
        <w:t xml:space="preserve">Este anexo describe cómo se buscaron, seleccionaron y revisaron los estudios para este libro. Debe permitirle comprender la investigación y, si es necesario, repetirla o actualizarla usted mismo.</w:t>
      </w:r>
    </w:p>
    <w:bookmarkStart w:id="1100" w:name="bases-de-datos"/>
    <w:p>
      <w:pPr>
        <w:pStyle w:val="Heading3"/>
      </w:pPr>
      <w:r>
        <w:t xml:space="preserve">Bases de datos</w:t>
      </w:r>
    </w:p>
    <w:p>
      <w:pPr>
        <w:pStyle w:val="FirstParagraph"/>
      </w:pPr>
      <w:r>
        <w:t xml:space="preserve">La investigación se basa en dos bases de datos de libre acceso:</w:t>
      </w:r>
    </w:p>
    <w:p>
      <w:pPr>
        <w:numPr>
          <w:ilvl w:val="0"/>
          <w:numId w:val="1373"/>
        </w:numPr>
        <w:pStyle w:val="Compact"/>
      </w:pPr>
      <w:r>
        <w:rPr>
          <w:bCs/>
          <w:b/>
        </w:rPr>
        <w:t xml:space="preserve">PubMed</w:t>
      </w:r>
      <w:r>
        <w:t xml:space="preserve"> </w:t>
      </w:r>
      <w:r>
        <w:t xml:space="preserve">(pubmed.ncbi.nlm.nih.gov), la base de datos bibliográfica de la National Library of Medicine de EE. UU. Recoge publicaciones de revistas biomédicas especializadas con título, autores, resumen (abstract) y descriptores. Cada entrada tiene un número único, el PMID.</w:t>
      </w:r>
    </w:p>
    <w:p>
      <w:pPr>
        <w:numPr>
          <w:ilvl w:val="0"/>
          <w:numId w:val="1373"/>
        </w:numPr>
        <w:pStyle w:val="Compact"/>
      </w:pPr>
      <w:r>
        <w:rPr>
          <w:bCs/>
          <w:b/>
        </w:rPr>
        <w:t xml:space="preserve">ClinicalTrials.gov</w:t>
      </w:r>
      <w:r>
        <w:t xml:space="preserve"> </w:t>
      </w:r>
      <w:r>
        <w:t xml:space="preserve">(clinicaltrials.gov), el registro de ensayos de los National Institutes of Health de EE. UU. En él se registran ensayos clínicos de todo el mundo antes de su inicio, con su diseño, el número previsto de participantes, las variables y el estado. Cada estudio tiene un número NCT.</w:t>
      </w:r>
    </w:p>
    <w:p>
      <w:pPr>
        <w:pStyle w:val="FirstParagraph"/>
      </w:pPr>
      <w:r>
        <w:t xml:space="preserve">Ambas bases de datos se consultaron a través de sus interfaces de programación oficiales y de acceso público: PubMed mediante las E-Utilities del National Center for Biotechnology Information, y ClinicalTrials.gov mediante la interfaz de programación en su versión 2. Otras bases de datos como Embase, Cochrane Library, Web of Science, el registro de ensayos de la UE o los registros nacionales no se consultaron de forma sistemática.</w:t>
      </w:r>
    </w:p>
    <w:bookmarkEnd w:id="1100"/>
    <w:bookmarkStart w:id="1101" w:name="periodo-de-consulta"/>
    <w:p>
      <w:pPr>
        <w:pStyle w:val="Heading3"/>
      </w:pPr>
      <w:r>
        <w:t xml:space="preserve">Periodo de consulta</w:t>
      </w:r>
    </w:p>
    <w:p>
      <w:pPr>
        <w:pStyle w:val="FirstParagraph"/>
      </w:pPr>
      <w:r>
        <w:t xml:space="preserve">Las consultas sistemáticas se realizaron en</w:t>
      </w:r>
      <w:r>
        <w:t xml:space="preserve"> </w:t>
      </w:r>
      <w:r>
        <w:rPr>
          <w:bCs/>
          <w:b/>
        </w:rPr>
        <w:t xml:space="preserve">octubre de 2026</w:t>
      </w:r>
      <w:r>
        <w:t xml:space="preserve">; el recuento de resultados para todos los péptidos es del 28 de octubre de 2026. En el mismo periodo se realizaron búsquedas complementarias específicas sobre estudios concretos, casos clínicos y revisiones. Los estudios publicados con posterioridad no se han tenido en cuenta. La situación del libro corresponde a noviembre de 2026.</w:t>
      </w:r>
    </w:p>
    <w:bookmarkEnd w:id="1101"/>
    <w:bookmarkStart w:id="1102" w:name="estrategia-de-búsqueda"/>
    <w:p>
      <w:pPr>
        <w:pStyle w:val="Heading3"/>
      </w:pPr>
      <w:r>
        <w:t xml:space="preserve">Estrategia de búsqueda</w:t>
      </w:r>
    </w:p>
    <w:p>
      <w:pPr>
        <w:pStyle w:val="FirstParagraph"/>
      </w:pPr>
      <w:r>
        <w:t xml:space="preserve">Para cada uno de los 58 péptidos y sustancias de comparación se estableció un término de búsqueda propio en PubMed. Incluye la denominación común internacional del principio activo y las denominaciones abreviadas, de código y comerciales habituales, y busca en el título y el resumen (etiqueta</w:t>
      </w:r>
      <w:r>
        <w:t xml:space="preserve"> </w:t>
      </w:r>
      <w:r>
        <w:rPr>
          <w:rStyle w:val="VerbatimChar"/>
        </w:rPr>
        <w:t xml:space="preserve">[tiab]</w:t>
      </w:r>
      <w:r>
        <w:t xml:space="preserve">) o solo en el título (</w:t>
      </w:r>
      <w:r>
        <w:rPr>
          <w:rStyle w:val="VerbatimChar"/>
        </w:rPr>
        <w:t xml:space="preserve">[ti]</w:t>
      </w:r>
      <w:r>
        <w:t xml:space="preserve">). En los términos ambiguos, la búsqueda se restringió, por ejemplo en los péptidos de colágeno a trabajos sobre su ingesta o en la kisspeptina a trabajos sobre la administración del péptido.</w:t>
      </w:r>
    </w:p>
    <w:p>
      <w:pPr>
        <w:pStyle w:val="BodyText"/>
      </w:pPr>
      <w:r>
        <w:t xml:space="preserve">A este término de búsqueda se aplicaron tres filtros:</w:t>
      </w:r>
    </w:p>
    <w:p>
      <w:pPr>
        <w:pStyle w:val="BodyText"/>
      </w:pPr>
      <w:r>
        <w:rPr>
          <w:bCs/>
          <w:b/>
        </w:rPr>
        <w:t xml:space="preserve">Estudios en humanos.</w:t>
      </w:r>
      <w:r>
        <w:t xml:space="preserve"> </w:t>
      </w:r>
      <w:r>
        <w:t xml:space="preserve">Para encontrar ensayos clínicos en humanos, el término de búsqueda se combinó con el siguiente filtro:</w:t>
      </w:r>
    </w:p>
    <w:p>
      <w:pPr>
        <w:pStyle w:val="BodyText"/>
      </w:pPr>
      <w:r>
        <w:rPr>
          <w:rStyle w:val="VerbatimChar"/>
        </w:rPr>
        <w:t xml:space="preserve">(clinical trial[pt] OR randomized controlled trial[pt]) AND humans[mh]</w:t>
      </w:r>
    </w:p>
    <w:p>
      <w:pPr>
        <w:pStyle w:val="BodyText"/>
      </w:pPr>
      <w:r>
        <w:t xml:space="preserve">La parte</w:t>
      </w:r>
      <w:r>
        <w:t xml:space="preserve"> </w:t>
      </w:r>
      <w:r>
        <w:rPr>
          <w:rStyle w:val="VerbatimChar"/>
        </w:rPr>
        <w:t xml:space="preserve">[pt]</w:t>
      </w:r>
      <w:r>
        <w:t xml:space="preserve"> </w:t>
      </w:r>
      <w:r>
        <w:t xml:space="preserve">busca por el tipo de publicación que PubMed asigna a cada artículo;</w:t>
      </w:r>
      <w:r>
        <w:t xml:space="preserve"> </w:t>
      </w:r>
      <w:r>
        <w:rPr>
          <w:rStyle w:val="VerbatimChar"/>
        </w:rPr>
        <w:t xml:space="preserve">humans[mh]</w:t>
      </w:r>
      <w:r>
        <w:t xml:space="preserve"> </w:t>
      </w:r>
      <w:r>
        <w:t xml:space="preserve">corresponde al descriptor «seres humanos» del sistema de descriptores MeSH. Así se encuentran los artículos identificados como ensayo clínico o como ensayo controlado aleatorizado que se refieren a seres humanos.</w:t>
      </w:r>
    </w:p>
    <w:p>
      <w:pPr>
        <w:pStyle w:val="BodyText"/>
      </w:pPr>
      <w:r>
        <w:rPr>
          <w:bCs/>
          <w:b/>
        </w:rPr>
        <w:t xml:space="preserve">Metaanálisis y revisiones.</w:t>
      </w:r>
      <w:r>
        <w:t xml:space="preserve"> </w:t>
      </w:r>
      <w:r>
        <w:t xml:space="preserve">Para los trabajos de síntesis, el término de búsqueda se combinó con este filtro:</w:t>
      </w:r>
    </w:p>
    <w:p>
      <w:pPr>
        <w:pStyle w:val="BodyText"/>
      </w:pPr>
      <w:r>
        <w:rPr>
          <w:rStyle w:val="VerbatimChar"/>
        </w:rPr>
        <w:t xml:space="preserve">(meta-analysis[pt] OR systematic review[pt])</w:t>
      </w:r>
    </w:p>
    <w:p>
      <w:pPr>
        <w:pStyle w:val="BodyText"/>
      </w:pPr>
      <w:r>
        <w:rPr>
          <w:bCs/>
          <w:b/>
        </w:rPr>
        <w:t xml:space="preserve">Estudios preclínicos.</w:t>
      </w:r>
      <w:r>
        <w:t xml:space="preserve"> </w:t>
      </w:r>
      <w:r>
        <w:t xml:space="preserve">En los péptidos con menos de 25 estudios en humanos encontrados se analizaron además los demás trabajos más relevantes sin el filtro de estudios en humanos, para recoger estudios con animales y de laboratorio, casos clínicos y análisis de productos del mercado gris.</w:t>
      </w:r>
    </w:p>
    <w:p>
      <w:pPr>
        <w:pStyle w:val="BodyText"/>
      </w:pPr>
      <w:r>
        <w:rPr>
          <w:bCs/>
          <w:b/>
        </w:rPr>
        <w:t xml:space="preserve">Estudios registrados.</w:t>
      </w:r>
      <w:r>
        <w:t xml:space="preserve"> </w:t>
      </w:r>
      <w:r>
        <w:t xml:space="preserve">En ClinicalTrials.gov se utilizó para cada péptido un término de búsqueda propio, por lo general sencillo, con el nombre del principio activo. Se recogieron todas las entradas con independencia de su estado y de la fase del estudio.</w:t>
      </w:r>
    </w:p>
    <w:p>
      <w:pPr>
        <w:pStyle w:val="BodyText"/>
      </w:pPr>
      <w:r>
        <w:t xml:space="preserve">Además de estas búsquedas automatizadas, para cada capítulo se buscaron específicamente los estudios de autorización y de resultados más importantes, los grandes metaanálisis, los programas de estudios (por ejemplo STEP, SURMOUNT o SELECT), los datos de seguridad, los casos clínicos y los análisis de laboratorio de productos del mercado gris. Para la Parte I se investigaron además trabajos sobre la historia de la medicina de los péptidos, las formas de administración, la metodología de los estudios y el mercado gris.</w:t>
      </w:r>
    </w:p>
    <w:bookmarkEnd w:id="1102"/>
    <w:bookmarkStart w:id="1109" w:name="términos-de-búsqueda-por-péptido"/>
    <w:p>
      <w:pPr>
        <w:pStyle w:val="Heading3"/>
      </w:pPr>
      <w:r>
        <w:t xml:space="preserve">Términos de búsqueda por péptido</w:t>
      </w:r>
    </w:p>
    <w:p>
      <w:pPr>
        <w:pStyle w:val="FirstParagraph"/>
      </w:pPr>
      <w:r>
        <w:t xml:space="preserve">Las siguientes tablas recogen los términos de búsqueda de PubMed utilizados para la consulta sistemática. A cada término se le añadieron los filtros descritos más arriba. Un asterisco al final de una palabra representa cualquier terminación,</w:t>
      </w:r>
      <w:r>
        <w:t xml:space="preserve"> </w:t>
      </w:r>
      <w:r>
        <w:rPr>
          <w:rStyle w:val="VerbatimChar"/>
        </w:rPr>
        <w:t xml:space="preserve">OR</w:t>
      </w:r>
      <w:r>
        <w:t xml:space="preserve"> </w:t>
      </w:r>
      <w:r>
        <w:t xml:space="preserve">une denominaciones alternativas y</w:t>
      </w:r>
      <w:r>
        <w:t xml:space="preserve"> </w:t>
      </w:r>
      <w:r>
        <w:rPr>
          <w:rStyle w:val="VerbatimChar"/>
        </w:rPr>
        <w:t xml:space="preserve">AND</w:t>
      </w:r>
      <w:r>
        <w:t xml:space="preserve"> </w:t>
      </w:r>
      <w:r>
        <w:t xml:space="preserve">restringe la búsqueda.</w:t>
      </w:r>
    </w:p>
    <w:bookmarkStart w:id="1103" w:name="a.-metabolismo-y-peso-1"/>
    <w:p>
      <w:pPr>
        <w:pStyle w:val="Heading4"/>
      </w:pPr>
      <w:r>
        <w:t xml:space="preserve">A. Metabolismo y peso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Péptido</w:t>
            </w:r>
          </w:p>
        </w:tc>
        <w:tc>
          <w:tcPr/>
          <w:p>
            <w:pPr>
              <w:pStyle w:val="Compact"/>
              <w:jc w:val="left"/>
            </w:pPr>
            <w:r>
              <w:t xml:space="preserve">Término de búsqueda en PubMed</w:t>
            </w:r>
          </w:p>
        </w:tc>
      </w:tr>
      <w:tr>
        <w:tc>
          <w:tcPr/>
          <w:p>
            <w:pPr>
              <w:pStyle w:val="Compact"/>
              <w:jc w:val="left"/>
            </w:pPr>
            <w:r>
              <w:t xml:space="preserve">Exenatida</w:t>
            </w:r>
          </w:p>
        </w:tc>
        <w:tc>
          <w:tcPr/>
          <w:p>
            <w:pPr>
              <w:pStyle w:val="Compact"/>
              <w:jc w:val="left"/>
            </w:pPr>
            <w:r>
              <w:rPr>
                <w:rStyle w:val="VerbatimChar"/>
              </w:rPr>
              <w:t xml:space="preserve">exenatide[tiab]</w:t>
            </w:r>
          </w:p>
        </w:tc>
      </w:tr>
      <w:tr>
        <w:tc>
          <w:tcPr/>
          <w:p>
            <w:pPr>
              <w:pStyle w:val="Compact"/>
              <w:jc w:val="left"/>
            </w:pPr>
            <w:r>
              <w:t xml:space="preserve">Liraglutida</w:t>
            </w:r>
          </w:p>
        </w:tc>
        <w:tc>
          <w:tcPr/>
          <w:p>
            <w:pPr>
              <w:pStyle w:val="Compact"/>
              <w:jc w:val="left"/>
            </w:pPr>
            <w:r>
              <w:rPr>
                <w:rStyle w:val="VerbatimChar"/>
              </w:rPr>
              <w:t xml:space="preserve">liraglutide[tiab]</w:t>
            </w:r>
          </w:p>
        </w:tc>
      </w:tr>
      <w:tr>
        <w:tc>
          <w:tcPr/>
          <w:p>
            <w:pPr>
              <w:pStyle w:val="Compact"/>
              <w:jc w:val="left"/>
            </w:pPr>
            <w:r>
              <w:t xml:space="preserve">Dulaglutida</w:t>
            </w:r>
          </w:p>
        </w:tc>
        <w:tc>
          <w:tcPr/>
          <w:p>
            <w:pPr>
              <w:pStyle w:val="Compact"/>
              <w:jc w:val="left"/>
            </w:pPr>
            <w:r>
              <w:rPr>
                <w:rStyle w:val="VerbatimChar"/>
              </w:rPr>
              <w:t xml:space="preserve">dulaglutide[tiab]</w:t>
            </w:r>
          </w:p>
        </w:tc>
      </w:tr>
      <w:tr>
        <w:tc>
          <w:tcPr/>
          <w:p>
            <w:pPr>
              <w:pStyle w:val="Compact"/>
              <w:jc w:val="left"/>
            </w:pPr>
            <w:r>
              <w:t xml:space="preserve">Semaglutida</w:t>
            </w:r>
          </w:p>
        </w:tc>
        <w:tc>
          <w:tcPr/>
          <w:p>
            <w:pPr>
              <w:pStyle w:val="Compact"/>
              <w:jc w:val="left"/>
            </w:pPr>
            <w:r>
              <w:rPr>
                <w:rStyle w:val="VerbatimChar"/>
              </w:rPr>
              <w:t xml:space="preserve">semaglutide[tiab]</w:t>
            </w:r>
          </w:p>
        </w:tc>
      </w:tr>
      <w:tr>
        <w:tc>
          <w:tcPr/>
          <w:p>
            <w:pPr>
              <w:pStyle w:val="Compact"/>
              <w:jc w:val="left"/>
            </w:pPr>
            <w:r>
              <w:t xml:space="preserve">Tirzepatida</w:t>
            </w:r>
          </w:p>
        </w:tc>
        <w:tc>
          <w:tcPr/>
          <w:p>
            <w:pPr>
              <w:pStyle w:val="Compact"/>
              <w:jc w:val="left"/>
            </w:pPr>
            <w:r>
              <w:rPr>
                <w:rStyle w:val="VerbatimChar"/>
              </w:rPr>
              <w:t xml:space="preserve">tirzepatide[tiab]</w:t>
            </w:r>
          </w:p>
        </w:tc>
      </w:tr>
      <w:tr>
        <w:tc>
          <w:tcPr/>
          <w:p>
            <w:pPr>
              <w:pStyle w:val="Compact"/>
              <w:jc w:val="left"/>
            </w:pPr>
            <w:r>
              <w:t xml:space="preserve">Retatrutida</w:t>
            </w:r>
          </w:p>
        </w:tc>
        <w:tc>
          <w:tcPr/>
          <w:p>
            <w:pPr>
              <w:pStyle w:val="Compact"/>
              <w:jc w:val="left"/>
            </w:pPr>
            <w:r>
              <w:rPr>
                <w:rStyle w:val="VerbatimChar"/>
              </w:rPr>
              <w:t xml:space="preserve">retatrutide[tiab]</w:t>
            </w:r>
          </w:p>
        </w:tc>
      </w:tr>
      <w:tr>
        <w:tc>
          <w:tcPr/>
          <w:p>
            <w:pPr>
              <w:pStyle w:val="Compact"/>
              <w:jc w:val="left"/>
            </w:pPr>
            <w:r>
              <w:t xml:space="preserve">Survodutida</w:t>
            </w:r>
          </w:p>
        </w:tc>
        <w:tc>
          <w:tcPr/>
          <w:p>
            <w:pPr>
              <w:pStyle w:val="Compact"/>
              <w:jc w:val="left"/>
            </w:pPr>
            <w:r>
              <w:rPr>
                <w:rStyle w:val="VerbatimChar"/>
              </w:rPr>
              <w:t xml:space="preserve">survodutide[tiab]</w:t>
            </w:r>
          </w:p>
        </w:tc>
      </w:tr>
      <w:tr>
        <w:tc>
          <w:tcPr/>
          <w:p>
            <w:pPr>
              <w:pStyle w:val="Compact"/>
              <w:jc w:val="left"/>
            </w:pPr>
            <w:r>
              <w:t xml:space="preserve">Mazdutida</w:t>
            </w:r>
          </w:p>
        </w:tc>
        <w:tc>
          <w:tcPr/>
          <w:p>
            <w:pPr>
              <w:pStyle w:val="Compact"/>
              <w:jc w:val="left"/>
            </w:pPr>
            <w:r>
              <w:rPr>
                <w:rStyle w:val="VerbatimChar"/>
              </w:rPr>
              <w:t xml:space="preserve">mazdutide[tiab]</w:t>
            </w:r>
          </w:p>
        </w:tc>
      </w:tr>
      <w:tr>
        <w:tc>
          <w:tcPr/>
          <w:p>
            <w:pPr>
              <w:pStyle w:val="Compact"/>
              <w:jc w:val="left"/>
            </w:pPr>
            <w:r>
              <w:t xml:space="preserve">Cagrilintida o CagriSema</w:t>
            </w:r>
          </w:p>
        </w:tc>
        <w:tc>
          <w:tcPr/>
          <w:p>
            <w:pPr>
              <w:pStyle w:val="Compact"/>
              <w:jc w:val="left"/>
            </w:pPr>
            <w:r>
              <w:rPr>
                <w:rStyle w:val="VerbatimChar"/>
              </w:rPr>
              <w:t xml:space="preserve">cagrilintide[tiab]</w:t>
            </w:r>
          </w:p>
        </w:tc>
      </w:tr>
      <w:tr>
        <w:tc>
          <w:tcPr/>
          <w:p>
            <w:pPr>
              <w:pStyle w:val="Compact"/>
              <w:jc w:val="left"/>
            </w:pPr>
            <w:r>
              <w:t xml:space="preserve">Amicretina</w:t>
            </w:r>
          </w:p>
        </w:tc>
        <w:tc>
          <w:tcPr/>
          <w:p>
            <w:pPr>
              <w:pStyle w:val="Compact"/>
              <w:jc w:val="left"/>
            </w:pPr>
            <w:r>
              <w:rPr>
                <w:rStyle w:val="VerbatimChar"/>
              </w:rPr>
              <w:t xml:space="preserve">amycretin[tiab]</w:t>
            </w:r>
          </w:p>
        </w:tc>
      </w:tr>
      <w:tr>
        <w:tc>
          <w:tcPr/>
          <w:p>
            <w:pPr>
              <w:pStyle w:val="Compact"/>
              <w:jc w:val="left"/>
            </w:pPr>
            <w:r>
              <w:t xml:space="preserve">Maridebart cafraglutida (MariTide)</w:t>
            </w:r>
          </w:p>
        </w:tc>
        <w:tc>
          <w:tcPr/>
          <w:p>
            <w:pPr>
              <w:pStyle w:val="Compact"/>
              <w:jc w:val="left"/>
            </w:pPr>
            <w:r>
              <w:rPr>
                <w:rStyle w:val="VerbatimChar"/>
              </w:rPr>
              <w:t xml:space="preserve">maridebart[tiab] OR AMG 133[tiab]</w:t>
            </w:r>
          </w:p>
        </w:tc>
      </w:tr>
      <w:tr>
        <w:tc>
          <w:tcPr/>
          <w:p>
            <w:pPr>
              <w:pStyle w:val="Compact"/>
              <w:jc w:val="left"/>
            </w:pPr>
            <w:r>
              <w:t xml:space="preserve">Pramlintida</w:t>
            </w:r>
          </w:p>
        </w:tc>
        <w:tc>
          <w:tcPr/>
          <w:p>
            <w:pPr>
              <w:pStyle w:val="Compact"/>
              <w:jc w:val="left"/>
            </w:pPr>
            <w:r>
              <w:rPr>
                <w:rStyle w:val="VerbatimChar"/>
              </w:rPr>
              <w:t xml:space="preserve">pramlintide[tiab]</w:t>
            </w:r>
          </w:p>
        </w:tc>
      </w:tr>
      <w:tr>
        <w:tc>
          <w:tcPr/>
          <w:p>
            <w:pPr>
              <w:pStyle w:val="Compact"/>
              <w:jc w:val="left"/>
            </w:pPr>
            <w:r>
              <w:t xml:space="preserve">Setmelanotida</w:t>
            </w:r>
          </w:p>
        </w:tc>
        <w:tc>
          <w:tcPr/>
          <w:p>
            <w:pPr>
              <w:pStyle w:val="Compact"/>
              <w:jc w:val="left"/>
            </w:pPr>
            <w:r>
              <w:rPr>
                <w:rStyle w:val="VerbatimChar"/>
              </w:rPr>
              <w:t xml:space="preserve">setmelanotide[tiab]</w:t>
            </w:r>
          </w:p>
        </w:tc>
      </w:tr>
      <w:tr>
        <w:tc>
          <w:tcPr/>
          <w:p>
            <w:pPr>
              <w:pStyle w:val="Compact"/>
              <w:jc w:val="left"/>
            </w:pPr>
            <w:r>
              <w:t xml:space="preserve">AOD-9604</w:t>
            </w:r>
          </w:p>
        </w:tc>
        <w:tc>
          <w:tcPr/>
          <w:p>
            <w:pPr>
              <w:pStyle w:val="Compact"/>
              <w:jc w:val="left"/>
            </w:pPr>
            <w:r>
              <w:rPr>
                <w:rStyle w:val="VerbatimChar"/>
              </w:rPr>
              <w:t xml:space="preserve">AOD9604[tiab] OR AOD-9604[tiab]</w:t>
            </w:r>
          </w:p>
        </w:tc>
      </w:tr>
      <w:tr>
        <w:tc>
          <w:tcPr/>
          <w:p>
            <w:pPr>
              <w:pStyle w:val="Compact"/>
              <w:jc w:val="left"/>
            </w:pPr>
            <w:r>
              <w:t xml:space="preserve">Orforglipron (comparación)</w:t>
            </w:r>
          </w:p>
        </w:tc>
        <w:tc>
          <w:tcPr/>
          <w:p>
            <w:pPr>
              <w:pStyle w:val="Compact"/>
              <w:jc w:val="left"/>
            </w:pPr>
            <w:r>
              <w:rPr>
                <w:rStyle w:val="VerbatimChar"/>
              </w:rPr>
              <w:t xml:space="preserve">orforglipron[tiab]</w:t>
            </w:r>
          </w:p>
        </w:tc>
      </w:tr>
    </w:tbl>
    <w:bookmarkEnd w:id="1103"/>
    <w:bookmarkStart w:id="1104" w:name="X3b8bc0c110d11438a6373a26bcd0e351f8a8826"/>
    <w:p>
      <w:pPr>
        <w:pStyle w:val="Heading4"/>
      </w:pPr>
      <w:r>
        <w:t xml:space="preserve">B. Curación, regeneración y sistema inmunitario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Péptido</w:t>
            </w:r>
          </w:p>
        </w:tc>
        <w:tc>
          <w:tcPr/>
          <w:p>
            <w:pPr>
              <w:pStyle w:val="Compact"/>
              <w:jc w:val="left"/>
            </w:pPr>
            <w:r>
              <w:t xml:space="preserve">Término de búsqueda en PubMed</w:t>
            </w:r>
          </w:p>
        </w:tc>
      </w:tr>
      <w:tr>
        <w:tc>
          <w:tcPr/>
          <w:p>
            <w:pPr>
              <w:pStyle w:val="Compact"/>
              <w:jc w:val="left"/>
            </w:pPr>
            <w:r>
              <w:t xml:space="preserve">BPC-157</w:t>
            </w:r>
          </w:p>
        </w:tc>
        <w:tc>
          <w:tcPr/>
          <w:p>
            <w:pPr>
              <w:pStyle w:val="Compact"/>
              <w:jc w:val="left"/>
            </w:pPr>
            <w:r>
              <w:rPr>
                <w:rStyle w:val="VerbatimChar"/>
              </w:rPr>
              <w:t xml:space="preserve">BPC 157[tiab] OR BPC-157[tiab] OR pentadecapeptide BPC[tiab]</w:t>
            </w:r>
          </w:p>
        </w:tc>
      </w:tr>
      <w:tr>
        <w:tc>
          <w:tcPr/>
          <w:p>
            <w:pPr>
              <w:pStyle w:val="Compact"/>
              <w:jc w:val="left"/>
            </w:pPr>
            <w:r>
              <w:t xml:space="preserve">TB-500 o timosina beta 4</w:t>
            </w:r>
          </w:p>
        </w:tc>
        <w:tc>
          <w:tcPr/>
          <w:p>
            <w:pPr>
              <w:pStyle w:val="Compact"/>
              <w:jc w:val="left"/>
            </w:pPr>
            <w:r>
              <w:rPr>
                <w:rStyle w:val="VerbatimChar"/>
              </w:rPr>
              <w:t xml:space="preserve">thymosin beta-4[tiab] OR thymosin beta4[tiab] OR TB-500[tiab] OR TB500[tiab]</w:t>
            </w:r>
          </w:p>
        </w:tc>
      </w:tr>
      <w:tr>
        <w:tc>
          <w:tcPr/>
          <w:p>
            <w:pPr>
              <w:pStyle w:val="Compact"/>
              <w:jc w:val="left"/>
            </w:pPr>
            <w:r>
              <w:t xml:space="preserve">Timosina alfa 1 (timalfasina)</w:t>
            </w:r>
          </w:p>
        </w:tc>
        <w:tc>
          <w:tcPr/>
          <w:p>
            <w:pPr>
              <w:pStyle w:val="Compact"/>
              <w:jc w:val="left"/>
            </w:pPr>
            <w:r>
              <w:rPr>
                <w:rStyle w:val="VerbatimChar"/>
              </w:rPr>
              <w:t xml:space="preserve">thymosin alpha 1[tiab] OR thymalfasin[tiab] OR thymosin alpha1[tiab]</w:t>
            </w:r>
          </w:p>
        </w:tc>
      </w:tr>
      <w:tr>
        <w:tc>
          <w:tcPr/>
          <w:p>
            <w:pPr>
              <w:pStyle w:val="Compact"/>
              <w:jc w:val="left"/>
            </w:pPr>
            <w:r>
              <w:t xml:space="preserve">KPV</w:t>
            </w:r>
          </w:p>
        </w:tc>
        <w:tc>
          <w:tcPr/>
          <w:p>
            <w:pPr>
              <w:pStyle w:val="Compact"/>
              <w:jc w:val="left"/>
            </w:pPr>
            <w:r>
              <w:rPr>
                <w:rStyle w:val="VerbatimChar"/>
              </w:rPr>
              <w:t xml:space="preserve">KPV[tiab] AND (peptide[tiab] OR tripeptide[tiab])</w:t>
            </w:r>
          </w:p>
        </w:tc>
      </w:tr>
      <w:tr>
        <w:tc>
          <w:tcPr/>
          <w:p>
            <w:pPr>
              <w:pStyle w:val="Compact"/>
              <w:jc w:val="left"/>
            </w:pPr>
            <w:r>
              <w:t xml:space="preserve">LL-37</w:t>
            </w:r>
          </w:p>
        </w:tc>
        <w:tc>
          <w:tcPr/>
          <w:p>
            <w:pPr>
              <w:pStyle w:val="Compact"/>
              <w:jc w:val="left"/>
            </w:pPr>
            <w:r>
              <w:rPr>
                <w:rStyle w:val="VerbatimChar"/>
              </w:rPr>
              <w:t xml:space="preserve">LL-37[tiab] OR cathelicidin[tiab]</w:t>
            </w:r>
          </w:p>
        </w:tc>
      </w:tr>
      <w:tr>
        <w:tc>
          <w:tcPr/>
          <w:p>
            <w:pPr>
              <w:pStyle w:val="Compact"/>
              <w:jc w:val="left"/>
            </w:pPr>
            <w:r>
              <w:t xml:space="preserve">ARA-290 (cibinetida)</w:t>
            </w:r>
          </w:p>
        </w:tc>
        <w:tc>
          <w:tcPr/>
          <w:p>
            <w:pPr>
              <w:pStyle w:val="Compact"/>
              <w:jc w:val="left"/>
            </w:pPr>
            <w:r>
              <w:rPr>
                <w:rStyle w:val="VerbatimChar"/>
              </w:rPr>
              <w:t xml:space="preserve">ARA 290[tiab] OR ARA290[tiab] OR cibinetide[tiab]</w:t>
            </w:r>
          </w:p>
        </w:tc>
      </w:tr>
      <w:tr>
        <w:tc>
          <w:tcPr/>
          <w:p>
            <w:pPr>
              <w:pStyle w:val="Compact"/>
              <w:jc w:val="left"/>
            </w:pPr>
            <w:r>
              <w:t xml:space="preserve">Larazotida</w:t>
            </w:r>
          </w:p>
        </w:tc>
        <w:tc>
          <w:tcPr/>
          <w:p>
            <w:pPr>
              <w:pStyle w:val="Compact"/>
              <w:jc w:val="left"/>
            </w:pPr>
            <w:r>
              <w:rPr>
                <w:rStyle w:val="VerbatimChar"/>
              </w:rPr>
              <w:t xml:space="preserve">larazotide[tiab]</w:t>
            </w:r>
          </w:p>
        </w:tc>
      </w:tr>
      <w:tr>
        <w:tc>
          <w:tcPr/>
          <w:p>
            <w:pPr>
              <w:pStyle w:val="Compact"/>
              <w:jc w:val="left"/>
            </w:pPr>
            <w:r>
              <w:t xml:space="preserve">Timalina o timógeno</w:t>
            </w:r>
          </w:p>
        </w:tc>
        <w:tc>
          <w:tcPr/>
          <w:p>
            <w:pPr>
              <w:pStyle w:val="Compact"/>
              <w:jc w:val="left"/>
            </w:pPr>
            <w:r>
              <w:rPr>
                <w:rStyle w:val="VerbatimChar"/>
              </w:rPr>
              <w:t xml:space="preserve">thymalin[tiab] OR thymogen[tiab]</w:t>
            </w:r>
          </w:p>
        </w:tc>
      </w:tr>
    </w:tbl>
    <w:bookmarkEnd w:id="1104"/>
    <w:bookmarkStart w:id="1105" w:name="c.-eje-de-la-hormona-del-crecimiento-1"/>
    <w:p>
      <w:pPr>
        <w:pStyle w:val="Heading4"/>
      </w:pPr>
      <w:r>
        <w:t xml:space="preserve">C. Eje de la hormona del crecimiento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Péptido</w:t>
            </w:r>
          </w:p>
        </w:tc>
        <w:tc>
          <w:tcPr/>
          <w:p>
            <w:pPr>
              <w:pStyle w:val="Compact"/>
              <w:jc w:val="left"/>
            </w:pPr>
            <w:r>
              <w:t xml:space="preserve">Término de búsqueda en PubMed</w:t>
            </w:r>
          </w:p>
        </w:tc>
      </w:tr>
      <w:tr>
        <w:tc>
          <w:tcPr/>
          <w:p>
            <w:pPr>
              <w:pStyle w:val="Compact"/>
              <w:jc w:val="left"/>
            </w:pPr>
            <w:r>
              <w:t xml:space="preserve">Sermorelina</w:t>
            </w:r>
          </w:p>
        </w:tc>
        <w:tc>
          <w:tcPr/>
          <w:p>
            <w:pPr>
              <w:pStyle w:val="Compact"/>
              <w:jc w:val="left"/>
            </w:pPr>
            <w:r>
              <w:rPr>
                <w:rStyle w:val="VerbatimChar"/>
              </w:rPr>
              <w:t xml:space="preserve">sermorelin[tiab]</w:t>
            </w:r>
          </w:p>
        </w:tc>
      </w:tr>
      <w:tr>
        <w:tc>
          <w:tcPr/>
          <w:p>
            <w:pPr>
              <w:pStyle w:val="Compact"/>
              <w:jc w:val="left"/>
            </w:pPr>
            <w:r>
              <w:t xml:space="preserve">Tesamorelina</w:t>
            </w:r>
          </w:p>
        </w:tc>
        <w:tc>
          <w:tcPr/>
          <w:p>
            <w:pPr>
              <w:pStyle w:val="Compact"/>
              <w:jc w:val="left"/>
            </w:pPr>
            <w:r>
              <w:rPr>
                <w:rStyle w:val="VerbatimChar"/>
              </w:rPr>
              <w:t xml:space="preserve">tesamorelin[tiab]</w:t>
            </w:r>
          </w:p>
        </w:tc>
      </w:tr>
      <w:tr>
        <w:tc>
          <w:tcPr/>
          <w:p>
            <w:pPr>
              <w:pStyle w:val="Compact"/>
              <w:jc w:val="left"/>
            </w:pPr>
            <w:r>
              <w:t xml:space="preserve">CJC-1295</w:t>
            </w:r>
          </w:p>
        </w:tc>
        <w:tc>
          <w:tcPr/>
          <w:p>
            <w:pPr>
              <w:pStyle w:val="Compact"/>
              <w:jc w:val="left"/>
            </w:pPr>
            <w:r>
              <w:rPr>
                <w:rStyle w:val="VerbatimChar"/>
              </w:rPr>
              <w:t xml:space="preserve">CJC-1295[tiab] OR CJC 1295[tiab]</w:t>
            </w:r>
          </w:p>
        </w:tc>
      </w:tr>
      <w:tr>
        <w:tc>
          <w:tcPr/>
          <w:p>
            <w:pPr>
              <w:pStyle w:val="Compact"/>
              <w:jc w:val="left"/>
            </w:pPr>
            <w:r>
              <w:t xml:space="preserve">Ipamorelina</w:t>
            </w:r>
          </w:p>
        </w:tc>
        <w:tc>
          <w:tcPr/>
          <w:p>
            <w:pPr>
              <w:pStyle w:val="Compact"/>
              <w:jc w:val="left"/>
            </w:pPr>
            <w:r>
              <w:rPr>
                <w:rStyle w:val="VerbatimChar"/>
              </w:rPr>
              <w:t xml:space="preserve">ipamorelin[tiab]</w:t>
            </w:r>
          </w:p>
        </w:tc>
      </w:tr>
      <w:tr>
        <w:tc>
          <w:tcPr/>
          <w:p>
            <w:pPr>
              <w:pStyle w:val="Compact"/>
              <w:jc w:val="left"/>
            </w:pPr>
            <w:r>
              <w:t xml:space="preserve">GHRP-2 (pralmorelina)</w:t>
            </w:r>
          </w:p>
        </w:tc>
        <w:tc>
          <w:tcPr/>
          <w:p>
            <w:pPr>
              <w:pStyle w:val="Compact"/>
              <w:jc w:val="left"/>
            </w:pPr>
            <w:r>
              <w:rPr>
                <w:rStyle w:val="VerbatimChar"/>
              </w:rPr>
              <w:t xml:space="preserve">GHRP-2[tiab] OR pralmorelin[tiab]</w:t>
            </w:r>
          </w:p>
        </w:tc>
      </w:tr>
      <w:tr>
        <w:tc>
          <w:tcPr/>
          <w:p>
            <w:pPr>
              <w:pStyle w:val="Compact"/>
              <w:jc w:val="left"/>
            </w:pPr>
            <w:r>
              <w:t xml:space="preserve">GHRP-6</w:t>
            </w:r>
          </w:p>
        </w:tc>
        <w:tc>
          <w:tcPr/>
          <w:p>
            <w:pPr>
              <w:pStyle w:val="Compact"/>
              <w:jc w:val="left"/>
            </w:pPr>
            <w:r>
              <w:rPr>
                <w:rStyle w:val="VerbatimChar"/>
              </w:rPr>
              <w:t xml:space="preserve">GHRP-6[tiab]</w:t>
            </w:r>
          </w:p>
        </w:tc>
      </w:tr>
      <w:tr>
        <w:tc>
          <w:tcPr/>
          <w:p>
            <w:pPr>
              <w:pStyle w:val="Compact"/>
              <w:jc w:val="left"/>
            </w:pPr>
            <w:r>
              <w:t xml:space="preserve">Hexarelina</w:t>
            </w:r>
          </w:p>
        </w:tc>
        <w:tc>
          <w:tcPr/>
          <w:p>
            <w:pPr>
              <w:pStyle w:val="Compact"/>
              <w:jc w:val="left"/>
            </w:pPr>
            <w:r>
              <w:rPr>
                <w:rStyle w:val="VerbatimChar"/>
              </w:rPr>
              <w:t xml:space="preserve">hexarelin[tiab]</w:t>
            </w:r>
          </w:p>
        </w:tc>
      </w:tr>
      <w:tr>
        <w:tc>
          <w:tcPr/>
          <w:p>
            <w:pPr>
              <w:pStyle w:val="Compact"/>
              <w:jc w:val="left"/>
            </w:pPr>
            <w:r>
              <w:t xml:space="preserve">Macimorelina</w:t>
            </w:r>
          </w:p>
        </w:tc>
        <w:tc>
          <w:tcPr/>
          <w:p>
            <w:pPr>
              <w:pStyle w:val="Compact"/>
              <w:jc w:val="left"/>
            </w:pPr>
            <w:r>
              <w:rPr>
                <w:rStyle w:val="VerbatimChar"/>
              </w:rPr>
              <w:t xml:space="preserve">macimorelin[tiab]</w:t>
            </w:r>
          </w:p>
        </w:tc>
      </w:tr>
      <w:tr>
        <w:tc>
          <w:tcPr/>
          <w:p>
            <w:pPr>
              <w:pStyle w:val="Compact"/>
              <w:jc w:val="left"/>
            </w:pPr>
            <w:r>
              <w:t xml:space="preserve">Mecasermina (IGF-1)</w:t>
            </w:r>
          </w:p>
        </w:tc>
        <w:tc>
          <w:tcPr/>
          <w:p>
            <w:pPr>
              <w:pStyle w:val="Compact"/>
              <w:jc w:val="left"/>
            </w:pPr>
            <w:r>
              <w:rPr>
                <w:rStyle w:val="VerbatimChar"/>
              </w:rPr>
              <w:t xml:space="preserve">mecasermin[tiab] OR rhIGF-1[tiab]</w:t>
            </w:r>
          </w:p>
        </w:tc>
      </w:tr>
      <w:tr>
        <w:tc>
          <w:tcPr/>
          <w:p>
            <w:pPr>
              <w:pStyle w:val="Compact"/>
              <w:jc w:val="left"/>
            </w:pPr>
            <w:r>
              <w:t xml:space="preserve">IGF-1 LR3</w:t>
            </w:r>
          </w:p>
        </w:tc>
        <w:tc>
          <w:tcPr/>
          <w:p>
            <w:pPr>
              <w:pStyle w:val="Compact"/>
              <w:jc w:val="left"/>
            </w:pPr>
            <w:r>
              <w:rPr>
                <w:rStyle w:val="VerbatimChar"/>
              </w:rPr>
              <w:t xml:space="preserve">LR3-IGF-1[tiab] OR IGF-1 LR3[tiab] OR "Long R3"[tiab]</w:t>
            </w:r>
          </w:p>
        </w:tc>
      </w:tr>
      <w:tr>
        <w:tc>
          <w:tcPr/>
          <w:p>
            <w:pPr>
              <w:pStyle w:val="Compact"/>
              <w:jc w:val="left"/>
            </w:pPr>
            <w:r>
              <w:t xml:space="preserve">Ibutamoreno (MK-677) (comparación)</w:t>
            </w:r>
          </w:p>
        </w:tc>
        <w:tc>
          <w:tcPr/>
          <w:p>
            <w:pPr>
              <w:pStyle w:val="Compact"/>
              <w:jc w:val="left"/>
            </w:pPr>
            <w:r>
              <w:rPr>
                <w:rStyle w:val="VerbatimChar"/>
              </w:rPr>
              <w:t xml:space="preserve">ibutamoren[tiab] OR MK-677[tiab] OR MK-0677[tiab]</w:t>
            </w:r>
          </w:p>
        </w:tc>
      </w:tr>
    </w:tbl>
    <w:bookmarkEnd w:id="1105"/>
    <w:bookmarkStart w:id="1106" w:name="d.-cerebro-sueño-y-longevidad-1"/>
    <w:p>
      <w:pPr>
        <w:pStyle w:val="Heading4"/>
      </w:pPr>
      <w:r>
        <w:t xml:space="preserve">D. Cerebro, sueño y longevidad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Péptido</w:t>
            </w:r>
          </w:p>
        </w:tc>
        <w:tc>
          <w:tcPr/>
          <w:p>
            <w:pPr>
              <w:pStyle w:val="Compact"/>
              <w:jc w:val="left"/>
            </w:pPr>
            <w:r>
              <w:t xml:space="preserve">Término de búsqueda en PubMed</w:t>
            </w:r>
          </w:p>
        </w:tc>
      </w:tr>
      <w:tr>
        <w:tc>
          <w:tcPr/>
          <w:p>
            <w:pPr>
              <w:pStyle w:val="Compact"/>
              <w:jc w:val="left"/>
            </w:pPr>
            <w:r>
              <w:t xml:space="preserve">Semax</w:t>
            </w:r>
          </w:p>
        </w:tc>
        <w:tc>
          <w:tcPr/>
          <w:p>
            <w:pPr>
              <w:pStyle w:val="Compact"/>
              <w:jc w:val="left"/>
            </w:pPr>
            <w:r>
              <w:rPr>
                <w:rStyle w:val="VerbatimChar"/>
              </w:rPr>
              <w:t xml:space="preserve">semax[tiab]</w:t>
            </w:r>
          </w:p>
        </w:tc>
      </w:tr>
      <w:tr>
        <w:tc>
          <w:tcPr/>
          <w:p>
            <w:pPr>
              <w:pStyle w:val="Compact"/>
              <w:jc w:val="left"/>
            </w:pPr>
            <w:r>
              <w:t xml:space="preserve">Selank</w:t>
            </w:r>
          </w:p>
        </w:tc>
        <w:tc>
          <w:tcPr/>
          <w:p>
            <w:pPr>
              <w:pStyle w:val="Compact"/>
              <w:jc w:val="left"/>
            </w:pPr>
            <w:r>
              <w:rPr>
                <w:rStyle w:val="VerbatimChar"/>
              </w:rPr>
              <w:t xml:space="preserve">selank[tiab]</w:t>
            </w:r>
          </w:p>
        </w:tc>
      </w:tr>
      <w:tr>
        <w:tc>
          <w:tcPr/>
          <w:p>
            <w:pPr>
              <w:pStyle w:val="Compact"/>
              <w:jc w:val="left"/>
            </w:pPr>
            <w:r>
              <w:t xml:space="preserve">Cerebrolisina</w:t>
            </w:r>
          </w:p>
        </w:tc>
        <w:tc>
          <w:tcPr/>
          <w:p>
            <w:pPr>
              <w:pStyle w:val="Compact"/>
              <w:jc w:val="left"/>
            </w:pPr>
            <w:r>
              <w:rPr>
                <w:rStyle w:val="VerbatimChar"/>
              </w:rPr>
              <w:t xml:space="preserve">cerebrolysin[tiab]</w:t>
            </w:r>
          </w:p>
        </w:tc>
      </w:tr>
      <w:tr>
        <w:tc>
          <w:tcPr/>
          <w:p>
            <w:pPr>
              <w:pStyle w:val="Compact"/>
              <w:jc w:val="left"/>
            </w:pPr>
            <w:r>
              <w:t xml:space="preserve">Dihexa</w:t>
            </w:r>
          </w:p>
        </w:tc>
        <w:tc>
          <w:tcPr/>
          <w:p>
            <w:pPr>
              <w:pStyle w:val="Compact"/>
              <w:jc w:val="left"/>
            </w:pPr>
            <w:r>
              <w:rPr>
                <w:rStyle w:val="VerbatimChar"/>
              </w:rPr>
              <w:t xml:space="preserve">dihexa[tiab]</w:t>
            </w:r>
          </w:p>
        </w:tc>
      </w:tr>
      <w:tr>
        <w:tc>
          <w:tcPr/>
          <w:p>
            <w:pPr>
              <w:pStyle w:val="Compact"/>
              <w:jc w:val="left"/>
            </w:pPr>
            <w:r>
              <w:t xml:space="preserve">DSIP</w:t>
            </w:r>
          </w:p>
        </w:tc>
        <w:tc>
          <w:tcPr/>
          <w:p>
            <w:pPr>
              <w:pStyle w:val="Compact"/>
              <w:jc w:val="left"/>
            </w:pPr>
            <w:r>
              <w:rPr>
                <w:rStyle w:val="VerbatimChar"/>
              </w:rPr>
              <w:t xml:space="preserve">delta sleep-inducing peptide[tiab] OR DSIP[tiab]</w:t>
            </w:r>
          </w:p>
        </w:tc>
      </w:tr>
      <w:tr>
        <w:tc>
          <w:tcPr/>
          <w:p>
            <w:pPr>
              <w:pStyle w:val="Compact"/>
              <w:jc w:val="left"/>
            </w:pPr>
            <w:r>
              <w:t xml:space="preserve">Epitalon (Epithalon)</w:t>
            </w:r>
          </w:p>
        </w:tc>
        <w:tc>
          <w:tcPr/>
          <w:p>
            <w:pPr>
              <w:pStyle w:val="Compact"/>
              <w:jc w:val="left"/>
            </w:pPr>
            <w:r>
              <w:rPr>
                <w:rStyle w:val="VerbatimChar"/>
              </w:rPr>
              <w:t xml:space="preserve">epitalon[tiab] OR epithalon[tiab] OR epithalone[tiab]</w:t>
            </w:r>
          </w:p>
        </w:tc>
      </w:tr>
      <w:tr>
        <w:tc>
          <w:tcPr/>
          <w:p>
            <w:pPr>
              <w:pStyle w:val="Compact"/>
              <w:jc w:val="left"/>
            </w:pPr>
            <w:r>
              <w:t xml:space="preserve">Pinealon</w:t>
            </w:r>
          </w:p>
        </w:tc>
        <w:tc>
          <w:tcPr/>
          <w:p>
            <w:pPr>
              <w:pStyle w:val="Compact"/>
              <w:jc w:val="left"/>
            </w:pPr>
            <w:r>
              <w:rPr>
                <w:rStyle w:val="VerbatimChar"/>
              </w:rPr>
              <w:t xml:space="preserve">pinealon[tiab]</w:t>
            </w:r>
          </w:p>
        </w:tc>
      </w:tr>
      <w:tr>
        <w:tc>
          <w:tcPr/>
          <w:p>
            <w:pPr>
              <w:pStyle w:val="Compact"/>
              <w:jc w:val="left"/>
            </w:pPr>
            <w:r>
              <w:t xml:space="preserve">MOTS-c</w:t>
            </w:r>
          </w:p>
        </w:tc>
        <w:tc>
          <w:tcPr/>
          <w:p>
            <w:pPr>
              <w:pStyle w:val="Compact"/>
              <w:jc w:val="left"/>
            </w:pPr>
            <w:r>
              <w:rPr>
                <w:rStyle w:val="VerbatimChar"/>
              </w:rPr>
              <w:t xml:space="preserve">MOTS-c[tiab]</w:t>
            </w:r>
          </w:p>
        </w:tc>
      </w:tr>
      <w:tr>
        <w:tc>
          <w:tcPr/>
          <w:p>
            <w:pPr>
              <w:pStyle w:val="Compact"/>
              <w:jc w:val="left"/>
            </w:pPr>
            <w:r>
              <w:t xml:space="preserve">Humanina</w:t>
            </w:r>
          </w:p>
        </w:tc>
        <w:tc>
          <w:tcPr/>
          <w:p>
            <w:pPr>
              <w:pStyle w:val="Compact"/>
              <w:jc w:val="left"/>
            </w:pPr>
            <w:r>
              <w:rPr>
                <w:rStyle w:val="VerbatimChar"/>
              </w:rPr>
              <w:t xml:space="preserve">humanin[tiab]</w:t>
            </w:r>
          </w:p>
        </w:tc>
      </w:tr>
      <w:tr>
        <w:tc>
          <w:tcPr/>
          <w:p>
            <w:pPr>
              <w:pStyle w:val="Compact"/>
              <w:jc w:val="left"/>
            </w:pPr>
            <w:r>
              <w:t xml:space="preserve">SS-31 (elamipretida)</w:t>
            </w:r>
          </w:p>
        </w:tc>
        <w:tc>
          <w:tcPr/>
          <w:p>
            <w:pPr>
              <w:pStyle w:val="Compact"/>
              <w:jc w:val="left"/>
            </w:pPr>
            <w:r>
              <w:rPr>
                <w:rStyle w:val="VerbatimChar"/>
              </w:rPr>
              <w:t xml:space="preserve">elamipretide[tiab] OR SS-31[tiab]</w:t>
            </w:r>
          </w:p>
        </w:tc>
      </w:tr>
      <w:tr>
        <w:tc>
          <w:tcPr/>
          <w:p>
            <w:pPr>
              <w:pStyle w:val="Compact"/>
              <w:jc w:val="left"/>
            </w:pPr>
            <w:r>
              <w:t xml:space="preserve">FOXO4-DRI</w:t>
            </w:r>
          </w:p>
        </w:tc>
        <w:tc>
          <w:tcPr/>
          <w:p>
            <w:pPr>
              <w:pStyle w:val="Compact"/>
              <w:jc w:val="left"/>
            </w:pPr>
            <w:r>
              <w:rPr>
                <w:rStyle w:val="VerbatimChar"/>
              </w:rPr>
              <w:t xml:space="preserve">FOXO4-DRI[tiab]</w:t>
            </w:r>
          </w:p>
        </w:tc>
      </w:tr>
      <w:tr>
        <w:tc>
          <w:tcPr/>
          <w:p>
            <w:pPr>
              <w:pStyle w:val="Compact"/>
              <w:jc w:val="left"/>
            </w:pPr>
            <w:r>
              <w:t xml:space="preserve">Glutatión</w:t>
            </w:r>
          </w:p>
        </w:tc>
        <w:tc>
          <w:tcPr/>
          <w:p>
            <w:pPr>
              <w:pStyle w:val="Compact"/>
              <w:jc w:val="left"/>
            </w:pPr>
            <w:r>
              <w:rPr>
                <w:rStyle w:val="VerbatimChar"/>
              </w:rPr>
              <w:t xml:space="preserve">glutathione[ti] AND (supplementation[tiab] OR oral[tiab] OR intravenous[tiab])</w:t>
            </w:r>
          </w:p>
        </w:tc>
      </w:tr>
    </w:tbl>
    <w:bookmarkEnd w:id="1106"/>
    <w:bookmarkStart w:id="1107" w:name="e.-hormonas-sexualidad-y-pigmentación-1"/>
    <w:p>
      <w:pPr>
        <w:pStyle w:val="Heading4"/>
      </w:pPr>
      <w:r>
        <w:t xml:space="preserve">E. Hormonas, sexualidad y pigmentación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Péptido</w:t>
            </w:r>
          </w:p>
        </w:tc>
        <w:tc>
          <w:tcPr/>
          <w:p>
            <w:pPr>
              <w:pStyle w:val="Compact"/>
              <w:jc w:val="left"/>
            </w:pPr>
            <w:r>
              <w:t xml:space="preserve">Término de búsqueda en PubMed</w:t>
            </w:r>
          </w:p>
        </w:tc>
      </w:tr>
      <w:tr>
        <w:tc>
          <w:tcPr/>
          <w:p>
            <w:pPr>
              <w:pStyle w:val="Compact"/>
              <w:jc w:val="left"/>
            </w:pPr>
            <w:r>
              <w:t xml:space="preserve">Bremelanotida (PT-141)</w:t>
            </w:r>
          </w:p>
        </w:tc>
        <w:tc>
          <w:tcPr/>
          <w:p>
            <w:pPr>
              <w:pStyle w:val="Compact"/>
              <w:jc w:val="left"/>
            </w:pPr>
            <w:r>
              <w:rPr>
                <w:rStyle w:val="VerbatimChar"/>
              </w:rPr>
              <w:t xml:space="preserve">bremelanotide[tiab] OR PT-141[tiab]</w:t>
            </w:r>
          </w:p>
        </w:tc>
      </w:tr>
      <w:tr>
        <w:tc>
          <w:tcPr/>
          <w:p>
            <w:pPr>
              <w:pStyle w:val="Compact"/>
              <w:jc w:val="left"/>
            </w:pPr>
            <w:r>
              <w:t xml:space="preserve">Melanotán II</w:t>
            </w:r>
          </w:p>
        </w:tc>
        <w:tc>
          <w:tcPr/>
          <w:p>
            <w:pPr>
              <w:pStyle w:val="Compact"/>
              <w:jc w:val="left"/>
            </w:pPr>
            <w:r>
              <w:rPr>
                <w:rStyle w:val="VerbatimChar"/>
              </w:rPr>
              <w:t xml:space="preserve">melanotan[tiab]</w:t>
            </w:r>
          </w:p>
        </w:tc>
      </w:tr>
      <w:tr>
        <w:tc>
          <w:tcPr/>
          <w:p>
            <w:pPr>
              <w:pStyle w:val="Compact"/>
              <w:jc w:val="left"/>
            </w:pPr>
            <w:r>
              <w:t xml:space="preserve">Afamelanotida</w:t>
            </w:r>
          </w:p>
        </w:tc>
        <w:tc>
          <w:tcPr/>
          <w:p>
            <w:pPr>
              <w:pStyle w:val="Compact"/>
              <w:jc w:val="left"/>
            </w:pPr>
            <w:r>
              <w:rPr>
                <w:rStyle w:val="VerbatimChar"/>
              </w:rPr>
              <w:t xml:space="preserve">afamelanotide[tiab]</w:t>
            </w:r>
          </w:p>
        </w:tc>
      </w:tr>
      <w:tr>
        <w:tc>
          <w:tcPr/>
          <w:p>
            <w:pPr>
              <w:pStyle w:val="Compact"/>
              <w:jc w:val="left"/>
            </w:pPr>
            <w:r>
              <w:t xml:space="preserve">Kisspeptina</w:t>
            </w:r>
          </w:p>
        </w:tc>
        <w:tc>
          <w:tcPr/>
          <w:p>
            <w:pPr>
              <w:pStyle w:val="Compact"/>
              <w:jc w:val="left"/>
            </w:pPr>
            <w:r>
              <w:rPr>
                <w:rStyle w:val="VerbatimChar"/>
              </w:rPr>
              <w:t xml:space="preserve">kisspeptin[tiab] AND (administration[tiab] OR infusion[tiab] OR injection[tiab])</w:t>
            </w:r>
          </w:p>
        </w:tc>
      </w:tr>
      <w:tr>
        <w:tc>
          <w:tcPr/>
          <w:p>
            <w:pPr>
              <w:pStyle w:val="Compact"/>
              <w:jc w:val="left"/>
            </w:pPr>
            <w:r>
              <w:t xml:space="preserve">Oxitocina (intranasal)</w:t>
            </w:r>
          </w:p>
        </w:tc>
        <w:tc>
          <w:tcPr/>
          <w:p>
            <w:pPr>
              <w:pStyle w:val="Compact"/>
              <w:jc w:val="left"/>
            </w:pPr>
            <w:r>
              <w:rPr>
                <w:rStyle w:val="VerbatimChar"/>
              </w:rPr>
              <w:t xml:space="preserve">intranasal oxytocin[tiab]</w:t>
            </w:r>
          </w:p>
        </w:tc>
      </w:tr>
      <w:tr>
        <w:tc>
          <w:tcPr/>
          <w:p>
            <w:pPr>
              <w:pStyle w:val="Compact"/>
              <w:jc w:val="left"/>
            </w:pPr>
            <w:r>
              <w:t xml:space="preserve">Gonadorelina</w:t>
            </w:r>
          </w:p>
        </w:tc>
        <w:tc>
          <w:tcPr/>
          <w:p>
            <w:pPr>
              <w:pStyle w:val="Compact"/>
              <w:jc w:val="left"/>
            </w:pPr>
            <w:r>
              <w:rPr>
                <w:rStyle w:val="VerbatimChar"/>
              </w:rPr>
              <w:t xml:space="preserve">gonadorelin[tiab]</w:t>
            </w:r>
          </w:p>
        </w:tc>
      </w:tr>
    </w:tbl>
    <w:bookmarkEnd w:id="1107"/>
    <w:bookmarkStart w:id="1108" w:name="f.-colágeno-nutrición-y-cosmética-1"/>
    <w:p>
      <w:pPr>
        <w:pStyle w:val="Heading4"/>
      </w:pPr>
      <w:r>
        <w:t xml:space="preserve">F. Colágeno, nutrición y cosmética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Péptido</w:t>
            </w:r>
          </w:p>
        </w:tc>
        <w:tc>
          <w:tcPr/>
          <w:p>
            <w:pPr>
              <w:pStyle w:val="Compact"/>
              <w:jc w:val="left"/>
            </w:pPr>
            <w:r>
              <w:t xml:space="preserve">Término de búsqueda en PubMed</w:t>
            </w:r>
          </w:p>
        </w:tc>
      </w:tr>
      <w:tr>
        <w:tc>
          <w:tcPr/>
          <w:p>
            <w:pPr>
              <w:pStyle w:val="Compact"/>
              <w:jc w:val="left"/>
            </w:pPr>
            <w:r>
              <w:t xml:space="preserve">Colágeno hidrolizado o péptidos de colágeno</w:t>
            </w:r>
          </w:p>
        </w:tc>
        <w:tc>
          <w:tcPr/>
          <w:p>
            <w:pPr>
              <w:pStyle w:val="Compact"/>
              <w:jc w:val="left"/>
            </w:pPr>
            <w:r>
              <w:rPr>
                <w:rStyle w:val="VerbatimChar"/>
              </w:rPr>
              <w:t xml:space="preserve">(collagen hydrolysate[tiab] OR collagen peptide*[tiab]) AND (supplement*[tiab] OR oral[tiab] OR ingestion[tiab])</w:t>
            </w:r>
          </w:p>
        </w:tc>
      </w:tr>
      <w:tr>
        <w:tc>
          <w:tcPr/>
          <w:p>
            <w:pPr>
              <w:pStyle w:val="Compact"/>
              <w:jc w:val="left"/>
            </w:pPr>
            <w:r>
              <w:t xml:space="preserve">Lactotripéptidos (VPP/IPP)</w:t>
            </w:r>
          </w:p>
        </w:tc>
        <w:tc>
          <w:tcPr/>
          <w:p>
            <w:pPr>
              <w:pStyle w:val="Compact"/>
              <w:jc w:val="left"/>
            </w:pPr>
            <w:r>
              <w:rPr>
                <w:rStyle w:val="VerbatimChar"/>
              </w:rPr>
              <w:t xml:space="preserve">lactotripeptide*[tiab] OR (valyl-prolyl-proline[tiab])</w:t>
            </w:r>
          </w:p>
        </w:tc>
      </w:tr>
      <w:tr>
        <w:tc>
          <w:tcPr/>
          <w:p>
            <w:pPr>
              <w:pStyle w:val="Compact"/>
              <w:jc w:val="left"/>
            </w:pPr>
            <w:r>
              <w:t xml:space="preserve">Carnosina</w:t>
            </w:r>
          </w:p>
        </w:tc>
        <w:tc>
          <w:tcPr/>
          <w:p>
            <w:pPr>
              <w:pStyle w:val="Compact"/>
              <w:jc w:val="left"/>
            </w:pPr>
            <w:r>
              <w:rPr>
                <w:rStyle w:val="VerbatimChar"/>
              </w:rPr>
              <w:t xml:space="preserve">carnosine[ti] AND (supplementation[tiab] OR oral[tiab])</w:t>
            </w:r>
          </w:p>
        </w:tc>
      </w:tr>
      <w:tr>
        <w:tc>
          <w:tcPr/>
          <w:p>
            <w:pPr>
              <w:pStyle w:val="Compact"/>
              <w:jc w:val="left"/>
            </w:pPr>
            <w:r>
              <w:t xml:space="preserve">GHK-Cu (péptido de cobre)</w:t>
            </w:r>
          </w:p>
        </w:tc>
        <w:tc>
          <w:tcPr/>
          <w:p>
            <w:pPr>
              <w:pStyle w:val="Compact"/>
              <w:jc w:val="left"/>
            </w:pPr>
            <w:r>
              <w:rPr>
                <w:rStyle w:val="VerbatimChar"/>
              </w:rPr>
              <w:t xml:space="preserve">GHK-Cu[tiab] OR copper tripeptide[tiab] OR copper peptide GHK[tiab]</w:t>
            </w:r>
          </w:p>
        </w:tc>
      </w:tr>
      <w:tr>
        <w:tc>
          <w:tcPr/>
          <w:p>
            <w:pPr>
              <w:pStyle w:val="Compact"/>
              <w:jc w:val="left"/>
            </w:pPr>
            <w:r>
              <w:t xml:space="preserve">Palmitoil pentapéptido-4 (Matrixyl)</w:t>
            </w:r>
          </w:p>
        </w:tc>
        <w:tc>
          <w:tcPr/>
          <w:p>
            <w:pPr>
              <w:pStyle w:val="Compact"/>
              <w:jc w:val="left"/>
            </w:pPr>
            <w:r>
              <w:rPr>
                <w:rStyle w:val="VerbatimChar"/>
              </w:rPr>
              <w:t xml:space="preserve">palmitoyl pentapeptide[tiab] OR matrixyl[tiab]</w:t>
            </w:r>
          </w:p>
        </w:tc>
      </w:tr>
      <w:tr>
        <w:tc>
          <w:tcPr/>
          <w:p>
            <w:pPr>
              <w:pStyle w:val="Compact"/>
              <w:jc w:val="left"/>
            </w:pPr>
            <w:r>
              <w:t xml:space="preserve">Acetil hexapéptido-8 (Argireline)</w:t>
            </w:r>
          </w:p>
        </w:tc>
        <w:tc>
          <w:tcPr/>
          <w:p>
            <w:pPr>
              <w:pStyle w:val="Compact"/>
              <w:jc w:val="left"/>
            </w:pPr>
            <w:r>
              <w:rPr>
                <w:rStyle w:val="VerbatimChar"/>
              </w:rPr>
              <w:t xml:space="preserve">acetyl hexapeptide[tiab] OR argireline[tiab]</w:t>
            </w:r>
          </w:p>
        </w:tc>
      </w:tr>
    </w:tbl>
    <w:bookmarkEnd w:id="1108"/>
    <w:bookmarkEnd w:id="1109"/>
    <w:bookmarkStart w:id="1110" w:name="volumen-de-resultados"/>
    <w:p>
      <w:pPr>
        <w:pStyle w:val="Heading3"/>
      </w:pPr>
      <w:r>
        <w:t xml:space="preserve">Volumen de resultados</w:t>
      </w:r>
    </w:p>
    <w:p>
      <w:pPr>
        <w:pStyle w:val="FirstParagraph"/>
      </w:pPr>
      <w:r>
        <w:t xml:space="preserve">En total, las 58 consultas dieron 3216 resultados con el filtro de estudios en humanos y 1739 resultados con el filtro de metaanálisis y revisiones. En ClinicalTrials.gov se encontraron 4879 entradas de registro. Estas sumas contienen recuentos múltiples, porque algunos estudios se refieren a varios péptidos, por ejemplo los estudios comparativos entre semaglutida y tirzepatida. Las cifras por péptido se indican al comienzo del apartado «Estudios en seres humanos» del capítulo correspondiente.</w:t>
      </w:r>
    </w:p>
    <w:p>
      <w:pPr>
        <w:pStyle w:val="BodyText"/>
      </w:pPr>
      <w:r>
        <w:t xml:space="preserve">La distribución es muy desigual: a los medicamentos GLP-1 autorizados les corresponden cientos de estudios en humanos; a muchos péptidos del mercado gris, en cambio, ninguno o solo un puñado.</w:t>
      </w:r>
    </w:p>
    <w:bookmarkEnd w:id="1110"/>
    <w:bookmarkStart w:id="1111" w:name="selección-y-análisis"/>
    <w:p>
      <w:pPr>
        <w:pStyle w:val="Heading3"/>
      </w:pPr>
      <w:r>
        <w:t xml:space="preserve">Selección y análisis</w:t>
      </w:r>
    </w:p>
    <w:p>
      <w:pPr>
        <w:pStyle w:val="FirstParagraph"/>
      </w:pPr>
      <w:r>
        <w:t xml:space="preserve">Para cada péptido, todos los resultados con el filtro de estudios en humanos se recogieron en una lista breve (título, año, revista, primer autor); constituyen la base del índice de estudios del anexo. Los estudios en humanos y las revisiones más importantes según la relevancia de PubMed se leyeron y analizaron a partir de sus resúmenes, complementados con los trabajos buscados específicamente.</w:t>
      </w:r>
    </w:p>
    <w:p>
      <w:pPr>
        <w:pStyle w:val="BodyText"/>
      </w:pPr>
      <w:r>
        <w:t xml:space="preserve">Para la presentación en el texto se aplica:</w:t>
      </w:r>
    </w:p>
    <w:p>
      <w:pPr>
        <w:numPr>
          <w:ilvl w:val="0"/>
          <w:numId w:val="1374"/>
        </w:numPr>
        <w:pStyle w:val="Compact"/>
      </w:pPr>
      <w:r>
        <w:t xml:space="preserve">Cada estudio mencionado se leyó a partir de su entrada en PubMed o de su entrada en el registro.</w:t>
      </w:r>
    </w:p>
    <w:p>
      <w:pPr>
        <w:numPr>
          <w:ilvl w:val="0"/>
          <w:numId w:val="1374"/>
        </w:numPr>
        <w:pStyle w:val="Compact"/>
      </w:pPr>
      <w:r>
        <w:t xml:space="preserve">Las cifras (por ejemplo, número de participantes, porcentajes, variaciones de peso o valores p) proceden exclusivamente del resumen de la publicación o de la entrada del registro. Lo que no está documentado allí no se menciona como cifra.</w:t>
      </w:r>
    </w:p>
    <w:p>
      <w:pPr>
        <w:numPr>
          <w:ilvl w:val="0"/>
          <w:numId w:val="1374"/>
        </w:numPr>
        <w:pStyle w:val="Compact"/>
      </w:pPr>
      <w:r>
        <w:t xml:space="preserve">Los textos completos no se analizaron de forma sistemática. Por eso faltan en parte detalles que solo figuran en el texto completo, como tasas concretas de efectos adversos o subgrupos.</w:t>
      </w:r>
    </w:p>
    <w:p>
      <w:pPr>
        <w:numPr>
          <w:ilvl w:val="0"/>
          <w:numId w:val="1374"/>
        </w:numPr>
        <w:pStyle w:val="Compact"/>
      </w:pPr>
      <w:r>
        <w:t xml:space="preserve">Los resultados con animales y de laboratorio se identifican expresamente como tales.</w:t>
      </w:r>
    </w:p>
    <w:p>
      <w:pPr>
        <w:numPr>
          <w:ilvl w:val="0"/>
          <w:numId w:val="1374"/>
        </w:numPr>
        <w:pStyle w:val="Compact"/>
      </w:pPr>
      <w:r>
        <w:t xml:space="preserve">En los estudios en curso solo se informa de lo que figura en el registro. Se identifican como</w:t>
      </w:r>
      <w:r>
        <w:t xml:space="preserve"> </w:t>
      </w:r>
      <w:r>
        <w:rPr>
          <w:iCs/>
          <w:i/>
        </w:rPr>
        <w:t xml:space="preserve">confirmados</w:t>
      </w:r>
      <w:r>
        <w:t xml:space="preserve"> </w:t>
      </w:r>
      <w:r>
        <w:t xml:space="preserve">(registrados, en curso), y los pronósticos propios como</w:t>
      </w:r>
      <w:r>
        <w:t xml:space="preserve"> </w:t>
      </w:r>
      <w:r>
        <w:rPr>
          <w:iCs/>
          <w:i/>
        </w:rPr>
        <w:t xml:space="preserve">valoración</w:t>
      </w:r>
      <w:r>
        <w:t xml:space="preserve">.</w:t>
      </w:r>
    </w:p>
    <w:bookmarkEnd w:id="1111"/>
    <w:bookmarkStart w:id="1112" w:name="niveles-de-evidencia"/>
    <w:p>
      <w:pPr>
        <w:pStyle w:val="Heading3"/>
      </w:pPr>
      <w:r>
        <w:t xml:space="preserve">Niveles de evidencia</w:t>
      </w:r>
    </w:p>
    <w:p>
      <w:pPr>
        <w:pStyle w:val="FirstParagraph"/>
      </w:pPr>
      <w:r>
        <w:t xml:space="preserve">Cada péptido recibió un nivel de evidencia según los siguientes criterios: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Nivel</w:t>
            </w:r>
          </w:p>
        </w:tc>
        <w:tc>
          <w:tcPr/>
          <w:p>
            <w:pPr>
              <w:pStyle w:val="Compact"/>
              <w:jc w:val="left"/>
            </w:pPr>
            <w:r>
              <w:t xml:space="preserve">Criterio</w:t>
            </w:r>
          </w:p>
        </w:tc>
      </w:tr>
      <w:tr>
        <w:tc>
          <w:tcPr/>
          <w:p>
            <w:pPr>
              <w:pStyle w:val="Compact"/>
              <w:jc w:val="left"/>
            </w:pPr>
            <w:r>
              <w:t xml:space="preserve">A</w:t>
            </w:r>
          </w:p>
        </w:tc>
        <w:tc>
          <w:tcPr/>
          <w:p>
            <w:pPr>
              <w:pStyle w:val="Compact"/>
              <w:jc w:val="left"/>
            </w:pPr>
            <w:r>
              <w:t xml:space="preserve">varios grandes estudios aleatorizados en humanos, autorización como medicamento</w:t>
            </w:r>
          </w:p>
        </w:tc>
      </w:tr>
      <w:tr>
        <w:tc>
          <w:tcPr/>
          <w:p>
            <w:pPr>
              <w:pStyle w:val="Compact"/>
              <w:jc w:val="left"/>
            </w:pPr>
            <w:r>
              <w:t xml:space="preserve">B</w:t>
            </w:r>
          </w:p>
        </w:tc>
        <w:tc>
          <w:tcPr/>
          <w:p>
            <w:pPr>
              <w:pStyle w:val="Compact"/>
              <w:jc w:val="left"/>
            </w:pPr>
            <w:r>
              <w:t xml:space="preserve">estudios aleatorizados aislados en humanos</w:t>
            </w:r>
          </w:p>
        </w:tc>
      </w:tr>
      <w:tr>
        <w:tc>
          <w:tcPr/>
          <w:p>
            <w:pPr>
              <w:pStyle w:val="Compact"/>
              <w:jc w:val="left"/>
            </w:pPr>
            <w:r>
              <w:t xml:space="preserve">C</w:t>
            </w:r>
          </w:p>
        </w:tc>
        <w:tc>
          <w:tcPr/>
          <w:p>
            <w:pPr>
              <w:pStyle w:val="Compact"/>
              <w:jc w:val="left"/>
            </w:pPr>
            <w:r>
              <w:t xml:space="preserve">solo estudios pequeños o no controlados en humanos</w:t>
            </w:r>
          </w:p>
        </w:tc>
      </w:tr>
      <w:tr>
        <w:tc>
          <w:tcPr/>
          <w:p>
            <w:pPr>
              <w:pStyle w:val="Compact"/>
              <w:jc w:val="left"/>
            </w:pPr>
            <w:r>
              <w:t xml:space="preserve">D</w:t>
            </w:r>
          </w:p>
        </w:tc>
        <w:tc>
          <w:tcPr/>
          <w:p>
            <w:pPr>
              <w:pStyle w:val="Compact"/>
              <w:jc w:val="left"/>
            </w:pPr>
            <w:r>
              <w:t xml:space="preserve">solo estudios con animales y de laboratorio</w:t>
            </w:r>
          </w:p>
        </w:tc>
      </w:tr>
    </w:tbl>
    <w:p>
      <w:pPr>
        <w:pStyle w:val="BodyText"/>
      </w:pPr>
      <w:r>
        <w:t xml:space="preserve">La clasificación se refiere al conjunto de los datos disponibles en humanos y al uso estudiado más importante. Es una valoración del autor basada en los estudios analizados y no una clasificación oficial.</w:t>
      </w:r>
    </w:p>
    <w:bookmarkEnd w:id="1112"/>
    <w:bookmarkStart w:id="1113" w:name="límites-de-la-metodología"/>
    <w:p>
      <w:pPr>
        <w:pStyle w:val="Heading3"/>
      </w:pPr>
      <w:r>
        <w:t xml:space="preserve">Límites de la metodología</w:t>
      </w:r>
    </w:p>
    <w:p>
      <w:pPr>
        <w:pStyle w:val="FirstParagraph"/>
      </w:pPr>
      <w:r>
        <w:t xml:space="preserve">Como toda búsqueda bibliográfica, también esta tiene límites que conviene que tenga en cuenta durante la lectura:</w:t>
      </w:r>
    </w:p>
    <w:p>
      <w:pPr>
        <w:pStyle w:val="BodyText"/>
      </w:pPr>
      <w:r>
        <w:rPr>
          <w:bCs/>
          <w:b/>
        </w:rPr>
        <w:t xml:space="preserve">Los resultados no equivalen a estudios independientes.</w:t>
      </w:r>
      <w:r>
        <w:t xml:space="preserve"> </w:t>
      </w:r>
      <w:r>
        <w:t xml:space="preserve">Un gran estudio se publica a menudo en varios artículos: resultado principal, subgrupos, seguimiento, calidad de vida. Cada uno de estos artículos es un resultado propio. A la inversa, varios estudios pueden resumirse en un solo artículo. Por eso, el número de resultados refleja el orden de magnitud de la investigación, no el número exacto de estudios independientes.</w:t>
      </w:r>
    </w:p>
    <w:p>
      <w:pPr>
        <w:pStyle w:val="BodyText"/>
      </w:pPr>
      <w:r>
        <w:rPr>
          <w:bCs/>
          <w:b/>
        </w:rPr>
        <w:t xml:space="preserve">Los tipos de publicación no siempre son correctos.</w:t>
      </w:r>
      <w:r>
        <w:t xml:space="preserve"> </w:t>
      </w:r>
      <w:r>
        <w:t xml:space="preserve">El filtro de estudios en humanos se basa en la indización de PubMed. Algunos estudios no están identificados como ensayo clínico y por eso faltan; algunos trabajos identificados como ensayo clínico resultan ser, al examinarlos con más detalle, estudios observacionales o trabajos de laboratorio con material humano. Los artículos muy recientes a menudo todavía no están indizados por completo.</w:t>
      </w:r>
    </w:p>
    <w:p>
      <w:pPr>
        <w:pStyle w:val="BodyText"/>
      </w:pPr>
      <w:r>
        <w:rPr>
          <w:bCs/>
          <w:b/>
        </w:rPr>
        <w:t xml:space="preserve">Los términos de búsqueda pueden tener lagunas.</w:t>
      </w:r>
      <w:r>
        <w:t xml:space="preserve"> </w:t>
      </w:r>
      <w:r>
        <w:t xml:space="preserve">Un término de búsqueda solo encuentra lo que se describe en el título o el resumen con las palabras elegidas. Pueden faltar estudios que mencionan una sustancia solo con un nombre de código o con otra grafía. A la inversa, abreviaturas ambiguas como «KPV» o «SS-31» pueden recoger también trabajos sobre temas completamente distintos. Por eso, para los capítulos los resultados se revisaron y no se adoptaron sin comprobación.</w:t>
      </w:r>
    </w:p>
    <w:p>
      <w:pPr>
        <w:pStyle w:val="BodyText"/>
      </w:pPr>
      <w:r>
        <w:rPr>
          <w:bCs/>
          <w:b/>
        </w:rPr>
        <w:t xml:space="preserve">Idiomas.</w:t>
      </w:r>
      <w:r>
        <w:t xml:space="preserve"> </w:t>
      </w:r>
      <w:r>
        <w:t xml:space="preserve">PubMed recoge sobre todo revistas en inglés. Los trabajos publicados solo en otros idiomas y en revistas no indizadas faltan en gran medida. Esto afecta especialmente a algunos péptidos que se investigan y utilizan sobre todo en Rusia o en otros países de Europa del Este, como Semax, Selank, epitalon o timalina. Para ellos, la situación real de los estudios es posiblemente más amplia, pero difícil de verificar para los lectores internacionales.</w:t>
      </w:r>
    </w:p>
    <w:p>
      <w:pPr>
        <w:pStyle w:val="BodyText"/>
      </w:pPr>
      <w:r>
        <w:rPr>
          <w:bCs/>
          <w:b/>
        </w:rPr>
        <w:t xml:space="preserve">Estudios no publicados.</w:t>
      </w:r>
      <w:r>
        <w:t xml:space="preserve"> </w:t>
      </w:r>
      <w:r>
        <w:t xml:space="preserve">Los estudios que nunca se publicaron no figuran en PubMed. El registro ClinicalTrials.gov ayuda a detectar estas lagunas, pero no recoge todos los estudios del mundo.</w:t>
      </w:r>
    </w:p>
    <w:p>
      <w:pPr>
        <w:pStyle w:val="BodyText"/>
      </w:pPr>
      <w:r>
        <w:rPr>
          <w:bCs/>
          <w:b/>
        </w:rPr>
        <w:t xml:space="preserve">Solo resúmenes.</w:t>
      </w:r>
      <w:r>
        <w:t xml:space="preserve"> </w:t>
      </w:r>
      <w:r>
        <w:t xml:space="preserve">El análisis se basa en los resúmenes. Estos recogen los resultados principales, pero pueden presentar de forma abreviada las limitaciones, los efectos adversos o las debilidades metodológicas.</w:t>
      </w:r>
    </w:p>
    <w:p>
      <w:pPr>
        <w:pStyle w:val="BodyText"/>
      </w:pPr>
      <w:r>
        <w:rPr>
          <w:bCs/>
          <w:b/>
        </w:rPr>
        <w:t xml:space="preserve">Instantánea.</w:t>
      </w:r>
      <w:r>
        <w:t xml:space="preserve"> </w:t>
      </w:r>
      <w:r>
        <w:t xml:space="preserve">La investigación refleja la situación de octubre de 2026. En campos de rápido crecimiento como el de los medicamentos GLP-1 se publican nuevos estudios cada semana.</w:t>
      </w:r>
    </w:p>
    <w:bookmarkEnd w:id="1113"/>
    <w:bookmarkStart w:id="1114" w:name="apoyo-de-la-ia-y-control-de-calidad"/>
    <w:p>
      <w:pPr>
        <w:pStyle w:val="Heading3"/>
      </w:pPr>
      <w:r>
        <w:t xml:space="preserve">Apoyo de la IA y control de calidad</w:t>
      </w:r>
    </w:p>
    <w:p>
      <w:pPr>
        <w:pStyle w:val="FirstParagraph"/>
      </w:pPr>
      <w:r>
        <w:t xml:space="preserve">Este libro se investigó y redactó con el apoyo de la inteligencia artificial y fue revisado por el autor. La IA se utilizó para las siguientes tareas:</w:t>
      </w:r>
    </w:p>
    <w:p>
      <w:pPr>
        <w:numPr>
          <w:ilvl w:val="0"/>
          <w:numId w:val="1375"/>
        </w:numPr>
        <w:pStyle w:val="Compact"/>
      </w:pPr>
      <w:r>
        <w:t xml:space="preserve">realización de las consultas a las bases de datos a través de las interfaces mencionadas, con programas auxiliares escritos expresamente para ello,</w:t>
      </w:r>
    </w:p>
    <w:p>
      <w:pPr>
        <w:numPr>
          <w:ilvl w:val="0"/>
          <w:numId w:val="1375"/>
        </w:numPr>
        <w:pStyle w:val="Compact"/>
      </w:pPr>
      <w:r>
        <w:t xml:space="preserve">lectura y análisis de los resúmenes y de las entradas de registro,</w:t>
      </w:r>
    </w:p>
    <w:p>
      <w:pPr>
        <w:numPr>
          <w:ilvl w:val="0"/>
          <w:numId w:val="1375"/>
        </w:numPr>
        <w:pStyle w:val="Compact"/>
      </w:pPr>
      <w:r>
        <w:t xml:space="preserve">elaboración de borradores de texto según reglas fijas de estilo y de trabajo.</w:t>
      </w:r>
    </w:p>
    <w:p>
      <w:pPr>
        <w:pStyle w:val="FirstParagraph"/>
      </w:pPr>
      <w:r>
        <w:t xml:space="preserve">Para evitar el conocido riesgo de que los sistemas de IA inventen fuentes o cifras, se aplicaron reglas vinculantes: cada estudio del texto se cita con su PMID o número NCT; cada cifra debe proceder de un resumen o de una entrada de registro realmente consultados; los estudios solo pueden mencionarse si su entrada se ha consultado y leído previamente.</w:t>
      </w:r>
    </w:p>
    <w:p>
      <w:pPr>
        <w:pStyle w:val="BodyText"/>
      </w:pPr>
      <w:r>
        <w:t xml:space="preserve">Además, cada capítulo se controló con un programa de verificación. Este consulta, para cada PMID y número NCT mencionado en el texto, la entrada en PubMed o en ClinicalTrials.gov y señala como error que un número no exista. Compara además el primer autor y el año de publicación que figuran en el texto antes del PMID con la entrada de la base de datos y advierte de las discrepancias. Por último, busca formulaciones no admisibles, como promesas de curación, recomendaciones de dosis o indicaciones de fuentes de suministro. Un capítulo solo se consideraba terminado cuando esta verificación se completaba sin errores.</w:t>
      </w:r>
    </w:p>
    <w:p>
      <w:pPr>
        <w:pStyle w:val="BodyText"/>
      </w:pPr>
      <w:r>
        <w:t xml:space="preserve">Esta verificación garantiza que cada fuente citada existe y está correctamente asignada. No puede descartar por completo que un resultado se reproduzca en el texto de forma abreviada o equívoca. Por eso, todas las fuentes se indican de modo que usted mismo pueda consultarlas; cómo hacerlo se explica en el apartado «Sobre este libro» al principio.</w:t>
      </w:r>
    </w:p>
    <w:bookmarkEnd w:id="1114"/>
    <w:bookmarkEnd w:id="1115"/>
    <w:bookmarkStart w:id="1174" w:name="índice-de-estudios"/>
    <w:p>
      <w:pPr>
        <w:pStyle w:val="Heading1"/>
      </w:pPr>
      <w:r>
        <w:t xml:space="preserve">Índice de estudios</w:t>
      </w:r>
    </w:p>
    <w:p>
      <w:pPr>
        <w:pStyle w:val="FirstParagraph"/>
      </w:pPr>
      <w:r>
        <w:t xml:space="preserve">Este índice recoge todas las publicaciones de estudios clínicos en humanos que la búsqueda encontró en PubMed para cada péptido (consulta de octubre de 2026; filtros, véase Metodología). Los títulos y las revistas figuran en su idioma original. Cada estudio puede consultarse por su PMID en pubmed.ncbi.nlm.nih.gov. No todas las entradas son estudios independientes: algunos estudios se analizaron y publicaron varias veces.</w:t>
      </w:r>
      <w:r>
        <w:t xml:space="preserve"> </w:t>
      </w:r>
      <w:r>
        <w:t xml:space="preserve">Total: 3.216 entradas.</w:t>
      </w:r>
    </w:p>
    <w:bookmarkStart w:id="1116" w:name="exenatida-437"/>
    <w:p>
      <w:pPr>
        <w:pStyle w:val="Heading2"/>
      </w:pPr>
      <w:r>
        <w:t xml:space="preserve">Exenatida (437)</w:t>
      </w:r>
    </w:p>
    <w:p>
      <w:pPr>
        <w:numPr>
          <w:ilvl w:val="0"/>
          <w:numId w:val="1376"/>
        </w:numPr>
        <w:pStyle w:val="Compact"/>
      </w:pPr>
      <w:r>
        <w:t xml:space="preserve">2026 · Retnakaran R ·</w:t>
      </w:r>
      <w:r>
        <w:t xml:space="preserve"> </w:t>
      </w:r>
      <w:r>
        <w:rPr>
          <w:iCs/>
          <w:i/>
        </w:rPr>
        <w:t xml:space="preserve">Am J Physiol Endocrinol Metab</w:t>
      </w:r>
      <w:r>
        <w:t xml:space="preserve"> </w:t>
      </w:r>
      <w:r>
        <w:t xml:space="preserve">· Glucose-lowering in type 2 diabetes may be mediated by improved proinsulin processing without better β-cell compensation. PMID 42721371</w:t>
      </w:r>
    </w:p>
    <w:p>
      <w:pPr>
        <w:numPr>
          <w:ilvl w:val="0"/>
          <w:numId w:val="1376"/>
        </w:numPr>
        <w:pStyle w:val="Compact"/>
      </w:pPr>
      <w:r>
        <w:t xml:space="preserve">2026 · Corey KM ·</w:t>
      </w:r>
      <w:r>
        <w:t xml:space="preserve"> </w:t>
      </w:r>
      <w:r>
        <w:rPr>
          <w:iCs/>
          <w:i/>
        </w:rPr>
        <w:t xml:space="preserve">JCI Insight</w:t>
      </w:r>
      <w:r>
        <w:t xml:space="preserve"> </w:t>
      </w:r>
      <w:r>
        <w:t xml:space="preserve">· A validated, modifiable proteomic score from the EXSCEL trial predicts cardiovascular events in diabetes. PMID 42390946</w:t>
      </w:r>
    </w:p>
    <w:p>
      <w:pPr>
        <w:numPr>
          <w:ilvl w:val="0"/>
          <w:numId w:val="1376"/>
        </w:numPr>
        <w:pStyle w:val="Compact"/>
      </w:pPr>
      <w:r>
        <w:t xml:space="preserve">2026 · Mikkelsen AD ·</w:t>
      </w:r>
      <w:r>
        <w:t xml:space="preserve"> </w:t>
      </w:r>
      <w:r>
        <w:rPr>
          <w:iCs/>
          <w:i/>
        </w:rPr>
        <w:t xml:space="preserve">Acta Anaesthesiol Scand</w:t>
      </w:r>
      <w:r>
        <w:t xml:space="preserve"> </w:t>
      </w:r>
      <w:r>
        <w:t xml:space="preserve">· Glucagon-Like Peptide-1 Agonist vs. Placebo and Pulmonary Decline After Open-Heart Surgery: A Substudy of the GLORIOUS Randomised Clinical Trial. PMID 42318973</w:t>
      </w:r>
    </w:p>
    <w:p>
      <w:pPr>
        <w:numPr>
          <w:ilvl w:val="0"/>
          <w:numId w:val="1376"/>
        </w:numPr>
        <w:pStyle w:val="Compact"/>
      </w:pPr>
      <w:r>
        <w:t xml:space="preserve">2026 · Wu TH ·</w:t>
      </w:r>
      <w:r>
        <w:t xml:space="preserve"> </w:t>
      </w:r>
      <w:r>
        <w:rPr>
          <w:iCs/>
          <w:i/>
        </w:rPr>
        <w:t xml:space="preserve">J Chin Med Assoc</w:t>
      </w:r>
      <w:r>
        <w:t xml:space="preserve"> </w:t>
      </w:r>
      <w:r>
        <w:t xml:space="preserve">· Effects of insulin and exenatide therapy on glycemic control and β-cell function in patients newly diagnosed with type 2 diabetes and severe hyperglycemia. PMID 42290292</w:t>
      </w:r>
    </w:p>
    <w:p>
      <w:pPr>
        <w:numPr>
          <w:ilvl w:val="0"/>
          <w:numId w:val="1376"/>
        </w:numPr>
        <w:pStyle w:val="Compact"/>
      </w:pPr>
      <w:r>
        <w:t xml:space="preserve">2026 · Kittipibul V ·</w:t>
      </w:r>
      <w:r>
        <w:t xml:space="preserve"> </w:t>
      </w:r>
      <w:r>
        <w:rPr>
          <w:iCs/>
          <w:i/>
        </w:rPr>
        <w:t xml:space="preserve">Am Heart J</w:t>
      </w:r>
      <w:r>
        <w:t xml:space="preserve"> </w:t>
      </w:r>
      <w:r>
        <w:t xml:space="preserve">· Serial assessment of NT-proBNP and high-sensitivity cardiac troponin with glucagon-like peptide-1 receptor agonist therapy in type 2 diabetes: Insights from EXSCEL. PMID 42102896</w:t>
      </w:r>
    </w:p>
    <w:p>
      <w:pPr>
        <w:numPr>
          <w:ilvl w:val="0"/>
          <w:numId w:val="1376"/>
        </w:numPr>
        <w:pStyle w:val="Compact"/>
      </w:pPr>
      <w:r>
        <w:t xml:space="preserve">2026 · Parikh M ·</w:t>
      </w:r>
      <w:r>
        <w:t xml:space="preserve"> </w:t>
      </w:r>
      <w:r>
        <w:rPr>
          <w:iCs/>
          <w:i/>
        </w:rPr>
        <w:t xml:space="preserve">J Clin Endocrinol Metab</w:t>
      </w:r>
      <w:r>
        <w:t xml:space="preserve"> </w:t>
      </w:r>
      <w:r>
        <w:t xml:space="preserve">· Exenatide induces an enhanced endogenous glucagon-like peptide-1 secretory response in patients receiving basal insulin. PMID 41604435</w:t>
      </w:r>
    </w:p>
    <w:p>
      <w:pPr>
        <w:numPr>
          <w:ilvl w:val="0"/>
          <w:numId w:val="1376"/>
        </w:numPr>
        <w:pStyle w:val="Compact"/>
      </w:pPr>
      <w:r>
        <w:t xml:space="preserve">2026 · Goodman J ·</w:t>
      </w:r>
      <w:r>
        <w:t xml:space="preserve"> </w:t>
      </w:r>
      <w:r>
        <w:rPr>
          <w:iCs/>
          <w:i/>
        </w:rPr>
        <w:t xml:space="preserve">Br J Clin Pharmacol</w:t>
      </w:r>
      <w:r>
        <w:t xml:space="preserve"> </w:t>
      </w:r>
      <w:r>
        <w:t xml:space="preserve">· An experimental medicine protocol for exploring the haemodynamic effects of dual agonism at the glucagon-like peptide-1 and glucagon receptor in healthy subjects. PMID 41025322</w:t>
      </w:r>
    </w:p>
    <w:p>
      <w:pPr>
        <w:numPr>
          <w:ilvl w:val="0"/>
          <w:numId w:val="1376"/>
        </w:numPr>
        <w:pStyle w:val="Compact"/>
      </w:pPr>
      <w:r>
        <w:t xml:space="preserve">2025 · Almby KE ·</w:t>
      </w:r>
      <w:r>
        <w:t xml:space="preserve"> </w:t>
      </w:r>
      <w:r>
        <w:rPr>
          <w:iCs/>
          <w:i/>
        </w:rPr>
        <w:t xml:space="preserve">Endocrine</w:t>
      </w:r>
      <w:r>
        <w:t xml:space="preserve"> </w:t>
      </w:r>
      <w:r>
        <w:t xml:space="preserve">· Effects of acute GLP-1 analogue infusion on the glycemic and neurohormonal responses to meal test in non- hypoglycemic subjects after gastric bypass. PMID 41071533</w:t>
      </w:r>
    </w:p>
    <w:p>
      <w:pPr>
        <w:numPr>
          <w:ilvl w:val="0"/>
          <w:numId w:val="1376"/>
        </w:numPr>
        <w:pStyle w:val="Compact"/>
      </w:pPr>
      <w:r>
        <w:t xml:space="preserve">2025 · Coleman RL ·</w:t>
      </w:r>
      <w:r>
        <w:t xml:space="preserve"> </w:t>
      </w:r>
      <w:r>
        <w:rPr>
          <w:iCs/>
          <w:i/>
        </w:rPr>
        <w:t xml:space="preserve">Cardiovasc Diabetol</w:t>
      </w:r>
      <w:r>
        <w:t xml:space="preserve"> </w:t>
      </w:r>
      <w:r>
        <w:t xml:space="preserve">· Impact of changes in conventional risk factors induced by once-weekly GLP-1 receptor agonist exenatide on cardiovascular outcomes: an EXSCEL post hoc analysis. PMID 40849664</w:t>
      </w:r>
    </w:p>
    <w:p>
      <w:pPr>
        <w:numPr>
          <w:ilvl w:val="0"/>
          <w:numId w:val="1376"/>
        </w:numPr>
        <w:pStyle w:val="Compact"/>
      </w:pPr>
      <w:r>
        <w:t xml:space="preserve">2025 · Peters AE ·</w:t>
      </w:r>
      <w:r>
        <w:t xml:space="preserve"> </w:t>
      </w:r>
      <w:r>
        <w:rPr>
          <w:iCs/>
          <w:i/>
        </w:rPr>
        <w:t xml:space="preserve">Sci Rep</w:t>
      </w:r>
      <w:r>
        <w:t xml:space="preserve"> </w:t>
      </w:r>
      <w:r>
        <w:t xml:space="preserve">· Proteomic pathways across the ejection fraction spectrum in patients with heart failure and diabetes mellitus: an EXSCEL trial substudy. PMID 40825966</w:t>
      </w:r>
    </w:p>
    <w:p>
      <w:pPr>
        <w:numPr>
          <w:ilvl w:val="0"/>
          <w:numId w:val="1376"/>
        </w:numPr>
        <w:pStyle w:val="Compact"/>
      </w:pPr>
      <w:r>
        <w:t xml:space="preserve">2025 · Hepprich M ·</w:t>
      </w:r>
      <w:r>
        <w:t xml:space="preserve"> </w:t>
      </w:r>
      <w:r>
        <w:rPr>
          <w:iCs/>
          <w:i/>
        </w:rPr>
        <w:t xml:space="preserve">Eur J Endocrinol</w:t>
      </w:r>
      <w:r>
        <w:t xml:space="preserve"> </w:t>
      </w:r>
      <w:r>
        <w:t xml:space="preserve">· Exenatide for diagnosing endogenous hyperinsulinemic hypoglycemia: a randomized placebo-controlled, double-blind, cross-over proof-of-principle study. PMID 40747712</w:t>
      </w:r>
    </w:p>
    <w:p>
      <w:pPr>
        <w:numPr>
          <w:ilvl w:val="0"/>
          <w:numId w:val="1376"/>
        </w:numPr>
        <w:pStyle w:val="Compact"/>
      </w:pPr>
      <w:r>
        <w:t xml:space="preserve">2025 · Vijiaratnam N ·</w:t>
      </w:r>
      <w:r>
        <w:t xml:space="preserve"> </w:t>
      </w:r>
      <w:r>
        <w:rPr>
          <w:iCs/>
          <w:i/>
        </w:rPr>
        <w:t xml:space="preserve">Ann Neurol</w:t>
      </w:r>
      <w:r>
        <w:t xml:space="preserve"> </w:t>
      </w:r>
      <w:r>
        <w:t xml:space="preserve">· Exenatide Once Weekly in the Treatment of Patients with Multiple System Atrophy. PMID 40727970</w:t>
      </w:r>
    </w:p>
    <w:p>
      <w:pPr>
        <w:numPr>
          <w:ilvl w:val="0"/>
          <w:numId w:val="1376"/>
        </w:numPr>
        <w:pStyle w:val="Compact"/>
      </w:pPr>
      <w:r>
        <w:t xml:space="preserve">2025 · Hviid MEB ·</w:t>
      </w:r>
      <w:r>
        <w:t xml:space="preserve"> </w:t>
      </w:r>
      <w:r>
        <w:rPr>
          <w:iCs/>
          <w:i/>
        </w:rPr>
        <w:t xml:space="preserve">Alcohol Clin Exp Res (Hoboken)</w:t>
      </w:r>
      <w:r>
        <w:t xml:space="preserve"> </w:t>
      </w:r>
      <w:r>
        <w:t xml:space="preserve">· Effect of the GLP-1 receptor agonist exenatide on pro-inflammatory and metabolic biomarkers in individuals with alcohol use disorder: Post hoc results from a randomized, double-blinded, placebo-controlled clinical trial. PMID 40630018</w:t>
      </w:r>
    </w:p>
    <w:p>
      <w:pPr>
        <w:numPr>
          <w:ilvl w:val="0"/>
          <w:numId w:val="1376"/>
        </w:numPr>
        <w:pStyle w:val="Compact"/>
      </w:pPr>
      <w:r>
        <w:t xml:space="preserve">2025 · Triplitt C ·</w:t>
      </w:r>
      <w:r>
        <w:t xml:space="preserve"> </w:t>
      </w:r>
      <w:r>
        <w:rPr>
          <w:iCs/>
          <w:i/>
        </w:rPr>
        <w:t xml:space="preserve">Diabetes Care</w:t>
      </w:r>
      <w:r>
        <w:t xml:space="preserve"> </w:t>
      </w:r>
      <w:r>
        <w:t xml:space="preserve">· Changes in β-Cell Function and Insulin Sensitivity During Treatment With Dapagliflozin Alone or in Combination With Exenatide in Type 2 Diabetes. PMID 40627548</w:t>
      </w:r>
    </w:p>
    <w:p>
      <w:pPr>
        <w:numPr>
          <w:ilvl w:val="0"/>
          <w:numId w:val="1376"/>
        </w:numPr>
        <w:pStyle w:val="Compact"/>
      </w:pPr>
      <w:r>
        <w:t xml:space="preserve">2025 · Goodman J ·</w:t>
      </w:r>
      <w:r>
        <w:t xml:space="preserve"> </w:t>
      </w:r>
      <w:r>
        <w:rPr>
          <w:iCs/>
          <w:i/>
        </w:rPr>
        <w:t xml:space="preserve">Sci Rep</w:t>
      </w:r>
      <w:r>
        <w:t xml:space="preserve"> </w:t>
      </w:r>
      <w:r>
        <w:t xml:space="preserve">· Exenatide and glucagon co-infusion increases myocardial glucose uptake and improves markers of diastolic dysfunction in adults with type 2 diabetes. PMID 40593987</w:t>
      </w:r>
    </w:p>
    <w:p>
      <w:pPr>
        <w:numPr>
          <w:ilvl w:val="0"/>
          <w:numId w:val="1376"/>
        </w:numPr>
        <w:pStyle w:val="Compact"/>
      </w:pPr>
      <w:r>
        <w:t xml:space="preserve">2025 · Abdul-Ghani M ·</w:t>
      </w:r>
      <w:r>
        <w:t xml:space="preserve"> </w:t>
      </w:r>
      <w:r>
        <w:rPr>
          <w:iCs/>
          <w:i/>
        </w:rPr>
        <w:t xml:space="preserve">BMJ Open Diabetes Res Care</w:t>
      </w:r>
      <w:r>
        <w:t xml:space="preserve"> </w:t>
      </w:r>
      <w:r>
        <w:t xml:space="preserve">· Glycemic and non-glycemic benefits of initial triple therapy versus sequential add-on therapy in patients with new-onset diabetes: results from the EDICT study. PMID 40288809</w:t>
      </w:r>
    </w:p>
    <w:p>
      <w:pPr>
        <w:numPr>
          <w:ilvl w:val="0"/>
          <w:numId w:val="1376"/>
        </w:numPr>
        <w:pStyle w:val="Compact"/>
      </w:pPr>
      <w:r>
        <w:t xml:space="preserve">2025 · Kjaergaard J ·</w:t>
      </w:r>
      <w:r>
        <w:t xml:space="preserve"> </w:t>
      </w:r>
      <w:r>
        <w:rPr>
          <w:iCs/>
          <w:i/>
        </w:rPr>
        <w:t xml:space="preserve">Circ Cardiovasc Interv</w:t>
      </w:r>
      <w:r>
        <w:t xml:space="preserve"> </w:t>
      </w:r>
      <w:r>
        <w:t xml:space="preserve">· Efficacy of the Glucagon-Like Peptide-1 Agonist Exenatide in Patients Undergoing CABG or Aortic Valve Replacement: A Randomized Double-Blind Clinical Trial. PMID 40265262</w:t>
      </w:r>
    </w:p>
    <w:p>
      <w:pPr>
        <w:numPr>
          <w:ilvl w:val="0"/>
          <w:numId w:val="1376"/>
        </w:numPr>
        <w:pStyle w:val="Compact"/>
      </w:pPr>
      <w:r>
        <w:t xml:space="preserve">2025 · Patino LR ·</w:t>
      </w:r>
      <w:r>
        <w:t xml:space="preserve"> </w:t>
      </w:r>
      <w:r>
        <w:rPr>
          <w:iCs/>
          <w:i/>
        </w:rPr>
        <w:t xml:space="preserve">J Affect Disord</w:t>
      </w:r>
      <w:r>
        <w:t xml:space="preserve"> </w:t>
      </w:r>
      <w:r>
        <w:t xml:space="preserve">· A double-blind, placebo-controlled trial of exenatide for the treatment of olanzapine-related weight gain in obese and overweight adults. PMID 40203970</w:t>
      </w:r>
    </w:p>
    <w:p>
      <w:pPr>
        <w:numPr>
          <w:ilvl w:val="0"/>
          <w:numId w:val="1376"/>
        </w:numPr>
        <w:pStyle w:val="Compact"/>
      </w:pPr>
      <w:r>
        <w:t xml:space="preserve">2025 · Maddaloni E ·</w:t>
      </w:r>
      <w:r>
        <w:t xml:space="preserve"> </w:t>
      </w:r>
      <w:r>
        <w:rPr>
          <w:iCs/>
          <w:i/>
        </w:rPr>
        <w:t xml:space="preserve">Diabetes Res Clin Pract</w:t>
      </w:r>
      <w:r>
        <w:t xml:space="preserve"> </w:t>
      </w:r>
      <w:r>
        <w:t xml:space="preserve">· Risk factors for bone fractures in type 2 diabetes and the impact of once-weekly exenatide: insights from an EXSCEL post-hoc analysis. PMID 40154887</w:t>
      </w:r>
    </w:p>
    <w:p>
      <w:pPr>
        <w:numPr>
          <w:ilvl w:val="0"/>
          <w:numId w:val="1376"/>
        </w:numPr>
        <w:pStyle w:val="Compact"/>
      </w:pPr>
      <w:r>
        <w:t xml:space="preserve">2025 · Jensen ME ·</w:t>
      </w:r>
      <w:r>
        <w:t xml:space="preserve"> </w:t>
      </w:r>
      <w:r>
        <w:rPr>
          <w:iCs/>
          <w:i/>
        </w:rPr>
        <w:t xml:space="preserve">Alcohol Clin Exp Res (Hoboken)</w:t>
      </w:r>
      <w:r>
        <w:t xml:space="preserve"> </w:t>
      </w:r>
      <w:r>
        <w:t xml:space="preserve">· Blood phosphatidylethanol measurements indicate GLP-1 receptor stimulation causes delayed decreases in alcohol consumption. PMID 40123107</w:t>
      </w:r>
    </w:p>
    <w:p>
      <w:pPr>
        <w:numPr>
          <w:ilvl w:val="0"/>
          <w:numId w:val="1376"/>
        </w:numPr>
        <w:pStyle w:val="Compact"/>
      </w:pPr>
      <w:r>
        <w:t xml:space="preserve">2025 · Vijiaratnam N ·</w:t>
      </w:r>
      <w:r>
        <w:t xml:space="preserve"> </w:t>
      </w:r>
      <w:r>
        <w:rPr>
          <w:iCs/>
          <w:i/>
        </w:rPr>
        <w:t xml:space="preserve">Lancet</w:t>
      </w:r>
      <w:r>
        <w:t xml:space="preserve"> </w:t>
      </w:r>
      <w:r>
        <w:t xml:space="preserve">· Exenatide once a week versus placebo as a potential disease-modifying treatment for people with Parkinson’s disease in the UK: a phase 3, multicentre, double-blind, parallel-group, randomised, placebo-controlled trial. PMID 39919773</w:t>
      </w:r>
    </w:p>
    <w:p>
      <w:pPr>
        <w:numPr>
          <w:ilvl w:val="0"/>
          <w:numId w:val="1376"/>
        </w:numPr>
        <w:pStyle w:val="Compact"/>
      </w:pPr>
      <w:r>
        <w:t xml:space="preserve">2025 · Yammine L ·</w:t>
      </w:r>
      <w:r>
        <w:t xml:space="preserve"> </w:t>
      </w:r>
      <w:r>
        <w:rPr>
          <w:iCs/>
          <w:i/>
        </w:rPr>
        <w:t xml:space="preserve">Nicotine Tob Res</w:t>
      </w:r>
      <w:r>
        <w:t xml:space="preserve"> </w:t>
      </w:r>
      <w:r>
        <w:t xml:space="preserve">· Exploring Predictors of Treatment Response to GLP-1 Receptor Agonists for Smoking Cessation. PMID 39780397</w:t>
      </w:r>
    </w:p>
    <w:p>
      <w:pPr>
        <w:numPr>
          <w:ilvl w:val="0"/>
          <w:numId w:val="1376"/>
        </w:numPr>
        <w:pStyle w:val="Compact"/>
      </w:pPr>
      <w:r>
        <w:t xml:space="preserve">2025 · Maddaloni E ·</w:t>
      </w:r>
      <w:r>
        <w:t xml:space="preserve"> </w:t>
      </w:r>
      <w:r>
        <w:rPr>
          <w:iCs/>
          <w:i/>
        </w:rPr>
        <w:t xml:space="preserve">Diabetes Care</w:t>
      </w:r>
      <w:r>
        <w:t xml:space="preserve"> </w:t>
      </w:r>
      <w:r>
        <w:t xml:space="preserve">· Osteoprotegerin, Osteopontin, and Osteocalcin Are Associated With Cardiovascular Events in Type 2 Diabetes: Insights From EXSCEL. PMID 39576722</w:t>
      </w:r>
    </w:p>
    <w:p>
      <w:pPr>
        <w:numPr>
          <w:ilvl w:val="0"/>
          <w:numId w:val="1376"/>
        </w:numPr>
        <w:pStyle w:val="Compact"/>
      </w:pPr>
      <w:r>
        <w:t xml:space="preserve">2025 · Neves JS ·</w:t>
      </w:r>
      <w:r>
        <w:t xml:space="preserve"> </w:t>
      </w:r>
      <w:r>
        <w:rPr>
          <w:iCs/>
          <w:i/>
        </w:rPr>
        <w:t xml:space="preserve">Eur J Heart Fail</w:t>
      </w:r>
      <w:r>
        <w:t xml:space="preserve"> </w:t>
      </w:r>
      <w:r>
        <w:t xml:space="preserve">· Cardiovascular outcomes with exenatide in type 2 diabetes according to ejection fraction: The EXSCEL trial. PMID 39381950</w:t>
      </w:r>
    </w:p>
    <w:p>
      <w:pPr>
        <w:numPr>
          <w:ilvl w:val="0"/>
          <w:numId w:val="1376"/>
        </w:numPr>
        <w:pStyle w:val="Compact"/>
      </w:pPr>
      <w:r>
        <w:t xml:space="preserve">2024 · Koychev I ·</w:t>
      </w:r>
      <w:r>
        <w:t xml:space="preserve"> </w:t>
      </w:r>
      <w:r>
        <w:rPr>
          <w:iCs/>
          <w:i/>
        </w:rPr>
        <w:t xml:space="preserve">Alzheimers Res Ther</w:t>
      </w:r>
      <w:r>
        <w:t xml:space="preserve"> </w:t>
      </w:r>
      <w:r>
        <w:t xml:space="preserve">· Inflammatory proteins associated with Alzheimer’s disease reduced by a GLP1 receptor agonist: a post hoc analysis of the EXSCEL randomized placebo controlled trial. PMID 39358806</w:t>
      </w:r>
    </w:p>
    <w:p>
      <w:pPr>
        <w:numPr>
          <w:ilvl w:val="0"/>
          <w:numId w:val="1376"/>
        </w:numPr>
        <w:pStyle w:val="Compact"/>
      </w:pPr>
      <w:r>
        <w:t xml:space="preserve">2024 · Oulhaj A ·</w:t>
      </w:r>
      <w:r>
        <w:t xml:space="preserve"> </w:t>
      </w:r>
      <w:r>
        <w:rPr>
          <w:iCs/>
          <w:i/>
        </w:rPr>
        <w:t xml:space="preserve">Diabetes Obes Metab</w:t>
      </w:r>
      <w:r>
        <w:t xml:space="preserve"> </w:t>
      </w:r>
      <w:r>
        <w:t xml:space="preserve">· Estimated glomerular filtration rate slope and risk of primary and secondary major adverse cardiovascular events and heart failure hospitalization in people with type 2 diabetes: An analysis of the EXSCEL trial. PMID 39086032</w:t>
      </w:r>
    </w:p>
    <w:p>
      <w:pPr>
        <w:numPr>
          <w:ilvl w:val="0"/>
          <w:numId w:val="1376"/>
        </w:numPr>
        <w:pStyle w:val="Compact"/>
      </w:pPr>
      <w:r>
        <w:t xml:space="preserve">2024 · Gooding KM ·</w:t>
      </w:r>
      <w:r>
        <w:t xml:space="preserve"> </w:t>
      </w:r>
      <w:r>
        <w:rPr>
          <w:iCs/>
          <w:i/>
        </w:rPr>
        <w:t xml:space="preserve">Diabetes Res Clin Pract</w:t>
      </w:r>
      <w:r>
        <w:t xml:space="preserve"> </w:t>
      </w:r>
      <w:r>
        <w:t xml:space="preserve">· Are the cardiovascular properties of GLP-1 receptor agonists differentially modulated by sulfonylureas? Insights from post-hoc analysis of EXSCEL. PMID 38670496</w:t>
      </w:r>
    </w:p>
    <w:p>
      <w:pPr>
        <w:numPr>
          <w:ilvl w:val="0"/>
          <w:numId w:val="1376"/>
        </w:numPr>
        <w:pStyle w:val="Compact"/>
      </w:pPr>
      <w:r>
        <w:t xml:space="preserve">2024 · Dei Cas A ·</w:t>
      </w:r>
      <w:r>
        <w:t xml:space="preserve"> </w:t>
      </w:r>
      <w:r>
        <w:rPr>
          <w:iCs/>
          <w:i/>
        </w:rPr>
        <w:t xml:space="preserve">J Endocrinol Invest</w:t>
      </w:r>
      <w:r>
        <w:t xml:space="preserve"> </w:t>
      </w:r>
      <w:r>
        <w:t xml:space="preserve">· Long-acting exenatide does not prevent cognitive decline in mild cognitive impairment: a proof-of-concept clinical trial. PMID 38565814</w:t>
      </w:r>
    </w:p>
    <w:p>
      <w:pPr>
        <w:numPr>
          <w:ilvl w:val="0"/>
          <w:numId w:val="1376"/>
        </w:numPr>
        <w:pStyle w:val="Compact"/>
      </w:pPr>
      <w:r>
        <w:t xml:space="preserve">2024 · Gatta-Cherifi B ·</w:t>
      </w:r>
      <w:r>
        <w:t xml:space="preserve"> </w:t>
      </w:r>
      <w:r>
        <w:rPr>
          <w:iCs/>
          <w:i/>
        </w:rPr>
        <w:t xml:space="preserve">Eur J Endocrinol</w:t>
      </w:r>
      <w:r>
        <w:t xml:space="preserve"> </w:t>
      </w:r>
      <w:r>
        <w:t xml:space="preserve">· Impact of exenatide on weight loss and eating behavior in adults with craniopharyngioma-related obesity: the CRANIOEXE randomized placebo-controlled trial. PMID 38450721</w:t>
      </w:r>
    </w:p>
    <w:p>
      <w:pPr>
        <w:numPr>
          <w:ilvl w:val="0"/>
          <w:numId w:val="1376"/>
        </w:numPr>
        <w:pStyle w:val="Compact"/>
      </w:pPr>
      <w:r>
        <w:t xml:space="preserve">2024 · Bensignor MO ·</w:t>
      </w:r>
      <w:r>
        <w:t xml:space="preserve"> </w:t>
      </w:r>
      <w:r>
        <w:rPr>
          <w:iCs/>
          <w:i/>
        </w:rPr>
        <w:t xml:space="preserve">Pediatr Obes</w:t>
      </w:r>
      <w:r>
        <w:t xml:space="preserve"> </w:t>
      </w:r>
      <w:r>
        <w:t xml:space="preserve">· Evaluating appetite/satiety hormones and eating behaviours as predictors of weight loss maintenance with GLP-1RA therapy in adolescents with severe obesity. PMID 38339799</w:t>
      </w:r>
    </w:p>
    <w:p>
      <w:pPr>
        <w:numPr>
          <w:ilvl w:val="0"/>
          <w:numId w:val="1376"/>
        </w:numPr>
        <w:pStyle w:val="Compact"/>
      </w:pPr>
      <w:r>
        <w:t xml:space="preserve">2024 · Grech O ·</w:t>
      </w:r>
      <w:r>
        <w:t xml:space="preserve"> </w:t>
      </w:r>
      <w:r>
        <w:rPr>
          <w:iCs/>
          <w:i/>
        </w:rPr>
        <w:t xml:space="preserve">Eye (Lond)</w:t>
      </w:r>
      <w:r>
        <w:t xml:space="preserve"> </w:t>
      </w:r>
      <w:r>
        <w:t xml:space="preserve">· Effect of glucagon like peptide-1 receptor agonist exenatide, used as an intracranial pressure lowering agent, on cognition in Idiopathic Intracranial Hypertension. PMID 38212401</w:t>
      </w:r>
    </w:p>
    <w:p>
      <w:pPr>
        <w:numPr>
          <w:ilvl w:val="0"/>
          <w:numId w:val="1376"/>
        </w:numPr>
        <w:pStyle w:val="Compact"/>
      </w:pPr>
      <w:r>
        <w:t xml:space="preserve">2024 · McGarry A ·</w:t>
      </w:r>
      <w:r>
        <w:t xml:space="preserve"> </w:t>
      </w:r>
      <w:r>
        <w:rPr>
          <w:iCs/>
          <w:i/>
        </w:rPr>
        <w:t xml:space="preserve">Lancet Neurol</w:t>
      </w:r>
      <w:r>
        <w:t xml:space="preserve"> </w:t>
      </w:r>
      <w:r>
        <w:t xml:space="preserve">· Safety, tolerability, and efficacy of NLY01 in early untreated Parkinson’s disease: a randomised, double-blind, placebo-controlled trial. PMID 38101901</w:t>
      </w:r>
    </w:p>
    <w:p>
      <w:pPr>
        <w:numPr>
          <w:ilvl w:val="0"/>
          <w:numId w:val="1376"/>
        </w:numPr>
        <w:pStyle w:val="Compact"/>
      </w:pPr>
      <w:r>
        <w:t xml:space="preserve">2023 · Santos-Pardo I ·</w:t>
      </w:r>
      <w:r>
        <w:t xml:space="preserve"> </w:t>
      </w:r>
      <w:r>
        <w:rPr>
          <w:iCs/>
          <w:i/>
        </w:rPr>
        <w:t xml:space="preserve">Cardiovasc Diabetol</w:t>
      </w:r>
      <w:r>
        <w:t xml:space="preserve"> </w:t>
      </w:r>
      <w:r>
        <w:t xml:space="preserve">· Effects of exenatide on coronary stent’s endothelialization in subjects with type 2 diabetes: a randomized controlled trial. The Rebuild study. PMID 38066597</w:t>
      </w:r>
    </w:p>
    <w:p>
      <w:pPr>
        <w:numPr>
          <w:ilvl w:val="0"/>
          <w:numId w:val="1376"/>
        </w:numPr>
        <w:pStyle w:val="Compact"/>
      </w:pPr>
      <w:r>
        <w:t xml:space="preserve">2023 · Bladin CF ·</w:t>
      </w:r>
      <w:r>
        <w:t xml:space="preserve"> </w:t>
      </w:r>
      <w:r>
        <w:rPr>
          <w:iCs/>
          <w:i/>
        </w:rPr>
        <w:t xml:space="preserve">Stroke</w:t>
      </w:r>
      <w:r>
        <w:t xml:space="preserve"> </w:t>
      </w:r>
      <w:r>
        <w:t xml:space="preserve">· Management of Poststroke Hyperglycemia: Results of the TEXAIS Randomized Clinical Trial. PMID 38011235</w:t>
      </w:r>
    </w:p>
    <w:p>
      <w:pPr>
        <w:numPr>
          <w:ilvl w:val="0"/>
          <w:numId w:val="1376"/>
        </w:numPr>
        <w:pStyle w:val="Compact"/>
      </w:pPr>
      <w:r>
        <w:t xml:space="preserve">2023 · Stenlid R ·</w:t>
      </w:r>
      <w:r>
        <w:t xml:space="preserve"> </w:t>
      </w:r>
      <w:r>
        <w:rPr>
          <w:iCs/>
          <w:i/>
        </w:rPr>
        <w:t xml:space="preserve">Ann Nutr Metab</w:t>
      </w:r>
      <w:r>
        <w:t xml:space="preserve"> </w:t>
      </w:r>
      <w:r>
        <w:t xml:space="preserve">· Screening for Inflammatory Markers Identifies IL-18Rα as a Potential Link between Exenatide and Its Anti-Inflammatory Effect: New Results from the Combat-JUDO Randomized Controlled Trial. PMID 37883939</w:t>
      </w:r>
    </w:p>
    <w:p>
      <w:pPr>
        <w:numPr>
          <w:ilvl w:val="0"/>
          <w:numId w:val="1376"/>
        </w:numPr>
        <w:pStyle w:val="Compact"/>
      </w:pPr>
      <w:r>
        <w:t xml:space="preserve">2023 · Akyay OZ ·</w:t>
      </w:r>
      <w:r>
        <w:t xml:space="preserve"> </w:t>
      </w:r>
      <w:r>
        <w:rPr>
          <w:iCs/>
          <w:i/>
        </w:rPr>
        <w:t xml:space="preserve">Medicine (Baltimore)</w:t>
      </w:r>
      <w:r>
        <w:t xml:space="preserve"> </w:t>
      </w:r>
      <w:r>
        <w:t xml:space="preserve">· The effects of exenatide and insulin glargine treatments on bone turnover markers and bone mineral density in postmenopausal patients with type 2 diabetes mellitus. PMID 37773814</w:t>
      </w:r>
    </w:p>
    <w:p>
      <w:pPr>
        <w:numPr>
          <w:ilvl w:val="0"/>
          <w:numId w:val="1376"/>
        </w:numPr>
        <w:pStyle w:val="Compact"/>
      </w:pPr>
      <w:r>
        <w:t xml:space="preserve">2023 · Liu L ·</w:t>
      </w:r>
      <w:r>
        <w:t xml:space="preserve"> </w:t>
      </w:r>
      <w:r>
        <w:rPr>
          <w:iCs/>
          <w:i/>
        </w:rPr>
        <w:t xml:space="preserve">Exp Clin Endocrinol Diabetes</w:t>
      </w:r>
      <w:r>
        <w:t xml:space="preserve"> </w:t>
      </w:r>
      <w:r>
        <w:t xml:space="preserve">· Insulin Glargine is More Suitable Than Exenatide in Preventing Muscle Loss in Non-Obese Type 2 Diabetic Patients with NAFLD. PMID 37524110</w:t>
      </w:r>
    </w:p>
    <w:p>
      <w:pPr>
        <w:numPr>
          <w:ilvl w:val="0"/>
          <w:numId w:val="1376"/>
        </w:numPr>
        <w:pStyle w:val="Compact"/>
      </w:pPr>
      <w:r>
        <w:t xml:space="preserve">2023 · Retnakaran R ·</w:t>
      </w:r>
      <w:r>
        <w:t xml:space="preserve"> </w:t>
      </w:r>
      <w:r>
        <w:rPr>
          <w:iCs/>
          <w:i/>
        </w:rPr>
        <w:t xml:space="preserve">Diabetes Obes Metab</w:t>
      </w:r>
      <w:r>
        <w:t xml:space="preserve"> </w:t>
      </w:r>
      <w:r>
        <w:t xml:space="preserve">· Baseline determinants of remission of type 2 diabetes in response to short-term insulin-based therapy: The pivotal role of beta-cell function. PMID 37380623</w:t>
      </w:r>
    </w:p>
    <w:p>
      <w:pPr>
        <w:numPr>
          <w:ilvl w:val="0"/>
          <w:numId w:val="1376"/>
        </w:numPr>
        <w:pStyle w:val="Compact"/>
      </w:pPr>
      <w:r>
        <w:t xml:space="preserve">2023 · Mitchell JL ·</w:t>
      </w:r>
      <w:r>
        <w:t xml:space="preserve"> </w:t>
      </w:r>
      <w:r>
        <w:rPr>
          <w:iCs/>
          <w:i/>
        </w:rPr>
        <w:t xml:space="preserve">Brain</w:t>
      </w:r>
      <w:r>
        <w:t xml:space="preserve"> </w:t>
      </w:r>
      <w:r>
        <w:t xml:space="preserve">· The effect of GLP-1RA exenatide on idiopathic intracranial hypertension: a randomized clinical trial. PMID 36907221</w:t>
      </w:r>
    </w:p>
    <w:p>
      <w:pPr>
        <w:numPr>
          <w:ilvl w:val="0"/>
          <w:numId w:val="1376"/>
        </w:numPr>
        <w:pStyle w:val="Compact"/>
      </w:pPr>
      <w:r>
        <w:t xml:space="preserve">2023 · Retnakaran R ·</w:t>
      </w:r>
      <w:r>
        <w:t xml:space="preserve"> </w:t>
      </w:r>
      <w:r>
        <w:rPr>
          <w:iCs/>
          <w:i/>
        </w:rPr>
        <w:t xml:space="preserve">Cardiovasc Diabetol</w:t>
      </w:r>
      <w:r>
        <w:t xml:space="preserve"> </w:t>
      </w:r>
      <w:r>
        <w:t xml:space="preserve">· The vascular function effects of adding exenatide or meal insulin to basal insulin therapy in early type 2 diabetes. PMID 36894921</w:t>
      </w:r>
    </w:p>
    <w:p>
      <w:pPr>
        <w:numPr>
          <w:ilvl w:val="0"/>
          <w:numId w:val="1376"/>
        </w:numPr>
        <w:pStyle w:val="Compact"/>
      </w:pPr>
      <w:r>
        <w:t xml:space="preserve">2023 · van der Aart-van der Beek AB ·</w:t>
      </w:r>
      <w:r>
        <w:t xml:space="preserve"> </w:t>
      </w:r>
      <w:r>
        <w:rPr>
          <w:iCs/>
          <w:i/>
        </w:rPr>
        <w:t xml:space="preserve">Diabetes Obes Metab</w:t>
      </w:r>
      <w:r>
        <w:t xml:space="preserve"> </w:t>
      </w:r>
      <w:r>
        <w:t xml:space="preserve">· Albuminuria-lowering effect of dapagliflozin, exenatide, and their combination in patients with type 2 diabetes: A randomized cross-over clinical study. PMID 36843215</w:t>
      </w:r>
    </w:p>
    <w:p>
      <w:pPr>
        <w:numPr>
          <w:ilvl w:val="0"/>
          <w:numId w:val="1376"/>
        </w:numPr>
        <w:pStyle w:val="Compact"/>
      </w:pPr>
      <w:r>
        <w:t xml:space="preserve">2023 · Green JB ·</w:t>
      </w:r>
      <w:r>
        <w:t xml:space="preserve"> </w:t>
      </w:r>
      <w:r>
        <w:rPr>
          <w:iCs/>
          <w:i/>
        </w:rPr>
        <w:t xml:space="preserve">Diabetes Obes Metab</w:t>
      </w:r>
      <w:r>
        <w:t xml:space="preserve"> </w:t>
      </w:r>
      <w:r>
        <w:t xml:space="preserve">· Sex differences in the complications, care and clinical outcomes of patients with type 2 diabetes in the Exenatide Study of Cardiovascular Event Lowering (EXSCEL). PMID 36700460</w:t>
      </w:r>
    </w:p>
    <w:p>
      <w:pPr>
        <w:numPr>
          <w:ilvl w:val="0"/>
          <w:numId w:val="1376"/>
        </w:numPr>
        <w:pStyle w:val="Compact"/>
      </w:pPr>
      <w:r>
        <w:t xml:space="preserve">2023 · Oulhaj A ·</w:t>
      </w:r>
      <w:r>
        <w:t xml:space="preserve"> </w:t>
      </w:r>
      <w:r>
        <w:rPr>
          <w:iCs/>
          <w:i/>
        </w:rPr>
        <w:t xml:space="preserve">Diabetes Obes Metab</w:t>
      </w:r>
      <w:r>
        <w:t xml:space="preserve"> </w:t>
      </w:r>
      <w:r>
        <w:t xml:space="preserve">· Joint longitudinal and time-to-event modelling compared with standard Cox modelling in patients with type 2 diabetes with and without established cardiovascular disease: An analysis of the EXSCEL trial. PMID 36635232</w:t>
      </w:r>
    </w:p>
    <w:p>
      <w:pPr>
        <w:numPr>
          <w:ilvl w:val="0"/>
          <w:numId w:val="1376"/>
        </w:numPr>
        <w:pStyle w:val="Compact"/>
      </w:pPr>
      <w:r>
        <w:t xml:space="preserve">2022 · Zhang J ·</w:t>
      </w:r>
      <w:r>
        <w:t xml:space="preserve"> </w:t>
      </w:r>
      <w:r>
        <w:rPr>
          <w:iCs/>
          <w:i/>
        </w:rPr>
        <w:t xml:space="preserve">Int J Clin Pract</w:t>
      </w:r>
      <w:r>
        <w:t xml:space="preserve"> </w:t>
      </w:r>
      <w:r>
        <w:t xml:space="preserve">· Efficacy of Exenatide Administered Twice Daily in Body Mass Index Reduction in Patients with Type 2 Diabetes Mellitus. PMID 37214201</w:t>
      </w:r>
    </w:p>
    <w:p>
      <w:pPr>
        <w:numPr>
          <w:ilvl w:val="0"/>
          <w:numId w:val="1376"/>
        </w:numPr>
        <w:pStyle w:val="Compact"/>
      </w:pPr>
      <w:r>
        <w:t xml:space="preserve">2022 · Retnakaran R ·</w:t>
      </w:r>
      <w:r>
        <w:t xml:space="preserve"> </w:t>
      </w:r>
      <w:r>
        <w:rPr>
          <w:iCs/>
          <w:i/>
        </w:rPr>
        <w:t xml:space="preserve">Nat Commun</w:t>
      </w:r>
      <w:r>
        <w:t xml:space="preserve"> </w:t>
      </w:r>
      <w:r>
        <w:t xml:space="preserve">· The metabolic effects of adding exenatide to basal insulin therapy when targeting remission in early type 2 diabetes in a randomized clinical trial. PMID 36244997</w:t>
      </w:r>
    </w:p>
    <w:p>
      <w:pPr>
        <w:numPr>
          <w:ilvl w:val="0"/>
          <w:numId w:val="1376"/>
        </w:numPr>
        <w:pStyle w:val="Compact"/>
      </w:pPr>
      <w:r>
        <w:t xml:space="preserve">2022 · Klausen MK ·</w:t>
      </w:r>
      <w:r>
        <w:t xml:space="preserve"> </w:t>
      </w:r>
      <w:r>
        <w:rPr>
          <w:iCs/>
          <w:i/>
        </w:rPr>
        <w:t xml:space="preserve">JCI Insight</w:t>
      </w:r>
      <w:r>
        <w:t xml:space="preserve"> </w:t>
      </w:r>
      <w:r>
        <w:t xml:space="preserve">· Exenatide once weekly for alcohol use disorder investigated in a randomized, placebo-controlled clinical trial. PMID 36066977</w:t>
      </w:r>
    </w:p>
    <w:p>
      <w:pPr>
        <w:numPr>
          <w:ilvl w:val="0"/>
          <w:numId w:val="1376"/>
        </w:numPr>
        <w:pStyle w:val="Compact"/>
      </w:pPr>
      <w:r>
        <w:t xml:space="preserve">2022 · Akyay OZ ·</w:t>
      </w:r>
      <w:r>
        <w:t xml:space="preserve"> </w:t>
      </w:r>
      <w:r>
        <w:rPr>
          <w:iCs/>
          <w:i/>
        </w:rPr>
        <w:t xml:space="preserve">Niger J Clin Pract</w:t>
      </w:r>
      <w:r>
        <w:t xml:space="preserve"> </w:t>
      </w:r>
      <w:r>
        <w:t xml:space="preserve">· Comparison of the effects of exenatide and insulin glargine on right and left ventricular myocardial deformation as shown by 2D-speckle-tracking echocardiograms. PMID 35859471</w:t>
      </w:r>
    </w:p>
    <w:p>
      <w:pPr>
        <w:numPr>
          <w:ilvl w:val="0"/>
          <w:numId w:val="1376"/>
        </w:numPr>
        <w:pStyle w:val="Compact"/>
      </w:pPr>
      <w:r>
        <w:t xml:space="preserve">2022 · Li R ·</w:t>
      </w:r>
      <w:r>
        <w:t xml:space="preserve"> </w:t>
      </w:r>
      <w:r>
        <w:rPr>
          <w:iCs/>
          <w:i/>
        </w:rPr>
        <w:t xml:space="preserve">Arch Gynecol Obstet</w:t>
      </w:r>
      <w:r>
        <w:t xml:space="preserve"> </w:t>
      </w:r>
      <w:r>
        <w:t xml:space="preserve">· Effect of metformin and exenatide on pregnancy rate and pregnancy outcomes in overweight or obese infertility PCOS women: long-term follow-up of an RCT. PMID 35829765</w:t>
      </w:r>
    </w:p>
    <w:p>
      <w:pPr>
        <w:numPr>
          <w:ilvl w:val="0"/>
          <w:numId w:val="1376"/>
        </w:numPr>
        <w:pStyle w:val="Compact"/>
      </w:pPr>
      <w:r>
        <w:t xml:space="preserve">2022 · Davis TME ·</w:t>
      </w:r>
      <w:r>
        <w:t xml:space="preserve"> </w:t>
      </w:r>
      <w:r>
        <w:rPr>
          <w:iCs/>
          <w:i/>
        </w:rPr>
        <w:t xml:space="preserve">Cardiovasc Diabetol</w:t>
      </w:r>
      <w:r>
        <w:t xml:space="preserve"> </w:t>
      </w:r>
      <w:r>
        <w:t xml:space="preserve">· Effect of race on cardiometabolic responses to once-weekly exenatide: insights from the Exenatide Study of Cardiovascular Event Lowering (EXSCEL). PMID 35761271</w:t>
      </w:r>
    </w:p>
    <w:p>
      <w:pPr>
        <w:numPr>
          <w:ilvl w:val="0"/>
          <w:numId w:val="1376"/>
        </w:numPr>
        <w:pStyle w:val="Compact"/>
      </w:pPr>
      <w:r>
        <w:t xml:space="preserve">2022 · Zhang J ·</w:t>
      </w:r>
      <w:r>
        <w:t xml:space="preserve"> </w:t>
      </w:r>
      <w:r>
        <w:rPr>
          <w:iCs/>
          <w:i/>
        </w:rPr>
        <w:t xml:space="preserve">J Investig Med</w:t>
      </w:r>
      <w:r>
        <w:t xml:space="preserve"> </w:t>
      </w:r>
      <w:r>
        <w:t xml:space="preserve">· Comparing the effects of twice-daily exenatide and insulin on renal function in patients with type 2 diabetes mellitus: secondary analysis of a randomized controlled trial. PMID 35725020</w:t>
      </w:r>
    </w:p>
    <w:p>
      <w:pPr>
        <w:numPr>
          <w:ilvl w:val="0"/>
          <w:numId w:val="1376"/>
        </w:numPr>
        <w:pStyle w:val="Compact"/>
      </w:pPr>
      <w:r>
        <w:t xml:space="preserve">2022 · Samms RJ ·</w:t>
      </w:r>
      <w:r>
        <w:t xml:space="preserve"> </w:t>
      </w:r>
      <w:r>
        <w:rPr>
          <w:iCs/>
          <w:i/>
        </w:rPr>
        <w:t xml:space="preserve">Am J Physiol Endocrinol Metab</w:t>
      </w:r>
      <w:r>
        <w:t xml:space="preserve"> </w:t>
      </w:r>
      <w:r>
        <w:t xml:space="preserve">· FGF21 contributes to metabolic improvements elicited by combination therapy with exenatide and pioglitazone in patients with type 2 diabetes. PMID 35723225</w:t>
      </w:r>
    </w:p>
    <w:p>
      <w:pPr>
        <w:numPr>
          <w:ilvl w:val="0"/>
          <w:numId w:val="1376"/>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6"/>
        </w:numPr>
        <w:pStyle w:val="Compact"/>
      </w:pPr>
      <w:r>
        <w:t xml:space="preserve">2022 · van Ruiten CC ·</w:t>
      </w:r>
      <w:r>
        <w:t xml:space="preserve"> </w:t>
      </w:r>
      <w:r>
        <w:rPr>
          <w:iCs/>
          <w:i/>
        </w:rPr>
        <w:t xml:space="preserve">Front Endocrinol (Lausanne)</w:t>
      </w:r>
      <w:r>
        <w:t xml:space="preserve"> </w:t>
      </w:r>
      <w:r>
        <w:t xml:space="preserve">· Brain Activation in Response to Low-Calorie Food Pictures: An Explorative Analysis of a Randomized Trial With Dapagliflozin and Exenatide. PMID 35600575</w:t>
      </w:r>
    </w:p>
    <w:p>
      <w:pPr>
        <w:numPr>
          <w:ilvl w:val="0"/>
          <w:numId w:val="1376"/>
        </w:numPr>
        <w:pStyle w:val="Compact"/>
      </w:pPr>
      <w:r>
        <w:t xml:space="preserve">2022 · Toftgaard Pedersen A ·</w:t>
      </w:r>
      <w:r>
        <w:t xml:space="preserve"> </w:t>
      </w:r>
      <w:r>
        <w:rPr>
          <w:iCs/>
          <w:i/>
        </w:rPr>
        <w:t xml:space="preserve">Scand Cardiovasc J</w:t>
      </w:r>
      <w:r>
        <w:t xml:space="preserve"> </w:t>
      </w:r>
      <w:r>
        <w:t xml:space="preserve">· Association between inflammatory markers and survival in comatose, resuscitated out-of-hospital cardiac arrest patients. PMID 35546563</w:t>
      </w:r>
    </w:p>
    <w:p>
      <w:pPr>
        <w:numPr>
          <w:ilvl w:val="0"/>
          <w:numId w:val="1376"/>
        </w:numPr>
        <w:pStyle w:val="Compact"/>
      </w:pPr>
      <w:r>
        <w:t xml:space="preserve">2022 · van Ruiten CC ·</w:t>
      </w:r>
      <w:r>
        <w:t xml:space="preserve"> </w:t>
      </w:r>
      <w:r>
        <w:rPr>
          <w:iCs/>
          <w:i/>
        </w:rPr>
        <w:t xml:space="preserve">Diabetes Obes Metab</w:t>
      </w:r>
      <w:r>
        <w:t xml:space="preserve"> </w:t>
      </w:r>
      <w:r>
        <w:t xml:space="preserve">· Combination therapy with exenatide decreases the dapagliflozin-induced changes in brain responses to anticipation and consumption of palatable food in patients with type 2 diabetes: A randomized controlled trial. PMID 35491524</w:t>
      </w:r>
    </w:p>
    <w:p>
      <w:pPr>
        <w:numPr>
          <w:ilvl w:val="0"/>
          <w:numId w:val="1376"/>
        </w:numPr>
        <w:pStyle w:val="Compact"/>
      </w:pPr>
      <w:r>
        <w:t xml:space="preserve">2022 · van Ruiten CC ·</w:t>
      </w:r>
      <w:r>
        <w:t xml:space="preserve"> </w:t>
      </w:r>
      <w:r>
        <w:rPr>
          <w:iCs/>
          <w:i/>
        </w:rPr>
        <w:t xml:space="preserve">Cardiovasc Diabetol</w:t>
      </w:r>
      <w:r>
        <w:t xml:space="preserve"> </w:t>
      </w:r>
      <w:r>
        <w:t xml:space="preserve">· Mechanisms underlying the blood pressure lowering effects of dapagliflozin, exenatide, and their combination in people with type 2 diabetes: a secondary analysis of a randomized trial. PMID 35484607</w:t>
      </w:r>
    </w:p>
    <w:p>
      <w:pPr>
        <w:numPr>
          <w:ilvl w:val="0"/>
          <w:numId w:val="1376"/>
        </w:numPr>
        <w:pStyle w:val="Compact"/>
      </w:pPr>
      <w:r>
        <w:t xml:space="preserve">2022 · Fox CK ·</w:t>
      </w:r>
      <w:r>
        <w:t xml:space="preserve"> </w:t>
      </w:r>
      <w:r>
        <w:rPr>
          <w:iCs/>
          <w:i/>
        </w:rPr>
        <w:t xml:space="preserve">Obesity (Silver Spring)</w:t>
      </w:r>
      <w:r>
        <w:t xml:space="preserve"> </w:t>
      </w:r>
      <w:r>
        <w:t xml:space="preserve">· Exenatide for weight-loss maintenance in adolescents with severe obesity: A randomized, placebo-controlled trial. PMID 35403350</w:t>
      </w:r>
    </w:p>
    <w:p>
      <w:pPr>
        <w:numPr>
          <w:ilvl w:val="0"/>
          <w:numId w:val="1376"/>
        </w:numPr>
        <w:pStyle w:val="Compact"/>
      </w:pPr>
      <w:r>
        <w:t xml:space="preserve">2022 · López-Cano C ·</w:t>
      </w:r>
      <w:r>
        <w:t xml:space="preserve"> </w:t>
      </w:r>
      <w:r>
        <w:rPr>
          <w:iCs/>
          <w:i/>
        </w:rPr>
        <w:t xml:space="preserve">Sci Rep</w:t>
      </w:r>
      <w:r>
        <w:t xml:space="preserve"> </w:t>
      </w:r>
      <w:r>
        <w:t xml:space="preserve">· Dapagliflozin plus exenatide on patients with type 2 diabetes awaiting bariatric surgery in the DEXBASU study. PMID 35217772</w:t>
      </w:r>
    </w:p>
    <w:p>
      <w:pPr>
        <w:numPr>
          <w:ilvl w:val="0"/>
          <w:numId w:val="1376"/>
        </w:numPr>
        <w:pStyle w:val="Compact"/>
      </w:pPr>
      <w:r>
        <w:t xml:space="preserve">2022 · van Ruiten CC ·</w:t>
      </w:r>
      <w:r>
        <w:t xml:space="preserve"> </w:t>
      </w:r>
      <w:r>
        <w:rPr>
          <w:iCs/>
          <w:i/>
        </w:rPr>
        <w:t xml:space="preserve">J Clin Endocrinol Metab</w:t>
      </w:r>
      <w:r>
        <w:t xml:space="preserve"> </w:t>
      </w:r>
      <w:r>
        <w:t xml:space="preserve">· Effects of Dapagliflozin and Combination Therapy With Exenatide on Food-Cue Induced Brain Activation in Patients With Type 2 Diabetes. PMID 35134184</w:t>
      </w:r>
    </w:p>
    <w:p>
      <w:pPr>
        <w:numPr>
          <w:ilvl w:val="0"/>
          <w:numId w:val="1376"/>
        </w:numPr>
        <w:pStyle w:val="Compact"/>
      </w:pPr>
      <w:r>
        <w:t xml:space="preserve">2022 · Shoemaker AH ·</w:t>
      </w:r>
      <w:r>
        <w:t xml:space="preserve"> </w:t>
      </w:r>
      <w:r>
        <w:rPr>
          <w:iCs/>
          <w:i/>
        </w:rPr>
        <w:t xml:space="preserve">Int J Obes (Lond)</w:t>
      </w:r>
      <w:r>
        <w:t xml:space="preserve"> </w:t>
      </w:r>
      <w:r>
        <w:t xml:space="preserve">· Energy balance in hypothalamic obesity in response to treatment with a once-weekly GLP-1 receptor agonist. PMID 34975146</w:t>
      </w:r>
    </w:p>
    <w:p>
      <w:pPr>
        <w:numPr>
          <w:ilvl w:val="0"/>
          <w:numId w:val="1376"/>
        </w:numPr>
        <w:pStyle w:val="Compact"/>
      </w:pPr>
      <w:r>
        <w:t xml:space="preserve">2022 · Ruff CT ·</w:t>
      </w:r>
      <w:r>
        <w:t xml:space="preserve"> </w:t>
      </w:r>
      <w:r>
        <w:rPr>
          <w:iCs/>
          <w:i/>
        </w:rPr>
        <w:t xml:space="preserve">Nat Med</w:t>
      </w:r>
      <w:r>
        <w:t xml:space="preserve"> </w:t>
      </w:r>
      <w:r>
        <w:t xml:space="preserve">· Subcutaneous infusion of exenatide and cardiovascular outcomes in type 2 diabetes: a non-inferiority randomized controlled trial. PMID 34873344</w:t>
      </w:r>
    </w:p>
    <w:p>
      <w:pPr>
        <w:numPr>
          <w:ilvl w:val="0"/>
          <w:numId w:val="1376"/>
        </w:numPr>
        <w:pStyle w:val="Compact"/>
      </w:pPr>
      <w:r>
        <w:t xml:space="preserve">2022 · Johansen NJ ·</w:t>
      </w:r>
      <w:r>
        <w:t xml:space="preserve"> </w:t>
      </w:r>
      <w:r>
        <w:rPr>
          <w:iCs/>
          <w:i/>
        </w:rPr>
        <w:t xml:space="preserve">Diabetes Obes Metab</w:t>
      </w:r>
      <w:r>
        <w:t xml:space="preserve"> </w:t>
      </w:r>
      <w:r>
        <w:t xml:space="preserve">· Effects of short-acting exenatide added three times daily to insulin therapy on bone metabolism in type 1 diabetes. PMID 34617375</w:t>
      </w:r>
    </w:p>
    <w:p>
      <w:pPr>
        <w:numPr>
          <w:ilvl w:val="0"/>
          <w:numId w:val="1376"/>
        </w:numPr>
        <w:pStyle w:val="Compact"/>
      </w:pPr>
      <w:r>
        <w:t xml:space="preserve">2021 · Rodgers M ·</w:t>
      </w:r>
      <w:r>
        <w:t xml:space="preserve"> </w:t>
      </w:r>
      <w:r>
        <w:rPr>
          <w:iCs/>
          <w:i/>
        </w:rPr>
        <w:t xml:space="preserve">Front Endocrinol (Lausanne)</w:t>
      </w:r>
      <w:r>
        <w:t xml:space="preserve"> </w:t>
      </w:r>
      <w:r>
        <w:t xml:space="preserve">· Weight Loss Outcomes Among Early High Responders to Exenatide Treatment: A Randomized, Placebo Controlled Study in Overweight and Obese Women. PMID 34867786</w:t>
      </w:r>
    </w:p>
    <w:p>
      <w:pPr>
        <w:numPr>
          <w:ilvl w:val="0"/>
          <w:numId w:val="1376"/>
        </w:numPr>
        <w:pStyle w:val="Compact"/>
      </w:pPr>
      <w:r>
        <w:t xml:space="preserve">2021 · Ma RL ·</w:t>
      </w:r>
      <w:r>
        <w:t xml:space="preserve"> </w:t>
      </w:r>
      <w:r>
        <w:rPr>
          <w:iCs/>
          <w:i/>
        </w:rPr>
        <w:t xml:space="preserve">Chin Med J (Engl)</w:t>
      </w:r>
      <w:r>
        <w:t xml:space="preserve"> </w:t>
      </w:r>
      <w:r>
        <w:t xml:space="preserve">· Short-term combined treatment with exenatide and metformin for overweight/obese women with polycystic ovary syndrome. PMID 34732660</w:t>
      </w:r>
    </w:p>
    <w:p>
      <w:pPr>
        <w:numPr>
          <w:ilvl w:val="0"/>
          <w:numId w:val="1376"/>
        </w:numPr>
        <w:pStyle w:val="Compact"/>
      </w:pPr>
      <w:r>
        <w:t xml:space="preserve">2021 · Kang C ·</w:t>
      </w:r>
      <w:r>
        <w:t xml:space="preserve"> </w:t>
      </w:r>
      <w:r>
        <w:rPr>
          <w:iCs/>
          <w:i/>
        </w:rPr>
        <w:t xml:space="preserve">Sci Rep</w:t>
      </w:r>
      <w:r>
        <w:t xml:space="preserve"> </w:t>
      </w:r>
      <w:r>
        <w:t xml:space="preserve">· Effects of exenatide on urinary albumin in overweight/obese patients with T2DM: a randomized clinical trial. PMID 34625598</w:t>
      </w:r>
    </w:p>
    <w:p>
      <w:pPr>
        <w:numPr>
          <w:ilvl w:val="0"/>
          <w:numId w:val="1376"/>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6"/>
        </w:numPr>
        <w:pStyle w:val="Compact"/>
      </w:pPr>
      <w:r>
        <w:t xml:space="preserve">2021 · Abdelgani S ·</w:t>
      </w:r>
      <w:r>
        <w:t xml:space="preserve"> </w:t>
      </w:r>
      <w:r>
        <w:rPr>
          <w:iCs/>
          <w:i/>
        </w:rPr>
        <w:t xml:space="preserve">J Clin Endocrinol Metab</w:t>
      </w:r>
      <w:r>
        <w:t xml:space="preserve"> </w:t>
      </w:r>
      <w:r>
        <w:t xml:space="preserve">· Insulin Secretion Predicts the Response to Antidiabetic Therapy in Patients With New-onset Diabetes. PMID 34343296</w:t>
      </w:r>
    </w:p>
    <w:p>
      <w:pPr>
        <w:numPr>
          <w:ilvl w:val="0"/>
          <w:numId w:val="1376"/>
        </w:numPr>
        <w:pStyle w:val="Compact"/>
      </w:pPr>
      <w:r>
        <w:t xml:space="preserve">2021 · Ekinci EI ·</w:t>
      </w:r>
      <w:r>
        <w:t xml:space="preserve"> </w:t>
      </w:r>
      <w:r>
        <w:rPr>
          <w:iCs/>
          <w:i/>
        </w:rPr>
        <w:t xml:space="preserve">Intern Med J</w:t>
      </w:r>
      <w:r>
        <w:t xml:space="preserve"> </w:t>
      </w:r>
      <w:r>
        <w:t xml:space="preserve">· Feasibility of once weekly exenatide-LAR and enhanced diabetes care in Indigenous Australians with type 2 diabetes (Long-acting-Once-Weekly-Exenatide laR-SUGAR,</w:t>
      </w:r>
      <w:r>
        <w:t xml:space="preserve"> </w:t>
      </w:r>
      <w:r>
        <w:t xml:space="preserve">‘</w:t>
      </w:r>
      <w:r>
        <w:t xml:space="preserve">Lower SUGAR</w:t>
      </w:r>
      <w:r>
        <w:t xml:space="preserve">’</w:t>
      </w:r>
      <w:r>
        <w:t xml:space="preserve"> </w:t>
      </w:r>
      <w:r>
        <w:t xml:space="preserve">study). PMID 34142743</w:t>
      </w:r>
    </w:p>
    <w:p>
      <w:pPr>
        <w:numPr>
          <w:ilvl w:val="0"/>
          <w:numId w:val="1376"/>
        </w:numPr>
        <w:pStyle w:val="Compact"/>
      </w:pPr>
      <w:r>
        <w:t xml:space="preserve">2021 · Elkind-Hirsch KE ·</w:t>
      </w:r>
      <w:r>
        <w:t xml:space="preserve"> </w:t>
      </w:r>
      <w:r>
        <w:rPr>
          <w:iCs/>
          <w:i/>
        </w:rPr>
        <w:t xml:space="preserve">J Clin Endocrinol Metab</w:t>
      </w:r>
      <w:r>
        <w:t xml:space="preserve"> </w:t>
      </w:r>
      <w:r>
        <w:t xml:space="preserve">· Exenatide, Dapagliflozin, or Phentermine/Topiramate Differentially Affect Metabolic Profiles in Polycystic Ovary Syndrome. PMID 34097062</w:t>
      </w:r>
    </w:p>
    <w:p>
      <w:pPr>
        <w:numPr>
          <w:ilvl w:val="0"/>
          <w:numId w:val="1376"/>
        </w:numPr>
        <w:pStyle w:val="Compact"/>
      </w:pPr>
      <w:r>
        <w:t xml:space="preserve">2021 · Ponirakis G ·</w:t>
      </w:r>
      <w:r>
        <w:t xml:space="preserve"> </w:t>
      </w:r>
      <w:r>
        <w:rPr>
          <w:iCs/>
          <w:i/>
        </w:rPr>
        <w:t xml:space="preserve">J Diabetes Investig</w:t>
      </w:r>
      <w:r>
        <w:t xml:space="preserve"> </w:t>
      </w:r>
      <w:r>
        <w:t xml:space="preserve">· Insulin resistance limits corneal nerve regeneration in patients with type 2 diabetes undergoing intensive glycemic control. PMID 34002953</w:t>
      </w:r>
    </w:p>
    <w:p>
      <w:pPr>
        <w:numPr>
          <w:ilvl w:val="0"/>
          <w:numId w:val="1376"/>
        </w:numPr>
        <w:pStyle w:val="Compact"/>
      </w:pPr>
      <w:r>
        <w:t xml:space="preserve">2021 · van Ruiten CC ·</w:t>
      </w:r>
      <w:r>
        <w:t xml:space="preserve"> </w:t>
      </w:r>
      <w:r>
        <w:rPr>
          <w:iCs/>
          <w:i/>
        </w:rPr>
        <w:t xml:space="preserve">Diabetes Obes Metab</w:t>
      </w:r>
      <w:r>
        <w:t xml:space="preserve"> </w:t>
      </w:r>
      <w:r>
        <w:t xml:space="preserve">· Effect of exenatide twice daily and dapagliflozin, alone and in combination, on markers of kidney function in obese patients with type 2 diabetes: A prespecified secondary analysis of a randomized controlled clinical trial. PMID 33908691</w:t>
      </w:r>
    </w:p>
    <w:p>
      <w:pPr>
        <w:numPr>
          <w:ilvl w:val="0"/>
          <w:numId w:val="1376"/>
        </w:numPr>
        <w:pStyle w:val="Compact"/>
      </w:pPr>
      <w:r>
        <w:t xml:space="preserve">2021 · Barbery CE ·</w:t>
      </w:r>
      <w:r>
        <w:t xml:space="preserve"> </w:t>
      </w:r>
      <w:r>
        <w:rPr>
          <w:iCs/>
          <w:i/>
        </w:rPr>
        <w:t xml:space="preserve">Am Heart J</w:t>
      </w:r>
      <w:r>
        <w:t xml:space="preserve"> </w:t>
      </w:r>
      <w:r>
        <w:t xml:space="preserve">· Effect of once-weekly exenatide on hospitalization for acute coronary syndrome or coronary revascularization in patients with type 2 diabetes mellitus. PMID 33905751</w:t>
      </w:r>
    </w:p>
    <w:p>
      <w:pPr>
        <w:numPr>
          <w:ilvl w:val="0"/>
          <w:numId w:val="1376"/>
        </w:numPr>
        <w:pStyle w:val="Compact"/>
      </w:pPr>
      <w:r>
        <w:t xml:space="preserve">2021 · Abdelgani S ·</w:t>
      </w:r>
      <w:r>
        <w:t xml:space="preserve"> </w:t>
      </w:r>
      <w:r>
        <w:rPr>
          <w:iCs/>
          <w:i/>
        </w:rPr>
        <w:t xml:space="preserve">Diabetes Obes Metab</w:t>
      </w:r>
      <w:r>
        <w:t xml:space="preserve"> </w:t>
      </w:r>
      <w:r>
        <w:t xml:space="preserve">· Insulin secretion is a strong predictor for need of insulin therapy in patients with new-onset diabetes and HbA1c of more than 10%: A post hoc analysis of the EDICT study. PMID 33852204</w:t>
      </w:r>
    </w:p>
    <w:p>
      <w:pPr>
        <w:numPr>
          <w:ilvl w:val="0"/>
          <w:numId w:val="1376"/>
        </w:numPr>
        <w:pStyle w:val="Compact"/>
      </w:pPr>
      <w:r>
        <w:t xml:space="preserve">2021 · Chen X ·</w:t>
      </w:r>
      <w:r>
        <w:t xml:space="preserve"> </w:t>
      </w:r>
      <w:r>
        <w:rPr>
          <w:iCs/>
          <w:i/>
        </w:rPr>
        <w:t xml:space="preserve">Endocr Pract</w:t>
      </w:r>
      <w:r>
        <w:t xml:space="preserve"> </w:t>
      </w:r>
      <w:r>
        <w:t xml:space="preserve">· Exenatide Twice Daily Plus Glargine Versus Aspart 70/30 Twice Daily in Patients With Type 2 Diabetes With Inadequate Glycemic Control on Premixed Human Insulin and Metformin. PMID 33831552</w:t>
      </w:r>
    </w:p>
    <w:p>
      <w:pPr>
        <w:numPr>
          <w:ilvl w:val="0"/>
          <w:numId w:val="1376"/>
        </w:numPr>
        <w:pStyle w:val="Compact"/>
      </w:pPr>
      <w:r>
        <w:t xml:space="preserve">2021 · Yammine L ·</w:t>
      </w:r>
      <w:r>
        <w:t xml:space="preserve"> </w:t>
      </w:r>
      <w:r>
        <w:rPr>
          <w:iCs/>
          <w:i/>
        </w:rPr>
        <w:t xml:space="preserve">Nicotine Tob Res</w:t>
      </w:r>
      <w:r>
        <w:t xml:space="preserve"> </w:t>
      </w:r>
      <w:r>
        <w:t xml:space="preserve">· Exenatide Adjunct to Nicotine Patch Facilitates Smoking Cessation and May Reduce Post-Cessation Weight Gain: A Pilot Randomized Controlled Trial. PMID 33831213</w:t>
      </w:r>
    </w:p>
    <w:p>
      <w:pPr>
        <w:numPr>
          <w:ilvl w:val="0"/>
          <w:numId w:val="1376"/>
        </w:numPr>
        <w:pStyle w:val="Compact"/>
      </w:pPr>
      <w:r>
        <w:t xml:space="preserve">2021 · Ponirakis G ·</w:t>
      </w:r>
      <w:r>
        <w:t xml:space="preserve"> </w:t>
      </w:r>
      <w:r>
        <w:rPr>
          <w:iCs/>
          <w:i/>
        </w:rPr>
        <w:t xml:space="preserve">J Diabetes Investig</w:t>
      </w:r>
      <w:r>
        <w:t xml:space="preserve"> </w:t>
      </w:r>
      <w:r>
        <w:t xml:space="preserve">· Painful diabetic neuropathy is associated with increased nerve regeneration in patients with type 2 diabetes undergoing intensive glycemic control. PMID 33714226</w:t>
      </w:r>
    </w:p>
    <w:p>
      <w:pPr>
        <w:numPr>
          <w:ilvl w:val="0"/>
          <w:numId w:val="1376"/>
        </w:numPr>
        <w:pStyle w:val="Compact"/>
      </w:pPr>
      <w:r>
        <w:t xml:space="preserve">2021 · Ji L ·</w:t>
      </w:r>
      <w:r>
        <w:t xml:space="preserve"> </w:t>
      </w:r>
      <w:r>
        <w:rPr>
          <w:iCs/>
          <w:i/>
        </w:rPr>
        <w:t xml:space="preserve">Diabetologia</w:t>
      </w:r>
      <w:r>
        <w:t xml:space="preserve"> </w:t>
      </w:r>
      <w:r>
        <w:t xml:space="preserve">· Efficacy and safety of PEGylated exenatide injection (PB-119) in treatment-naive type 2 diabetes mellitus patients: a Phase II randomised, double-blind, parallel, placebo-controlled study. PMID 33687487</w:t>
      </w:r>
    </w:p>
    <w:p>
      <w:pPr>
        <w:numPr>
          <w:ilvl w:val="0"/>
          <w:numId w:val="1376"/>
        </w:numPr>
        <w:pStyle w:val="Compact"/>
      </w:pPr>
      <w:r>
        <w:t xml:space="preserve">2021 · Perez FA ·</w:t>
      </w:r>
      <w:r>
        <w:t xml:space="preserve"> </w:t>
      </w:r>
      <w:r>
        <w:rPr>
          <w:iCs/>
          <w:i/>
        </w:rPr>
        <w:t xml:space="preserve">Diabetes Obes Metab</w:t>
      </w:r>
      <w:r>
        <w:t xml:space="preserve"> </w:t>
      </w:r>
      <w:r>
        <w:t xml:space="preserve">· MRI measures of hypothalamic injury are associated with glucagon-like peptide-1 receptor agonist treatment response in people with hypothalamic obesity. PMID 33651438</w:t>
      </w:r>
    </w:p>
    <w:p>
      <w:pPr>
        <w:numPr>
          <w:ilvl w:val="0"/>
          <w:numId w:val="1376"/>
        </w:numPr>
        <w:pStyle w:val="Compact"/>
      </w:pPr>
      <w:r>
        <w:t xml:space="preserve">2021 · Angarita GA ·</w:t>
      </w:r>
      <w:r>
        <w:t xml:space="preserve"> </w:t>
      </w:r>
      <w:r>
        <w:rPr>
          <w:iCs/>
          <w:i/>
        </w:rPr>
        <w:t xml:space="preserve">Drug Alcohol Depend</w:t>
      </w:r>
      <w:r>
        <w:t xml:space="preserve"> </w:t>
      </w:r>
      <w:r>
        <w:t xml:space="preserve">· Testing the effects of the GLP-1 receptor agonist exenatide on cocaine self-administration and subjective responses in humans with cocaine use disorder. PMID 33621809</w:t>
      </w:r>
    </w:p>
    <w:p>
      <w:pPr>
        <w:numPr>
          <w:ilvl w:val="0"/>
          <w:numId w:val="1376"/>
        </w:numPr>
        <w:pStyle w:val="Compact"/>
      </w:pPr>
      <w:r>
        <w:t xml:space="preserve">2021 · Cui H ·</w:t>
      </w:r>
      <w:r>
        <w:t xml:space="preserve"> </w:t>
      </w:r>
      <w:r>
        <w:rPr>
          <w:iCs/>
          <w:i/>
        </w:rPr>
        <w:t xml:space="preserve">Eur J Drug Metab Pharmacokinet</w:t>
      </w:r>
      <w:r>
        <w:t xml:space="preserve"> </w:t>
      </w:r>
      <w:r>
        <w:t xml:space="preserve">· Safety, Pharmacokinetics and Pharmacodynamics of Multiple Escalating Doses of PEGylated Exenatide (PB-119) in Healthy Volunteers. PMID 33576936</w:t>
      </w:r>
    </w:p>
    <w:p>
      <w:pPr>
        <w:numPr>
          <w:ilvl w:val="0"/>
          <w:numId w:val="1376"/>
        </w:numPr>
        <w:pStyle w:val="Compact"/>
      </w:pPr>
      <w:r>
        <w:t xml:space="preserve">2021 · García Del Blanco B ·</w:t>
      </w:r>
      <w:r>
        <w:t xml:space="preserve"> </w:t>
      </w:r>
      <w:r>
        <w:rPr>
          <w:iCs/>
          <w:i/>
        </w:rPr>
        <w:t xml:space="preserve">Basic Res Cardiol</w:t>
      </w:r>
      <w:r>
        <w:t xml:space="preserve"> </w:t>
      </w:r>
      <w:r>
        <w:t xml:space="preserve">· Effect of COMBinAtion therapy with remote ischemic conditioning and exenatide on the Myocardial Infarct size: a two-by-two factorial randomized trial (COMBAT-MI). PMID 33495853</w:t>
      </w:r>
    </w:p>
    <w:p>
      <w:pPr>
        <w:numPr>
          <w:ilvl w:val="0"/>
          <w:numId w:val="1376"/>
        </w:numPr>
        <w:pStyle w:val="Compact"/>
      </w:pPr>
      <w:r>
        <w:t xml:space="preserve">2021 · Koska J ·</w:t>
      </w:r>
      <w:r>
        <w:t xml:space="preserve"> </w:t>
      </w:r>
      <w:r>
        <w:rPr>
          <w:iCs/>
          <w:i/>
        </w:rPr>
        <w:t xml:space="preserve">Diabetes Care</w:t>
      </w:r>
      <w:r>
        <w:t xml:space="preserve"> </w:t>
      </w:r>
      <w:r>
        <w:t xml:space="preserve">· The Effect of Exenatide Once Weekly on Carotid Atherosclerosis in Individuals With Type 2 Diabetes: An 18-Month Randomized Placebo-Controlled Study. PMID 33495294</w:t>
      </w:r>
    </w:p>
    <w:p>
      <w:pPr>
        <w:numPr>
          <w:ilvl w:val="0"/>
          <w:numId w:val="1376"/>
        </w:numPr>
        <w:pStyle w:val="Compact"/>
      </w:pPr>
      <w:r>
        <w:t xml:space="preserve">2021 · Harreiter J ·</w:t>
      </w:r>
      <w:r>
        <w:t xml:space="preserve"> </w:t>
      </w:r>
      <w:r>
        <w:rPr>
          <w:iCs/>
          <w:i/>
        </w:rPr>
        <w:t xml:space="preserve">Diabetes Obes Metab</w:t>
      </w:r>
      <w:r>
        <w:t xml:space="preserve"> </w:t>
      </w:r>
      <w:r>
        <w:t xml:space="preserve">· Combined exenatide and dapagliflozin has no additive effects on reduction of hepatocellular lipids despite better glycaemic control in patients with type 2 diabetes mellitus treated with metformin: EXENDA, a 24-week, prospective, randomized, placebo-controlled pilot trial. PMID 33464703</w:t>
      </w:r>
    </w:p>
    <w:p>
      <w:pPr>
        <w:numPr>
          <w:ilvl w:val="0"/>
          <w:numId w:val="1376"/>
        </w:numPr>
        <w:pStyle w:val="Compact"/>
      </w:pPr>
      <w:r>
        <w:t xml:space="preserve">2021 · Yang K ·</w:t>
      </w:r>
      <w:r>
        <w:t xml:space="preserve"> </w:t>
      </w:r>
      <w:r>
        <w:rPr>
          <w:iCs/>
          <w:i/>
        </w:rPr>
        <w:t xml:space="preserve">Acta Diabetol</w:t>
      </w:r>
      <w:r>
        <w:t xml:space="preserve"> </w:t>
      </w:r>
      <w:r>
        <w:t xml:space="preserve">· High baseline FGF21 levels are associated with poor glucose-lowering efficacy of exenatide in patients with type 2 diabetes. PMID 33452595</w:t>
      </w:r>
    </w:p>
    <w:p>
      <w:pPr>
        <w:numPr>
          <w:ilvl w:val="0"/>
          <w:numId w:val="1376"/>
        </w:numPr>
        <w:pStyle w:val="Compact"/>
      </w:pPr>
      <w:r>
        <w:t xml:space="preserve">2021 · Abdul-Ghani M ·</w:t>
      </w:r>
      <w:r>
        <w:t xml:space="preserve"> </w:t>
      </w:r>
      <w:r>
        <w:rPr>
          <w:iCs/>
          <w:i/>
        </w:rPr>
        <w:t xml:space="preserve">Diabetes Care</w:t>
      </w:r>
      <w:r>
        <w:t xml:space="preserve"> </w:t>
      </w:r>
      <w:r>
        <w:t xml:space="preserve">· Durability of Triple Combination Therapy Versus Stepwise Addition Therapy in Patients With New-Onset T2DM: 3-Year Follow-up of EDICT. PMID 33273042</w:t>
      </w:r>
    </w:p>
    <w:p>
      <w:pPr>
        <w:numPr>
          <w:ilvl w:val="0"/>
          <w:numId w:val="1376"/>
        </w:numPr>
        <w:pStyle w:val="Compact"/>
      </w:pPr>
      <w:r>
        <w:t xml:space="preserve">2021 · Östlund Papadogeorgos N ·</w:t>
      </w:r>
      <w:r>
        <w:t xml:space="preserve"> </w:t>
      </w:r>
      <w:r>
        <w:rPr>
          <w:iCs/>
          <w:i/>
        </w:rPr>
        <w:t xml:space="preserve">Microcirculation</w:t>
      </w:r>
      <w:r>
        <w:t xml:space="preserve"> </w:t>
      </w:r>
      <w:r>
        <w:t xml:space="preserve">· Effects of exenatide on microvascular reactivity in patients with type 2 diabetes and coronary artery disease: A randomized controlled study. PMID 33151597</w:t>
      </w:r>
    </w:p>
    <w:p>
      <w:pPr>
        <w:numPr>
          <w:ilvl w:val="0"/>
          <w:numId w:val="1376"/>
        </w:numPr>
        <w:pStyle w:val="Compact"/>
      </w:pPr>
      <w:r>
        <w:t xml:space="preserve">2021 · Joubert M ·</w:t>
      </w:r>
      <w:r>
        <w:t xml:space="preserve"> </w:t>
      </w:r>
      <w:r>
        <w:rPr>
          <w:iCs/>
          <w:i/>
        </w:rPr>
        <w:t xml:space="preserve">Diabetes Obes Metab</w:t>
      </w:r>
      <w:r>
        <w:t xml:space="preserve"> </w:t>
      </w:r>
      <w:r>
        <w:t xml:space="preserve">· Efficacy and safety of exenatide as add-on therapy for patients with type 2 diabetes with an intensive insulin regimen: A randomized double-blind trial. PMID 33043591</w:t>
      </w:r>
    </w:p>
    <w:p>
      <w:pPr>
        <w:numPr>
          <w:ilvl w:val="0"/>
          <w:numId w:val="1376"/>
        </w:numPr>
        <w:pStyle w:val="Compact"/>
      </w:pPr>
      <w:r>
        <w:t xml:space="preserve">2021 · Roth CL ·</w:t>
      </w:r>
      <w:r>
        <w:t xml:space="preserve"> </w:t>
      </w:r>
      <w:r>
        <w:rPr>
          <w:iCs/>
          <w:i/>
        </w:rPr>
        <w:t xml:space="preserve">Diabetes Obes Metab</w:t>
      </w:r>
      <w:r>
        <w:t xml:space="preserve"> </w:t>
      </w:r>
      <w:r>
        <w:t xml:space="preserve">· A phase 3 randomized clinical trial using a once-weekly glucagon-like peptide-1 receptor agonist in adolescents and young adults with hypothalamic obesity. PMID 33026160</w:t>
      </w:r>
    </w:p>
    <w:p>
      <w:pPr>
        <w:numPr>
          <w:ilvl w:val="0"/>
          <w:numId w:val="1376"/>
        </w:numPr>
        <w:pStyle w:val="Compact"/>
      </w:pPr>
      <w:r>
        <w:t xml:space="preserve">2021 · Tao T ·</w:t>
      </w:r>
      <w:r>
        <w:t xml:space="preserve"> </w:t>
      </w:r>
      <w:r>
        <w:rPr>
          <w:iCs/>
          <w:i/>
        </w:rPr>
        <w:t xml:space="preserve">J Clin Endocrinol Metab</w:t>
      </w:r>
      <w:r>
        <w:t xml:space="preserve"> </w:t>
      </w:r>
      <w:r>
        <w:t xml:space="preserve">· Exenatide, Metformin, or Both for Prediabetes in PCOS: A Randomized, Open-label, Parallel-group Controlled Study. PMID 32995892</w:t>
      </w:r>
    </w:p>
    <w:p>
      <w:pPr>
        <w:numPr>
          <w:ilvl w:val="0"/>
          <w:numId w:val="1376"/>
        </w:numPr>
        <w:pStyle w:val="Compact"/>
      </w:pPr>
      <w:r>
        <w:t xml:space="preserve">2020 · Wysham CH ·</w:t>
      </w:r>
      <w:r>
        <w:t xml:space="preserve"> </w:t>
      </w:r>
      <w:r>
        <w:rPr>
          <w:iCs/>
          <w:i/>
        </w:rPr>
        <w:t xml:space="preserve">BMJ Open Diabetes Res Care</w:t>
      </w:r>
      <w:r>
        <w:t xml:space="preserve"> </w:t>
      </w:r>
      <w:r>
        <w:t xml:space="preserve">· Further improvement in glycemic control after switching from exenatide two times per day to exenatide once-weekly autoinjected suspension in patients with type 2 diabetes: 52-week results from the DURATION-NEO-1 study. PMID 33037036</w:t>
      </w:r>
    </w:p>
    <w:p>
      <w:pPr>
        <w:numPr>
          <w:ilvl w:val="0"/>
          <w:numId w:val="1376"/>
        </w:numPr>
        <w:pStyle w:val="Compact"/>
      </w:pPr>
      <w:r>
        <w:t xml:space="preserve">2020 · Wang X ·</w:t>
      </w:r>
      <w:r>
        <w:t xml:space="preserve"> </w:t>
      </w:r>
      <w:r>
        <w:rPr>
          <w:iCs/>
          <w:i/>
        </w:rPr>
        <w:t xml:space="preserve">Am J Nephrol</w:t>
      </w:r>
      <w:r>
        <w:t xml:space="preserve"> </w:t>
      </w:r>
      <w:r>
        <w:t xml:space="preserve">· Exenatide and Renal Outcomes in Patients with Type 2 Diabetes and Diabetic Kidney Disease. PMID 32966971</w:t>
      </w:r>
    </w:p>
    <w:p>
      <w:pPr>
        <w:numPr>
          <w:ilvl w:val="0"/>
          <w:numId w:val="1376"/>
        </w:numPr>
        <w:pStyle w:val="Compact"/>
      </w:pPr>
      <w:r>
        <w:t xml:space="preserve">2020 · Jabbour SA ·</w:t>
      </w:r>
      <w:r>
        <w:t xml:space="preserve"> </w:t>
      </w:r>
      <w:r>
        <w:rPr>
          <w:iCs/>
          <w:i/>
        </w:rPr>
        <w:t xml:space="preserve">Diabetes Care</w:t>
      </w:r>
      <w:r>
        <w:t xml:space="preserve"> </w:t>
      </w:r>
      <w:r>
        <w:t xml:space="preserve">· Efficacy and Safety Over 2 Years of Exenatide Plus Dapagliflozin in the DURATION-8 Study: A Multicenter, Double-Blind, Phase 3, Randomized Controlled Trial. PMID 32816874</w:t>
      </w:r>
    </w:p>
    <w:p>
      <w:pPr>
        <w:numPr>
          <w:ilvl w:val="0"/>
          <w:numId w:val="1376"/>
        </w:numPr>
        <w:pStyle w:val="Compact"/>
      </w:pPr>
      <w:r>
        <w:t xml:space="preserve">2020 · Abdul-Ghani M ·</w:t>
      </w:r>
      <w:r>
        <w:t xml:space="preserve"> </w:t>
      </w:r>
      <w:r>
        <w:rPr>
          <w:iCs/>
          <w:i/>
        </w:rPr>
        <w:t xml:space="preserve">Diabetes Obes Metab</w:t>
      </w:r>
      <w:r>
        <w:t xml:space="preserve"> </w:t>
      </w:r>
      <w:r>
        <w:t xml:space="preserve">· Combination therapy with pioglitazone/exenatide improves beta-cell function and produces superior glycaemic control compared with basal/bolus insulin in poorly controlled type 2 diabetes: A 3-year follow-up of the Qatar study. PMID 32729222</w:t>
      </w:r>
    </w:p>
    <w:p>
      <w:pPr>
        <w:numPr>
          <w:ilvl w:val="0"/>
          <w:numId w:val="1376"/>
        </w:numPr>
        <w:pStyle w:val="Compact"/>
      </w:pPr>
      <w:r>
        <w:t xml:space="preserve">2020 · Ponirakis G ·</w:t>
      </w:r>
      <w:r>
        <w:t xml:space="preserve"> </w:t>
      </w:r>
      <w:r>
        <w:rPr>
          <w:iCs/>
          <w:i/>
        </w:rPr>
        <w:t xml:space="preserve">BMJ Open Diabetes Res Care</w:t>
      </w:r>
      <w:r>
        <w:t xml:space="preserve"> </w:t>
      </w:r>
      <w:r>
        <w:t xml:space="preserve">· Effect of treatment with exenatide and pioglitazone or basal-bolus insulin on diabetic neuropathy: a substudy of the Qatar Study. PMID 32576561</w:t>
      </w:r>
    </w:p>
    <w:p>
      <w:pPr>
        <w:numPr>
          <w:ilvl w:val="0"/>
          <w:numId w:val="1376"/>
        </w:numPr>
        <w:pStyle w:val="Compact"/>
      </w:pPr>
      <w:r>
        <w:t xml:space="preserve">2020 · Herold KC ·</w:t>
      </w:r>
      <w:r>
        <w:t xml:space="preserve"> </w:t>
      </w:r>
      <w:r>
        <w:rPr>
          <w:iCs/>
          <w:i/>
        </w:rPr>
        <w:t xml:space="preserve">Diabetes Obes Metab</w:t>
      </w:r>
      <w:r>
        <w:t xml:space="preserve"> </w:t>
      </w:r>
      <w:r>
        <w:t xml:space="preserve">· Exenatide extended release in patients with type 1 diabetes with and without residual insulin production. PMID 32573927</w:t>
      </w:r>
    </w:p>
    <w:p>
      <w:pPr>
        <w:numPr>
          <w:ilvl w:val="0"/>
          <w:numId w:val="1376"/>
        </w:numPr>
        <w:pStyle w:val="Compact"/>
      </w:pPr>
      <w:r>
        <w:t xml:space="preserve">2020 · Wang X ·</w:t>
      </w:r>
      <w:r>
        <w:t xml:space="preserve"> </w:t>
      </w:r>
      <w:r>
        <w:rPr>
          <w:iCs/>
          <w:i/>
        </w:rPr>
        <w:t xml:space="preserve">J Diabetes Res</w:t>
      </w:r>
      <w:r>
        <w:t xml:space="preserve"> </w:t>
      </w:r>
      <w:r>
        <w:t xml:space="preserve">· Effects of Exenatide and Humalog Mix25 on Fat Distribution, Insulin Sensitivity, and β-Cell Function in Normal BMI Patients with Type 2 Diabetes and Visceral Adiposity. PMID 32566685</w:t>
      </w:r>
    </w:p>
    <w:p>
      <w:pPr>
        <w:numPr>
          <w:ilvl w:val="0"/>
          <w:numId w:val="1376"/>
        </w:numPr>
        <w:pStyle w:val="Compact"/>
      </w:pPr>
      <w:r>
        <w:t xml:space="preserve">2020 · Johansen NJ ·</w:t>
      </w:r>
      <w:r>
        <w:t xml:space="preserve"> </w:t>
      </w:r>
      <w:r>
        <w:rPr>
          <w:iCs/>
          <w:i/>
        </w:rPr>
        <w:t xml:space="preserve">Diabetes Obes Metab</w:t>
      </w:r>
      <w:r>
        <w:t xml:space="preserve"> </w:t>
      </w:r>
      <w:r>
        <w:t xml:space="preserve">· Effect of short-acting exenatide administered three times daily on markers of cardiovascular disease in type 1 diabetes: A randomized double-blind placebo-controlled trial. PMID 32543021</w:t>
      </w:r>
    </w:p>
    <w:p>
      <w:pPr>
        <w:numPr>
          <w:ilvl w:val="0"/>
          <w:numId w:val="1376"/>
        </w:numPr>
        <w:pStyle w:val="Compact"/>
      </w:pPr>
      <w:r>
        <w:t xml:space="preserve">2020 · Li B ·</w:t>
      </w:r>
      <w:r>
        <w:t xml:space="preserve"> </w:t>
      </w:r>
      <w:r>
        <w:rPr>
          <w:iCs/>
          <w:i/>
        </w:rPr>
        <w:t xml:space="preserve">BMC Pharmacol Toxicol</w:t>
      </w:r>
      <w:r>
        <w:t xml:space="preserve"> </w:t>
      </w:r>
      <w:r>
        <w:t xml:space="preserve">· The effect of exenatide on fasting bile acids in newly diagnosed type 2 diabetes mellitus patients, a pilot study. PMID 32539783</w:t>
      </w:r>
    </w:p>
    <w:p>
      <w:pPr>
        <w:numPr>
          <w:ilvl w:val="0"/>
          <w:numId w:val="1376"/>
        </w:numPr>
        <w:pStyle w:val="Compact"/>
      </w:pPr>
      <w:r>
        <w:t xml:space="preserve">2020 · Zhang J ·</w:t>
      </w:r>
      <w:r>
        <w:t xml:space="preserve"> </w:t>
      </w:r>
      <w:r>
        <w:rPr>
          <w:iCs/>
          <w:i/>
        </w:rPr>
        <w:t xml:space="preserve">Cardiovasc Diabetol</w:t>
      </w:r>
      <w:r>
        <w:t xml:space="preserve"> </w:t>
      </w:r>
      <w:r>
        <w:t xml:space="preserve">· Comparison of the effects of twice-daily exenatide and insulin on carotid intima-media thickness in type 2 diabetes mellitus patients: a 52-week randomized, open-label, controlled trial. PMID 32334592</w:t>
      </w:r>
    </w:p>
    <w:p>
      <w:pPr>
        <w:numPr>
          <w:ilvl w:val="0"/>
          <w:numId w:val="1376"/>
        </w:numPr>
        <w:pStyle w:val="Compact"/>
      </w:pPr>
      <w:r>
        <w:t xml:space="preserve">2020 · van der Aart-van der Beek AB ·</w:t>
      </w:r>
      <w:r>
        <w:t xml:space="preserve"> </w:t>
      </w:r>
      <w:r>
        <w:rPr>
          <w:iCs/>
          <w:i/>
        </w:rPr>
        <w:t xml:space="preserve">Diabetes Obes Metab</w:t>
      </w:r>
      <w:r>
        <w:t xml:space="preserve"> </w:t>
      </w:r>
      <w:r>
        <w:t xml:space="preserve">· Exenatide once weekly decreases urinary albumin excretion in patients with type 2 diabetes and elevated albuminuria: Pooled analysis of randomized active controlled clinical trials. PMID 32329160</w:t>
      </w:r>
    </w:p>
    <w:p>
      <w:pPr>
        <w:numPr>
          <w:ilvl w:val="0"/>
          <w:numId w:val="1376"/>
        </w:numPr>
        <w:pStyle w:val="Compact"/>
      </w:pPr>
      <w:r>
        <w:t xml:space="preserve">2020 · Hamidi V ·</w:t>
      </w:r>
      <w:r>
        <w:t xml:space="preserve"> </w:t>
      </w:r>
      <w:r>
        <w:rPr>
          <w:iCs/>
          <w:i/>
        </w:rPr>
        <w:t xml:space="preserve">Metab Syndr Relat Disord</w:t>
      </w:r>
      <w:r>
        <w:t xml:space="preserve"> </w:t>
      </w:r>
      <w:r>
        <w:t xml:space="preserve">· Acute Exenatide Therapy Attenuates Postprandial Vasodilation in Humans with Prediabetes: A Randomized Controlled Trial. PMID 32228379</w:t>
      </w:r>
    </w:p>
    <w:p>
      <w:pPr>
        <w:numPr>
          <w:ilvl w:val="0"/>
          <w:numId w:val="1376"/>
        </w:numPr>
        <w:pStyle w:val="Compact"/>
      </w:pPr>
      <w:r>
        <w:t xml:space="preserve">2020 · Yang J ·</w:t>
      </w:r>
      <w:r>
        <w:t xml:space="preserve"> </w:t>
      </w:r>
      <w:r>
        <w:rPr>
          <w:iCs/>
          <w:i/>
        </w:rPr>
        <w:t xml:space="preserve">Acta Diabetol</w:t>
      </w:r>
      <w:r>
        <w:t xml:space="preserve"> </w:t>
      </w:r>
      <w:r>
        <w:t xml:space="preserve">· Efficacy and safety of generic exenatide injection in Chinese patients with type 2 diabetes: a multicenter, randomized, controlled, non-inferiority trial. PMID 32206903</w:t>
      </w:r>
    </w:p>
    <w:p>
      <w:pPr>
        <w:numPr>
          <w:ilvl w:val="0"/>
          <w:numId w:val="1376"/>
        </w:numPr>
        <w:pStyle w:val="Compact"/>
      </w:pPr>
      <w:r>
        <w:t xml:space="preserve">2020 · Johansen NJ ·</w:t>
      </w:r>
      <w:r>
        <w:t xml:space="preserve"> </w:t>
      </w:r>
      <w:r>
        <w:rPr>
          <w:iCs/>
          <w:i/>
        </w:rPr>
        <w:t xml:space="preserve">Lancet Diabetes Endocrinol</w:t>
      </w:r>
      <w:r>
        <w:t xml:space="preserve"> </w:t>
      </w:r>
      <w:r>
        <w:t xml:space="preserve">· Efficacy and safety of meal-time administration of short-acting exenatide for glycaemic control in type 1 diabetes (MAG1C): a randomised, double-blind, placebo-controlled trial. PMID 32135138</w:t>
      </w:r>
    </w:p>
    <w:p>
      <w:pPr>
        <w:numPr>
          <w:ilvl w:val="0"/>
          <w:numId w:val="1376"/>
        </w:numPr>
        <w:pStyle w:val="Compact"/>
      </w:pPr>
      <w:r>
        <w:t xml:space="preserve">2020 · Bethel MA ·</w:t>
      </w:r>
      <w:r>
        <w:t xml:space="preserve"> </w:t>
      </w:r>
      <w:r>
        <w:rPr>
          <w:iCs/>
          <w:i/>
        </w:rPr>
        <w:t xml:space="preserve">Circulation</w:t>
      </w:r>
      <w:r>
        <w:t xml:space="preserve"> </w:t>
      </w:r>
      <w:r>
        <w:t xml:space="preserve">· Exploring the Possible Impact of Unbalanced Open-Label Drop-In of Glucose-Lowering Medications on EXSCEL Outcomes. PMID 32098501</w:t>
      </w:r>
    </w:p>
    <w:p>
      <w:pPr>
        <w:numPr>
          <w:ilvl w:val="0"/>
          <w:numId w:val="1376"/>
        </w:numPr>
        <w:pStyle w:val="Compact"/>
      </w:pPr>
      <w:r>
        <w:t xml:space="preserve">2020 · Siskind D ·</w:t>
      </w:r>
      <w:r>
        <w:t xml:space="preserve"> </w:t>
      </w:r>
      <w:r>
        <w:rPr>
          <w:iCs/>
          <w:i/>
        </w:rPr>
        <w:t xml:space="preserve">J Psychiatr Res</w:t>
      </w:r>
      <w:r>
        <w:t xml:space="preserve"> </w:t>
      </w:r>
      <w:r>
        <w:t xml:space="preserve">· Metabolic measures 12 months after a randomised controlled trial of treatment of clozapine associated obesity and diabetes with exenatide (CODEX). PMID 32087425</w:t>
      </w:r>
    </w:p>
    <w:p>
      <w:pPr>
        <w:numPr>
          <w:ilvl w:val="0"/>
          <w:numId w:val="1376"/>
        </w:numPr>
        <w:pStyle w:val="Compact"/>
      </w:pPr>
      <w:r>
        <w:t xml:space="preserve">2020 · Weghuber D ·</w:t>
      </w:r>
      <w:r>
        <w:t xml:space="preserve"> </w:t>
      </w:r>
      <w:r>
        <w:rPr>
          <w:iCs/>
          <w:i/>
        </w:rPr>
        <w:t xml:space="preserve">Pediatr Obes</w:t>
      </w:r>
      <w:r>
        <w:t xml:space="preserve"> </w:t>
      </w:r>
      <w:r>
        <w:t xml:space="preserve">· A 6-month randomized, double-blind, placebo-controlled trial of weekly exenatide in adolescents with obesity. PMID 32062862</w:t>
      </w:r>
    </w:p>
    <w:p>
      <w:pPr>
        <w:numPr>
          <w:ilvl w:val="0"/>
          <w:numId w:val="1376"/>
        </w:numPr>
        <w:pStyle w:val="Compact"/>
      </w:pPr>
      <w:r>
        <w:t xml:space="preserve">2020 · Cui H ·</w:t>
      </w:r>
      <w:r>
        <w:t xml:space="preserve"> </w:t>
      </w:r>
      <w:r>
        <w:rPr>
          <w:iCs/>
          <w:i/>
        </w:rPr>
        <w:t xml:space="preserve">Eur J Drug Metab Pharmacokinet</w:t>
      </w:r>
      <w:r>
        <w:t xml:space="preserve"> </w:t>
      </w:r>
      <w:r>
        <w:t xml:space="preserve">· Safety, Tolerability and Pharmacokinetics of Single Dose Polyethylene Glycolated Exenatide Injection (PB-119) in Healthy Volunteers. PMID 32006325</w:t>
      </w:r>
    </w:p>
    <w:p>
      <w:pPr>
        <w:numPr>
          <w:ilvl w:val="0"/>
          <w:numId w:val="1376"/>
        </w:numPr>
        <w:pStyle w:val="Compact"/>
      </w:pPr>
      <w:r>
        <w:t xml:space="preserve">2020 · Janssen LGM ·</w:t>
      </w:r>
      <w:r>
        <w:t xml:space="preserve"> </w:t>
      </w:r>
      <w:r>
        <w:rPr>
          <w:iCs/>
          <w:i/>
        </w:rPr>
        <w:t xml:space="preserve">Metabolism</w:t>
      </w:r>
      <w:r>
        <w:t xml:space="preserve"> </w:t>
      </w:r>
      <w:r>
        <w:t xml:space="preserve">· Twelve weeks of exenatide treatment increases [(18)F]fluorodeoxyglucose uptake by brown adipose tissue without affecting oxidative resting energy expenditure in nondiabetic males. PMID 31982480</w:t>
      </w:r>
    </w:p>
    <w:p>
      <w:pPr>
        <w:numPr>
          <w:ilvl w:val="0"/>
          <w:numId w:val="1376"/>
        </w:numPr>
        <w:pStyle w:val="Compact"/>
      </w:pPr>
      <w:r>
        <w:t xml:space="preserve">2020 · Liu L ·</w:t>
      </w:r>
      <w:r>
        <w:t xml:space="preserve"> </w:t>
      </w:r>
      <w:r>
        <w:rPr>
          <w:iCs/>
          <w:i/>
        </w:rPr>
        <w:t xml:space="preserve">Diabetes Metab Res Rev</w:t>
      </w:r>
      <w:r>
        <w:t xml:space="preserve"> </w:t>
      </w:r>
      <w:r>
        <w:t xml:space="preserve">· Efficacy of exenatide and insulin glargine on nonalcoholic fatty liver disease in patients with type 2 diabetes. PMID 31955491</w:t>
      </w:r>
    </w:p>
    <w:p>
      <w:pPr>
        <w:numPr>
          <w:ilvl w:val="0"/>
          <w:numId w:val="1376"/>
        </w:numPr>
        <w:pStyle w:val="Compact"/>
      </w:pPr>
      <w:r>
        <w:t xml:space="preserve">2020 · Idzerda NMA ·</w:t>
      </w:r>
      <w:r>
        <w:t xml:space="preserve"> </w:t>
      </w:r>
      <w:r>
        <w:rPr>
          <w:iCs/>
          <w:i/>
        </w:rPr>
        <w:t xml:space="preserve">Diabetes Obes Metab</w:t>
      </w:r>
      <w:r>
        <w:t xml:space="preserve"> </w:t>
      </w:r>
      <w:r>
        <w:t xml:space="preserve">· Prediction and validation of exenatide risk marker effects on progression of renal disease: Insights from EXSCEL. PMID 31912603</w:t>
      </w:r>
    </w:p>
    <w:p>
      <w:pPr>
        <w:numPr>
          <w:ilvl w:val="0"/>
          <w:numId w:val="1376"/>
        </w:numPr>
        <w:pStyle w:val="Compact"/>
      </w:pPr>
      <w:r>
        <w:t xml:space="preserve">2020 · Jones KL ·</w:t>
      </w:r>
      <w:r>
        <w:t xml:space="preserve"> </w:t>
      </w:r>
      <w:r>
        <w:rPr>
          <w:iCs/>
          <w:i/>
        </w:rPr>
        <w:t xml:space="preserve">Diabetes Obes Metab</w:t>
      </w:r>
      <w:r>
        <w:t xml:space="preserve"> </w:t>
      </w:r>
      <w:r>
        <w:t xml:space="preserve">· Exenatide once weekly slows gastric emptying of solids and liquids in healthy, overweight people at steady-state concentrations. PMID 31903712</w:t>
      </w:r>
    </w:p>
    <w:p>
      <w:pPr>
        <w:numPr>
          <w:ilvl w:val="0"/>
          <w:numId w:val="1376"/>
        </w:numPr>
        <w:pStyle w:val="Compact"/>
      </w:pPr>
      <w:r>
        <w:t xml:space="preserve">2020 · Standl E ·</w:t>
      </w:r>
      <w:r>
        <w:t xml:space="preserve"> </w:t>
      </w:r>
      <w:r>
        <w:rPr>
          <w:iCs/>
          <w:i/>
        </w:rPr>
        <w:t xml:space="preserve">Diabetes Care</w:t>
      </w:r>
      <w:r>
        <w:t xml:space="preserve"> </w:t>
      </w:r>
      <w:r>
        <w:t xml:space="preserve">· Confirming the Bidirectional Nature of the Association Between Severe Hypoglycemic and Cardiovascular Events in Type 2 Diabetes: Insights From EXSCEL. PMID 31882409</w:t>
      </w:r>
    </w:p>
    <w:p>
      <w:pPr>
        <w:numPr>
          <w:ilvl w:val="0"/>
          <w:numId w:val="1376"/>
        </w:numPr>
        <w:pStyle w:val="Compact"/>
      </w:pPr>
      <w:r>
        <w:t xml:space="preserve">2020 · Reed SD ·</w:t>
      </w:r>
      <w:r>
        <w:t xml:space="preserve"> </w:t>
      </w:r>
      <w:r>
        <w:rPr>
          <w:iCs/>
          <w:i/>
        </w:rPr>
        <w:t xml:space="preserve">Diabetes Care</w:t>
      </w:r>
      <w:r>
        <w:t xml:space="preserve"> </w:t>
      </w:r>
      <w:r>
        <w:t xml:space="preserve">· Within-Trial Evaluation of Medical Resources, Costs, and Quality of Life Among Patients With Type 2 Diabetes Participating in the Exenatide Study of Cardiovascular Event Lowering (EXSCEL). PMID 31806653</w:t>
      </w:r>
    </w:p>
    <w:p>
      <w:pPr>
        <w:numPr>
          <w:ilvl w:val="0"/>
          <w:numId w:val="1376"/>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6"/>
        </w:numPr>
        <w:pStyle w:val="Compact"/>
      </w:pPr>
      <w:r>
        <w:t xml:space="preserve">2020 · Bethel MA ·</w:t>
      </w:r>
      <w:r>
        <w:t xml:space="preserve"> </w:t>
      </w:r>
      <w:r>
        <w:rPr>
          <w:iCs/>
          <w:i/>
        </w:rPr>
        <w:t xml:space="preserve">Diabetes Care</w:t>
      </w:r>
      <w:r>
        <w:t xml:space="preserve"> </w:t>
      </w:r>
      <w:r>
        <w:t xml:space="preserve">· Microvascular and Cardiovascular Outcomes According to Renal Function in Patients Treated With Once-Weekly Exenatide: Insights From the EXSCEL Trial. PMID 31757838</w:t>
      </w:r>
    </w:p>
    <w:p>
      <w:pPr>
        <w:numPr>
          <w:ilvl w:val="0"/>
          <w:numId w:val="1376"/>
        </w:numPr>
        <w:pStyle w:val="Compact"/>
      </w:pPr>
      <w:r>
        <w:t xml:space="preserve">2020 · Gastaldelli A ·</w:t>
      </w:r>
      <w:r>
        <w:t xml:space="preserve"> </w:t>
      </w:r>
      <w:r>
        <w:rPr>
          <w:iCs/>
          <w:i/>
        </w:rPr>
        <w:t xml:space="preserve">Diabetes Obes Metab</w:t>
      </w:r>
      <w:r>
        <w:t xml:space="preserve"> </w:t>
      </w:r>
      <w:r>
        <w:t xml:space="preserve">· Exenatide and dapagliflozin combination improves markers of liver steatosis and fibrosis in patients with type 2 diabetes. PMID 31692226</w:t>
      </w:r>
    </w:p>
    <w:p>
      <w:pPr>
        <w:numPr>
          <w:ilvl w:val="0"/>
          <w:numId w:val="1376"/>
        </w:numPr>
        <w:pStyle w:val="Compact"/>
      </w:pPr>
      <w:r>
        <w:t xml:space="preserve">2020 · Watanabe Y ·</w:t>
      </w:r>
      <w:r>
        <w:t xml:space="preserve"> </w:t>
      </w:r>
      <w:r>
        <w:rPr>
          <w:iCs/>
          <w:i/>
        </w:rPr>
        <w:t xml:space="preserve">J Diabetes Investig</w:t>
      </w:r>
      <w:r>
        <w:t xml:space="preserve"> </w:t>
      </w:r>
      <w:r>
        <w:t xml:space="preserve">· Efficacy and safety of once-weekly exenatide after switching from twice-daily exenatide in patients with type 2 diabetes. PMID 31518492</w:t>
      </w:r>
    </w:p>
    <w:p>
      <w:pPr>
        <w:numPr>
          <w:ilvl w:val="0"/>
          <w:numId w:val="1376"/>
        </w:numPr>
        <w:pStyle w:val="Compact"/>
      </w:pPr>
      <w:r>
        <w:t xml:space="preserve">2020 · Ferrannini E ·</w:t>
      </w:r>
      <w:r>
        <w:t xml:space="preserve"> </w:t>
      </w:r>
      <w:r>
        <w:rPr>
          <w:iCs/>
          <w:i/>
        </w:rPr>
        <w:t xml:space="preserve">Diabetes Obes Metab</w:t>
      </w:r>
      <w:r>
        <w:t xml:space="preserve"> </w:t>
      </w:r>
      <w:r>
        <w:t xml:space="preserve">· Hormone-substrate changes with exenatide plus dapagliflozin versus each drug alone: The randomized, active-controlled DURATION-8 study. PMID 31469220</w:t>
      </w:r>
    </w:p>
    <w:p>
      <w:pPr>
        <w:numPr>
          <w:ilvl w:val="0"/>
          <w:numId w:val="1376"/>
        </w:numPr>
        <w:pStyle w:val="Compact"/>
      </w:pPr>
      <w:r>
        <w:t xml:space="preserve">2019 · Badjatiya A ·</w:t>
      </w:r>
      <w:r>
        <w:t xml:space="preserve"> </w:t>
      </w:r>
      <w:r>
        <w:rPr>
          <w:iCs/>
          <w:i/>
        </w:rPr>
        <w:t xml:space="preserve">Circ Cardiovasc Interv</w:t>
      </w:r>
      <w:r>
        <w:t xml:space="preserve"> </w:t>
      </w:r>
      <w:r>
        <w:t xml:space="preserve">· Clinical Outcomes in Patients With Type 2 Diabetes Mellitus and Peripheral Artery Disease: Results From the EXSCEL Trial. PMID 31752517</w:t>
      </w:r>
    </w:p>
    <w:p>
      <w:pPr>
        <w:numPr>
          <w:ilvl w:val="0"/>
          <w:numId w:val="1376"/>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6"/>
        </w:numPr>
        <w:pStyle w:val="Compact"/>
      </w:pPr>
      <w:r>
        <w:t xml:space="preserve">2019 · Larsson M ·</w:t>
      </w:r>
      <w:r>
        <w:t xml:space="preserve"> </w:t>
      </w:r>
      <w:r>
        <w:rPr>
          <w:iCs/>
          <w:i/>
        </w:rPr>
        <w:t xml:space="preserve">Acta Neurol Scand</w:t>
      </w:r>
      <w:r>
        <w:t xml:space="preserve"> </w:t>
      </w:r>
      <w:r>
        <w:t xml:space="preserve">· Prehospital exenatide in hyperglycemic stroke-A randomized trial. PMID 31518433</w:t>
      </w:r>
    </w:p>
    <w:p>
      <w:pPr>
        <w:numPr>
          <w:ilvl w:val="0"/>
          <w:numId w:val="1376"/>
        </w:numPr>
        <w:pStyle w:val="Compact"/>
      </w:pPr>
      <w:r>
        <w:t xml:space="preserve">2019 · Mullins RJ ·</w:t>
      </w:r>
      <w:r>
        <w:t xml:space="preserve"> </w:t>
      </w:r>
      <w:r>
        <w:rPr>
          <w:iCs/>
          <w:i/>
        </w:rPr>
        <w:t xml:space="preserve">Curr Alzheimer Res</w:t>
      </w:r>
      <w:r>
        <w:t xml:space="preserve"> </w:t>
      </w:r>
      <w:r>
        <w:t xml:space="preserve">· A Pilot Study of Exenatide Actions in Alzheimer’s Disease. PMID 31518224</w:t>
      </w:r>
    </w:p>
    <w:p>
      <w:pPr>
        <w:numPr>
          <w:ilvl w:val="0"/>
          <w:numId w:val="1376"/>
        </w:numPr>
        <w:pStyle w:val="Compact"/>
      </w:pPr>
      <w:r>
        <w:t xml:space="preserve">2019 · Muskiet MHA ·</w:t>
      </w:r>
      <w:r>
        <w:t xml:space="preserve"> </w:t>
      </w:r>
      <w:r>
        <w:rPr>
          <w:iCs/>
          <w:i/>
        </w:rPr>
        <w:t xml:space="preserve">Microcirculation</w:t>
      </w:r>
      <w:r>
        <w:t xml:space="preserve"> </w:t>
      </w:r>
      <w:r>
        <w:t xml:space="preserve">· Assessment of real-time and quantitative changes in renal hemodynamics in healthy overweight males: Contrast-enhanced ultrasonography vs para-aminohippuric acid clearance. PMID 31313410</w:t>
      </w:r>
    </w:p>
    <w:p>
      <w:pPr>
        <w:numPr>
          <w:ilvl w:val="0"/>
          <w:numId w:val="1376"/>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6"/>
        </w:numPr>
        <w:pStyle w:val="Compact"/>
      </w:pPr>
      <w:r>
        <w:t xml:space="preserve">2019 · Almby KE ·</w:t>
      </w:r>
      <w:r>
        <w:t xml:space="preserve"> </w:t>
      </w:r>
      <w:r>
        <w:rPr>
          <w:iCs/>
          <w:i/>
        </w:rPr>
        <w:t xml:space="preserve">Eur J Endocrinol</w:t>
      </w:r>
      <w:r>
        <w:t xml:space="preserve"> </w:t>
      </w:r>
      <w:r>
        <w:t xml:space="preserve">· Effects of GLP-1 on counter-regulatory responses during hypoglycemia after GBP surgery. PMID 31176298</w:t>
      </w:r>
    </w:p>
    <w:p>
      <w:pPr>
        <w:numPr>
          <w:ilvl w:val="0"/>
          <w:numId w:val="1376"/>
        </w:numPr>
        <w:pStyle w:val="Compact"/>
      </w:pPr>
      <w:r>
        <w:t xml:space="preserve">2019 · Muskiet MHA ·</w:t>
      </w:r>
      <w:r>
        <w:t xml:space="preserve"> </w:t>
      </w:r>
      <w:r>
        <w:rPr>
          <w:iCs/>
          <w:i/>
        </w:rPr>
        <w:t xml:space="preserve">Diabetes Res Clin Pract</w:t>
      </w:r>
      <w:r>
        <w:t xml:space="preserve"> </w:t>
      </w:r>
      <w:r>
        <w:t xml:space="preserve">· Exenatide twice-daily does not affect renal function or albuminuria compared to titrated insulin glargine in patients with type 2 diabetes mellitus: A post-hoc analysis of a 52-week randomised trial. PMID 31078666</w:t>
      </w:r>
    </w:p>
    <w:p>
      <w:pPr>
        <w:numPr>
          <w:ilvl w:val="0"/>
          <w:numId w:val="1376"/>
        </w:numPr>
        <w:pStyle w:val="Compact"/>
      </w:pPr>
      <w:r>
        <w:t xml:space="preserve">2019 · Bethel MA ·</w:t>
      </w:r>
      <w:r>
        <w:t xml:space="preserve"> </w:t>
      </w:r>
      <w:r>
        <w:rPr>
          <w:iCs/>
          <w:i/>
        </w:rPr>
        <w:t xml:space="preserve">Diabetes Care</w:t>
      </w:r>
      <w:r>
        <w:t xml:space="preserve"> </w:t>
      </w:r>
      <w:r>
        <w:t xml:space="preserve">· Changes in Serum Calcitonin Concentrations, Incidence of Medullary Thyroid Carcinoma, and Impact of Routine Calcitonin Concentration Monitoring in the EXenatide Study of Cardiovascular Event Lowering (EXSCEL). PMID 31010875</w:t>
      </w:r>
    </w:p>
    <w:p>
      <w:pPr>
        <w:numPr>
          <w:ilvl w:val="0"/>
          <w:numId w:val="1376"/>
        </w:numPr>
        <w:pStyle w:val="Compact"/>
      </w:pPr>
      <w:r>
        <w:t xml:space="preserve">2019 · Carlson AL ·</w:t>
      </w:r>
      <w:r>
        <w:t xml:space="preserve"> </w:t>
      </w:r>
      <w:r>
        <w:rPr>
          <w:iCs/>
          <w:i/>
        </w:rPr>
        <w:t xml:space="preserve">Endocr Pract</w:t>
      </w:r>
      <w:r>
        <w:t xml:space="preserve"> </w:t>
      </w:r>
      <w:r>
        <w:t xml:space="preserve">· EVALUATION OF INSULIN GLARGINE AND EXENATIDE ALONE AND IN COMBINATION: A RANDOMIZED CLINICAL TRIAL WITH CONTINUOUS GLUCOSE MONITORING AND AMBULATORY GLUCOSE PROFILE ANALYSIS. PMID 30995433</w:t>
      </w:r>
    </w:p>
    <w:p>
      <w:pPr>
        <w:numPr>
          <w:ilvl w:val="0"/>
          <w:numId w:val="1376"/>
        </w:numPr>
        <w:pStyle w:val="Compact"/>
      </w:pPr>
      <w:r>
        <w:t xml:space="preserve">2019 · Zheng S ·</w:t>
      </w:r>
      <w:r>
        <w:t xml:space="preserve"> </w:t>
      </w:r>
      <w:r>
        <w:rPr>
          <w:iCs/>
          <w:i/>
        </w:rPr>
        <w:t xml:space="preserve">Endocr J</w:t>
      </w:r>
      <w:r>
        <w:t xml:space="preserve"> </w:t>
      </w:r>
      <w:r>
        <w:t xml:space="preserve">· Circulating zinc-α2-glycoprotein is reduced in women with polycystic ovary syndrome, but can be increased by exenatide or metformin treatment. PMID 30918134</w:t>
      </w:r>
    </w:p>
    <w:p>
      <w:pPr>
        <w:numPr>
          <w:ilvl w:val="0"/>
          <w:numId w:val="1376"/>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6"/>
        </w:numPr>
        <w:pStyle w:val="Compact"/>
      </w:pPr>
      <w:r>
        <w:t xml:space="preserve">2019 · Fayfman M ·</w:t>
      </w:r>
      <w:r>
        <w:t xml:space="preserve"> </w:t>
      </w:r>
      <w:r>
        <w:rPr>
          <w:iCs/>
          <w:i/>
        </w:rPr>
        <w:t xml:space="preserve">Diabetes Care</w:t>
      </w:r>
      <w:r>
        <w:t xml:space="preserve"> </w:t>
      </w:r>
      <w:r>
        <w:t xml:space="preserve">· A Randomized Controlled Trial on the Safety and Efficacy of Exenatide Therapy for the Inpatient Management of General Medicine and Surgery Patients With Type 2 Diabetes. PMID 30679302</w:t>
      </w:r>
    </w:p>
    <w:p>
      <w:pPr>
        <w:numPr>
          <w:ilvl w:val="0"/>
          <w:numId w:val="1376"/>
        </w:numPr>
        <w:pStyle w:val="Compact"/>
      </w:pPr>
      <w:r>
        <w:t xml:space="preserve">2019 · Athauda D ·</w:t>
      </w:r>
      <w:r>
        <w:t xml:space="preserve"> </w:t>
      </w:r>
      <w:r>
        <w:rPr>
          <w:iCs/>
          <w:i/>
        </w:rPr>
        <w:t xml:space="preserve">JAMA Neurol</w:t>
      </w:r>
      <w:r>
        <w:t xml:space="preserve"> </w:t>
      </w:r>
      <w:r>
        <w:t xml:space="preserve">· Utility of Neuronal-Derived Exosomes to Examine Molecular Mechanisms That Affect Motor Function in Patients With Parkinson Disease: A Secondary Analysis of the Exenatide-PD Trial. PMID 30640362</w:t>
      </w:r>
    </w:p>
    <w:p>
      <w:pPr>
        <w:numPr>
          <w:ilvl w:val="0"/>
          <w:numId w:val="1376"/>
        </w:numPr>
        <w:pStyle w:val="Compact"/>
      </w:pPr>
      <w:r>
        <w:t xml:space="preserve">2019 · Philis-Tsimikas A ·</w:t>
      </w:r>
      <w:r>
        <w:t xml:space="preserve"> </w:t>
      </w:r>
      <w:r>
        <w:rPr>
          <w:iCs/>
          <w:i/>
        </w:rPr>
        <w:t xml:space="preserve">J Diabetes Complications</w:t>
      </w:r>
      <w:r>
        <w:t xml:space="preserve"> </w:t>
      </w:r>
      <w:r>
        <w:t xml:space="preserve">· Efficacy and tolerability of exenatide once weekly over 7 years in patients with type 2 diabetes: An open-label extension of the DURATION-1 study. PMID 30600137</w:t>
      </w:r>
    </w:p>
    <w:p>
      <w:pPr>
        <w:numPr>
          <w:ilvl w:val="0"/>
          <w:numId w:val="1376"/>
        </w:numPr>
        <w:pStyle w:val="Compact"/>
      </w:pPr>
      <w:r>
        <w:t xml:space="preserve">2019 · Clegg LE ·</w:t>
      </w:r>
      <w:r>
        <w:t xml:space="preserve"> </w:t>
      </w:r>
      <w:r>
        <w:rPr>
          <w:iCs/>
          <w:i/>
        </w:rPr>
        <w:t xml:space="preserve">Diabetes Care</w:t>
      </w:r>
      <w:r>
        <w:t xml:space="preserve"> </w:t>
      </w:r>
      <w:r>
        <w:t xml:space="preserve">· Reduction of Cardiovascular Risk and Improved Estimated Glomerular Filtration Rate by SGLT2 Inhibitors, Including Dapagliflozin, Is Consistent Across the Class: An Analysis of the Placebo Arm of EXSCEL. PMID 30523029</w:t>
      </w:r>
    </w:p>
    <w:p>
      <w:pPr>
        <w:numPr>
          <w:ilvl w:val="0"/>
          <w:numId w:val="1376"/>
        </w:numPr>
        <w:pStyle w:val="Compact"/>
      </w:pPr>
      <w:r>
        <w:t xml:space="preserve">2019 · Guerci B ·</w:t>
      </w:r>
      <w:r>
        <w:t xml:space="preserve"> </w:t>
      </w:r>
      <w:r>
        <w:rPr>
          <w:iCs/>
          <w:i/>
        </w:rPr>
        <w:t xml:space="preserve">Diabetes Obes Metab</w:t>
      </w:r>
      <w:r>
        <w:t xml:space="preserve"> </w:t>
      </w:r>
      <w:r>
        <w:t xml:space="preserve">· Predictive factors associated with three years of response to HbA1c goals with exenatide QW or insulin glargine: Post-hoc analysis of the DURATION-3 study. PMID 30520252</w:t>
      </w:r>
    </w:p>
    <w:p>
      <w:pPr>
        <w:numPr>
          <w:ilvl w:val="0"/>
          <w:numId w:val="1376"/>
        </w:numPr>
        <w:pStyle w:val="Compact"/>
      </w:pPr>
      <w:r>
        <w:t xml:space="preserve">2019 · Deng H ·</w:t>
      </w:r>
      <w:r>
        <w:t xml:space="preserve"> </w:t>
      </w:r>
      <w:r>
        <w:rPr>
          <w:iCs/>
          <w:i/>
        </w:rPr>
        <w:t xml:space="preserve">J Diabetes</w:t>
      </w:r>
      <w:r>
        <w:t xml:space="preserve"> </w:t>
      </w:r>
      <w:r>
        <w:t xml:space="preserve">· Effect of baseline body mass index on glycemic control and weight change with exenatide monotherapy in Chinese drug-naïve type 2 diabetic patients. PMID 30520243</w:t>
      </w:r>
    </w:p>
    <w:p>
      <w:pPr>
        <w:numPr>
          <w:ilvl w:val="0"/>
          <w:numId w:val="1376"/>
        </w:numPr>
        <w:pStyle w:val="Compact"/>
      </w:pPr>
      <w:r>
        <w:t xml:space="preserve">2019 · Geyer MC ·</w:t>
      </w:r>
      <w:r>
        <w:t xml:space="preserve"> </w:t>
      </w:r>
      <w:r>
        <w:rPr>
          <w:iCs/>
          <w:i/>
        </w:rPr>
        <w:t xml:space="preserve">Diabetes Obes Metab</w:t>
      </w:r>
      <w:r>
        <w:t xml:space="preserve"> </w:t>
      </w:r>
      <w:r>
        <w:t xml:space="preserve">· Exenatide corrects postprandial hyperglycaemia in young people with cystic fibrosis and impaired glucose tolerance: A randomized crossover trial. PMID 30259623</w:t>
      </w:r>
    </w:p>
    <w:p>
      <w:pPr>
        <w:numPr>
          <w:ilvl w:val="0"/>
          <w:numId w:val="1376"/>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6"/>
        </w:numPr>
        <w:pStyle w:val="Compact"/>
      </w:pPr>
      <w:r>
        <w:t xml:space="preserve">2018 · Besch G ·</w:t>
      </w:r>
      <w:r>
        <w:t xml:space="preserve"> </w:t>
      </w:r>
      <w:r>
        <w:rPr>
          <w:iCs/>
          <w:i/>
        </w:rPr>
        <w:t xml:space="preserve">Cardiovasc Diabetol</w:t>
      </w:r>
      <w:r>
        <w:t xml:space="preserve"> </w:t>
      </w:r>
      <w:r>
        <w:t xml:space="preserve">· Impact of intravenous exenatide infusion for perioperative blood glucose control on myocardial ischemia-reperfusion injuries after coronary artery bypass graft surgery: sub study of the phase II/III ExSTRESS randomized trial. PMID 30384842</w:t>
      </w:r>
    </w:p>
    <w:p>
      <w:pPr>
        <w:numPr>
          <w:ilvl w:val="0"/>
          <w:numId w:val="1376"/>
        </w:numPr>
        <w:pStyle w:val="Compact"/>
      </w:pPr>
      <w:r>
        <w:t xml:space="preserve">2018 · Mentz RJ ·</w:t>
      </w:r>
      <w:r>
        <w:t xml:space="preserve"> </w:t>
      </w:r>
      <w:r>
        <w:rPr>
          <w:iCs/>
          <w:i/>
        </w:rPr>
        <w:t xml:space="preserve">J Am Heart Assoc</w:t>
      </w:r>
      <w:r>
        <w:t xml:space="preserve"> </w:t>
      </w:r>
      <w:r>
        <w:t xml:space="preserve">· Effect of Once-Weekly Exenatide on Clinical Outcomes According to Baseline Risk in Patients With Type 2 Diabetes Mellitus: Insights From the EXSCEL Trial. PMID 30371301</w:t>
      </w:r>
    </w:p>
    <w:p>
      <w:pPr>
        <w:numPr>
          <w:ilvl w:val="0"/>
          <w:numId w:val="1376"/>
        </w:numPr>
        <w:pStyle w:val="Compact"/>
      </w:pPr>
      <w:r>
        <w:t xml:space="preserve">2018 · Fifer S ·</w:t>
      </w:r>
      <w:r>
        <w:t xml:space="preserve"> </w:t>
      </w:r>
      <w:r>
        <w:rPr>
          <w:iCs/>
          <w:i/>
        </w:rPr>
        <w:t xml:space="preserve">BMC Health Serv Res</w:t>
      </w:r>
      <w:r>
        <w:t xml:space="preserve"> </w:t>
      </w:r>
      <w:r>
        <w:t xml:space="preserve">· Valuing injection frequency and other attributes of type 2 diabetes treatments in Australia: a discrete choice experiment. PMID 30165844</w:t>
      </w:r>
    </w:p>
    <w:p>
      <w:pPr>
        <w:numPr>
          <w:ilvl w:val="0"/>
          <w:numId w:val="1376"/>
        </w:numPr>
        <w:pStyle w:val="Compact"/>
      </w:pPr>
      <w:r>
        <w:t xml:space="preserve">2018 · Jabbour SA ·</w:t>
      </w:r>
      <w:r>
        <w:t xml:space="preserve"> </w:t>
      </w:r>
      <w:r>
        <w:rPr>
          <w:iCs/>
          <w:i/>
        </w:rPr>
        <w:t xml:space="preserve">Diabetes Care</w:t>
      </w:r>
      <w:r>
        <w:t xml:space="preserve"> </w:t>
      </w:r>
      <w:r>
        <w:t xml:space="preserve">· Safety and Efficacy of Exenatide Once Weekly Plus Dapagliflozin Once Daily Versus Exenatide or Dapagliflozin Alone in Patients With Type 2 Diabetes Inadequately Controlled With Metformin Monotherapy: 52-Week Results of the DURATION-8 Randomized Controlled Trial. PMID 30082326</w:t>
      </w:r>
    </w:p>
    <w:p>
      <w:pPr>
        <w:numPr>
          <w:ilvl w:val="0"/>
          <w:numId w:val="1376"/>
        </w:numPr>
        <w:pStyle w:val="Compact"/>
      </w:pPr>
      <w:r>
        <w:t xml:space="preserve">2018 · Muller C ·</w:t>
      </w:r>
      <w:r>
        <w:t xml:space="preserve"> </w:t>
      </w:r>
      <w:r>
        <w:rPr>
          <w:iCs/>
          <w:i/>
        </w:rPr>
        <w:t xml:space="preserve">Int J Stroke</w:t>
      </w:r>
      <w:r>
        <w:t xml:space="preserve"> </w:t>
      </w:r>
      <w:r>
        <w:t xml:space="preserve">· Treatment with exenatide in acute ischemic stroke trial protocol: A prospective, randomized, open label, blinded end-point study of exenatide vs. standard care in post stroke hyperglycemia. PMID 30019627</w:t>
      </w:r>
    </w:p>
    <w:p>
      <w:pPr>
        <w:numPr>
          <w:ilvl w:val="0"/>
          <w:numId w:val="1376"/>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6"/>
        </w:numPr>
        <w:pStyle w:val="Compact"/>
      </w:pPr>
      <w:r>
        <w:t xml:space="preserve">2018 · Athauda D ·</w:t>
      </w:r>
      <w:r>
        <w:t xml:space="preserve"> </w:t>
      </w:r>
      <w:r>
        <w:rPr>
          <w:iCs/>
          <w:i/>
        </w:rPr>
        <w:t xml:space="preserve">J Parkinsons Dis</w:t>
      </w:r>
      <w:r>
        <w:t xml:space="preserve"> </w:t>
      </w:r>
      <w:r>
        <w:t xml:space="preserve">· What Effects Might Exenatide have on Non-Motor Symptoms in Parkinson’s Disease: A Post Hoc Analysis. PMID 29843254</w:t>
      </w:r>
    </w:p>
    <w:p>
      <w:pPr>
        <w:numPr>
          <w:ilvl w:val="0"/>
          <w:numId w:val="1376"/>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6"/>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6"/>
        </w:numPr>
        <w:pStyle w:val="Compact"/>
      </w:pPr>
      <w:r>
        <w:t xml:space="preserve">2018 · Basolo A ·</w:t>
      </w:r>
      <w:r>
        <w:t xml:space="preserve"> </w:t>
      </w:r>
      <w:r>
        <w:rPr>
          <w:iCs/>
          <w:i/>
        </w:rPr>
        <w:t xml:space="preserve">Metabolism</w:t>
      </w:r>
      <w:r>
        <w:t xml:space="preserve"> </w:t>
      </w:r>
      <w:r>
        <w:t xml:space="preserve">· Exenatide has a pronounced effect on energy intake but not energy expenditure in non-diabetic subjects with obesity: A randomized, double-blind, placebo-controlled trial. PMID 29596853</w:t>
      </w:r>
    </w:p>
    <w:p>
      <w:pPr>
        <w:numPr>
          <w:ilvl w:val="0"/>
          <w:numId w:val="1376"/>
        </w:numPr>
        <w:pStyle w:val="Compact"/>
      </w:pPr>
      <w:r>
        <w:t xml:space="preserve">2018 · Frías JP ·</w:t>
      </w:r>
      <w:r>
        <w:t xml:space="preserve"> </w:t>
      </w:r>
      <w:r>
        <w:rPr>
          <w:iCs/>
          <w:i/>
        </w:rPr>
        <w:t xml:space="preserve">Diabetes Obes Metab</w:t>
      </w:r>
      <w:r>
        <w:t xml:space="preserve"> </w:t>
      </w:r>
      <w:r>
        <w:t xml:space="preserve">· Effects of exenatide once weekly plus dapagliflozin, exenatide once weekly alone, or dapagliflozin alone added to metformin monotherapy in subgroups of patients with type 2 diabetes in the DURATION-8 randomized controlled trial. PMID 29573139</w:t>
      </w:r>
    </w:p>
    <w:p>
      <w:pPr>
        <w:numPr>
          <w:ilvl w:val="0"/>
          <w:numId w:val="1376"/>
        </w:numPr>
        <w:pStyle w:val="Compact"/>
      </w:pPr>
      <w:r>
        <w:t xml:space="preserve">2018 · Du X ·</w:t>
      </w:r>
      <w:r>
        <w:t xml:space="preserve"> </w:t>
      </w:r>
      <w:r>
        <w:rPr>
          <w:iCs/>
          <w:i/>
        </w:rPr>
        <w:t xml:space="preserve">J Diabetes Res</w:t>
      </w:r>
      <w:r>
        <w:t xml:space="preserve"> </w:t>
      </w:r>
      <w:r>
        <w:t xml:space="preserve">· Exenatide with Metformin Ameliorated Visceral Adiposity and Insulin Resistance. PMID 29541641</w:t>
      </w:r>
    </w:p>
    <w:p>
      <w:pPr>
        <w:numPr>
          <w:ilvl w:val="0"/>
          <w:numId w:val="1376"/>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6"/>
        </w:numPr>
        <w:pStyle w:val="Compact"/>
      </w:pPr>
      <w:r>
        <w:t xml:space="preserve">2018 · Yammine L ·</w:t>
      </w:r>
      <w:r>
        <w:t xml:space="preserve"> </w:t>
      </w:r>
      <w:r>
        <w:rPr>
          <w:iCs/>
          <w:i/>
        </w:rPr>
        <w:t xml:space="preserve">Medicine (Baltimore)</w:t>
      </w:r>
      <w:r>
        <w:t xml:space="preserve"> </w:t>
      </w:r>
      <w:r>
        <w:t xml:space="preserve">· Exenatide once weekly for smoking cessation: study protocol for a randomized clinical trial. PMID 29480848</w:t>
      </w:r>
    </w:p>
    <w:p>
      <w:pPr>
        <w:numPr>
          <w:ilvl w:val="0"/>
          <w:numId w:val="1376"/>
        </w:numPr>
        <w:pStyle w:val="Compact"/>
      </w:pPr>
      <w:r>
        <w:t xml:space="preserve">2018 · Guja C ·</w:t>
      </w:r>
      <w:r>
        <w:t xml:space="preserve"> </w:t>
      </w:r>
      <w:r>
        <w:rPr>
          <w:iCs/>
          <w:i/>
        </w:rPr>
        <w:t xml:space="preserve">Diabetes Obes Metab</w:t>
      </w:r>
      <w:r>
        <w:t xml:space="preserve"> </w:t>
      </w:r>
      <w:r>
        <w:t xml:space="preserve">· Effect of exenatide QW or placebo, both added to titrated insulin glargine, in uncontrolled type 2 diabetes: The DURATION-7 randomized study. PMID 29473704</w:t>
      </w:r>
    </w:p>
    <w:p>
      <w:pPr>
        <w:numPr>
          <w:ilvl w:val="0"/>
          <w:numId w:val="1376"/>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6"/>
        </w:numPr>
        <w:pStyle w:val="Compact"/>
      </w:pPr>
      <w:r>
        <w:t xml:space="preserve">2018 · Dandona P ·</w:t>
      </w:r>
      <w:r>
        <w:t xml:space="preserve"> </w:t>
      </w:r>
      <w:r>
        <w:rPr>
          <w:iCs/>
          <w:i/>
        </w:rPr>
        <w:t xml:space="preserve">J Clin Endocrinol Metab</w:t>
      </w:r>
      <w:r>
        <w:t xml:space="preserve"> </w:t>
      </w:r>
      <w:r>
        <w:t xml:space="preserve">· Exenatide Increases IL-1RA Concentration and Induces Nrf-2‒Keap-1‒Regulated Antioxidant Enzymes: Relevance to β-Cell Function. PMID 29346597</w:t>
      </w:r>
    </w:p>
    <w:p>
      <w:pPr>
        <w:numPr>
          <w:ilvl w:val="0"/>
          <w:numId w:val="1376"/>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6"/>
        </w:numPr>
        <w:pStyle w:val="Compact"/>
      </w:pPr>
      <w:r>
        <w:t xml:space="preserve">2018 · Jabbour SA ·</w:t>
      </w:r>
      <w:r>
        <w:t xml:space="preserve"> </w:t>
      </w:r>
      <w:r>
        <w:rPr>
          <w:iCs/>
          <w:i/>
        </w:rPr>
        <w:t xml:space="preserve">Diabetes Obes Metab</w:t>
      </w:r>
      <w:r>
        <w:t xml:space="preserve"> </w:t>
      </w:r>
      <w:r>
        <w:t xml:space="preserve">· Effects of exenatide once weekly plus dapagliflozin, exenatide once weekly, or dapagliflozin, added to metformin monotherapy, on body weight, systolic blood pressure, and triglycerides in patients with type 2 diabetes in the DURATION-8 study. PMID 29316164</w:t>
      </w:r>
    </w:p>
    <w:p>
      <w:pPr>
        <w:numPr>
          <w:ilvl w:val="0"/>
          <w:numId w:val="1376"/>
        </w:numPr>
        <w:pStyle w:val="Compact"/>
      </w:pPr>
      <w:r>
        <w:t xml:space="preserve">2018 · Henry RR ·</w:t>
      </w:r>
      <w:r>
        <w:t xml:space="preserve"> </w:t>
      </w:r>
      <w:r>
        <w:rPr>
          <w:iCs/>
          <w:i/>
        </w:rPr>
        <w:t xml:space="preserve">Diabetes Care</w:t>
      </w:r>
      <w:r>
        <w:t xml:space="preserve"> </w:t>
      </w:r>
      <w:r>
        <w:t xml:space="preserve">· Clinical Impact of ITCA 650, a Novel Drug-Device GLP-1 Receptor Agonist, in Uncontrolled Type 2 Diabetes and Very High Baseline HbA(1c): The FREEDOM-1 HBL (High Baseline) Study. PMID 29301824</w:t>
      </w:r>
    </w:p>
    <w:p>
      <w:pPr>
        <w:numPr>
          <w:ilvl w:val="0"/>
          <w:numId w:val="1376"/>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6"/>
        </w:numPr>
        <w:pStyle w:val="Compact"/>
      </w:pPr>
      <w:r>
        <w:t xml:space="preserve">2018 · Rosenstock J ·</w:t>
      </w:r>
      <w:r>
        <w:t xml:space="preserve"> </w:t>
      </w:r>
      <w:r>
        <w:rPr>
          <w:iCs/>
          <w:i/>
        </w:rPr>
        <w:t xml:space="preserve">Diabetes Care</w:t>
      </w:r>
      <w:r>
        <w:t xml:space="preserve"> </w:t>
      </w:r>
      <w:r>
        <w:t xml:space="preserve">· Efficacy and Safety of ITCA 650, a Novel Drug-Device GLP-1 Receptor Agonist, in Type 2 Diabetes Uncontrolled With Oral Antidiabetes Drugs: The FREEDOM-1 Trial. PMID 29242349</w:t>
      </w:r>
    </w:p>
    <w:p>
      <w:pPr>
        <w:numPr>
          <w:ilvl w:val="0"/>
          <w:numId w:val="1376"/>
        </w:numPr>
        <w:pStyle w:val="Compact"/>
      </w:pPr>
      <w:r>
        <w:t xml:space="preserve">2018 · Abdul-Ghani M ·</w:t>
      </w:r>
      <w:r>
        <w:t xml:space="preserve"> </w:t>
      </w:r>
      <w:r>
        <w:rPr>
          <w:iCs/>
          <w:i/>
        </w:rPr>
        <w:t xml:space="preserve">Diabetes Obes Metab</w:t>
      </w:r>
      <w:r>
        <w:t xml:space="preserve"> </w:t>
      </w:r>
      <w:r>
        <w:t xml:space="preserve">· Insulin secretion predicts the response to therapy with exenatide plus pioglitazone, but not to basal/bolus insulin in poorly controlled T2DM patients: Results from the Qatar study. PMID 29227578</w:t>
      </w:r>
    </w:p>
    <w:p>
      <w:pPr>
        <w:numPr>
          <w:ilvl w:val="0"/>
          <w:numId w:val="1376"/>
        </w:numPr>
        <w:pStyle w:val="Compact"/>
      </w:pPr>
      <w:r>
        <w:t xml:space="preserve">2018 · Siskind DJ ·</w:t>
      </w:r>
      <w:r>
        <w:t xml:space="preserve"> </w:t>
      </w:r>
      <w:r>
        <w:rPr>
          <w:iCs/>
          <w:i/>
        </w:rPr>
        <w:t xml:space="preserve">Diabetes Obes Metab</w:t>
      </w:r>
      <w:r>
        <w:t xml:space="preserve"> </w:t>
      </w:r>
      <w:r>
        <w:t xml:space="preserve">· Treatment of clozapine-associated obesity and diabetes with exenatide in adults with schizophrenia: A randomized controlled trial (CODEX). PMID 29194917</w:t>
      </w:r>
    </w:p>
    <w:p>
      <w:pPr>
        <w:numPr>
          <w:ilvl w:val="0"/>
          <w:numId w:val="1376"/>
        </w:numPr>
        <w:pStyle w:val="Compact"/>
      </w:pPr>
      <w:r>
        <w:t xml:space="preserve">2018 · Wiberg S ·</w:t>
      </w:r>
      <w:r>
        <w:t xml:space="preserve"> </w:t>
      </w:r>
      <w:r>
        <w:rPr>
          <w:iCs/>
          <w:i/>
        </w:rPr>
        <w:t xml:space="preserve">Crit Care Med</w:t>
      </w:r>
      <w:r>
        <w:t xml:space="preserve"> </w:t>
      </w:r>
      <w:r>
        <w:t xml:space="preserve">· The Glucagon-Like Peptide-1 Analog Exenatide Increases Blood Glucose Clearance, Lactate Clearance, and Heart Rate in Comatose Patients After Out-of-Hospital Cardiac Arrest. PMID 29189347</w:t>
      </w:r>
    </w:p>
    <w:p>
      <w:pPr>
        <w:numPr>
          <w:ilvl w:val="0"/>
          <w:numId w:val="1376"/>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6"/>
        </w:numPr>
        <w:pStyle w:val="Compact"/>
      </w:pPr>
      <w:r>
        <w:t xml:space="preserve">2018 · Henry R ·</w:t>
      </w:r>
      <w:r>
        <w:t xml:space="preserve"> </w:t>
      </w:r>
      <w:r>
        <w:rPr>
          <w:iCs/>
          <w:i/>
        </w:rPr>
        <w:t xml:space="preserve">Diabetes Obes Metab</w:t>
      </w:r>
      <w:r>
        <w:t xml:space="preserve"> </w:t>
      </w:r>
      <w:r>
        <w:t xml:space="preserve">· Treatment satisfaction with ITCA 650, a novel drug-device delivering continuous exenatide, versus twice-daily injections of exenatide in type 2 diabetics using metformin. PMID 29053202</w:t>
      </w:r>
    </w:p>
    <w:p>
      <w:pPr>
        <w:numPr>
          <w:ilvl w:val="0"/>
          <w:numId w:val="1376"/>
        </w:numPr>
        <w:pStyle w:val="Compact"/>
      </w:pPr>
      <w:r>
        <w:t xml:space="preserve">2018 · Jiang LL ·</w:t>
      </w:r>
      <w:r>
        <w:t xml:space="preserve"> </w:t>
      </w:r>
      <w:r>
        <w:rPr>
          <w:iCs/>
          <w:i/>
        </w:rPr>
        <w:t xml:space="preserve">J Endocrinol Invest</w:t>
      </w:r>
      <w:r>
        <w:t xml:space="preserve"> </w:t>
      </w:r>
      <w:r>
        <w:t xml:space="preserve">· The effects of add-on exenatide to insulin on glycemic variability and hypoglycemia in patients with type 1 diabetes mellitus. PMID 29032494</w:t>
      </w:r>
    </w:p>
    <w:p>
      <w:pPr>
        <w:numPr>
          <w:ilvl w:val="0"/>
          <w:numId w:val="1376"/>
        </w:numPr>
        <w:pStyle w:val="Compact"/>
      </w:pPr>
      <w:r>
        <w:t xml:space="preserve">2018 · Wysham CH ·</w:t>
      </w:r>
      <w:r>
        <w:t xml:space="preserve"> </w:t>
      </w:r>
      <w:r>
        <w:rPr>
          <w:iCs/>
          <w:i/>
        </w:rPr>
        <w:t xml:space="preserve">Diabetes Obes Metab</w:t>
      </w:r>
      <w:r>
        <w:t xml:space="preserve"> </w:t>
      </w:r>
      <w:r>
        <w:t xml:space="preserve">· Efficacy and tolerability of the new autoinjected suspension of exenatide once weekly versus exenatide twice daily in patients with type 2 diabetes. PMID 28685973</w:t>
      </w:r>
    </w:p>
    <w:p>
      <w:pPr>
        <w:numPr>
          <w:ilvl w:val="0"/>
          <w:numId w:val="1376"/>
        </w:numPr>
        <w:pStyle w:val="Compact"/>
      </w:pPr>
      <w:r>
        <w:t xml:space="preserve">2018 · Su K ·</w:t>
      </w:r>
      <w:r>
        <w:t xml:space="preserve"> </w:t>
      </w:r>
      <w:r>
        <w:rPr>
          <w:iCs/>
          <w:i/>
        </w:rPr>
        <w:t xml:space="preserve">Am J Ther</w:t>
      </w:r>
      <w:r>
        <w:t xml:space="preserve"> </w:t>
      </w:r>
      <w:r>
        <w:t xml:space="preserve">· Phase III Study on Efficacy and Safety of Triple Combination (Exenatide/Metformin/Biphasic Insulin Aspart) Therapy for Type 2 Diabetes Mellitus. PMID 26844723</w:t>
      </w:r>
    </w:p>
    <w:p>
      <w:pPr>
        <w:numPr>
          <w:ilvl w:val="0"/>
          <w:numId w:val="1376"/>
        </w:numPr>
        <w:pStyle w:val="Compact"/>
      </w:pPr>
      <w:r>
        <w:t xml:space="preserve">2017 · Wang Y ·</w:t>
      </w:r>
      <w:r>
        <w:t xml:space="preserve"> </w:t>
      </w:r>
      <w:r>
        <w:rPr>
          <w:iCs/>
          <w:i/>
        </w:rPr>
        <w:t xml:space="preserve">Clin Drug Investig</w:t>
      </w:r>
      <w:r>
        <w:t xml:space="preserve"> </w:t>
      </w:r>
      <w:r>
        <w:t xml:space="preserve">· Pharmacokinetics and Preliminary Pharmacodynamics of Single- and Multiple-dose Lyophilized Recombinant Glucagon-like Peptide-1 Receptor Agonist (rE-4) in Chinese Patients with Type 2 Diabetes Mellitus. PMID 28932995</w:t>
      </w:r>
    </w:p>
    <w:p>
      <w:pPr>
        <w:numPr>
          <w:ilvl w:val="0"/>
          <w:numId w:val="1376"/>
        </w:numPr>
        <w:pStyle w:val="Compact"/>
      </w:pPr>
      <w:r>
        <w:t xml:space="preserve">2017 · Holman RR ·</w:t>
      </w:r>
      <w:r>
        <w:t xml:space="preserve"> </w:t>
      </w:r>
      <w:r>
        <w:rPr>
          <w:iCs/>
          <w:i/>
        </w:rPr>
        <w:t xml:space="preserve">N Engl J Med</w:t>
      </w:r>
      <w:r>
        <w:t xml:space="preserve"> </w:t>
      </w:r>
      <w:r>
        <w:t xml:space="preserve">· Effects of Once-Weekly Exenatide on Cardiovascular Outcomes in Type 2 Diabetes. PMID 28910237</w:t>
      </w:r>
    </w:p>
    <w:p>
      <w:pPr>
        <w:numPr>
          <w:ilvl w:val="0"/>
          <w:numId w:val="1376"/>
        </w:numPr>
        <w:pStyle w:val="Compact"/>
      </w:pPr>
      <w:r>
        <w:t xml:space="preserve">2017 · Liu X ·</w:t>
      </w:r>
      <w:r>
        <w:t xml:space="preserve"> </w:t>
      </w:r>
      <w:r>
        <w:rPr>
          <w:iCs/>
          <w:i/>
        </w:rPr>
        <w:t xml:space="preserve">Clin Endocrinol (Oxf)</w:t>
      </w:r>
      <w:r>
        <w:t xml:space="preserve"> </w:t>
      </w:r>
      <w:r>
        <w:t xml:space="preserve">· Efficacy of exenatide on weight loss, metabolic parameters and pregnancy in overweight/obese polycystic ovary syndrome. PMID 28834553</w:t>
      </w:r>
    </w:p>
    <w:p>
      <w:pPr>
        <w:numPr>
          <w:ilvl w:val="0"/>
          <w:numId w:val="1376"/>
        </w:numPr>
        <w:pStyle w:val="Compact"/>
      </w:pPr>
      <w:r>
        <w:t xml:space="preserve">2017 · Besch G ·</w:t>
      </w:r>
      <w:r>
        <w:t xml:space="preserve"> </w:t>
      </w:r>
      <w:r>
        <w:rPr>
          <w:iCs/>
          <w:i/>
        </w:rPr>
        <w:t xml:space="preserve">Anesthesiology</w:t>
      </w:r>
      <w:r>
        <w:t xml:space="preserve"> </w:t>
      </w:r>
      <w:r>
        <w:t xml:space="preserve">· Clinical Effectiveness of Intravenous Exenatide Infusion in Perioperative Glycemic Control after Coronary Artery Bypass Graft Surgery: A Phase II/III Randomized Trial. PMID 28820780</w:t>
      </w:r>
    </w:p>
    <w:p>
      <w:pPr>
        <w:numPr>
          <w:ilvl w:val="0"/>
          <w:numId w:val="1376"/>
        </w:numPr>
        <w:pStyle w:val="Compact"/>
      </w:pPr>
      <w:r>
        <w:t xml:space="preserve">2017 · Athauda D ·</w:t>
      </w:r>
      <w:r>
        <w:t xml:space="preserve"> </w:t>
      </w:r>
      <w:r>
        <w:rPr>
          <w:iCs/>
          <w:i/>
        </w:rPr>
        <w:t xml:space="preserve">Lancet</w:t>
      </w:r>
      <w:r>
        <w:t xml:space="preserve"> </w:t>
      </w:r>
      <w:r>
        <w:t xml:space="preserve">· Exenatide once weekly versus placebo in Parkinson’s disease: a randomised, double-blind, placebo-controlled trial. PMID 28781108</w:t>
      </w:r>
    </w:p>
    <w:p>
      <w:pPr>
        <w:numPr>
          <w:ilvl w:val="0"/>
          <w:numId w:val="1376"/>
        </w:numPr>
        <w:pStyle w:val="Compact"/>
      </w:pPr>
      <w:r>
        <w:t xml:space="preserve">2017 · Lipš M ·</w:t>
      </w:r>
      <w:r>
        <w:t xml:space="preserve"> </w:t>
      </w:r>
      <w:r>
        <w:rPr>
          <w:iCs/>
          <w:i/>
        </w:rPr>
        <w:t xml:space="preserve">Diabetes Obes Metab</w:t>
      </w:r>
      <w:r>
        <w:t xml:space="preserve"> </w:t>
      </w:r>
      <w:r>
        <w:t xml:space="preserve">· Effect of continuous exenatide infusion on cardiac function and peri-operative glucose control in patients undergoing cardiac surgery: A single-blind, randomized controlled trial. PMID 28581209</w:t>
      </w:r>
    </w:p>
    <w:p>
      <w:pPr>
        <w:numPr>
          <w:ilvl w:val="0"/>
          <w:numId w:val="1376"/>
        </w:numPr>
        <w:pStyle w:val="Compact"/>
      </w:pPr>
      <w:r>
        <w:t xml:space="preserve">2017 · Cirincione B ·</w:t>
      </w:r>
      <w:r>
        <w:t xml:space="preserve"> </w:t>
      </w:r>
      <w:r>
        <w:rPr>
          <w:iCs/>
          <w:i/>
        </w:rPr>
        <w:t xml:space="preserve">J Clin Pharmacol</w:t>
      </w:r>
      <w:r>
        <w:t xml:space="preserve"> </w:t>
      </w:r>
      <w:r>
        <w:t xml:space="preserve">· Model-Based Evaluation of Exenatide Effects on the QT Interval in Healthy Subjects Following Continuous IV Infusion. PMID 28543393</w:t>
      </w:r>
    </w:p>
    <w:p>
      <w:pPr>
        <w:numPr>
          <w:ilvl w:val="0"/>
          <w:numId w:val="1376"/>
        </w:numPr>
        <w:pStyle w:val="Compact"/>
      </w:pPr>
      <w:r>
        <w:t xml:space="preserve">2017 · Shaddinger BC ·</w:t>
      </w:r>
      <w:r>
        <w:t xml:space="preserve"> </w:t>
      </w:r>
      <w:r>
        <w:rPr>
          <w:iCs/>
          <w:i/>
        </w:rPr>
        <w:t xml:space="preserve">J Clin Pharmacol</w:t>
      </w:r>
      <w:r>
        <w:t xml:space="preserve"> </w:t>
      </w:r>
      <w:r>
        <w:t xml:space="preserve">· Effect of Albiglutide on Cholecystokinin-Induced Gallbladder Emptying in Healthy Individuals: A Randomized Crossover Study. PMID 28543352</w:t>
      </w:r>
    </w:p>
    <w:p>
      <w:pPr>
        <w:numPr>
          <w:ilvl w:val="0"/>
          <w:numId w:val="1376"/>
        </w:numPr>
        <w:pStyle w:val="Compact"/>
      </w:pPr>
      <w:r>
        <w:t xml:space="preserve">2017 · Shi X ·</w:t>
      </w:r>
      <w:r>
        <w:t xml:space="preserve"> </w:t>
      </w:r>
      <w:r>
        <w:rPr>
          <w:iCs/>
          <w:i/>
        </w:rPr>
        <w:t xml:space="preserve">Sci Rep</w:t>
      </w:r>
      <w:r>
        <w:t xml:space="preserve"> </w:t>
      </w:r>
      <w:r>
        <w:t xml:space="preserve">· Effect of exenatide after short-time intensive insulin therapy on glycaemic remission maintenance in type 2 diabetes patients: a randomized controlled trial. PMID 28539618</w:t>
      </w:r>
    </w:p>
    <w:p>
      <w:pPr>
        <w:numPr>
          <w:ilvl w:val="0"/>
          <w:numId w:val="1376"/>
        </w:numPr>
        <w:pStyle w:val="Compact"/>
      </w:pPr>
      <w:r>
        <w:t xml:space="preserve">2017 · Chen WJY ·</w:t>
      </w:r>
      <w:r>
        <w:t xml:space="preserve"> </w:t>
      </w:r>
      <w:r>
        <w:rPr>
          <w:iCs/>
          <w:i/>
        </w:rPr>
        <w:t xml:space="preserve">Cardiovasc Diabetol</w:t>
      </w:r>
      <w:r>
        <w:t xml:space="preserve"> </w:t>
      </w:r>
      <w:r>
        <w:t xml:space="preserve">· Effects of exenatide on cardiac function, perfusion, and energetics in type 2 diabetic patients with cardiomyopathy: a randomized controlled trial against insulin glargine. PMID 28526033</w:t>
      </w:r>
    </w:p>
    <w:p>
      <w:pPr>
        <w:numPr>
          <w:ilvl w:val="0"/>
          <w:numId w:val="1376"/>
        </w:numPr>
        <w:pStyle w:val="Compact"/>
      </w:pPr>
      <w:r>
        <w:t xml:space="preserve">2017 · Mentz RJ ·</w:t>
      </w:r>
      <w:r>
        <w:t xml:space="preserve"> </w:t>
      </w:r>
      <w:r>
        <w:rPr>
          <w:iCs/>
          <w:i/>
        </w:rPr>
        <w:t xml:space="preserve">Am Heart J</w:t>
      </w:r>
      <w:r>
        <w:t xml:space="preserve"> </w:t>
      </w:r>
      <w:r>
        <w:t xml:space="preserve">· Baseline characteristics of patients enrolled in the Exenatide Study of Cardiovascular Event Lowering (EXSCEL). PMID 28454792</w:t>
      </w:r>
    </w:p>
    <w:p>
      <w:pPr>
        <w:numPr>
          <w:ilvl w:val="0"/>
          <w:numId w:val="1376"/>
        </w:numPr>
        <w:pStyle w:val="Compact"/>
      </w:pPr>
      <w:r>
        <w:t xml:space="preserve">2017 · Wang X ·</w:t>
      </w:r>
      <w:r>
        <w:t xml:space="preserve"> </w:t>
      </w:r>
      <w:r>
        <w:rPr>
          <w:iCs/>
          <w:i/>
        </w:rPr>
        <w:t xml:space="preserve">Lipids Health Dis</w:t>
      </w:r>
      <w:r>
        <w:t xml:space="preserve"> </w:t>
      </w:r>
      <w:r>
        <w:t xml:space="preserve">· New association of bone morphogenetic protein 4 concentrations with fat distribution in obesity and Exenatide intervention on it. PMID 28376799</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 daily plus exenatide once weekly in obese adults without diabetes: Sustained reductions in body weight, glycaemia and blood pressure over 1 year. PMID 28345814</w:t>
      </w:r>
    </w:p>
    <w:p>
      <w:pPr>
        <w:numPr>
          <w:ilvl w:val="0"/>
          <w:numId w:val="1376"/>
        </w:numPr>
        <w:pStyle w:val="Compact"/>
      </w:pPr>
      <w:r>
        <w:t xml:space="preserve">2017 · Abdul-Ghani M ·</w:t>
      </w:r>
      <w:r>
        <w:t xml:space="preserve"> </w:t>
      </w:r>
      <w:r>
        <w:rPr>
          <w:iCs/>
          <w:i/>
        </w:rPr>
        <w:t xml:space="preserve">J Clin Endocrinol Metab</w:t>
      </w:r>
      <w:r>
        <w:t xml:space="preserve"> </w:t>
      </w:r>
      <w:r>
        <w:t xml:space="preserve">· Efficacy of Exenatide Plus Pioglitazone Vs Basal/Bolus Insulin in T2DM Patients With Very High HbA1c. PMID 28324038</w:t>
      </w:r>
    </w:p>
    <w:p>
      <w:pPr>
        <w:numPr>
          <w:ilvl w:val="0"/>
          <w:numId w:val="1376"/>
        </w:numPr>
        <w:pStyle w:val="Compact"/>
      </w:pPr>
      <w:r>
        <w:t xml:space="preserve">2017 · Ishøy PL ·</w:t>
      </w:r>
      <w:r>
        <w:t xml:space="preserve"> </w:t>
      </w:r>
      <w:r>
        <w:rPr>
          <w:iCs/>
          <w:i/>
        </w:rPr>
        <w:t xml:space="preserve">Acta Psychiatr Scand</w:t>
      </w:r>
      <w:r>
        <w:t xml:space="preserve"> </w:t>
      </w:r>
      <w:r>
        <w:t xml:space="preserve">· No cognitive-enhancing effect of GLP-1 receptor agonism in antipsychotic-treated, obese patients with schizophrenia. PMID 28260235</w:t>
      </w:r>
    </w:p>
    <w:p>
      <w:pPr>
        <w:numPr>
          <w:ilvl w:val="0"/>
          <w:numId w:val="1376"/>
        </w:numPr>
        <w:pStyle w:val="Compact"/>
      </w:pPr>
      <w:r>
        <w:t xml:space="preserve">2017 · Bremholm L ·</w:t>
      </w:r>
      <w:r>
        <w:t xml:space="preserve"> </w:t>
      </w:r>
      <w:r>
        <w:rPr>
          <w:iCs/>
          <w:i/>
        </w:rPr>
        <w:t xml:space="preserve">Physiol Rep</w:t>
      </w:r>
      <w:r>
        <w:t xml:space="preserve"> </w:t>
      </w:r>
      <w:r>
        <w:t xml:space="preserve">· Acute effects of glucagon-like peptide-1, GLP-1(9-36 amide), and exenatide on mesenteric blood flow, cardiovascular parameters, and biomarkers in healthy volunteers. PMID 28235974</w:t>
      </w:r>
    </w:p>
    <w:p>
      <w:pPr>
        <w:numPr>
          <w:ilvl w:val="0"/>
          <w:numId w:val="1376"/>
        </w:numPr>
        <w:pStyle w:val="Compact"/>
      </w:pPr>
      <w:r>
        <w:t xml:space="preserve">2017 · Gadde KM ·</w:t>
      </w:r>
      <w:r>
        <w:t xml:space="preserve"> </w:t>
      </w:r>
      <w:r>
        <w:rPr>
          <w:iCs/>
          <w:i/>
        </w:rPr>
        <w:t xml:space="preserve">Diabetes Obes Metab</w:t>
      </w:r>
      <w:r>
        <w:t xml:space="preserve"> </w:t>
      </w:r>
      <w:r>
        <w:t xml:space="preserve">· Efficacy and safety of autoinjected exenatide once-weekly suspension versus sitagliptin or placebo with metformin in patients with type 2 diabetes: The DURATION-NEO-2 randomized clinical study. PMID 28205322</w:t>
      </w:r>
    </w:p>
    <w:p>
      <w:pPr>
        <w:numPr>
          <w:ilvl w:val="0"/>
          <w:numId w:val="1376"/>
        </w:numPr>
        <w:pStyle w:val="Compact"/>
      </w:pPr>
      <w:r>
        <w:t xml:space="preserve">2017 · Shi L ·</w:t>
      </w:r>
      <w:r>
        <w:t xml:space="preserve"> </w:t>
      </w:r>
      <w:r>
        <w:rPr>
          <w:iCs/>
          <w:i/>
        </w:rPr>
        <w:t xml:space="preserve">Obes Res Clin Pract</w:t>
      </w:r>
      <w:r>
        <w:t xml:space="preserve"> </w:t>
      </w:r>
      <w:r>
        <w:t xml:space="preserve">· Comparison of exenatide and acarbose on intra-abdominal fat content in patients with obesity and type-2 diabetes: A randomized controlled trial. PMID 28161303</w:t>
      </w:r>
    </w:p>
    <w:p>
      <w:pPr>
        <w:numPr>
          <w:ilvl w:val="0"/>
          <w:numId w:val="1376"/>
        </w:numPr>
        <w:pStyle w:val="Compact"/>
      </w:pPr>
      <w:r>
        <w:t xml:space="preserve">2017 · Abdul-Ghani M ·</w:t>
      </w:r>
      <w:r>
        <w:t xml:space="preserve"> </w:t>
      </w:r>
      <w:r>
        <w:rPr>
          <w:iCs/>
          <w:i/>
        </w:rPr>
        <w:t xml:space="preserve">Diabetes Care</w:t>
      </w:r>
      <w:r>
        <w:t xml:space="preserve"> </w:t>
      </w:r>
      <w:r>
        <w:t xml:space="preserve">· Combination Therapy With Exenatide Plus Pioglitazone Versus Basal/Bolus Insulin in Patients With Poorly Controlled Type 2 Diabetes on Sulfonylurea Plus Metformin: The Qatar Study. PMID 28096223</w:t>
      </w:r>
    </w:p>
    <w:p>
      <w:pPr>
        <w:numPr>
          <w:ilvl w:val="0"/>
          <w:numId w:val="1376"/>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6"/>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6"/>
        </w:numPr>
        <w:pStyle w:val="Compact"/>
      </w:pPr>
      <w:r>
        <w:t xml:space="preserve">2017 · Thazhath SS ·</w:t>
      </w:r>
      <w:r>
        <w:t xml:space="preserve"> </w:t>
      </w:r>
      <w:r>
        <w:rPr>
          <w:iCs/>
          <w:i/>
        </w:rPr>
        <w:t xml:space="preserve">Diab Vasc Dis Res</w:t>
      </w:r>
      <w:r>
        <w:t xml:space="preserve"> </w:t>
      </w:r>
      <w:r>
        <w:t xml:space="preserve">· Acute effects of the glucagon-like peptide-1 receptor agonist, exenatide, on blood pressure and heart rate responses to intraduodenal glucose infusion in type 2 diabetes. PMID 27941058</w:t>
      </w:r>
    </w:p>
    <w:p>
      <w:pPr>
        <w:numPr>
          <w:ilvl w:val="0"/>
          <w:numId w:val="1376"/>
        </w:numPr>
        <w:pStyle w:val="Compact"/>
      </w:pPr>
      <w:r>
        <w:t xml:space="preserve">2017 · Camastra S ·</w:t>
      </w:r>
      <w:r>
        <w:t xml:space="preserve"> </w:t>
      </w:r>
      <w:r>
        <w:rPr>
          <w:iCs/>
          <w:i/>
        </w:rPr>
        <w:t xml:space="preserve">Diabetes Obes Metab</w:t>
      </w:r>
      <w:r>
        <w:t xml:space="preserve"> </w:t>
      </w:r>
      <w:r>
        <w:t xml:space="preserve">· Effect of exenatide on postprandial glucose fluxes, lipolysis, and ß-cell function in non-diabetic, morbidly obese patients. PMID 27898183</w:t>
      </w:r>
    </w:p>
    <w:p>
      <w:pPr>
        <w:numPr>
          <w:ilvl w:val="0"/>
          <w:numId w:val="1376"/>
        </w:numPr>
        <w:pStyle w:val="Compact"/>
      </w:pPr>
      <w:r>
        <w:t xml:space="preserve">2017 · Chaudhuri A ·</w:t>
      </w:r>
      <w:r>
        <w:t xml:space="preserve"> </w:t>
      </w:r>
      <w:r>
        <w:rPr>
          <w:iCs/>
          <w:i/>
        </w:rPr>
        <w:t xml:space="preserve">Diabetes Obes Metab</w:t>
      </w:r>
      <w:r>
        <w:t xml:space="preserve"> </w:t>
      </w:r>
      <w:r>
        <w:t xml:space="preserve">· Exenatide induces an increase in vasodilatory and a decrease in vasoconstrictive mediators. PMID 27891769</w:t>
      </w:r>
    </w:p>
    <w:p>
      <w:pPr>
        <w:numPr>
          <w:ilvl w:val="0"/>
          <w:numId w:val="1376"/>
        </w:numPr>
        <w:pStyle w:val="Compact"/>
      </w:pPr>
      <w:r>
        <w:t xml:space="preserve">2017 · Scalzo RL ·</w:t>
      </w:r>
      <w:r>
        <w:t xml:space="preserve"> </w:t>
      </w:r>
      <w:r>
        <w:rPr>
          <w:iCs/>
          <w:i/>
        </w:rPr>
        <w:t xml:space="preserve">J Diabetes Complications</w:t>
      </w:r>
      <w:r>
        <w:t xml:space="preserve"> </w:t>
      </w:r>
      <w:r>
        <w:t xml:space="preserve">· Exenatide improves diastolic function and attenuates arterial stiffness but does not alter exercise capacity in individuals with type 2 diabetes. PMID 27884660</w:t>
      </w:r>
    </w:p>
    <w:p>
      <w:pPr>
        <w:numPr>
          <w:ilvl w:val="0"/>
          <w:numId w:val="1376"/>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6"/>
        </w:numPr>
        <w:pStyle w:val="Compact"/>
      </w:pPr>
      <w:r>
        <w:t xml:space="preserve">2017 · Ishøy PL ·</w:t>
      </w:r>
      <w:r>
        <w:t xml:space="preserve"> </w:t>
      </w:r>
      <w:r>
        <w:rPr>
          <w:iCs/>
          <w:i/>
        </w:rPr>
        <w:t xml:space="preserve">Diabetes Obes Metab</w:t>
      </w:r>
      <w:r>
        <w:t xml:space="preserve"> </w:t>
      </w:r>
      <w:r>
        <w:t xml:space="preserve">· Effect of GLP-1 receptor agonist treatment on body weight in obese antipsychotic-treated patients with schizophrenia: a randomized, placebo-controlled trial. PMID 27717222</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once-daily and exenatide once-weekly dual therapy: A 24-week randomized, placebo-controlled, phase II study examining effects on body weight and prediabetes in obese adults without diabetes. PMID 27550386</w:t>
      </w:r>
    </w:p>
    <w:p>
      <w:pPr>
        <w:numPr>
          <w:ilvl w:val="0"/>
          <w:numId w:val="1376"/>
        </w:numPr>
        <w:pStyle w:val="Compact"/>
      </w:pPr>
      <w:r>
        <w:t xml:space="preserve">2017 · Salehi P ·</w:t>
      </w:r>
      <w:r>
        <w:t xml:space="preserve"> </w:t>
      </w:r>
      <w:r>
        <w:rPr>
          <w:iCs/>
          <w:i/>
        </w:rPr>
        <w:t xml:space="preserve">Pediatr Obes</w:t>
      </w:r>
      <w:r>
        <w:t xml:space="preserve"> </w:t>
      </w:r>
      <w:r>
        <w:t xml:space="preserve">· Effects of exenatide on weight and appetite in overweight adolescents and young adults with Prader-Willi syndrome. PMID 27071367</w:t>
      </w:r>
    </w:p>
    <w:p>
      <w:pPr>
        <w:numPr>
          <w:ilvl w:val="0"/>
          <w:numId w:val="1376"/>
        </w:numPr>
        <w:pStyle w:val="Compact"/>
      </w:pPr>
      <w:r>
        <w:t xml:space="preserve">2016 · Wiberg S ·</w:t>
      </w:r>
      <w:r>
        <w:t xml:space="preserve"> </w:t>
      </w:r>
      <w:r>
        <w:rPr>
          <w:iCs/>
          <w:i/>
        </w:rPr>
        <w:t xml:space="preserve">Circulation</w:t>
      </w:r>
      <w:r>
        <w:t xml:space="preserve"> </w:t>
      </w:r>
      <w:r>
        <w:t xml:space="preserve">· Neuroprotective Effects of the Glucagon-Like Peptide-1 Analog Exenatide After Out-of-Hospital Cardiac Arrest: A Randomized Controlled Trial. PMID 27838646</w:t>
      </w:r>
    </w:p>
    <w:p>
      <w:pPr>
        <w:numPr>
          <w:ilvl w:val="0"/>
          <w:numId w:val="1376"/>
        </w:numPr>
        <w:pStyle w:val="Compact"/>
      </w:pPr>
      <w:r>
        <w:t xml:space="preserve">2016 · de Lapertosa SB ·</w:t>
      </w:r>
      <w:r>
        <w:t xml:space="preserve"> </w:t>
      </w:r>
      <w:r>
        <w:rPr>
          <w:iCs/>
          <w:i/>
        </w:rPr>
        <w:t xml:space="preserve">Diabetes Res Clin Pract</w:t>
      </w:r>
      <w:r>
        <w:t xml:space="preserve"> </w:t>
      </w:r>
      <w:r>
        <w:t xml:space="preserve">· The effects of exenatide twice daily compared to insulin lispro added to basal insulin in Latin American patients with type 2 diabetes: A retrospective analysis of the 4B trial. PMID 27776251</w:t>
      </w:r>
    </w:p>
    <w:p>
      <w:pPr>
        <w:numPr>
          <w:ilvl w:val="0"/>
          <w:numId w:val="1376"/>
        </w:numPr>
        <w:pStyle w:val="Compact"/>
      </w:pPr>
      <w:r>
        <w:t xml:space="preserve">2016 · Frías JP ·</w:t>
      </w:r>
      <w:r>
        <w:t xml:space="preserve"> </w:t>
      </w:r>
      <w:r>
        <w:rPr>
          <w:iCs/>
          <w:i/>
        </w:rPr>
        <w:t xml:space="preserve">Lancet Diabetes Endocrinol</w:t>
      </w:r>
      <w:r>
        <w:t xml:space="preserve"> </w:t>
      </w:r>
      <w:r>
        <w:t xml:space="preserve">· Exenatide once weekly plus dapagliflozin once daily versus exenatide or dapagliflozin alone in patients with type 2 diabetes inadequately controlled with metformin monotherapy (DURATION-8): a 28 week, multicentre, double-blind, phase 3, randomised controlled trial. PMID 27651331</w:t>
      </w:r>
    </w:p>
    <w:p>
      <w:pPr>
        <w:numPr>
          <w:ilvl w:val="0"/>
          <w:numId w:val="1376"/>
        </w:numPr>
        <w:pStyle w:val="Compact"/>
      </w:pPr>
      <w:r>
        <w:t xml:space="preserve">2016 · Gastaldelli A ·</w:t>
      </w:r>
      <w:r>
        <w:t xml:space="preserve"> </w:t>
      </w:r>
      <w:r>
        <w:rPr>
          <w:iCs/>
          <w:i/>
        </w:rPr>
        <w:t xml:space="preserve">Hepatology</w:t>
      </w:r>
      <w:r>
        <w:t xml:space="preserve"> </w:t>
      </w:r>
      <w:r>
        <w:t xml:space="preserve">· Exenatide improves both hepatic and adipose tissue insulin resistance: A dynamic positron emission tomography study. PMID 27639082</w:t>
      </w:r>
    </w:p>
    <w:p>
      <w:pPr>
        <w:numPr>
          <w:ilvl w:val="0"/>
          <w:numId w:val="1376"/>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6"/>
        </w:numPr>
        <w:pStyle w:val="Compact"/>
      </w:pPr>
      <w:r>
        <w:t xml:space="preserve">2016 · Henry RR ·</w:t>
      </w:r>
      <w:r>
        <w:t xml:space="preserve"> </w:t>
      </w:r>
      <w:r>
        <w:rPr>
          <w:iCs/>
          <w:i/>
        </w:rPr>
        <w:t xml:space="preserve">Diabetes Technol Ther</w:t>
      </w:r>
      <w:r>
        <w:t xml:space="preserve"> </w:t>
      </w:r>
      <w:r>
        <w:t xml:space="preserve">· Efficacy and Tolerability of Exenatide Once Weekly Over 6 Years in Patients with Type 2 Diabetes: An Uncontrolled Open-Label Extension of the DURATION-1 Study. PMID 27525540</w:t>
      </w:r>
    </w:p>
    <w:p>
      <w:pPr>
        <w:numPr>
          <w:ilvl w:val="0"/>
          <w:numId w:val="1376"/>
        </w:numPr>
        <w:pStyle w:val="Compact"/>
      </w:pPr>
      <w:r>
        <w:t xml:space="preserve">2016 · van Raalte DH ·</w:t>
      </w:r>
      <w:r>
        <w:t xml:space="preserve"> </w:t>
      </w:r>
      <w:r>
        <w:rPr>
          <w:iCs/>
          <w:i/>
        </w:rPr>
        <w:t xml:space="preserve">Eur J Endocrinol</w:t>
      </w:r>
      <w:r>
        <w:t xml:space="preserve"> </w:t>
      </w:r>
      <w:r>
        <w:t xml:space="preserve">· Exenatide improves β-cell function up to 3 years of treatment in patients with type 2 diabetes: a randomised controlled trial. PMID 27466218</w:t>
      </w:r>
    </w:p>
    <w:p>
      <w:pPr>
        <w:numPr>
          <w:ilvl w:val="0"/>
          <w:numId w:val="1376"/>
        </w:numPr>
        <w:pStyle w:val="Compact"/>
      </w:pPr>
      <w:r>
        <w:t xml:space="preserve">2016 · Wysham CH ·</w:t>
      </w:r>
      <w:r>
        <w:t xml:space="preserve"> </w:t>
      </w:r>
      <w:r>
        <w:rPr>
          <w:iCs/>
          <w:i/>
        </w:rPr>
        <w:t xml:space="preserve">Diabetes Care</w:t>
      </w:r>
      <w:r>
        <w:t xml:space="preserve"> </w:t>
      </w:r>
      <w:r>
        <w:t xml:space="preserve">· Efficacy and Safety of Multiple Doses of Exenatide Once-Monthly Suspension in Patients With Type 2 Diabetes: A Phase II Randomized Clinical Trial. PMID 27436275</w:t>
      </w:r>
    </w:p>
    <w:p>
      <w:pPr>
        <w:numPr>
          <w:ilvl w:val="0"/>
          <w:numId w:val="1376"/>
        </w:numPr>
        <w:pStyle w:val="Compact"/>
      </w:pPr>
      <w:r>
        <w:t xml:space="preserve">2016 · Roos ST ·</w:t>
      </w:r>
      <w:r>
        <w:t xml:space="preserve"> </w:t>
      </w:r>
      <w:r>
        <w:rPr>
          <w:iCs/>
          <w:i/>
        </w:rPr>
        <w:t xml:space="preserve">Int J Cardiol</w:t>
      </w:r>
      <w:r>
        <w:t xml:space="preserve"> </w:t>
      </w:r>
      <w:r>
        <w:t xml:space="preserve">· No benefit of additional treatment with exenatide in patients with an acute myocardial infarction. PMID 27394978</w:t>
      </w:r>
    </w:p>
    <w:p>
      <w:pPr>
        <w:numPr>
          <w:ilvl w:val="0"/>
          <w:numId w:val="1376"/>
        </w:numPr>
        <w:pStyle w:val="Compact"/>
      </w:pPr>
      <w:r>
        <w:t xml:space="preserve">2016 · Wiberg S ·</w:t>
      </w:r>
      <w:r>
        <w:t xml:space="preserve"> </w:t>
      </w:r>
      <w:r>
        <w:rPr>
          <w:iCs/>
          <w:i/>
        </w:rPr>
        <w:t xml:space="preserve">Trials</w:t>
      </w:r>
      <w:r>
        <w:t xml:space="preserve"> </w:t>
      </w:r>
      <w:r>
        <w:t xml:space="preserve">· GLP-1 analogues for neuroprotection after out-of-hospital cardiac arrest: study protocol for a randomized controlled trial. PMID 27363489</w:t>
      </w:r>
    </w:p>
    <w:p>
      <w:pPr>
        <w:numPr>
          <w:ilvl w:val="0"/>
          <w:numId w:val="1376"/>
        </w:numPr>
        <w:pStyle w:val="Compact"/>
      </w:pPr>
      <w:r>
        <w:t xml:space="preserve">2016 · Zoso A ·</w:t>
      </w:r>
      <w:r>
        <w:t xml:space="preserve"> </w:t>
      </w:r>
      <w:r>
        <w:rPr>
          <w:iCs/>
          <w:i/>
        </w:rPr>
        <w:t xml:space="preserve">PLoS One</w:t>
      </w:r>
      <w:r>
        <w:t xml:space="preserve"> </w:t>
      </w:r>
      <w:r>
        <w:t xml:space="preserve">· G-CSF and Exenatide Might Be Associated with Increased Long-Term Survival of Allogeneic Pancreatic Islet Grafts. PMID 27285580</w:t>
      </w:r>
    </w:p>
    <w:p>
      <w:pPr>
        <w:numPr>
          <w:ilvl w:val="0"/>
          <w:numId w:val="1376"/>
        </w:numPr>
        <w:pStyle w:val="Compact"/>
      </w:pPr>
      <w:r>
        <w:t xml:space="preserve">2016 · FLAT-SUGAR Trial Investigators ·</w:t>
      </w:r>
      <w:r>
        <w:t xml:space="preserve"> </w:t>
      </w:r>
      <w:r>
        <w:rPr>
          <w:iCs/>
          <w:i/>
        </w:rPr>
        <w:t xml:space="preserve">Diabetes Care</w:t>
      </w:r>
      <w:r>
        <w:t xml:space="preserve"> </w:t>
      </w:r>
      <w:r>
        <w:t xml:space="preserve">· Glucose Variability in a 26-Week Randomized Comparison of Mealtime Treatment With Rapid-Acting Insulin Versus GLP-1 Agonist in Participants With Type 2 Diabetes at High Cardiovascular Risk. PMID 27208320</w:t>
      </w:r>
    </w:p>
    <w:p>
      <w:pPr>
        <w:numPr>
          <w:ilvl w:val="0"/>
          <w:numId w:val="1376"/>
        </w:numPr>
        <w:pStyle w:val="Compact"/>
      </w:pPr>
      <w:r>
        <w:t xml:space="preserve">2016 · Dutour A ·</w:t>
      </w:r>
      <w:r>
        <w:t xml:space="preserve"> </w:t>
      </w:r>
      <w:r>
        <w:rPr>
          <w:iCs/>
          <w:i/>
        </w:rPr>
        <w:t xml:space="preserve">Diabetes Obes Metab</w:t>
      </w:r>
      <w:r>
        <w:t xml:space="preserve"> </w:t>
      </w:r>
      <w:r>
        <w:t xml:space="preserve">· Exenatide decreases liver fat content and epicardial adipose tissue in patients with obesity and type 2 diabetes: a prospective randomized clinical trial using magnetic resonance imaging and spectroscopy. PMID 27106272</w:t>
      </w:r>
    </w:p>
    <w:p>
      <w:pPr>
        <w:numPr>
          <w:ilvl w:val="0"/>
          <w:numId w:val="1376"/>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6"/>
        </w:numPr>
        <w:pStyle w:val="Compact"/>
      </w:pPr>
      <w:r>
        <w:t xml:space="preserve">2016 · Wei R ·</w:t>
      </w:r>
      <w:r>
        <w:t xml:space="preserve"> </w:t>
      </w:r>
      <w:r>
        <w:rPr>
          <w:iCs/>
          <w:i/>
        </w:rPr>
        <w:t xml:space="preserve">Am J Physiol Endocrinol Metab</w:t>
      </w:r>
      <w:r>
        <w:t xml:space="preserve"> </w:t>
      </w:r>
      <w:r>
        <w:t xml:space="preserve">· Exenatide exerts direct protective effects on endothelial cells through the AMPK/Akt/eNOS pathway in a GLP-1 receptor-dependent manner. PMID 27072494</w:t>
      </w:r>
    </w:p>
    <w:p>
      <w:pPr>
        <w:numPr>
          <w:ilvl w:val="0"/>
          <w:numId w:val="1376"/>
        </w:numPr>
        <w:pStyle w:val="Compact"/>
      </w:pPr>
      <w:r>
        <w:t xml:space="preserve">2016 · Tonneijck L ·</w:t>
      </w:r>
      <w:r>
        <w:t xml:space="preserve"> </w:t>
      </w:r>
      <w:r>
        <w:rPr>
          <w:iCs/>
          <w:i/>
        </w:rPr>
        <w:t xml:space="preserve">Diabetologia</w:t>
      </w:r>
      <w:r>
        <w:t xml:space="preserve"> </w:t>
      </w:r>
      <w:r>
        <w:t xml:space="preserve">· Acute renal effects of the GLP-1 receptor agonist exenatide in overweight type 2 diabetes patients: a randomised, double-blind, placebo-controlled trial. PMID 27038451</w:t>
      </w:r>
    </w:p>
    <w:p>
      <w:pPr>
        <w:numPr>
          <w:ilvl w:val="0"/>
          <w:numId w:val="1376"/>
        </w:numPr>
        <w:pStyle w:val="Compact"/>
      </w:pPr>
      <w:r>
        <w:t xml:space="preserve">2016 · Xu S ·</w:t>
      </w:r>
      <w:r>
        <w:t xml:space="preserve"> </w:t>
      </w:r>
      <w:r>
        <w:rPr>
          <w:iCs/>
          <w:i/>
        </w:rPr>
        <w:t xml:space="preserve">Trials</w:t>
      </w:r>
      <w:r>
        <w:t xml:space="preserve"> </w:t>
      </w:r>
      <w:r>
        <w:t xml:space="preserve">· Comparison of exenatide with biphasic insulin aspart 30 on glucose variability in type 2 diabetes: study protocol for a randomized controlled trial. PMID 27009108</w:t>
      </w:r>
    </w:p>
    <w:p>
      <w:pPr>
        <w:numPr>
          <w:ilvl w:val="0"/>
          <w:numId w:val="1376"/>
        </w:numPr>
        <w:pStyle w:val="Compact"/>
      </w:pPr>
      <w:r>
        <w:t xml:space="preserve">2016 · Topyildiz F ·</w:t>
      </w:r>
      <w:r>
        <w:t xml:space="preserve"> </w:t>
      </w:r>
      <w:r>
        <w:rPr>
          <w:iCs/>
          <w:i/>
        </w:rPr>
        <w:t xml:space="preserve">J Diabetes Res</w:t>
      </w:r>
      <w:r>
        <w:t xml:space="preserve"> </w:t>
      </w:r>
      <w:r>
        <w:t xml:space="preserve">· Exenatide Treatment Causes Suppression of Serum Ghrelin Levels following Mixed Meal Test in Obese Diabetic Women. PMID 26998491</w:t>
      </w:r>
    </w:p>
    <w:p>
      <w:pPr>
        <w:numPr>
          <w:ilvl w:val="0"/>
          <w:numId w:val="1376"/>
        </w:numPr>
        <w:pStyle w:val="Compact"/>
      </w:pPr>
      <w:r>
        <w:t xml:space="preserve">2016 · Holman RR ·</w:t>
      </w:r>
      <w:r>
        <w:t xml:space="preserve"> </w:t>
      </w:r>
      <w:r>
        <w:rPr>
          <w:iCs/>
          <w:i/>
        </w:rPr>
        <w:t xml:space="preserve">Am Heart J</w:t>
      </w:r>
      <w:r>
        <w:t xml:space="preserve"> </w:t>
      </w:r>
      <w:r>
        <w:t xml:space="preserve">· Rationale and design of the EXenatide Study of Cardiovascular Event Lowering (EXSCEL) trial. PMID 26995376</w:t>
      </w:r>
    </w:p>
    <w:p>
      <w:pPr>
        <w:numPr>
          <w:ilvl w:val="0"/>
          <w:numId w:val="1376"/>
        </w:numPr>
        <w:pStyle w:val="Compact"/>
      </w:pPr>
      <w:r>
        <w:t xml:space="preserve">2016 · McGrath RT ·</w:t>
      </w:r>
      <w:r>
        <w:t xml:space="preserve"> </w:t>
      </w:r>
      <w:r>
        <w:rPr>
          <w:iCs/>
          <w:i/>
        </w:rPr>
        <w:t xml:space="preserve">BMJ Open</w:t>
      </w:r>
      <w:r>
        <w:t xml:space="preserve"> </w:t>
      </w:r>
      <w:r>
        <w:t xml:space="preserve">· Rationale and design of Short-Term EXenatide therapy in Acute ischaemic Stroke (STEXAS): a randomised, open-label, parallel-group study. PMID 26911582</w:t>
      </w:r>
    </w:p>
    <w:p>
      <w:pPr>
        <w:numPr>
          <w:ilvl w:val="0"/>
          <w:numId w:val="1376"/>
        </w:numPr>
        <w:pStyle w:val="Compact"/>
      </w:pPr>
      <w:r>
        <w:t xml:space="preserve">2016 · Quan H ·</w:t>
      </w:r>
      <w:r>
        <w:t xml:space="preserve"> </w:t>
      </w:r>
      <w:r>
        <w:rPr>
          <w:iCs/>
          <w:i/>
        </w:rPr>
        <w:t xml:space="preserve">J Diabetes Complications</w:t>
      </w:r>
      <w:r>
        <w:t xml:space="preserve"> </w:t>
      </w:r>
      <w:r>
        <w:t xml:space="preserve">· Gender-related different effects of a combined therapy of Exenatide and Metformin on overweight or obesity patients with type 2 diabetes mellitus. PMID 26873871</w:t>
      </w:r>
    </w:p>
    <w:p>
      <w:pPr>
        <w:numPr>
          <w:ilvl w:val="0"/>
          <w:numId w:val="1376"/>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6"/>
        </w:numPr>
        <w:pStyle w:val="Compact"/>
      </w:pPr>
      <w:r>
        <w:t xml:space="preserve">2016 · Sheu WH ·</w:t>
      </w:r>
      <w:r>
        <w:t xml:space="preserve"> </w:t>
      </w:r>
      <w:r>
        <w:rPr>
          <w:iCs/>
          <w:i/>
        </w:rPr>
        <w:t xml:space="preserve">Diabetes Res Clin Pract</w:t>
      </w:r>
      <w:r>
        <w:t xml:space="preserve"> </w:t>
      </w:r>
      <w:r>
        <w:t xml:space="preserve">· Efficacy and tolerability of exenatide twice daily and exenatide once weekly in Asian versus White patients with type 2 diabetes mellitus: A pooled analysis. PMID 26827116</w:t>
      </w:r>
    </w:p>
    <w:p>
      <w:pPr>
        <w:numPr>
          <w:ilvl w:val="0"/>
          <w:numId w:val="1376"/>
        </w:numPr>
        <w:pStyle w:val="Compact"/>
      </w:pPr>
      <w:r>
        <w:t xml:space="preserve">2016 · Savvidou S ·</w:t>
      </w:r>
      <w:r>
        <w:t xml:space="preserve"> </w:t>
      </w:r>
      <w:r>
        <w:rPr>
          <w:iCs/>
          <w:i/>
        </w:rPr>
        <w:t xml:space="preserve">Diabetes Res Clin Pract</w:t>
      </w:r>
      <w:r>
        <w:t xml:space="preserve"> </w:t>
      </w:r>
      <w:r>
        <w:t xml:space="preserve">· Circulating adiponectin levels in type 2 diabetes mellitus patients with or without non-alcoholic fatty liver disease: Results of a small, open-label, randomized controlled intervention trial in a subgroup receiving short-term exenatide. PMID 26803355</w:t>
      </w:r>
    </w:p>
    <w:p>
      <w:pPr>
        <w:numPr>
          <w:ilvl w:val="0"/>
          <w:numId w:val="1376"/>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6"/>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6"/>
        </w:numPr>
        <w:pStyle w:val="Compact"/>
      </w:pPr>
      <w:r>
        <w:t xml:space="preserve">2016 · Nathan BM ·</w:t>
      </w:r>
      <w:r>
        <w:t xml:space="preserve"> </w:t>
      </w:r>
      <w:r>
        <w:rPr>
          <w:iCs/>
          <w:i/>
        </w:rPr>
        <w:t xml:space="preserve">Clin Obes</w:t>
      </w:r>
      <w:r>
        <w:t xml:space="preserve"> </w:t>
      </w:r>
      <w:r>
        <w:t xml:space="preserve">· Predictors of weight-loss response with glucagon-like peptide-1 receptor agonist treatment among adolescents with severe obesity. PMID 26683756</w:t>
      </w:r>
    </w:p>
    <w:p>
      <w:pPr>
        <w:numPr>
          <w:ilvl w:val="0"/>
          <w:numId w:val="1376"/>
        </w:numPr>
        <w:pStyle w:val="Compact"/>
      </w:pPr>
      <w:r>
        <w:t xml:space="preserve">2016 · Smits MM ·</w:t>
      </w:r>
      <w:r>
        <w:t xml:space="preserve"> </w:t>
      </w:r>
      <w:r>
        <w:rPr>
          <w:iCs/>
          <w:i/>
        </w:rPr>
        <w:t xml:space="preserve">Diabetes Obes Metab</w:t>
      </w:r>
      <w:r>
        <w:t xml:space="preserve"> </w:t>
      </w:r>
      <w:r>
        <w:t xml:space="preserve">· Glucagon-like peptide-1 receptor agonist exenatide has no acute effect on MRI-measured exocrine pancreatic function in patients with type 2 diabetes: a randomized trial. PMID 26640129</w:t>
      </w:r>
    </w:p>
    <w:p>
      <w:pPr>
        <w:numPr>
          <w:ilvl w:val="0"/>
          <w:numId w:val="1376"/>
        </w:numPr>
        <w:pStyle w:val="Compact"/>
      </w:pPr>
      <w:r>
        <w:t xml:space="preserve">2016 · Muskiet MH ·</w:t>
      </w:r>
      <w:r>
        <w:t xml:space="preserve"> </w:t>
      </w:r>
      <w:r>
        <w:rPr>
          <w:iCs/>
          <w:i/>
        </w:rPr>
        <w:t xml:space="preserve">Diabetes Obes Metab</w:t>
      </w:r>
      <w:r>
        <w:t xml:space="preserve"> </w:t>
      </w:r>
      <w:r>
        <w:t xml:space="preserve">· Acute renal haemodynamic effects of glucagon-like peptide-1 receptor agonist exenatide in healthy overweight men. PMID 26636423</w:t>
      </w:r>
    </w:p>
    <w:p>
      <w:pPr>
        <w:numPr>
          <w:ilvl w:val="0"/>
          <w:numId w:val="1376"/>
        </w:numPr>
        <w:pStyle w:val="Compact"/>
      </w:pPr>
      <w:r>
        <w:t xml:space="preserve">2016 · Smits MM ·</w:t>
      </w:r>
      <w:r>
        <w:t xml:space="preserve"> </w:t>
      </w:r>
      <w:r>
        <w:rPr>
          <w:iCs/>
          <w:i/>
        </w:rPr>
        <w:t xml:space="preserve">Br J Clin Pharmacol</w:t>
      </w:r>
      <w:r>
        <w:t xml:space="preserve"> </w:t>
      </w:r>
      <w:r>
        <w:t xml:space="preserve">· Exenatide acutely increases heart rate in parallel with augmented sympathetic nervous system activation in healthy overweight males. PMID 26609792</w:t>
      </w:r>
    </w:p>
    <w:p>
      <w:pPr>
        <w:numPr>
          <w:ilvl w:val="0"/>
          <w:numId w:val="1376"/>
        </w:numPr>
        <w:pStyle w:val="Compact"/>
      </w:pPr>
      <w:r>
        <w:t xml:space="preserve">2016 · Thazhath SS ·</w:t>
      </w:r>
      <w:r>
        <w:t xml:space="preserve"> </w:t>
      </w:r>
      <w:r>
        <w:rPr>
          <w:iCs/>
          <w:i/>
        </w:rPr>
        <w:t xml:space="preserve">Diabetes</w:t>
      </w:r>
      <w:r>
        <w:t xml:space="preserve"> </w:t>
      </w:r>
      <w:r>
        <w:t xml:space="preserve">· The Glucagon-Like Peptide 1 Receptor Agonist Exenatide Inhibits Small Intestinal Motility, Flow, Transit, and Absorption of Glucose in Healthy Subjects and Patients With Type 2 Diabetes: A Randomized Controlled Trial. PMID 26470783</w:t>
      </w:r>
    </w:p>
    <w:p>
      <w:pPr>
        <w:numPr>
          <w:ilvl w:val="0"/>
          <w:numId w:val="1376"/>
        </w:numPr>
        <w:pStyle w:val="Compact"/>
      </w:pPr>
      <w:r>
        <w:t xml:space="preserve">2015 · Lin CH ·</w:t>
      </w:r>
      <w:r>
        <w:t xml:space="preserve"> </w:t>
      </w:r>
      <w:r>
        <w:rPr>
          <w:iCs/>
          <w:i/>
        </w:rPr>
        <w:t xml:space="preserve">Sci Rep</w:t>
      </w:r>
      <w:r>
        <w:t xml:space="preserve"> </w:t>
      </w:r>
      <w:r>
        <w:t xml:space="preserve">· Glucose Variability and β- Cell Response by GLP-1 Analogue added-on CSII for Patients with Poorly Controlled Type 2 Diabetes. PMID 26607841</w:t>
      </w:r>
    </w:p>
    <w:p>
      <w:pPr>
        <w:numPr>
          <w:ilvl w:val="0"/>
          <w:numId w:val="1376"/>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6"/>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6"/>
        </w:numPr>
        <w:pStyle w:val="Compact"/>
      </w:pPr>
      <w:r>
        <w:t xml:space="preserve">2015 · Wang XH ·</w:t>
      </w:r>
      <w:r>
        <w:t xml:space="preserve"> </w:t>
      </w:r>
      <w:r>
        <w:rPr>
          <w:iCs/>
          <w:i/>
        </w:rPr>
        <w:t xml:space="preserve">Sichuan Da Xue Xue Bao Yi Xue Ban</w:t>
      </w:r>
      <w:r>
        <w:t xml:space="preserve"> </w:t>
      </w:r>
      <w:r>
        <w:t xml:space="preserve">· [Effects of GLP-1 Agonist Exenatide on Cardiac Diastolic Function and Vascular Endothelial Function in Diabetic Patients]. PMID 26480664</w:t>
      </w:r>
    </w:p>
    <w:p>
      <w:pPr>
        <w:numPr>
          <w:ilvl w:val="0"/>
          <w:numId w:val="1376"/>
        </w:numPr>
        <w:pStyle w:val="Compact"/>
      </w:pPr>
      <w:r>
        <w:t xml:space="preserve">2015 · Simó R ·</w:t>
      </w:r>
      <w:r>
        <w:t xml:space="preserve"> </w:t>
      </w:r>
      <w:r>
        <w:rPr>
          <w:iCs/>
          <w:i/>
        </w:rPr>
        <w:t xml:space="preserve">Cardiovasc Diabetol</w:t>
      </w:r>
      <w:r>
        <w:t xml:space="preserve"> </w:t>
      </w:r>
      <w:r>
        <w:t xml:space="preserve">· Long-term changes in cardiovascular risk markers during administration of exenatide twice daily or glimepiride: results from the European exenatide study. PMID 26338040</w:t>
      </w:r>
    </w:p>
    <w:p>
      <w:pPr>
        <w:numPr>
          <w:ilvl w:val="0"/>
          <w:numId w:val="1376"/>
        </w:numPr>
        <w:pStyle w:val="Compact"/>
      </w:pPr>
      <w:r>
        <w:t xml:space="preserve">2015 · van Bloemendaal L ·</w:t>
      </w:r>
      <w:r>
        <w:t xml:space="preserve"> </w:t>
      </w:r>
      <w:r>
        <w:rPr>
          <w:iCs/>
          <w:i/>
        </w:rPr>
        <w:t xml:space="preserve">Obesity (Silver Spring)</w:t>
      </w:r>
      <w:r>
        <w:t xml:space="preserve"> </w:t>
      </w:r>
      <w:r>
        <w:t xml:space="preserve">· Emotional eating is associated with increased brain responses to food-cues and reduced sensitivity to GLP-1 receptor activation. PMID 26331843</w:t>
      </w:r>
    </w:p>
    <w:p>
      <w:pPr>
        <w:numPr>
          <w:ilvl w:val="0"/>
          <w:numId w:val="1376"/>
        </w:numPr>
        <w:pStyle w:val="Compact"/>
      </w:pPr>
      <w:r>
        <w:t xml:space="preserve">2015 · Jaiswal M ·</w:t>
      </w:r>
      <w:r>
        <w:t xml:space="preserve"> </w:t>
      </w:r>
      <w:r>
        <w:rPr>
          <w:iCs/>
          <w:i/>
        </w:rPr>
        <w:t xml:space="preserve">J Diabetes Complications</w:t>
      </w:r>
      <w:r>
        <w:t xml:space="preserve"> </w:t>
      </w:r>
      <w:r>
        <w:t xml:space="preserve">· Effects of exenatide on measures of diabetic neuropathy in subjects with type 2 diabetes: results from an 18-month proof-of-concept open-label randomized study. PMID 26264399</w:t>
      </w:r>
    </w:p>
    <w:p>
      <w:pPr>
        <w:numPr>
          <w:ilvl w:val="0"/>
          <w:numId w:val="1376"/>
        </w:numPr>
        <w:pStyle w:val="Compact"/>
      </w:pPr>
      <w:r>
        <w:t xml:space="preserve">2015 · Li R ·</w:t>
      </w:r>
      <w:r>
        <w:t xml:space="preserve"> </w:t>
      </w:r>
      <w:r>
        <w:rPr>
          <w:iCs/>
          <w:i/>
        </w:rPr>
        <w:t xml:space="preserve">Acta Diabetol</w:t>
      </w:r>
      <w:r>
        <w:t xml:space="preserve"> </w:t>
      </w:r>
      <w:r>
        <w:t xml:space="preserve">· Effect of exenatide, insulin and pioglitazone on bone metabolism in patients with newly diagnosed type 2 diabetes. PMID 26249206</w:t>
      </w:r>
    </w:p>
    <w:p>
      <w:pPr>
        <w:numPr>
          <w:ilvl w:val="0"/>
          <w:numId w:val="1376"/>
        </w:numPr>
        <w:pStyle w:val="Compact"/>
      </w:pPr>
      <w:r>
        <w:t xml:space="preserve">2015 · Vlasakakis G ·</w:t>
      </w:r>
      <w:r>
        <w:t xml:space="preserve"> </w:t>
      </w:r>
      <w:r>
        <w:rPr>
          <w:iCs/>
          <w:i/>
        </w:rPr>
        <w:t xml:space="preserve">Adv Ther</w:t>
      </w:r>
      <w:r>
        <w:t xml:space="preserve"> </w:t>
      </w:r>
      <w:r>
        <w:t xml:space="preserve">· Pharmacokinetics and Tolerability of Exenatide Delivered by 7-Day Continuous Subcutaneous Infusion in Healthy Volunteers. PMID 26160357</w:t>
      </w:r>
    </w:p>
    <w:p>
      <w:pPr>
        <w:numPr>
          <w:ilvl w:val="0"/>
          <w:numId w:val="1376"/>
        </w:numPr>
        <w:pStyle w:val="Compact"/>
      </w:pPr>
      <w:r>
        <w:t xml:space="preserve">2015 · Daniele G ·</w:t>
      </w:r>
      <w:r>
        <w:t xml:space="preserve"> </w:t>
      </w:r>
      <w:r>
        <w:rPr>
          <w:iCs/>
          <w:i/>
        </w:rPr>
        <w:t xml:space="preserve">Diabetes</w:t>
      </w:r>
      <w:r>
        <w:t xml:space="preserve"> </w:t>
      </w:r>
      <w:r>
        <w:t xml:space="preserve">· Exenatide Regulates Cerebral Glucose Metabolism in Brain Areas Associated With Glucose Homeostasis and Reward System. PMID 26116695</w:t>
      </w:r>
    </w:p>
    <w:p>
      <w:pPr>
        <w:numPr>
          <w:ilvl w:val="0"/>
          <w:numId w:val="1376"/>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6"/>
        </w:numPr>
        <w:pStyle w:val="Compact"/>
      </w:pPr>
      <w:r>
        <w:t xml:space="preserve">2015 · van Bloemendaal L ·</w:t>
      </w:r>
      <w:r>
        <w:t xml:space="preserve"> </w:t>
      </w:r>
      <w:r>
        <w:rPr>
          <w:iCs/>
          <w:i/>
        </w:rPr>
        <w:t xml:space="preserve">Diabetes Obes Metab</w:t>
      </w:r>
      <w:r>
        <w:t xml:space="preserve"> </w:t>
      </w:r>
      <w:r>
        <w:t xml:space="preserve">· Brain reward-system activation in response to anticipation and consumption of palatable food is altered by glucagon-like peptide-1 receptor activation in humans. PMID 26094857</w:t>
      </w:r>
    </w:p>
    <w:p>
      <w:pPr>
        <w:numPr>
          <w:ilvl w:val="0"/>
          <w:numId w:val="1376"/>
        </w:numPr>
        <w:pStyle w:val="Compact"/>
      </w:pPr>
      <w:r>
        <w:t xml:space="preserve">2015 · Schernthaner G ·</w:t>
      </w:r>
      <w:r>
        <w:t xml:space="preserve"> </w:t>
      </w:r>
      <w:r>
        <w:rPr>
          <w:iCs/>
          <w:i/>
        </w:rPr>
        <w:t xml:space="preserve">Diabetes Obes Metab</w:t>
      </w:r>
      <w:r>
        <w:t xml:space="preserve"> </w:t>
      </w:r>
      <w:r>
        <w:t xml:space="preserve">· Treatment escalation options for patients with type 2 diabetes after failure of exenatide twice daily or glimepiride added to metformin: results from the prospective European Exenatide (EUREXA) study. PMID 25846577</w:t>
      </w:r>
    </w:p>
    <w:p>
      <w:pPr>
        <w:numPr>
          <w:ilvl w:val="0"/>
          <w:numId w:val="1376"/>
        </w:numPr>
        <w:pStyle w:val="Compact"/>
      </w:pPr>
      <w:r>
        <w:t xml:space="preserve">2015 · Wysham CH ·</w:t>
      </w:r>
      <w:r>
        <w:t xml:space="preserve"> </w:t>
      </w:r>
      <w:r>
        <w:rPr>
          <w:iCs/>
          <w:i/>
        </w:rPr>
        <w:t xml:space="preserve">Mayo Clin Proc</w:t>
      </w:r>
      <w:r>
        <w:t xml:space="preserve"> </w:t>
      </w:r>
      <w:r>
        <w:t xml:space="preserve">· Five-year efficacy and safety data of exenatide once weekly: long-term results from the DURATION-1 randomized clinical trial. PMID 25744115</w:t>
      </w:r>
    </w:p>
    <w:p>
      <w:pPr>
        <w:numPr>
          <w:ilvl w:val="0"/>
          <w:numId w:val="1376"/>
        </w:numPr>
        <w:pStyle w:val="Compact"/>
      </w:pPr>
      <w:r>
        <w:t xml:space="preserve">2015 · Koska J ·</w:t>
      </w:r>
      <w:r>
        <w:t xml:space="preserve"> </w:t>
      </w:r>
      <w:r>
        <w:rPr>
          <w:iCs/>
          <w:i/>
        </w:rPr>
        <w:t xml:space="preserve">Diabetes</w:t>
      </w:r>
      <w:r>
        <w:t xml:space="preserve"> </w:t>
      </w:r>
      <w:r>
        <w:t xml:space="preserve">· Exenatide Protects Against Glucose- and Lipid-Induced Endothelial Dysfunction: Evidence for Direct Vasodilation Effect of GLP-1 Receptor Agonists in Humans. PMID 25720388</w:t>
      </w:r>
    </w:p>
    <w:p>
      <w:pPr>
        <w:numPr>
          <w:ilvl w:val="0"/>
          <w:numId w:val="1376"/>
        </w:numPr>
        <w:pStyle w:val="Compact"/>
      </w:pPr>
      <w:r>
        <w:t xml:space="preserve">2015 · Blonde L ·</w:t>
      </w:r>
      <w:r>
        <w:t xml:space="preserve"> </w:t>
      </w:r>
      <w:r>
        <w:rPr>
          <w:iCs/>
          <w:i/>
        </w:rPr>
        <w:t xml:space="preserve">Cardiovasc Diabetol</w:t>
      </w:r>
      <w:r>
        <w:t xml:space="preserve"> </w:t>
      </w:r>
      <w:r>
        <w:t xml:space="preserve">· Association among weight change, glycemic control, and markers of cardiovascular risk with exenatide once weekly: a pooled analysis of patients with type 2 diabetes. PMID 25645567</w:t>
      </w:r>
    </w:p>
    <w:p>
      <w:pPr>
        <w:numPr>
          <w:ilvl w:val="0"/>
          <w:numId w:val="1376"/>
        </w:numPr>
        <w:pStyle w:val="Compact"/>
      </w:pPr>
      <w:r>
        <w:t xml:space="preserve">2015 · Iglesias P ·</w:t>
      </w:r>
      <w:r>
        <w:t xml:space="preserve"> </w:t>
      </w:r>
      <w:r>
        <w:rPr>
          <w:iCs/>
          <w:i/>
        </w:rPr>
        <w:t xml:space="preserve">Obes Surg</w:t>
      </w:r>
      <w:r>
        <w:t xml:space="preserve"> </w:t>
      </w:r>
      <w:r>
        <w:t xml:space="preserve">· Clinical effectiveness of exenatide in diabetic patients waiting for bariatric surgery. PMID 25589020</w:t>
      </w:r>
    </w:p>
    <w:p>
      <w:pPr>
        <w:numPr>
          <w:ilvl w:val="0"/>
          <w:numId w:val="1376"/>
        </w:numPr>
        <w:pStyle w:val="Compact"/>
      </w:pPr>
      <w:r>
        <w:t xml:space="preserve">2015 · Abdul-Ghani MA ·</w:t>
      </w:r>
      <w:r>
        <w:t xml:space="preserve"> </w:t>
      </w:r>
      <w:r>
        <w:rPr>
          <w:iCs/>
          <w:i/>
        </w:rPr>
        <w:t xml:space="preserve">Diabetes Obes Metab</w:t>
      </w:r>
      <w:r>
        <w:t xml:space="preserve"> </w:t>
      </w:r>
      <w:r>
        <w:t xml:space="preserve">· Initial combination therapy with metformin, pioglitazone and exenatide is more effective than sequential add-on therapy in subjects with new-onset diabetes. Results from the Efficacy and Durability of Initial Combination Therapy for Type 2 Diabetes (EDICT): a randomized trial. PMID 25425451</w:t>
      </w:r>
    </w:p>
    <w:p>
      <w:pPr>
        <w:numPr>
          <w:ilvl w:val="0"/>
          <w:numId w:val="1376"/>
        </w:numPr>
        <w:pStyle w:val="Compact"/>
      </w:pPr>
      <w:r>
        <w:t xml:space="preserve">2015 · Xu W ·</w:t>
      </w:r>
      <w:r>
        <w:t xml:space="preserve"> </w:t>
      </w:r>
      <w:r>
        <w:rPr>
          <w:iCs/>
          <w:i/>
        </w:rPr>
        <w:t xml:space="preserve">J Intern Med</w:t>
      </w:r>
      <w:r>
        <w:t xml:space="preserve"> </w:t>
      </w:r>
      <w:r>
        <w:t xml:space="preserve">· Comparison of the effects on glycaemic control and β-cell function in newly diagnosed type 2 diabetes patients of treatment with exenatide, insulin or pioglitazone: a multicentre randomized parallel-group trial (the CONFIDENCE study). PMID 25039675</w:t>
      </w:r>
    </w:p>
    <w:p>
      <w:pPr>
        <w:numPr>
          <w:ilvl w:val="0"/>
          <w:numId w:val="1376"/>
        </w:numPr>
        <w:pStyle w:val="Compact"/>
      </w:pPr>
      <w:r>
        <w:t xml:space="preserve">2014 · Gurkan E ·</w:t>
      </w:r>
      <w:r>
        <w:t xml:space="preserve"> </w:t>
      </w:r>
      <w:r>
        <w:rPr>
          <w:iCs/>
          <w:i/>
        </w:rPr>
        <w:t xml:space="preserve">Diabetes Res Clin Pract</w:t>
      </w:r>
      <w:r>
        <w:t xml:space="preserve"> </w:t>
      </w:r>
      <w:r>
        <w:t xml:space="preserve">· Evaluation of exenatide versus insulin glargine for the impact on endothelial functions and cardiovascular risk markers. PMID 25458329</w:t>
      </w:r>
    </w:p>
    <w:p>
      <w:pPr>
        <w:numPr>
          <w:ilvl w:val="0"/>
          <w:numId w:val="1376"/>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6"/>
        </w:numPr>
        <w:pStyle w:val="Compact"/>
      </w:pPr>
      <w:r>
        <w:t xml:space="preserve">2014 · Bi Y ·</w:t>
      </w:r>
      <w:r>
        <w:t xml:space="preserve"> </w:t>
      </w:r>
      <w:r>
        <w:rPr>
          <w:iCs/>
          <w:i/>
        </w:rPr>
        <w:t xml:space="preserve">Acta Diabetol</w:t>
      </w:r>
      <w:r>
        <w:t xml:space="preserve"> </w:t>
      </w:r>
      <w:r>
        <w:t xml:space="preserve">· Effects of exenatide, insulin, and pioglitazone on liver fat content and body fat distributions in drug-naive subjects with type 2 diabetes. PMID 25118999</w:t>
      </w:r>
    </w:p>
    <w:p>
      <w:pPr>
        <w:numPr>
          <w:ilvl w:val="0"/>
          <w:numId w:val="1376"/>
        </w:numPr>
        <w:pStyle w:val="Compact"/>
      </w:pPr>
      <w:r>
        <w:t xml:space="preserve">2014 · van Bloemendaal L ·</w:t>
      </w:r>
      <w:r>
        <w:t xml:space="preserve"> </w:t>
      </w:r>
      <w:r>
        <w:rPr>
          <w:iCs/>
          <w:i/>
        </w:rPr>
        <w:t xml:space="preserve">Diabetes</w:t>
      </w:r>
      <w:r>
        <w:t xml:space="preserve"> </w:t>
      </w:r>
      <w:r>
        <w:t xml:space="preserve">· GLP-1 receptor activation modulates appetite- and reward-related brain areas in humans. PMID 25071023</w:t>
      </w:r>
    </w:p>
    <w:p>
      <w:pPr>
        <w:numPr>
          <w:ilvl w:val="0"/>
          <w:numId w:val="1376"/>
        </w:numPr>
        <w:pStyle w:val="Compact"/>
      </w:pPr>
      <w:r>
        <w:t xml:space="preserve">2014 · Qi M ·</w:t>
      </w:r>
      <w:r>
        <w:t xml:space="preserve"> </w:t>
      </w:r>
      <w:r>
        <w:rPr>
          <w:iCs/>
          <w:i/>
        </w:rPr>
        <w:t xml:space="preserve">Acta Diabetol</w:t>
      </w:r>
      <w:r>
        <w:t xml:space="preserve"> </w:t>
      </w:r>
      <w:r>
        <w:t xml:space="preserve">· Five-year follow-up of patients with type 1 diabetes transplanted with allogeneic islets: the UIC experience. PMID 25034311</w:t>
      </w:r>
    </w:p>
    <w:p>
      <w:pPr>
        <w:numPr>
          <w:ilvl w:val="0"/>
          <w:numId w:val="1376"/>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76"/>
        </w:numPr>
        <w:pStyle w:val="Compact"/>
      </w:pPr>
      <w:r>
        <w:t xml:space="preserve">2014 · Diamant M ·</w:t>
      </w:r>
      <w:r>
        <w:t xml:space="preserve"> </w:t>
      </w:r>
      <w:r>
        <w:rPr>
          <w:iCs/>
          <w:i/>
        </w:rPr>
        <w:t xml:space="preserve">Diabetes Care</w:t>
      </w:r>
      <w:r>
        <w:t xml:space="preserve"> </w:t>
      </w:r>
      <w:r>
        <w:t xml:space="preserve">· Glucagon-like peptide 1 receptor agonist or bolus insulin with optimized basal insulin in type 2 diabetes. PMID 25011946</w:t>
      </w:r>
    </w:p>
    <w:p>
      <w:pPr>
        <w:numPr>
          <w:ilvl w:val="0"/>
          <w:numId w:val="1376"/>
        </w:numPr>
        <w:pStyle w:val="Compact"/>
      </w:pPr>
      <w:r>
        <w:t xml:space="preserve">2014 · Gudipaty L ·</w:t>
      </w:r>
      <w:r>
        <w:t xml:space="preserve"> </w:t>
      </w:r>
      <w:r>
        <w:rPr>
          <w:iCs/>
          <w:i/>
        </w:rPr>
        <w:t xml:space="preserve">Diabetes Care</w:t>
      </w:r>
      <w:r>
        <w:t xml:space="preserve"> </w:t>
      </w:r>
      <w:r>
        <w:t xml:space="preserve">· Effect of exenatide, sitagliptin, or glimepiride on β-cell secretory capacity in early type 2 diabetes. PMID 24969577</w:t>
      </w:r>
    </w:p>
    <w:p>
      <w:pPr>
        <w:numPr>
          <w:ilvl w:val="0"/>
          <w:numId w:val="1376"/>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6"/>
        </w:numPr>
        <w:pStyle w:val="Compact"/>
      </w:pPr>
      <w:r>
        <w:t xml:space="preserve">2014 · Holmberg FE ·</w:t>
      </w:r>
      <w:r>
        <w:t xml:space="preserve"> </w:t>
      </w:r>
      <w:r>
        <w:rPr>
          <w:iCs/>
          <w:i/>
        </w:rPr>
        <w:t xml:space="preserve">Scand Cardiovasc J</w:t>
      </w:r>
      <w:r>
        <w:t xml:space="preserve"> </w:t>
      </w:r>
      <w:r>
        <w:t xml:space="preserve">· Conditioning techniques and ischemic reperfusion injury in relation to on-pump cardiac surgery. PMID 24852515</w:t>
      </w:r>
    </w:p>
    <w:p>
      <w:pPr>
        <w:numPr>
          <w:ilvl w:val="0"/>
          <w:numId w:val="1376"/>
        </w:numPr>
        <w:pStyle w:val="Compact"/>
      </w:pPr>
      <w:r>
        <w:t xml:space="preserve">2014 · Shao N ·</w:t>
      </w:r>
      <w:r>
        <w:t xml:space="preserve"> </w:t>
      </w:r>
      <w:r>
        <w:rPr>
          <w:iCs/>
          <w:i/>
        </w:rPr>
        <w:t xml:space="preserve">Diabetes Metab Res Rev</w:t>
      </w:r>
      <w:r>
        <w:t xml:space="preserve"> </w:t>
      </w:r>
      <w:r>
        <w:t xml:space="preserve">· Benefits of exenatide on obesity and non-alcoholic fatty liver disease with elevated liver enzymes in patients with type 2 diabetes. PMID 24823873</w:t>
      </w:r>
    </w:p>
    <w:p>
      <w:pPr>
        <w:numPr>
          <w:ilvl w:val="0"/>
          <w:numId w:val="1376"/>
        </w:numPr>
        <w:pStyle w:val="Compact"/>
      </w:pPr>
      <w:r>
        <w:t xml:space="preserve">2014 · Diamant M ·</w:t>
      </w:r>
      <w:r>
        <w:t xml:space="preserve"> </w:t>
      </w:r>
      <w:r>
        <w:rPr>
          <w:iCs/>
          <w:i/>
        </w:rPr>
        <w:t xml:space="preserve">Lancet Diabetes Endocrinol</w:t>
      </w:r>
      <w:r>
        <w:t xml:space="preserve"> </w:t>
      </w:r>
      <w:r>
        <w:t xml:space="preserve">· Exenatide once weekly versus insulin glargine for type 2 diabetes (DURATION-3): 3-year results of an open-label randomised trial. PMID 24731672</w:t>
      </w:r>
    </w:p>
    <w:p>
      <w:pPr>
        <w:numPr>
          <w:ilvl w:val="0"/>
          <w:numId w:val="1376"/>
        </w:numPr>
        <w:pStyle w:val="Compact"/>
      </w:pPr>
      <w:r>
        <w:t xml:space="preserve">2014 · Aviles-Olmos I ·</w:t>
      </w:r>
      <w:r>
        <w:t xml:space="preserve"> </w:t>
      </w:r>
      <w:r>
        <w:rPr>
          <w:iCs/>
          <w:i/>
        </w:rPr>
        <w:t xml:space="preserve">J Parkinsons Dis</w:t>
      </w:r>
      <w:r>
        <w:t xml:space="preserve"> </w:t>
      </w:r>
      <w:r>
        <w:t xml:space="preserve">· Motor and cognitive advantages persist 12 months after exenatide exposure in Parkinson’s disease. PMID 24662192</w:t>
      </w:r>
    </w:p>
    <w:p>
      <w:pPr>
        <w:numPr>
          <w:ilvl w:val="0"/>
          <w:numId w:val="1376"/>
        </w:numPr>
        <w:pStyle w:val="Compact"/>
      </w:pPr>
      <w:r>
        <w:t xml:space="preserve">2014 · Henry RR ·</w:t>
      </w:r>
      <w:r>
        <w:t xml:space="preserve"> </w:t>
      </w:r>
      <w:r>
        <w:rPr>
          <w:iCs/>
          <w:i/>
        </w:rPr>
        <w:t xml:space="preserve">J Diabetes Complications</w:t>
      </w:r>
      <w:r>
        <w:t xml:space="preserve"> </w:t>
      </w:r>
      <w:r>
        <w:t xml:space="preserve">· Continuous subcutaneous delivery of exenatide via ITCA 650 leads to sustained glycemic control and weight loss for 48 weeks in metformin-treated subjects with type 2 diabetes. PMID 24631129</w:t>
      </w:r>
    </w:p>
    <w:p>
      <w:pPr>
        <w:numPr>
          <w:ilvl w:val="0"/>
          <w:numId w:val="1376"/>
        </w:numPr>
        <w:pStyle w:val="Compact"/>
      </w:pPr>
      <w:r>
        <w:t xml:space="preserve">2014 · Buse JB ·</w:t>
      </w:r>
      <w:r>
        <w:t xml:space="preserve"> </w:t>
      </w:r>
      <w:r>
        <w:rPr>
          <w:iCs/>
          <w:i/>
        </w:rPr>
        <w:t xml:space="preserve">Curr Med Res Opin</w:t>
      </w:r>
      <w:r>
        <w:t xml:space="preserve"> </w:t>
      </w:r>
      <w:r>
        <w:t xml:space="preserve">· Addition of exenatide BID to insulin glargine: a post-hoc analysis of the effect on glycemia and weight across a range of insulin titration. PMID 24621255</w:t>
      </w:r>
    </w:p>
    <w:p>
      <w:pPr>
        <w:numPr>
          <w:ilvl w:val="0"/>
          <w:numId w:val="1376"/>
        </w:numPr>
        <w:pStyle w:val="Compact"/>
      </w:pPr>
      <w:r>
        <w:t xml:space="preserve">2014 · Lønborg J ·</w:t>
      </w:r>
      <w:r>
        <w:t xml:space="preserve"> </w:t>
      </w:r>
      <w:r>
        <w:rPr>
          <w:iCs/>
          <w:i/>
        </w:rPr>
        <w:t xml:space="preserve">Diabetes</w:t>
      </w:r>
      <w:r>
        <w:t xml:space="preserve"> </w:t>
      </w:r>
      <w:r>
        <w:t xml:space="preserve">· Impact of acute hyperglycemia on myocardial infarct size, area at risk, and salvage in patients with STEMI and the association with exenatide treatment: results from a randomized study. PMID 24584550</w:t>
      </w:r>
    </w:p>
    <w:p>
      <w:pPr>
        <w:numPr>
          <w:ilvl w:val="0"/>
          <w:numId w:val="1376"/>
        </w:numPr>
        <w:pStyle w:val="Compact"/>
      </w:pPr>
      <w:r>
        <w:t xml:space="preserve">2014 · Ishøy PL ·</w:t>
      </w:r>
      <w:r>
        <w:t xml:space="preserve"> </w:t>
      </w:r>
      <w:r>
        <w:rPr>
          <w:iCs/>
          <w:i/>
        </w:rPr>
        <w:t xml:space="preserve">BMJ Open</w:t>
      </w:r>
      <w:r>
        <w:t xml:space="preserve"> </w:t>
      </w:r>
      <w:r>
        <w:t xml:space="preserve">· Treatment of antipsychotic-associated obesity with a GLP-1 receptor agonist–protocol for an investigator-initiated prospective, randomised, placebo-controlled, double-blinded intervention study: the TAO study protocol. PMID 24401727</w:t>
      </w:r>
    </w:p>
    <w:p>
      <w:pPr>
        <w:numPr>
          <w:ilvl w:val="0"/>
          <w:numId w:val="1376"/>
        </w:numPr>
        <w:pStyle w:val="Compact"/>
      </w:pPr>
      <w:r>
        <w:t xml:space="preserve">2014 · Gu N ·</w:t>
      </w:r>
      <w:r>
        <w:t xml:space="preserve"> </w:t>
      </w:r>
      <w:r>
        <w:rPr>
          <w:iCs/>
          <w:i/>
        </w:rPr>
        <w:t xml:space="preserve">Clin Ther</w:t>
      </w:r>
      <w:r>
        <w:t xml:space="preserve"> </w:t>
      </w:r>
      <w:r>
        <w:t xml:space="preserve">· Pharmacokinetic properties and effects of PT302 after repeated oral glucose loading tests in a dose-escalating study. PMID 24373998</w:t>
      </w:r>
    </w:p>
    <w:p>
      <w:pPr>
        <w:numPr>
          <w:ilvl w:val="0"/>
          <w:numId w:val="1376"/>
        </w:numPr>
        <w:pStyle w:val="Compact"/>
      </w:pPr>
      <w:r>
        <w:t xml:space="preserve">2014 · Arakaki RF ·</w:t>
      </w:r>
      <w:r>
        <w:t xml:space="preserve"> </w:t>
      </w:r>
      <w:r>
        <w:rPr>
          <w:iCs/>
          <w:i/>
        </w:rPr>
        <w:t xml:space="preserve">Diabetes Obes Metab</w:t>
      </w:r>
      <w:r>
        <w:t xml:space="preserve"> </w:t>
      </w:r>
      <w:r>
        <w:t xml:space="preserve">· Comparison of insulin lispro protamine suspension versus insulin glargine once daily added to oral antihyperglycaemic medications and exenatide in type 2 diabetes: a prospective randomized open-label trial. PMID 24298995</w:t>
      </w:r>
    </w:p>
    <w:p>
      <w:pPr>
        <w:numPr>
          <w:ilvl w:val="0"/>
          <w:numId w:val="1376"/>
        </w:numPr>
        <w:pStyle w:val="Compact"/>
      </w:pPr>
      <w:r>
        <w:t xml:space="preserve">2014 · Sarkar G ·</w:t>
      </w:r>
      <w:r>
        <w:t xml:space="preserve"> </w:t>
      </w:r>
      <w:r>
        <w:rPr>
          <w:iCs/>
          <w:i/>
        </w:rPr>
        <w:t xml:space="preserve">Diabetes Care</w:t>
      </w:r>
      <w:r>
        <w:t xml:space="preserve"> </w:t>
      </w:r>
      <w:r>
        <w:t xml:space="preserve">· Exenatide treatment for 6 months improves insulin sensitivity in adults with type 1 diabetes. PMID 24194508</w:t>
      </w:r>
    </w:p>
    <w:p>
      <w:pPr>
        <w:numPr>
          <w:ilvl w:val="0"/>
          <w:numId w:val="1376"/>
        </w:numPr>
        <w:pStyle w:val="Compact"/>
      </w:pPr>
      <w:r>
        <w:t xml:space="preserve">2014 · Ghazi T ·</w:t>
      </w:r>
      <w:r>
        <w:t xml:space="preserve"> </w:t>
      </w:r>
      <w:r>
        <w:rPr>
          <w:iCs/>
          <w:i/>
        </w:rPr>
        <w:t xml:space="preserve">Diabetes Care</w:t>
      </w:r>
      <w:r>
        <w:t xml:space="preserve"> </w:t>
      </w:r>
      <w:r>
        <w:t xml:space="preserve">· Acute metabolic effects of exenatide in patients with type 1 diabetes with and without residual insulin to oral and intravenous glucose challenges. PMID 23939544</w:t>
      </w:r>
    </w:p>
    <w:p>
      <w:pPr>
        <w:numPr>
          <w:ilvl w:val="0"/>
          <w:numId w:val="1376"/>
        </w:numPr>
        <w:pStyle w:val="Compact"/>
      </w:pPr>
      <w:r>
        <w:t xml:space="preserve">2014 · Gastaldelli A ·</w:t>
      </w:r>
      <w:r>
        <w:t xml:space="preserve"> </w:t>
      </w:r>
      <w:r>
        <w:rPr>
          <w:iCs/>
          <w:i/>
        </w:rPr>
        <w:t xml:space="preserve">Diabetes Obes Metab</w:t>
      </w:r>
      <w:r>
        <w:t xml:space="preserve"> </w:t>
      </w:r>
      <w:r>
        <w:t xml:space="preserve">· A direct comparison of long- and short-acting GLP-1 receptor agonists (taspoglutide once weekly and exenatide twice daily) on postprandial metabolism after 24 weeks of treatment. PMID 23911196</w:t>
      </w:r>
    </w:p>
    <w:p>
      <w:pPr>
        <w:numPr>
          <w:ilvl w:val="0"/>
          <w:numId w:val="1376"/>
        </w:numPr>
        <w:pStyle w:val="Compact"/>
      </w:pPr>
      <w:r>
        <w:t xml:space="preserve">2014 · Gastaldelli A ·</w:t>
      </w:r>
      <w:r>
        <w:t xml:space="preserve"> </w:t>
      </w:r>
      <w:r>
        <w:rPr>
          <w:iCs/>
          <w:i/>
        </w:rPr>
        <w:t xml:space="preserve">Clin Endocrinol (Oxf)</w:t>
      </w:r>
      <w:r>
        <w:t xml:space="preserve"> </w:t>
      </w:r>
      <w:r>
        <w:t xml:space="preserve">· The effect of chronic twice daily exenatide treatment on β-cell function in new onset type 2 diabetes. PMID 23574529</w:t>
      </w:r>
    </w:p>
    <w:p>
      <w:pPr>
        <w:numPr>
          <w:ilvl w:val="0"/>
          <w:numId w:val="1376"/>
        </w:numPr>
        <w:pStyle w:val="Compact"/>
      </w:pPr>
      <w:r>
        <w:t xml:space="preserve">2013 · Fan H ·</w:t>
      </w:r>
      <w:r>
        <w:t xml:space="preserve"> </w:t>
      </w:r>
      <w:r>
        <w:rPr>
          <w:iCs/>
          <w:i/>
        </w:rPr>
        <w:t xml:space="preserve">Arq Bras Endocrinol Metabol</w:t>
      </w:r>
      <w:r>
        <w:t xml:space="preserve"> </w:t>
      </w:r>
      <w:r>
        <w:t xml:space="preserve">· Exenatide improves type 2 diabetes concomitant with non-alcoholic fatty liver disease. PMID 24402015</w:t>
      </w:r>
    </w:p>
    <w:p>
      <w:pPr>
        <w:numPr>
          <w:ilvl w:val="0"/>
          <w:numId w:val="1376"/>
        </w:numPr>
        <w:pStyle w:val="Compact"/>
      </w:pPr>
      <w:r>
        <w:t xml:space="preserve">2013 · Matyjaszek-Matuszek B ·</w:t>
      </w:r>
      <w:r>
        <w:t xml:space="preserve"> </w:t>
      </w:r>
      <w:r>
        <w:rPr>
          <w:iCs/>
          <w:i/>
        </w:rPr>
        <w:t xml:space="preserve">Endokrynol Pol</w:t>
      </w:r>
      <w:r>
        <w:t xml:space="preserve"> </w:t>
      </w:r>
      <w:r>
        <w:t xml:space="preserve">· Exenatide twice daily versus insulin glargine for the treatment of type 2 diabetes in Poland - subgroup data from a randomised multinational trial GWAA. PMID 24186595</w:t>
      </w:r>
    </w:p>
    <w:p>
      <w:pPr>
        <w:numPr>
          <w:ilvl w:val="0"/>
          <w:numId w:val="1376"/>
        </w:numPr>
        <w:pStyle w:val="Compact"/>
      </w:pPr>
      <w:r>
        <w:t xml:space="preserve">2013 · Grimm M ·</w:t>
      </w:r>
      <w:r>
        <w:t xml:space="preserve"> </w:t>
      </w:r>
      <w:r>
        <w:rPr>
          <w:iCs/>
          <w:i/>
        </w:rPr>
        <w:t xml:space="preserve">Postgrad Med</w:t>
      </w:r>
      <w:r>
        <w:t xml:space="preserve"> </w:t>
      </w:r>
      <w:r>
        <w:t xml:space="preserve">· Exenatide once weekly versus daily basal insulin as add-on treatment to metformin with or without a sulfonylurea: a retrospective pooled analysis in patients with poor glycemic control. PMID 24113668</w:t>
      </w:r>
    </w:p>
    <w:p>
      <w:pPr>
        <w:numPr>
          <w:ilvl w:val="0"/>
          <w:numId w:val="1376"/>
        </w:numPr>
        <w:pStyle w:val="Compact"/>
      </w:pPr>
      <w:r>
        <w:t xml:space="preserve">2013 · Daly SC ·</w:t>
      </w:r>
      <w:r>
        <w:t xml:space="preserve"> </w:t>
      </w:r>
      <w:r>
        <w:rPr>
          <w:iCs/>
          <w:i/>
        </w:rPr>
        <w:t xml:space="preserve">Int J Stroke</w:t>
      </w:r>
      <w:r>
        <w:t xml:space="preserve"> </w:t>
      </w:r>
      <w:r>
        <w:t xml:space="preserve">· Exenatide in acute ischemic stroke. PMID 24024920</w:t>
      </w:r>
    </w:p>
    <w:p>
      <w:pPr>
        <w:numPr>
          <w:ilvl w:val="0"/>
          <w:numId w:val="1376"/>
        </w:numPr>
        <w:pStyle w:val="Compact"/>
      </w:pPr>
      <w:r>
        <w:t xml:space="preserve">2013 · Derosa G ·</w:t>
      </w:r>
      <w:r>
        <w:t xml:space="preserve"> </w:t>
      </w:r>
      <w:r>
        <w:rPr>
          <w:iCs/>
          <w:i/>
        </w:rPr>
        <w:t xml:space="preserve">Can J Physiol Pharmacol</w:t>
      </w:r>
      <w:r>
        <w:t xml:space="preserve"> </w:t>
      </w:r>
      <w:r>
        <w:t xml:space="preserve">· Effects of exenatide and metformin in combination on some adipocytokine levels: a comparison with metformin monotherapy. PMID 23984793</w:t>
      </w:r>
    </w:p>
    <w:p>
      <w:pPr>
        <w:numPr>
          <w:ilvl w:val="0"/>
          <w:numId w:val="1376"/>
        </w:numPr>
        <w:pStyle w:val="Compact"/>
      </w:pPr>
      <w:r>
        <w:t xml:space="preserve">2013 · Woo JS ·</w:t>
      </w:r>
      <w:r>
        <w:t xml:space="preserve"> </w:t>
      </w:r>
      <w:r>
        <w:rPr>
          <w:iCs/>
          <w:i/>
        </w:rPr>
        <w:t xml:space="preserve">Arterioscler Thromb Vasc Biol</w:t>
      </w:r>
      <w:r>
        <w:t xml:space="preserve"> </w:t>
      </w:r>
      <w:r>
        <w:t xml:space="preserve">· Cardioprotective effects of exenatide in patients with ST-segment-elevation myocardial infarction undergoing primary percutaneous coronary intervention: results of exenatide myocardial protection in revascularization study. PMID 23868944</w:t>
      </w:r>
    </w:p>
    <w:p>
      <w:pPr>
        <w:numPr>
          <w:ilvl w:val="0"/>
          <w:numId w:val="1376"/>
        </w:numPr>
        <w:pStyle w:val="Compact"/>
      </w:pPr>
      <w:r>
        <w:t xml:space="preserve">2013 · Malloy J ·</w:t>
      </w:r>
      <w:r>
        <w:t xml:space="preserve"> </w:t>
      </w:r>
      <w:r>
        <w:rPr>
          <w:iCs/>
          <w:i/>
        </w:rPr>
        <w:t xml:space="preserve">Postgrad Med</w:t>
      </w:r>
      <w:r>
        <w:t xml:space="preserve"> </w:t>
      </w:r>
      <w:r>
        <w:t xml:space="preserve">· Efficacy and tolerability of exenatide once weekly versus sitagliptin in patients with type 2 diabetes mellitus: a retrospective analysis of pooled clinical trial data. PMID 23748507</w:t>
      </w:r>
    </w:p>
    <w:p>
      <w:pPr>
        <w:numPr>
          <w:ilvl w:val="0"/>
          <w:numId w:val="1376"/>
        </w:numPr>
        <w:pStyle w:val="Compact"/>
      </w:pPr>
      <w:r>
        <w:t xml:space="preserve">2013 · Grimm M ·</w:t>
      </w:r>
      <w:r>
        <w:t xml:space="preserve"> </w:t>
      </w:r>
      <w:r>
        <w:rPr>
          <w:iCs/>
          <w:i/>
        </w:rPr>
        <w:t xml:space="preserve">Postgrad Med</w:t>
      </w:r>
      <w:r>
        <w:t xml:space="preserve"> </w:t>
      </w:r>
      <w:r>
        <w:t xml:space="preserve">· Efficacy, safety, and tolerability of exenatide once weekly in patients with type 2 diabetes mellitus: an integrated analysis of the DURATION trials. PMID 23748506</w:t>
      </w:r>
    </w:p>
    <w:p>
      <w:pPr>
        <w:numPr>
          <w:ilvl w:val="0"/>
          <w:numId w:val="1376"/>
        </w:numPr>
        <w:pStyle w:val="Compact"/>
      </w:pPr>
      <w:r>
        <w:t xml:space="preserve">2013 · Derosa G ·</w:t>
      </w:r>
      <w:r>
        <w:t xml:space="preserve"> </w:t>
      </w:r>
      <w:r>
        <w:rPr>
          <w:iCs/>
          <w:i/>
        </w:rPr>
        <w:t xml:space="preserve">Pharmacotherapy</w:t>
      </w:r>
      <w:r>
        <w:t xml:space="preserve"> </w:t>
      </w:r>
      <w:r>
        <w:t xml:space="preserve">· Variation in inflammatory markers and glycemic parameters after 12 months of exenatide plus metformin treatment compared with metformin alone: a randomized placebo-controlled trial. PMID 23744726</w:t>
      </w:r>
    </w:p>
    <w:p>
      <w:pPr>
        <w:numPr>
          <w:ilvl w:val="0"/>
          <w:numId w:val="1376"/>
        </w:numPr>
        <w:pStyle w:val="Compact"/>
      </w:pPr>
      <w:r>
        <w:t xml:space="preserve">2013 · Aviles-Olmos I ·</w:t>
      </w:r>
      <w:r>
        <w:t xml:space="preserve"> </w:t>
      </w:r>
      <w:r>
        <w:rPr>
          <w:iCs/>
          <w:i/>
        </w:rPr>
        <w:t xml:space="preserve">J Clin Invest</w:t>
      </w:r>
      <w:r>
        <w:t xml:space="preserve"> </w:t>
      </w:r>
      <w:r>
        <w:t xml:space="preserve">· Exenatide and the treatment of patients with Parkinson’s disease. PMID 23728174</w:t>
      </w:r>
    </w:p>
    <w:p>
      <w:pPr>
        <w:numPr>
          <w:ilvl w:val="0"/>
          <w:numId w:val="1376"/>
        </w:numPr>
        <w:pStyle w:val="Compact"/>
      </w:pPr>
      <w:r>
        <w:t xml:space="preserve">2013 · Liang Z ·</w:t>
      </w:r>
      <w:r>
        <w:t xml:space="preserve"> </w:t>
      </w:r>
      <w:r>
        <w:rPr>
          <w:iCs/>
          <w:i/>
        </w:rPr>
        <w:t xml:space="preserve">Diabetes Res Clin Pract</w:t>
      </w:r>
      <w:r>
        <w:t xml:space="preserve"> </w:t>
      </w:r>
      <w:r>
        <w:t xml:space="preserve">· Effect of laparoscopic Roux-en-Y gastric bypass surgery on type 2 diabetes mellitus with hypertension: a randomized controlled trial. PMID 23706413</w:t>
      </w:r>
    </w:p>
    <w:p>
      <w:pPr>
        <w:numPr>
          <w:ilvl w:val="0"/>
          <w:numId w:val="1376"/>
        </w:numPr>
        <w:pStyle w:val="Compact"/>
      </w:pPr>
      <w:r>
        <w:t xml:space="preserve">2013 · Rosenstock J ·</w:t>
      </w:r>
      <w:r>
        <w:t xml:space="preserve"> </w:t>
      </w:r>
      <w:r>
        <w:rPr>
          <w:iCs/>
          <w:i/>
        </w:rPr>
        <w:t xml:space="preserve">Diabetes Care</w:t>
      </w:r>
      <w:r>
        <w:t xml:space="preserve"> </w:t>
      </w:r>
      <w:r>
        <w:t xml:space="preserve">· Efficacy and safety of lixisenatide once daily versus exenatide twice daily in type 2 diabetes inadequately controlled on metformin: a 24-week, randomized, open-label, active-controlled study (GetGoal-X). PMID 23698396</w:t>
      </w:r>
    </w:p>
    <w:p>
      <w:pPr>
        <w:numPr>
          <w:ilvl w:val="0"/>
          <w:numId w:val="1376"/>
        </w:numPr>
        <w:pStyle w:val="Compact"/>
      </w:pPr>
      <w:r>
        <w:t xml:space="preserve">2013 · Henry RR ·</w:t>
      </w:r>
      <w:r>
        <w:t xml:space="preserve"> </w:t>
      </w:r>
      <w:r>
        <w:rPr>
          <w:iCs/>
          <w:i/>
        </w:rPr>
        <w:t xml:space="preserve">Diabetes Care</w:t>
      </w:r>
      <w:r>
        <w:t xml:space="preserve"> </w:t>
      </w:r>
      <w:r>
        <w:t xml:space="preserve">· Randomized trial of continuous subcutaneous delivery of exenatide by ITCA 650 versus twice-daily exenatide injections in metformin-treated type 2 diabetes. PMID 23645886</w:t>
      </w:r>
    </w:p>
    <w:p>
      <w:pPr>
        <w:numPr>
          <w:ilvl w:val="0"/>
          <w:numId w:val="1376"/>
        </w:numPr>
        <w:pStyle w:val="Compact"/>
      </w:pPr>
      <w:r>
        <w:t xml:space="preserve">2013 · Karagianni P ·</w:t>
      </w:r>
      <w:r>
        <w:t xml:space="preserve"> </w:t>
      </w:r>
      <w:r>
        <w:rPr>
          <w:iCs/>
          <w:i/>
        </w:rPr>
        <w:t xml:space="preserve">Adv Med Sci</w:t>
      </w:r>
      <w:r>
        <w:t xml:space="preserve"> </w:t>
      </w:r>
      <w:r>
        <w:t xml:space="preserve">· Comparative efficacy of exenatide versus insulin glargine on glycemic control in type 2 diabetes mellitus patients inadequately treated with metformin monotherapy. PMID 23640946</w:t>
      </w:r>
    </w:p>
    <w:p>
      <w:pPr>
        <w:numPr>
          <w:ilvl w:val="0"/>
          <w:numId w:val="1376"/>
        </w:numPr>
        <w:pStyle w:val="Compact"/>
      </w:pPr>
      <w:r>
        <w:t xml:space="preserve">2013 · Henry RR ·</w:t>
      </w:r>
      <w:r>
        <w:t xml:space="preserve"> </w:t>
      </w:r>
      <w:r>
        <w:rPr>
          <w:iCs/>
          <w:i/>
        </w:rPr>
        <w:t xml:space="preserve">Clin Ther</w:t>
      </w:r>
      <w:r>
        <w:t xml:space="preserve"> </w:t>
      </w:r>
      <w:r>
        <w:t xml:space="preserve">· A randomized, open-label, multicenter, 4-week study to evaluate the tolerability and pharmacokinetics of ITCA 650 in patients with type 2 diabetes. PMID 23578605</w:t>
      </w:r>
    </w:p>
    <w:p>
      <w:pPr>
        <w:numPr>
          <w:ilvl w:val="0"/>
          <w:numId w:val="1376"/>
        </w:numPr>
        <w:pStyle w:val="Compact"/>
      </w:pPr>
      <w:r>
        <w:t xml:space="preserve">2013 · Meloni AR ·</w:t>
      </w:r>
      <w:r>
        <w:t xml:space="preserve"> </w:t>
      </w:r>
      <w:r>
        <w:rPr>
          <w:iCs/>
          <w:i/>
        </w:rPr>
        <w:t xml:space="preserve">Cardiovasc Diabetol</w:t>
      </w:r>
      <w:r>
        <w:t xml:space="preserve"> </w:t>
      </w:r>
      <w:r>
        <w:t xml:space="preserve">· Treatment of patients with type 2 diabetes with exenatide once weekly versus oral glucose-lowering medications or insulin glargine: achievement of glycemic and cardiovascular goals. PMID 23522121</w:t>
      </w:r>
    </w:p>
    <w:p>
      <w:pPr>
        <w:numPr>
          <w:ilvl w:val="0"/>
          <w:numId w:val="1376"/>
        </w:numPr>
        <w:pStyle w:val="Compact"/>
      </w:pPr>
      <w:r>
        <w:t xml:space="preserve">2013 · Hari Kumar KV ·</w:t>
      </w:r>
      <w:r>
        <w:t xml:space="preserve"> </w:t>
      </w:r>
      <w:r>
        <w:rPr>
          <w:iCs/>
          <w:i/>
        </w:rPr>
        <w:t xml:space="preserve">Diabetes Res Clin Pract</w:t>
      </w:r>
      <w:r>
        <w:t xml:space="preserve"> </w:t>
      </w:r>
      <w:r>
        <w:t xml:space="preserve">· Addition of exenatide or sitagliptin to insulin in new onset type 1 diabetes: a randomized, open label study. PMID 23490599</w:t>
      </w:r>
    </w:p>
    <w:p>
      <w:pPr>
        <w:numPr>
          <w:ilvl w:val="0"/>
          <w:numId w:val="1376"/>
        </w:numPr>
        <w:pStyle w:val="Compact"/>
      </w:pPr>
      <w:r>
        <w:t xml:space="preserve">2013 · Lu CH ·</w:t>
      </w:r>
      <w:r>
        <w:t xml:space="preserve"> </w:t>
      </w:r>
      <w:r>
        <w:rPr>
          <w:iCs/>
          <w:i/>
        </w:rPr>
        <w:t xml:space="preserve">J Formos Med Assoc</w:t>
      </w:r>
      <w:r>
        <w:t xml:space="preserve"> </w:t>
      </w:r>
      <w:r>
        <w:t xml:space="preserve">· Safety and efficacy of twice-daily exenatide in Taiwanese patients with inadequately controlled type 2 diabetes mellitus. PMID 23473527</w:t>
      </w:r>
    </w:p>
    <w:p>
      <w:pPr>
        <w:numPr>
          <w:ilvl w:val="0"/>
          <w:numId w:val="1376"/>
        </w:numPr>
        <w:pStyle w:val="Compact"/>
      </w:pPr>
      <w:r>
        <w:t xml:space="preserve">2013 · Schlögl H ·</w:t>
      </w:r>
      <w:r>
        <w:t xml:space="preserve"> </w:t>
      </w:r>
      <w:r>
        <w:rPr>
          <w:iCs/>
          <w:i/>
        </w:rPr>
        <w:t xml:space="preserve">Diabetes Care</w:t>
      </w:r>
      <w:r>
        <w:t xml:space="preserve"> </w:t>
      </w:r>
      <w:r>
        <w:t xml:space="preserve">· Exenatide-induced reduction in energy intake is associated with increase in hypothalamic connectivity. PMID 23462665</w:t>
      </w:r>
    </w:p>
    <w:p>
      <w:pPr>
        <w:numPr>
          <w:ilvl w:val="0"/>
          <w:numId w:val="1376"/>
        </w:numPr>
        <w:pStyle w:val="Compact"/>
      </w:pPr>
      <w:r>
        <w:t xml:space="preserve">2013 · Kelly AS ·</w:t>
      </w:r>
      <w:r>
        <w:t xml:space="preserve"> </w:t>
      </w:r>
      <w:r>
        <w:rPr>
          <w:iCs/>
          <w:i/>
        </w:rPr>
        <w:t xml:space="preserve">JAMA Pediatr</w:t>
      </w:r>
      <w:r>
        <w:t xml:space="preserve"> </w:t>
      </w:r>
      <w:r>
        <w:t xml:space="preserve">· The effect of glucagon-like peptide-1 receptor agonist therapy on body mass index in adolescents with severe obesity: a randomized, placebo-controlled, clinical trial. PMID 23380890</w:t>
      </w:r>
    </w:p>
    <w:p>
      <w:pPr>
        <w:numPr>
          <w:ilvl w:val="0"/>
          <w:numId w:val="1376"/>
        </w:numPr>
        <w:pStyle w:val="Compact"/>
      </w:pPr>
      <w:r>
        <w:t xml:space="preserve">2013 · Davies M ·</w:t>
      </w:r>
      <w:r>
        <w:t xml:space="preserve"> </w:t>
      </w:r>
      <w:r>
        <w:rPr>
          <w:iCs/>
          <w:i/>
        </w:rPr>
        <w:t xml:space="preserve">Diabetes Care</w:t>
      </w:r>
      <w:r>
        <w:t xml:space="preserve"> </w:t>
      </w:r>
      <w:r>
        <w:t xml:space="preserve">· Once-weekly exenatide versus once- or twice-daily insulin detemir: randomized, open-label, clinical trial of efficacy and safety in patients with type 2 diabetes treated with metformin alone or in combination with sulfonylureas. PMID 23275363</w:t>
      </w:r>
    </w:p>
    <w:p>
      <w:pPr>
        <w:numPr>
          <w:ilvl w:val="0"/>
          <w:numId w:val="1376"/>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6"/>
        </w:numPr>
        <w:pStyle w:val="Compact"/>
      </w:pPr>
      <w:r>
        <w:t xml:space="preserve">2013 · Rosenstock J ·</w:t>
      </w:r>
      <w:r>
        <w:t xml:space="preserve"> </w:t>
      </w:r>
      <w:r>
        <w:rPr>
          <w:iCs/>
          <w:i/>
        </w:rPr>
        <w:t xml:space="preserve">Diabetes Care</w:t>
      </w:r>
      <w:r>
        <w:t xml:space="preserve"> </w:t>
      </w:r>
      <w:r>
        <w:t xml:space="preserve">· The fate of taspoglutide, a weekly GLP-1 receptor agonist, versus twice-daily exenatide for type 2 diabetes: the T-emerge 2 trial. PMID 23139373</w:t>
      </w:r>
    </w:p>
    <w:p>
      <w:pPr>
        <w:numPr>
          <w:ilvl w:val="0"/>
          <w:numId w:val="1376"/>
        </w:numPr>
        <w:pStyle w:val="Compact"/>
      </w:pPr>
      <w:r>
        <w:t xml:space="preserve">2013 · Bernink FJ ·</w:t>
      </w:r>
      <w:r>
        <w:t xml:space="preserve"> </w:t>
      </w:r>
      <w:r>
        <w:rPr>
          <w:iCs/>
          <w:i/>
        </w:rPr>
        <w:t xml:space="preserve">Int J Cardiol</w:t>
      </w:r>
      <w:r>
        <w:t xml:space="preserve"> </w:t>
      </w:r>
      <w:r>
        <w:t xml:space="preserve">· Effect of additional treatment with EXenatide in patients with an Acute Myocardial Infarction: the EXAMI study. PMID 23084550</w:t>
      </w:r>
    </w:p>
    <w:p>
      <w:pPr>
        <w:numPr>
          <w:ilvl w:val="0"/>
          <w:numId w:val="1376"/>
        </w:numPr>
        <w:pStyle w:val="Compact"/>
      </w:pPr>
      <w:r>
        <w:t xml:space="preserve">2013 · Darpö B ·</w:t>
      </w:r>
      <w:r>
        <w:t xml:space="preserve"> </w:t>
      </w:r>
      <w:r>
        <w:rPr>
          <w:iCs/>
          <w:i/>
        </w:rPr>
        <w:t xml:space="preserve">Br J Clin Pharmacol</w:t>
      </w:r>
      <w:r>
        <w:t xml:space="preserve"> </w:t>
      </w:r>
      <w:r>
        <w:t xml:space="preserve">· Exenatide at therapeutic and supratherapeutic concentrations does not prolong the QTc interval in healthy subjects. PMID 22882281</w:t>
      </w:r>
    </w:p>
    <w:p>
      <w:pPr>
        <w:numPr>
          <w:ilvl w:val="0"/>
          <w:numId w:val="1376"/>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6"/>
        </w:numPr>
        <w:pStyle w:val="Compact"/>
      </w:pPr>
      <w:r>
        <w:t xml:space="preserve">2013 · Irace C ·</w:t>
      </w:r>
      <w:r>
        <w:t xml:space="preserve"> </w:t>
      </w:r>
      <w:r>
        <w:rPr>
          <w:iCs/>
          <w:i/>
        </w:rPr>
        <w:t xml:space="preserve">Diab Vasc Dis Res</w:t>
      </w:r>
      <w:r>
        <w:t xml:space="preserve"> </w:t>
      </w:r>
      <w:r>
        <w:t xml:space="preserve">· Exenatide improves endothelial function assessed by flow mediated dilation technique in subjects with type 2 diabetes: results from an observational research. PMID 22732108</w:t>
      </w:r>
    </w:p>
    <w:p>
      <w:pPr>
        <w:numPr>
          <w:ilvl w:val="0"/>
          <w:numId w:val="1376"/>
        </w:numPr>
        <w:pStyle w:val="Compact"/>
      </w:pPr>
      <w:r>
        <w:t xml:space="preserve">2013 · Idris I ·</w:t>
      </w:r>
      <w:r>
        <w:t xml:space="preserve"> </w:t>
      </w:r>
      <w:r>
        <w:rPr>
          <w:iCs/>
          <w:i/>
        </w:rPr>
        <w:t xml:space="preserve">J Sleep Res</w:t>
      </w:r>
      <w:r>
        <w:t xml:space="preserve"> </w:t>
      </w:r>
      <w:r>
        <w:t xml:space="preserve">· Exenatide improves excessive daytime sleepiness and wakefulness in obese patients with type 2 diabetes without obstructive sleep apnoea. PMID 22716195</w:t>
      </w:r>
    </w:p>
    <w:p>
      <w:pPr>
        <w:numPr>
          <w:ilvl w:val="0"/>
          <w:numId w:val="1376"/>
        </w:numPr>
        <w:pStyle w:val="Compact"/>
      </w:pPr>
      <w:r>
        <w:t xml:space="preserve">2012 · Chiquette E ·</w:t>
      </w:r>
      <w:r>
        <w:t xml:space="preserve"> </w:t>
      </w:r>
      <w:r>
        <w:rPr>
          <w:iCs/>
          <w:i/>
        </w:rPr>
        <w:t xml:space="preserve">Vasc Health Risk Manag</w:t>
      </w:r>
      <w:r>
        <w:t xml:space="preserve"> </w:t>
      </w:r>
      <w:r>
        <w:t xml:space="preserve">· Treatment with exenatide once weekly or twice daily for 30 weeks is associated with changes in several cardiovascular risk markers. PMID 23166441</w:t>
      </w:r>
    </w:p>
    <w:p>
      <w:pPr>
        <w:numPr>
          <w:ilvl w:val="0"/>
          <w:numId w:val="1376"/>
        </w:numPr>
        <w:pStyle w:val="Compact"/>
      </w:pPr>
      <w:r>
        <w:t xml:space="preserve">2012 · Shakhmatova EI ·</w:t>
      </w:r>
      <w:r>
        <w:t xml:space="preserve"> </w:t>
      </w:r>
      <w:r>
        <w:rPr>
          <w:iCs/>
          <w:i/>
        </w:rPr>
        <w:t xml:space="preserve">Ross Fiziol Zh Im I M Sechenova</w:t>
      </w:r>
      <w:r>
        <w:t xml:space="preserve"> </w:t>
      </w:r>
      <w:r>
        <w:t xml:space="preserve">· [Exenatide stimulated solute-free water excretion by human kidney]. PMID 23155627</w:t>
      </w:r>
    </w:p>
    <w:p>
      <w:pPr>
        <w:numPr>
          <w:ilvl w:val="0"/>
          <w:numId w:val="1376"/>
        </w:numPr>
        <w:pStyle w:val="Compact"/>
      </w:pPr>
      <w:r>
        <w:t xml:space="preserve">2012 · Norwood P ·</w:t>
      </w:r>
      <w:r>
        <w:t xml:space="preserve"> </w:t>
      </w:r>
      <w:r>
        <w:rPr>
          <w:iCs/>
          <w:i/>
        </w:rPr>
        <w:t xml:space="preserve">Clin Ther</w:t>
      </w:r>
      <w:r>
        <w:t xml:space="preserve"> </w:t>
      </w:r>
      <w:r>
        <w:t xml:space="preserve">· Safety of exenatide once weekly in patients with type 2 diabetes mellitus treated with a thiazolidinedione alone or in combination with metformin for 2 years. PMID 23031623</w:t>
      </w:r>
    </w:p>
    <w:p>
      <w:pPr>
        <w:numPr>
          <w:ilvl w:val="0"/>
          <w:numId w:val="1376"/>
        </w:numPr>
        <w:pStyle w:val="Compact"/>
      </w:pPr>
      <w:r>
        <w:t xml:space="preserve">2012 · Keller J ·</w:t>
      </w:r>
      <w:r>
        <w:t xml:space="preserve"> </w:t>
      </w:r>
      <w:r>
        <w:rPr>
          <w:iCs/>
          <w:i/>
        </w:rPr>
        <w:t xml:space="preserve">Regul Pept</w:t>
      </w:r>
      <w:r>
        <w:t xml:space="preserve"> </w:t>
      </w:r>
      <w:r>
        <w:t xml:space="preserve">· Effect of exenatide on cholecystokinin-induced gallbladder emptying in fasting healthy subjects. PMID 22960288</w:t>
      </w:r>
    </w:p>
    <w:p>
      <w:pPr>
        <w:numPr>
          <w:ilvl w:val="0"/>
          <w:numId w:val="1376"/>
        </w:numPr>
        <w:pStyle w:val="Compact"/>
      </w:pPr>
      <w:r>
        <w:t xml:space="preserve">2012 · Yuan GH ·</w:t>
      </w:r>
      <w:r>
        <w:t xml:space="preserve"> </w:t>
      </w:r>
      <w:r>
        <w:rPr>
          <w:iCs/>
          <w:i/>
        </w:rPr>
        <w:t xml:space="preserve">Chin Med J (Engl)</w:t>
      </w:r>
      <w:r>
        <w:t xml:space="preserve"> </w:t>
      </w:r>
      <w:r>
        <w:t xml:space="preserve">· Efficacy and tolerability of exenatide monotherapy in obese patients with newly diagnosed type 2 diabetes: a randomized, 26 weeks metformin-controlled, parallel-group study. PMID 22931974</w:t>
      </w:r>
    </w:p>
    <w:p>
      <w:pPr>
        <w:numPr>
          <w:ilvl w:val="0"/>
          <w:numId w:val="1376"/>
        </w:numPr>
        <w:pStyle w:val="Compact"/>
      </w:pPr>
      <w:r>
        <w:t xml:space="preserve">2012 · Inagaki N ·</w:t>
      </w:r>
      <w:r>
        <w:t xml:space="preserve"> </w:t>
      </w:r>
      <w:r>
        <w:rPr>
          <w:iCs/>
          <w:i/>
        </w:rPr>
        <w:t xml:space="preserve">Clin Ther</w:t>
      </w:r>
      <w:r>
        <w:t xml:space="preserve"> </w:t>
      </w:r>
      <w:r>
        <w:t xml:space="preserve">· Efficacy and safety profile of exenatide once weekly compared with insulin once daily in Japanese patients with type 2 diabetes treated with oral antidiabetes drug(s): results from a 26-week, randomized, open-label, parallel-group, multicenter, noninferiority study. PMID 22884767</w:t>
      </w:r>
    </w:p>
    <w:p>
      <w:pPr>
        <w:numPr>
          <w:ilvl w:val="0"/>
          <w:numId w:val="1376"/>
        </w:numPr>
        <w:pStyle w:val="Compact"/>
      </w:pPr>
      <w:r>
        <w:t xml:space="preserve">2012 · Bradley DP ·</w:t>
      </w:r>
      <w:r>
        <w:t xml:space="preserve"> </w:t>
      </w:r>
      <w:r>
        <w:rPr>
          <w:iCs/>
          <w:i/>
        </w:rPr>
        <w:t xml:space="preserve">Appl Physiol Nutr Metab</w:t>
      </w:r>
      <w:r>
        <w:t xml:space="preserve"> </w:t>
      </w:r>
      <w:r>
        <w:t xml:space="preserve">· Alterations in energy balance following exenatide administration. PMID 22735035</w:t>
      </w:r>
    </w:p>
    <w:p>
      <w:pPr>
        <w:numPr>
          <w:ilvl w:val="0"/>
          <w:numId w:val="1376"/>
        </w:numPr>
        <w:pStyle w:val="Compact"/>
      </w:pPr>
      <w:r>
        <w:t xml:space="preserve">2012 · Zhang H ·</w:t>
      </w:r>
      <w:r>
        <w:t xml:space="preserve"> </w:t>
      </w:r>
      <w:r>
        <w:rPr>
          <w:iCs/>
          <w:i/>
        </w:rPr>
        <w:t xml:space="preserve">Kidney Blood Press Res</w:t>
      </w:r>
      <w:r>
        <w:t xml:space="preserve"> </w:t>
      </w:r>
      <w:r>
        <w:t xml:space="preserve">· Exenatide reduces urinary transforming growth factor-β1 and type IV collagen excretion in patients with type 2 diabetes and microalbuminuria. PMID 22687869</w:t>
      </w:r>
    </w:p>
    <w:p>
      <w:pPr>
        <w:numPr>
          <w:ilvl w:val="0"/>
          <w:numId w:val="1376"/>
        </w:numPr>
        <w:pStyle w:val="Compact"/>
      </w:pPr>
      <w:r>
        <w:t xml:space="preserve">2012 · Gallwitz B ·</w:t>
      </w:r>
      <w:r>
        <w:t xml:space="preserve"> </w:t>
      </w:r>
      <w:r>
        <w:rPr>
          <w:iCs/>
          <w:i/>
        </w:rPr>
        <w:t xml:space="preserve">Lancet</w:t>
      </w:r>
      <w:r>
        <w:t xml:space="preserve"> </w:t>
      </w:r>
      <w:r>
        <w:t xml:space="preserve">· Exenatide twice daily versus glimepiride for prevention of glycaemic deterioration in patients with type 2 diabetes with metformin failure (EUREXA): an open-label, randomised controlled trial. PMID 22683137</w:t>
      </w:r>
    </w:p>
    <w:p>
      <w:pPr>
        <w:numPr>
          <w:ilvl w:val="0"/>
          <w:numId w:val="1376"/>
        </w:numPr>
        <w:pStyle w:val="Compact"/>
      </w:pPr>
      <w:r>
        <w:t xml:space="preserve">2012 · Kelly AS ·</w:t>
      </w:r>
      <w:r>
        <w:t xml:space="preserve"> </w:t>
      </w:r>
      <w:r>
        <w:rPr>
          <w:iCs/>
          <w:i/>
        </w:rPr>
        <w:t xml:space="preserve">Cardiovasc Diabetol</w:t>
      </w:r>
      <w:r>
        <w:t xml:space="preserve"> </w:t>
      </w:r>
      <w:r>
        <w:t xml:space="preserve">· Effects of exenatide vs. metformin on endothelial function in obese patients with pre-diabetes: a randomized trial. PMID 22681705</w:t>
      </w:r>
    </w:p>
    <w:p>
      <w:pPr>
        <w:numPr>
          <w:ilvl w:val="0"/>
          <w:numId w:val="1376"/>
        </w:numPr>
        <w:pStyle w:val="Compact"/>
      </w:pPr>
      <w:r>
        <w:t xml:space="preserve">2012 · Iványi T ·</w:t>
      </w:r>
      <w:r>
        <w:t xml:space="preserve"> </w:t>
      </w:r>
      <w:r>
        <w:rPr>
          <w:iCs/>
          <w:i/>
        </w:rPr>
        <w:t xml:space="preserve">Clin Ther</w:t>
      </w:r>
      <w:r>
        <w:t xml:space="preserve"> </w:t>
      </w:r>
      <w:r>
        <w:t xml:space="preserve">· Long-term effects of adding exenatide to a regimen of metformin and/or sulfonylurea in type 2 diabetes: an uncontrolled, open-label trial in Hungary. PMID 22608106</w:t>
      </w:r>
    </w:p>
    <w:p>
      <w:pPr>
        <w:numPr>
          <w:ilvl w:val="0"/>
          <w:numId w:val="1376"/>
        </w:numPr>
        <w:pStyle w:val="Compact"/>
      </w:pPr>
      <w:r>
        <w:t xml:space="preserve">2012 · Gejl M ·</w:t>
      </w:r>
      <w:r>
        <w:t xml:space="preserve"> </w:t>
      </w:r>
      <w:r>
        <w:rPr>
          <w:iCs/>
          <w:i/>
        </w:rPr>
        <w:t xml:space="preserve">J Clin Endocrinol Metab</w:t>
      </w:r>
      <w:r>
        <w:t xml:space="preserve"> </w:t>
      </w:r>
      <w:r>
        <w:t xml:space="preserve">· Exenatide alters myocardial glucose transport and uptake depending on insulin resistance and increases myocardial blood flow in patients with type 2 diabetes. PMID 22544917</w:t>
      </w:r>
    </w:p>
    <w:p>
      <w:pPr>
        <w:numPr>
          <w:ilvl w:val="0"/>
          <w:numId w:val="1376"/>
        </w:numPr>
        <w:pStyle w:val="Compact"/>
      </w:pPr>
      <w:r>
        <w:t xml:space="preserve">2012 · Derosa G ·</w:t>
      </w:r>
      <w:r>
        <w:t xml:space="preserve"> </w:t>
      </w:r>
      <w:r>
        <w:rPr>
          <w:iCs/>
          <w:i/>
        </w:rPr>
        <w:t xml:space="preserve">Diabet Med</w:t>
      </w:r>
      <w:r>
        <w:t xml:space="preserve"> </w:t>
      </w:r>
      <w:r>
        <w:t xml:space="preserve">· Exenatide plus metformin compared with metformin alone on β-cell function in patients with Type 2 diabetes. PMID 22540883</w:t>
      </w:r>
    </w:p>
    <w:p>
      <w:pPr>
        <w:numPr>
          <w:ilvl w:val="0"/>
          <w:numId w:val="1376"/>
        </w:numPr>
        <w:pStyle w:val="Compact"/>
      </w:pPr>
      <w:r>
        <w:t xml:space="preserve">2012 · Paul S ·</w:t>
      </w:r>
      <w:r>
        <w:t xml:space="preserve"> </w:t>
      </w:r>
      <w:r>
        <w:rPr>
          <w:iCs/>
          <w:i/>
        </w:rPr>
        <w:t xml:space="preserve">Diabetes Obes Metab</w:t>
      </w:r>
      <w:r>
        <w:t xml:space="preserve"> </w:t>
      </w:r>
      <w:r>
        <w:t xml:space="preserve">· Effects of HbA1c and weight reduction on blood pressure in patients with type 2 diabetes mellitus treated with exenatide*. PMID 22510305</w:t>
      </w:r>
    </w:p>
    <w:p>
      <w:pPr>
        <w:numPr>
          <w:ilvl w:val="0"/>
          <w:numId w:val="1376"/>
        </w:numPr>
        <w:pStyle w:val="Compact"/>
      </w:pPr>
      <w:r>
        <w:t xml:space="preserve">2012 · Lønborg J ·</w:t>
      </w:r>
      <w:r>
        <w:t xml:space="preserve"> </w:t>
      </w:r>
      <w:r>
        <w:rPr>
          <w:iCs/>
          <w:i/>
        </w:rPr>
        <w:t xml:space="preserve">Circ Cardiovasc Interv</w:t>
      </w:r>
      <w:r>
        <w:t xml:space="preserve"> </w:t>
      </w:r>
      <w:r>
        <w:t xml:space="preserve">· Exenatide reduces final infarct size in patients with ST-segment-elevation myocardial infarction and short-duration of ischemia. PMID 22496084</w:t>
      </w:r>
    </w:p>
    <w:p>
      <w:pPr>
        <w:numPr>
          <w:ilvl w:val="0"/>
          <w:numId w:val="1376"/>
        </w:numPr>
        <w:pStyle w:val="Compact"/>
      </w:pPr>
      <w:r>
        <w:t xml:space="preserve">2012 · Xiao C ·</w:t>
      </w:r>
      <w:r>
        <w:t xml:space="preserve"> </w:t>
      </w:r>
      <w:r>
        <w:rPr>
          <w:iCs/>
          <w:i/>
        </w:rPr>
        <w:t xml:space="preserve">Arterioscler Thromb Vasc Biol</w:t>
      </w:r>
      <w:r>
        <w:t xml:space="preserve"> </w:t>
      </w:r>
      <w:r>
        <w:t xml:space="preserve">· Exenatide, a glucagon-like peptide-1 receptor agonist, acutely inhibits intestinal lipoprotein production in healthy humans. PMID 22492091</w:t>
      </w:r>
    </w:p>
    <w:p>
      <w:pPr>
        <w:numPr>
          <w:ilvl w:val="0"/>
          <w:numId w:val="1376"/>
        </w:numPr>
        <w:pStyle w:val="Compact"/>
      </w:pPr>
      <w:r>
        <w:t xml:space="preserve">2012 · Rosenstock J ·</w:t>
      </w:r>
      <w:r>
        <w:t xml:space="preserve"> </w:t>
      </w:r>
      <w:r>
        <w:rPr>
          <w:iCs/>
          <w:i/>
        </w:rPr>
        <w:t xml:space="preserve">Diabetes Care</w:t>
      </w:r>
      <w:r>
        <w:t xml:space="preserve"> </w:t>
      </w:r>
      <w:r>
        <w:t xml:space="preserve">· Baseline factors associated with glycemic control and weight loss when exenatide twice daily is added to optimized insulin glargine in patients with type 2 diabetes. PMID 22432107</w:t>
      </w:r>
    </w:p>
    <w:p>
      <w:pPr>
        <w:numPr>
          <w:ilvl w:val="0"/>
          <w:numId w:val="1376"/>
        </w:numPr>
        <w:pStyle w:val="Compact"/>
      </w:pPr>
      <w:r>
        <w:t xml:space="preserve">2012 · Kothare PA ·</w:t>
      </w:r>
      <w:r>
        <w:t xml:space="preserve"> </w:t>
      </w:r>
      <w:r>
        <w:rPr>
          <w:iCs/>
          <w:i/>
        </w:rPr>
        <w:t xml:space="preserve">BMC Clin Pharmacol</w:t>
      </w:r>
      <w:r>
        <w:t xml:space="preserve"> </w:t>
      </w:r>
      <w:r>
        <w:t xml:space="preserve">· Effect of exenatide on the pharmacokinetics of a combination oral contraceptive in healthy women: an open-label, randomised, crossover trial. PMID 22429273</w:t>
      </w:r>
    </w:p>
    <w:p>
      <w:pPr>
        <w:numPr>
          <w:ilvl w:val="0"/>
          <w:numId w:val="1376"/>
        </w:numPr>
        <w:pStyle w:val="Compact"/>
      </w:pPr>
      <w:r>
        <w:t xml:space="preserve">2012 · Violante R ·</w:t>
      </w:r>
      <w:r>
        <w:t xml:space="preserve"> </w:t>
      </w:r>
      <w:r>
        <w:rPr>
          <w:iCs/>
          <w:i/>
        </w:rPr>
        <w:t xml:space="preserve">Diabet Med</w:t>
      </w:r>
      <w:r>
        <w:t xml:space="preserve"> </w:t>
      </w:r>
      <w:r>
        <w:t xml:space="preserve">· A randomized non-inferiority study comparing the addition of exenatide twice daily to sitagliptin or switching from sitagliptin to exenatide twice daily in patients with type 2 diabetes experiencing inadequate glycaemic control on metformin and sitagliptin. PMID 22375612</w:t>
      </w:r>
    </w:p>
    <w:p>
      <w:pPr>
        <w:numPr>
          <w:ilvl w:val="0"/>
          <w:numId w:val="1376"/>
        </w:numPr>
        <w:pStyle w:val="Compact"/>
      </w:pPr>
      <w:r>
        <w:t xml:space="preserve">2012 · Diamant M ·</w:t>
      </w:r>
      <w:r>
        <w:t xml:space="preserve"> </w:t>
      </w:r>
      <w:r>
        <w:rPr>
          <w:iCs/>
          <w:i/>
        </w:rPr>
        <w:t xml:space="preserve">Diabetes Care</w:t>
      </w:r>
      <w:r>
        <w:t xml:space="preserve"> </w:t>
      </w:r>
      <w:r>
        <w:t xml:space="preserve">· Safety and efficacy of once-weekly exenatide compared with insulin glargine titrated to target in patients with type 2 diabetes over 84 weeks. PMID 22357185</w:t>
      </w:r>
    </w:p>
    <w:p>
      <w:pPr>
        <w:numPr>
          <w:ilvl w:val="0"/>
          <w:numId w:val="1376"/>
        </w:numPr>
        <w:pStyle w:val="Compact"/>
      </w:pPr>
      <w:r>
        <w:t xml:space="preserve">2012 · Yoon SB ·</w:t>
      </w:r>
      <w:r>
        <w:t xml:space="preserve"> </w:t>
      </w:r>
      <w:r>
        <w:rPr>
          <w:iCs/>
          <w:i/>
        </w:rPr>
        <w:t xml:space="preserve">Digestion</w:t>
      </w:r>
      <w:r>
        <w:t xml:space="preserve"> </w:t>
      </w:r>
      <w:r>
        <w:t xml:space="preserve">· The effect of exenatide and erythromycin on postprandial symptoms and their relation to gastric functions. PMID 22354133</w:t>
      </w:r>
    </w:p>
    <w:p>
      <w:pPr>
        <w:numPr>
          <w:ilvl w:val="0"/>
          <w:numId w:val="1376"/>
        </w:numPr>
        <w:pStyle w:val="Compact"/>
      </w:pPr>
      <w:r>
        <w:t xml:space="preserve">2012 · Shi S ·</w:t>
      </w:r>
      <w:r>
        <w:t xml:space="preserve"> </w:t>
      </w:r>
      <w:r>
        <w:rPr>
          <w:iCs/>
          <w:i/>
        </w:rPr>
        <w:t xml:space="preserve">Arzneimittelforschung</w:t>
      </w:r>
      <w:r>
        <w:t xml:space="preserve"> </w:t>
      </w:r>
      <w:r>
        <w:t xml:space="preserve">· Pharmacokinetics, pharmacodynamics, and tolerability of a generic formulation of exenatide: a randomized, open-label, single- and multiple-dose study in healthy Chinese volunteers. PMID 22344551</w:t>
      </w:r>
    </w:p>
    <w:p>
      <w:pPr>
        <w:numPr>
          <w:ilvl w:val="0"/>
          <w:numId w:val="1376"/>
        </w:numPr>
        <w:pStyle w:val="Compact"/>
      </w:pPr>
      <w:r>
        <w:t xml:space="preserve">2012 · Mendis B ·</w:t>
      </w:r>
      <w:r>
        <w:t xml:space="preserve"> </w:t>
      </w:r>
      <w:r>
        <w:rPr>
          <w:iCs/>
          <w:i/>
        </w:rPr>
        <w:t xml:space="preserve">Br J Clin Pharmacol</w:t>
      </w:r>
      <w:r>
        <w:t xml:space="preserve"> </w:t>
      </w:r>
      <w:r>
        <w:t xml:space="preserve">· Investigation of the haemodynamic effects of exenatide in healthy male subjects. PMID 22320349</w:t>
      </w:r>
    </w:p>
    <w:p>
      <w:pPr>
        <w:numPr>
          <w:ilvl w:val="0"/>
          <w:numId w:val="1376"/>
        </w:numPr>
        <w:pStyle w:val="Compact"/>
      </w:pPr>
      <w:r>
        <w:t xml:space="preserve">2012 · Nathanson D ·</w:t>
      </w:r>
      <w:r>
        <w:t xml:space="preserve"> </w:t>
      </w:r>
      <w:r>
        <w:rPr>
          <w:iCs/>
          <w:i/>
        </w:rPr>
        <w:t xml:space="preserve">Diabetologia</w:t>
      </w:r>
      <w:r>
        <w:t xml:space="preserve"> </w:t>
      </w:r>
      <w:r>
        <w:t xml:space="preserve">· Effects of intravenous exenatide in type 2 diabetic patients with congestive heart failure: a double-blind, randomised controlled clinical trial of efficacy and safety. PMID 22246377</w:t>
      </w:r>
    </w:p>
    <w:p>
      <w:pPr>
        <w:numPr>
          <w:ilvl w:val="0"/>
          <w:numId w:val="1376"/>
        </w:numPr>
        <w:pStyle w:val="Compact"/>
      </w:pPr>
      <w:r>
        <w:t xml:space="preserve">2012 · Levin P ·</w:t>
      </w:r>
      <w:r>
        <w:t xml:space="preserve"> </w:t>
      </w:r>
      <w:r>
        <w:rPr>
          <w:iCs/>
          <w:i/>
        </w:rPr>
        <w:t xml:space="preserve">Curr Med Res Opin</w:t>
      </w:r>
      <w:r>
        <w:t xml:space="preserve"> </w:t>
      </w:r>
      <w:r>
        <w:t xml:space="preserve">· Combination therapy with insulin glargine and exenatide: real-world outcomes in patients with type 2 diabetes. PMID 22216894</w:t>
      </w:r>
    </w:p>
    <w:p>
      <w:pPr>
        <w:numPr>
          <w:ilvl w:val="0"/>
          <w:numId w:val="1376"/>
        </w:numPr>
        <w:pStyle w:val="Compact"/>
      </w:pPr>
      <w:r>
        <w:t xml:space="preserve">2012 · Russell-Jones D ·</w:t>
      </w:r>
      <w:r>
        <w:t xml:space="preserve"> </w:t>
      </w:r>
      <w:r>
        <w:rPr>
          <w:iCs/>
          <w:i/>
        </w:rPr>
        <w:t xml:space="preserve">Diabetes Care</w:t>
      </w:r>
      <w:r>
        <w:t xml:space="preserve"> </w:t>
      </w:r>
      <w:r>
        <w:t xml:space="preserve">· Efficacy and safety of exenatide once weekly versus metformin, pioglitazone, and sitagliptin used as monotherapy in drug-naive patients with type 2 diabetes (DURATION-4): a 26-week double-blind study. PMID 22210563</w:t>
      </w:r>
    </w:p>
    <w:p>
      <w:pPr>
        <w:numPr>
          <w:ilvl w:val="0"/>
          <w:numId w:val="1376"/>
        </w:numPr>
        <w:pStyle w:val="Compact"/>
      </w:pPr>
      <w:r>
        <w:t xml:space="preserve">2012 · Pujante Alarcón P ·</w:t>
      </w:r>
      <w:r>
        <w:t xml:space="preserve"> </w:t>
      </w:r>
      <w:r>
        <w:rPr>
          <w:iCs/>
          <w:i/>
        </w:rPr>
        <w:t xml:space="preserve">Med Clin (Barc)</w:t>
      </w:r>
      <w:r>
        <w:t xml:space="preserve"> </w:t>
      </w:r>
      <w:r>
        <w:t xml:space="preserve">· [Metabolic control and weight loss in patients with obesity and type 2 diabetes mellitus, treated with exenatide]. PMID 22209597</w:t>
      </w:r>
    </w:p>
    <w:p>
      <w:pPr>
        <w:numPr>
          <w:ilvl w:val="0"/>
          <w:numId w:val="1376"/>
        </w:numPr>
        <w:pStyle w:val="Compact"/>
      </w:pPr>
      <w:r>
        <w:t xml:space="preserve">2012 · Ha SJ ·</w:t>
      </w:r>
      <w:r>
        <w:t xml:space="preserve"> </w:t>
      </w:r>
      <w:r>
        <w:rPr>
          <w:iCs/>
          <w:i/>
        </w:rPr>
        <w:t xml:space="preserve">Arterioscler Thromb Vasc Biol</w:t>
      </w:r>
      <w:r>
        <w:t xml:space="preserve"> </w:t>
      </w:r>
      <w:r>
        <w:t xml:space="preserve">· Preventive effects of exenatide on endothelial dysfunction induced by ischemia-reperfusion injury via KATP channels. PMID 22155457</w:t>
      </w:r>
    </w:p>
    <w:p>
      <w:pPr>
        <w:numPr>
          <w:ilvl w:val="0"/>
          <w:numId w:val="1376"/>
        </w:numPr>
        <w:pStyle w:val="Compact"/>
      </w:pPr>
      <w:r>
        <w:t xml:space="preserve">2012 · Kelly AS ·</w:t>
      </w:r>
      <w:r>
        <w:t xml:space="preserve"> </w:t>
      </w:r>
      <w:r>
        <w:rPr>
          <w:iCs/>
          <w:i/>
        </w:rPr>
        <w:t xml:space="preserve">Obesity (Silver Spring)</w:t>
      </w:r>
      <w:r>
        <w:t xml:space="preserve"> </w:t>
      </w:r>
      <w:r>
        <w:t xml:space="preserve">· Exenatide as a weight-loss therapy in extreme pediatric obesity: a randomized, controlled pilot study. PMID 22076596</w:t>
      </w:r>
    </w:p>
    <w:p>
      <w:pPr>
        <w:numPr>
          <w:ilvl w:val="0"/>
          <w:numId w:val="1376"/>
        </w:numPr>
        <w:pStyle w:val="Compact"/>
      </w:pPr>
      <w:r>
        <w:t xml:space="preserve">2012 · Dushay J ·</w:t>
      </w:r>
      <w:r>
        <w:t xml:space="preserve"> </w:t>
      </w:r>
      <w:r>
        <w:rPr>
          <w:iCs/>
          <w:i/>
        </w:rPr>
        <w:t xml:space="preserve">Diabetes Care</w:t>
      </w:r>
      <w:r>
        <w:t xml:space="preserve"> </w:t>
      </w:r>
      <w:r>
        <w:t xml:space="preserve">· Short-term exenatide treatment leads to significant weight loss in a subset of obese women without diabetes. PMID 22040840</w:t>
      </w:r>
    </w:p>
    <w:p>
      <w:pPr>
        <w:numPr>
          <w:ilvl w:val="0"/>
          <w:numId w:val="1376"/>
        </w:numPr>
        <w:pStyle w:val="Compact"/>
      </w:pPr>
      <w:r>
        <w:t xml:space="preserve">2012 · Chaudhuri A ·</w:t>
      </w:r>
      <w:r>
        <w:t xml:space="preserve"> </w:t>
      </w:r>
      <w:r>
        <w:rPr>
          <w:iCs/>
          <w:i/>
        </w:rPr>
        <w:t xml:space="preserve">J Clin Endocrinol Metab</w:t>
      </w:r>
      <w:r>
        <w:t xml:space="preserve"> </w:t>
      </w:r>
      <w:r>
        <w:t xml:space="preserve">· Exenatide exerts a potent antiinflammatory effect. PMID 22013105</w:t>
      </w:r>
    </w:p>
    <w:p>
      <w:pPr>
        <w:numPr>
          <w:ilvl w:val="0"/>
          <w:numId w:val="1376"/>
        </w:numPr>
        <w:pStyle w:val="Compact"/>
      </w:pPr>
      <w:r>
        <w:t xml:space="preserve">2012 · Lønborg J ·</w:t>
      </w:r>
      <w:r>
        <w:t xml:space="preserve"> </w:t>
      </w:r>
      <w:r>
        <w:rPr>
          <w:iCs/>
          <w:i/>
        </w:rPr>
        <w:t xml:space="preserve">Eur Heart J</w:t>
      </w:r>
      <w:r>
        <w:t xml:space="preserve"> </w:t>
      </w:r>
      <w:r>
        <w:t xml:space="preserve">· Exenatide reduces reperfusion injury in patients with ST-segment elevation myocardial infarction. PMID 21920963</w:t>
      </w:r>
    </w:p>
    <w:p>
      <w:pPr>
        <w:numPr>
          <w:ilvl w:val="0"/>
          <w:numId w:val="1376"/>
        </w:numPr>
        <w:pStyle w:val="Compact"/>
      </w:pPr>
      <w:r>
        <w:t xml:space="preserve">2011 · Bergenstal RM ·</w:t>
      </w:r>
      <w:r>
        <w:t xml:space="preserve"> </w:t>
      </w:r>
      <w:r>
        <w:rPr>
          <w:iCs/>
          <w:i/>
        </w:rPr>
        <w:t xml:space="preserve">Curr Med Res Opin</w:t>
      </w:r>
      <w:r>
        <w:t xml:space="preserve"> </w:t>
      </w:r>
      <w:r>
        <w:t xml:space="preserve">· Exenatide BID Observational Study (ExOS): results for primary and secondary endpoints of a prospective research study to evaluate the clinical effectiveness of exenatide BID use in patients with type 2 diabetes in a real-world setting. PMID 22085180</w:t>
      </w:r>
    </w:p>
    <w:p>
      <w:pPr>
        <w:numPr>
          <w:ilvl w:val="0"/>
          <w:numId w:val="1376"/>
        </w:numPr>
        <w:pStyle w:val="Compact"/>
      </w:pPr>
      <w:r>
        <w:t xml:space="preserve">2011 · Scholte M ·</w:t>
      </w:r>
      <w:r>
        <w:t xml:space="preserve"> </w:t>
      </w:r>
      <w:r>
        <w:rPr>
          <w:iCs/>
          <w:i/>
        </w:rPr>
        <w:t xml:space="preserve">Trials</w:t>
      </w:r>
      <w:r>
        <w:t xml:space="preserve"> </w:t>
      </w:r>
      <w:r>
        <w:t xml:space="preserve">· Effect of additional treatment with EXenatide in patients with an Acute Myocardial Infarction (EXAMI): study protocol for a randomized controlled trial. PMID 22067476</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A thorough QT study to evaluate the effects of singledose exenatide 10 μg on cardiac repolarization in healthy subjects. PMID 21961484</w:t>
      </w:r>
    </w:p>
    <w:p>
      <w:pPr>
        <w:numPr>
          <w:ilvl w:val="0"/>
          <w:numId w:val="1376"/>
        </w:numPr>
        <w:pStyle w:val="Compact"/>
      </w:pPr>
      <w:r>
        <w:t xml:space="preserve">2011 · Samson SL ·</w:t>
      </w:r>
      <w:r>
        <w:t xml:space="preserve"> </w:t>
      </w:r>
      <w:r>
        <w:rPr>
          <w:iCs/>
          <w:i/>
        </w:rPr>
        <w:t xml:space="preserve">Diabetologia</w:t>
      </w:r>
      <w:r>
        <w:t xml:space="preserve"> </w:t>
      </w:r>
      <w:r>
        <w:t xml:space="preserve">· Exenatide decreases hepatic fibroblast growth factor 21 resistance in non-alcoholic fatty liver disease in a mouse model of obesity and in a randomised controlled trial. PMID 21956711</w:t>
      </w:r>
    </w:p>
    <w:p>
      <w:pPr>
        <w:numPr>
          <w:ilvl w:val="0"/>
          <w:numId w:val="1376"/>
        </w:numPr>
        <w:pStyle w:val="Compact"/>
      </w:pPr>
      <w:r>
        <w:t xml:space="preserve">2011 · Bunck MC ·</w:t>
      </w:r>
      <w:r>
        <w:t xml:space="preserve"> </w:t>
      </w:r>
      <w:r>
        <w:rPr>
          <w:iCs/>
          <w:i/>
        </w:rPr>
        <w:t xml:space="preserve">Diabetes Care</w:t>
      </w:r>
      <w:r>
        <w:t xml:space="preserve"> </w:t>
      </w:r>
      <w:r>
        <w:t xml:space="preserve">· Effects of exenatide on measures of β-cell function after 3 years in metformin-treated patients with type 2 diabetes. PMID 21868779</w:t>
      </w:r>
    </w:p>
    <w:p>
      <w:pPr>
        <w:numPr>
          <w:ilvl w:val="0"/>
          <w:numId w:val="1376"/>
        </w:numPr>
        <w:pStyle w:val="Compact"/>
      </w:pPr>
      <w:r>
        <w:t xml:space="preserve">2011 · Irace C ·</w:t>
      </w:r>
      <w:r>
        <w:t xml:space="preserve"> </w:t>
      </w:r>
      <w:r>
        <w:rPr>
          <w:iCs/>
          <w:i/>
        </w:rPr>
        <w:t xml:space="preserve">Diabetes Technol Ther</w:t>
      </w:r>
      <w:r>
        <w:t xml:space="preserve"> </w:t>
      </w:r>
      <w:r>
        <w:t xml:space="preserve">· Exenatide improves glycemic variability assessed by continuous glucose monitoring in subjects with type 2 diabetes. PMID 21751893</w:t>
      </w:r>
    </w:p>
    <w:p>
      <w:pPr>
        <w:numPr>
          <w:ilvl w:val="0"/>
          <w:numId w:val="1376"/>
        </w:numPr>
        <w:pStyle w:val="Compact"/>
      </w:pPr>
      <w:r>
        <w:t xml:space="preserve">2011 · Sathyanarayana P ·</w:t>
      </w:r>
      <w:r>
        <w:t xml:space="preserve"> </w:t>
      </w:r>
      <w:r>
        <w:rPr>
          <w:iCs/>
          <w:i/>
        </w:rPr>
        <w:t xml:space="preserve">Obesity (Silver Spring)</w:t>
      </w:r>
      <w:r>
        <w:t xml:space="preserve"> </w:t>
      </w:r>
      <w:r>
        <w:t xml:space="preserve">· Effects of combined exenatide and pioglitazone therapy on hepatic fat content in type 2 diabetes. PMID 21660077</w:t>
      </w:r>
    </w:p>
    <w:p>
      <w:pPr>
        <w:numPr>
          <w:ilvl w:val="0"/>
          <w:numId w:val="1376"/>
        </w:numPr>
        <w:pStyle w:val="Compact"/>
      </w:pPr>
      <w:r>
        <w:t xml:space="preserve">2011 · Derosa G ·</w:t>
      </w:r>
      <w:r>
        <w:t xml:space="preserve"> </w:t>
      </w:r>
      <w:r>
        <w:rPr>
          <w:iCs/>
          <w:i/>
        </w:rPr>
        <w:t xml:space="preserve">Eur J Pharmacol</w:t>
      </w:r>
      <w:r>
        <w:t xml:space="preserve"> </w:t>
      </w:r>
      <w:r>
        <w:t xml:space="preserve">· Exenatide or glimepiride added to metformin on metabolic control and on insulin resistance in type 2 diabetic patients. PMID 21645507</w:t>
      </w:r>
    </w:p>
    <w:p>
      <w:pPr>
        <w:numPr>
          <w:ilvl w:val="0"/>
          <w:numId w:val="1376"/>
        </w:numPr>
        <w:pStyle w:val="Compact"/>
      </w:pPr>
      <w:r>
        <w:t xml:space="preserve">2011 · Sze L ·</w:t>
      </w:r>
      <w:r>
        <w:t xml:space="preserve"> </w:t>
      </w:r>
      <w:r>
        <w:rPr>
          <w:iCs/>
          <w:i/>
        </w:rPr>
        <w:t xml:space="preserve">J Clin Endocrinol Metab</w:t>
      </w:r>
      <w:r>
        <w:t xml:space="preserve"> </w:t>
      </w:r>
      <w:r>
        <w:t xml:space="preserve">· Effects of a single dose of exenatide on appetite, gut hormones, and glucose homeostasis in adults with Prader-Willi syndrome. PMID 21632815</w:t>
      </w:r>
    </w:p>
    <w:p>
      <w:pPr>
        <w:numPr>
          <w:ilvl w:val="0"/>
          <w:numId w:val="1376"/>
        </w:numPr>
        <w:pStyle w:val="Compact"/>
      </w:pPr>
      <w:r>
        <w:t xml:space="preserve">2011 · Berg JK ·</w:t>
      </w:r>
      <w:r>
        <w:t xml:space="preserve"> </w:t>
      </w:r>
      <w:r>
        <w:rPr>
          <w:iCs/>
          <w:i/>
        </w:rPr>
        <w:t xml:space="preserve">Diabetes Obes Metab</w:t>
      </w:r>
      <w:r>
        <w:t xml:space="preserve"> </w:t>
      </w:r>
      <w:r>
        <w:t xml:space="preserve">· Effects of exenatide twice daily versus sitagliptin on 24-h glucose, glucoregulatory and hormonal measures: a randomized, double-blind, crossover study. PMID 21615670</w:t>
      </w:r>
    </w:p>
    <w:p>
      <w:pPr>
        <w:numPr>
          <w:ilvl w:val="0"/>
          <w:numId w:val="1376"/>
        </w:numPr>
        <w:pStyle w:val="Compact"/>
      </w:pPr>
      <w:r>
        <w:t xml:space="preserve">2011 · Grant P ·</w:t>
      </w:r>
      <w:r>
        <w:t xml:space="preserve"> </w:t>
      </w:r>
      <w:r>
        <w:rPr>
          <w:iCs/>
          <w:i/>
        </w:rPr>
        <w:t xml:space="preserve">J Diabetes Complications</w:t>
      </w:r>
      <w:r>
        <w:t xml:space="preserve"> </w:t>
      </w:r>
      <w:r>
        <w:t xml:space="preserve">· Psychological and quality of life changes in patients using GLP-1 analogues. PMID 21601480</w:t>
      </w:r>
    </w:p>
    <w:p>
      <w:pPr>
        <w:numPr>
          <w:ilvl w:val="0"/>
          <w:numId w:val="1376"/>
        </w:numPr>
        <w:pStyle w:val="Compact"/>
      </w:pPr>
      <w:r>
        <w:t xml:space="preserve">2011 · Fadini GP ·</w:t>
      </w:r>
      <w:r>
        <w:t xml:space="preserve"> </w:t>
      </w:r>
      <w:r>
        <w:rPr>
          <w:iCs/>
          <w:i/>
        </w:rPr>
        <w:t xml:space="preserve">Acta Diabetol</w:t>
      </w:r>
      <w:r>
        <w:t xml:space="preserve"> </w:t>
      </w:r>
      <w:r>
        <w:t xml:space="preserve">· The metabolic syndrome influences the response to incretin-based therapies. PMID 21574000</w:t>
      </w:r>
    </w:p>
    <w:p>
      <w:pPr>
        <w:numPr>
          <w:ilvl w:val="0"/>
          <w:numId w:val="1376"/>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6"/>
        </w:numPr>
        <w:pStyle w:val="Compact"/>
      </w:pPr>
      <w:r>
        <w:t xml:space="preserve">2011 · Wysham C ·</w:t>
      </w:r>
      <w:r>
        <w:t xml:space="preserve"> </w:t>
      </w:r>
      <w:r>
        <w:rPr>
          <w:iCs/>
          <w:i/>
        </w:rPr>
        <w:t xml:space="preserve">Diabet Med</w:t>
      </w:r>
      <w:r>
        <w:t xml:space="preserve"> </w:t>
      </w:r>
      <w:r>
        <w:t xml:space="preserve">· DURATION-2: efficacy and safety of switching from maximum daily sitagliptin or pioglitazone to once-weekly exenatide. PMID 21434995</w:t>
      </w:r>
    </w:p>
    <w:p>
      <w:pPr>
        <w:numPr>
          <w:ilvl w:val="0"/>
          <w:numId w:val="1376"/>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6"/>
        </w:numPr>
        <w:pStyle w:val="Compact"/>
      </w:pPr>
      <w:r>
        <w:t xml:space="preserve">2011 · Blevins T ·</w:t>
      </w:r>
      <w:r>
        <w:t xml:space="preserve"> </w:t>
      </w:r>
      <w:r>
        <w:rPr>
          <w:iCs/>
          <w:i/>
        </w:rPr>
        <w:t xml:space="preserve">J Clin Endocrinol Metab</w:t>
      </w:r>
      <w:r>
        <w:t xml:space="preserve"> </w:t>
      </w:r>
      <w:r>
        <w:t xml:space="preserve">· DURATION-5: exenatide once weekly resulted in greater improvements in glycemic control compared with exenatide twice daily in patients with type 2 diabetes. PMID 21307137</w:t>
      </w:r>
    </w:p>
    <w:p>
      <w:pPr>
        <w:numPr>
          <w:ilvl w:val="0"/>
          <w:numId w:val="1376"/>
        </w:numPr>
        <w:pStyle w:val="Compact"/>
      </w:pPr>
      <w:r>
        <w:t xml:space="preserve">2011 · Gallwitz B ·</w:t>
      </w:r>
      <w:r>
        <w:t xml:space="preserve"> </w:t>
      </w:r>
      <w:r>
        <w:rPr>
          <w:iCs/>
          <w:i/>
        </w:rPr>
        <w:t xml:space="preserve">Diabetes Care</w:t>
      </w:r>
      <w:r>
        <w:t xml:space="preserve"> </w:t>
      </w:r>
      <w:r>
        <w:t xml:space="preserve">· Exenatide twice daily versus premixed insulin aspart 70/30 in metformin-treated patients with type 2 diabetes: a randomized 26-week study on glycemic control and hypoglycemia. PMID 21285388</w:t>
      </w:r>
    </w:p>
    <w:p>
      <w:pPr>
        <w:numPr>
          <w:ilvl w:val="0"/>
          <w:numId w:val="1376"/>
        </w:numPr>
        <w:pStyle w:val="Compact"/>
      </w:pPr>
      <w:r>
        <w:t xml:space="preserve">2011 · Wu JD ·</w:t>
      </w:r>
      <w:r>
        <w:t xml:space="preserve"> </w:t>
      </w:r>
      <w:r>
        <w:rPr>
          <w:iCs/>
          <w:i/>
        </w:rPr>
        <w:t xml:space="preserve">Diabetes Technol Ther</w:t>
      </w:r>
      <w:r>
        <w:t xml:space="preserve"> </w:t>
      </w:r>
      <w:r>
        <w:t xml:space="preserve">· Effect of exenatide on inflammatory and oxidative stress markers in patients with type 2 diabetes mellitus. PMID 21284481</w:t>
      </w:r>
    </w:p>
    <w:p>
      <w:pPr>
        <w:numPr>
          <w:ilvl w:val="0"/>
          <w:numId w:val="1376"/>
        </w:numPr>
        <w:pStyle w:val="Compact"/>
      </w:pPr>
      <w:r>
        <w:t xml:space="preserve">2011 · Best JH ·</w:t>
      </w:r>
      <w:r>
        <w:t xml:space="preserve"> </w:t>
      </w:r>
      <w:r>
        <w:rPr>
          <w:iCs/>
          <w:i/>
        </w:rPr>
        <w:t xml:space="preserve">Diabetes Care</w:t>
      </w:r>
      <w:r>
        <w:t xml:space="preserve"> </w:t>
      </w:r>
      <w:r>
        <w:t xml:space="preserve">· Weight-related quality of life, health utility, psychological well-being, and satisfaction with exenatide once weekly compared with sitagliptin or pioglitazone after 26 weeks of treatment. PMID 21270189</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Exenatide - pharmacokinetics, pharmacodynamics, safety and tolerability in patients ≥ 75 years of age with Type 2 diabetes. PMID 21255526</w:t>
      </w:r>
    </w:p>
    <w:p>
      <w:pPr>
        <w:numPr>
          <w:ilvl w:val="0"/>
          <w:numId w:val="1376"/>
        </w:numPr>
        <w:pStyle w:val="Compact"/>
      </w:pPr>
      <w:r>
        <w:t xml:space="preserve">2011 · van Raalte DH ·</w:t>
      </w:r>
      <w:r>
        <w:t xml:space="preserve"> </w:t>
      </w:r>
      <w:r>
        <w:rPr>
          <w:iCs/>
          <w:i/>
        </w:rPr>
        <w:t xml:space="preserve">Diabetes Care</w:t>
      </w:r>
      <w:r>
        <w:t xml:space="preserve"> </w:t>
      </w:r>
      <w:r>
        <w:t xml:space="preserve">· Glucagon-like peptide-1 receptor agonist treatment prevents glucocorticoid-induced glucose intolerance and islet-cell dysfunction in humans. PMID 21216851</w:t>
      </w:r>
    </w:p>
    <w:p>
      <w:pPr>
        <w:numPr>
          <w:ilvl w:val="0"/>
          <w:numId w:val="1376"/>
        </w:numPr>
        <w:pStyle w:val="Compact"/>
      </w:pPr>
      <w:r>
        <w:t xml:space="preserve">2011 · Buse JB ·</w:t>
      </w:r>
      <w:r>
        <w:t xml:space="preserve"> </w:t>
      </w:r>
      <w:r>
        <w:rPr>
          <w:iCs/>
          <w:i/>
        </w:rPr>
        <w:t xml:space="preserve">Ann Intern Med</w:t>
      </w:r>
      <w:r>
        <w:t xml:space="preserve"> </w:t>
      </w:r>
      <w:r>
        <w:t xml:space="preserve">· Use of twice-daily exenatide in Basal insulin-treated patients with type 2 diabetes: a randomized, controlled trial. PMID 21138825</w:t>
      </w:r>
    </w:p>
    <w:p>
      <w:pPr>
        <w:numPr>
          <w:ilvl w:val="0"/>
          <w:numId w:val="1376"/>
        </w:numPr>
        <w:pStyle w:val="Compact"/>
      </w:pPr>
      <w:r>
        <w:t xml:space="preserve">2011 · González-Ortiz M ·</w:t>
      </w:r>
      <w:r>
        <w:t xml:space="preserve"> </w:t>
      </w:r>
      <w:r>
        <w:rPr>
          <w:iCs/>
          <w:i/>
        </w:rPr>
        <w:t xml:space="preserve">Metab Syndr Relat Disord</w:t>
      </w:r>
      <w:r>
        <w:t xml:space="preserve"> </w:t>
      </w:r>
      <w:r>
        <w:t xml:space="preserve">· Effect of exenatide on fat deposition and a metabolic profile in patients with metabolic syndrome. PMID 20874425</w:t>
      </w:r>
    </w:p>
    <w:p>
      <w:pPr>
        <w:numPr>
          <w:ilvl w:val="0"/>
          <w:numId w:val="1376"/>
        </w:numPr>
        <w:pStyle w:val="Compact"/>
      </w:pPr>
      <w:r>
        <w:t xml:space="preserve">2011 · Pinelli NR ·</w:t>
      </w:r>
      <w:r>
        <w:t xml:space="preserve"> </w:t>
      </w:r>
      <w:r>
        <w:rPr>
          <w:iCs/>
          <w:i/>
        </w:rPr>
        <w:t xml:space="preserve">J Clin Pharmacol</w:t>
      </w:r>
      <w:r>
        <w:t xml:space="preserve"> </w:t>
      </w:r>
      <w:r>
        <w:t xml:space="preserve">· Effect of administration time of exenatide on satiety responses, blood glucose, and adverse events in healthy volunteers. PMID 20484613</w:t>
      </w:r>
    </w:p>
    <w:p>
      <w:pPr>
        <w:numPr>
          <w:ilvl w:val="0"/>
          <w:numId w:val="1376"/>
        </w:numPr>
        <w:pStyle w:val="Compact"/>
      </w:pPr>
      <w:r>
        <w:t xml:space="preserve">2010 · Liutkus J ·</w:t>
      </w:r>
      <w:r>
        <w:t xml:space="preserve"> </w:t>
      </w:r>
      <w:r>
        <w:rPr>
          <w:iCs/>
          <w:i/>
        </w:rPr>
        <w:t xml:space="preserve">Diabetes Obes Metab</w:t>
      </w:r>
      <w:r>
        <w:t xml:space="preserve"> </w:t>
      </w:r>
      <w:r>
        <w:t xml:space="preserve">· A placebo-controlled trial of exenatide twice-daily added to thiazolidinediones alone or in combination with metformin. PMID 20977576</w:t>
      </w:r>
    </w:p>
    <w:p>
      <w:pPr>
        <w:numPr>
          <w:ilvl w:val="0"/>
          <w:numId w:val="1376"/>
        </w:numPr>
        <w:pStyle w:val="Compact"/>
      </w:pPr>
      <w:r>
        <w:t xml:space="preserve">2010 · Ellero C ·</w:t>
      </w:r>
      <w:r>
        <w:t xml:space="preserve"> </w:t>
      </w:r>
      <w:r>
        <w:rPr>
          <w:iCs/>
          <w:i/>
        </w:rPr>
        <w:t xml:space="preserve">Diabet Med</w:t>
      </w:r>
      <w:r>
        <w:t xml:space="preserve"> </w:t>
      </w:r>
      <w:r>
        <w:t xml:space="preserve">· Prophylactic use of anti-emetic medications reduced nausea and vomiting associated with exenatide treatment: a retrospective analysis of an open-label, parallel-group, single-dose study in healthy subjects. PMID 20854385</w:t>
      </w:r>
    </w:p>
    <w:p>
      <w:pPr>
        <w:numPr>
          <w:ilvl w:val="0"/>
          <w:numId w:val="1376"/>
        </w:numPr>
        <w:pStyle w:val="Compact"/>
      </w:pPr>
      <w:r>
        <w:t xml:space="preserve">2010 · Mecott GA ·</w:t>
      </w:r>
      <w:r>
        <w:t xml:space="preserve"> </w:t>
      </w:r>
      <w:r>
        <w:rPr>
          <w:iCs/>
          <w:i/>
        </w:rPr>
        <w:t xml:space="preserve">Crit Care</w:t>
      </w:r>
      <w:r>
        <w:t xml:space="preserve"> </w:t>
      </w:r>
      <w:r>
        <w:t xml:space="preserve">· The use of exenatide in severely burned pediatric patients. PMID 20701787</w:t>
      </w:r>
    </w:p>
    <w:p>
      <w:pPr>
        <w:numPr>
          <w:ilvl w:val="0"/>
          <w:numId w:val="1376"/>
        </w:numPr>
        <w:pStyle w:val="Compact"/>
      </w:pPr>
      <w:r>
        <w:t xml:space="preserve">2010 · Diamant M ·</w:t>
      </w:r>
      <w:r>
        <w:t xml:space="preserve"> </w:t>
      </w:r>
      <w:r>
        <w:rPr>
          <w:iCs/>
          <w:i/>
        </w:rPr>
        <w:t xml:space="preserve">Lancet</w:t>
      </w:r>
      <w:r>
        <w:t xml:space="preserve"> </w:t>
      </w:r>
      <w:r>
        <w:t xml:space="preserve">· Once weekly exenatide compared with insulin glargine titrated to target in patients with type 2 diabetes (DURATION-3): an open-label randomised trial. PMID 20609969</w:t>
      </w:r>
    </w:p>
    <w:p>
      <w:pPr>
        <w:numPr>
          <w:ilvl w:val="0"/>
          <w:numId w:val="1376"/>
        </w:numPr>
        <w:pStyle w:val="Compact"/>
      </w:pPr>
      <w:r>
        <w:t xml:space="preserve">2010 · Schernthaner G ·</w:t>
      </w:r>
      <w:r>
        <w:t xml:space="preserve"> </w:t>
      </w:r>
      <w:r>
        <w:rPr>
          <w:iCs/>
          <w:i/>
        </w:rPr>
        <w:t xml:space="preserve">Diabetes Metab</w:t>
      </w:r>
      <w:r>
        <w:t xml:space="preserve"> </w:t>
      </w:r>
      <w:r>
        <w:t xml:space="preserve">· Impact of postprandial and fasting glucose concentrations on HbA1c in patients with type 2 diabetes. PMID 20598608</w:t>
      </w:r>
    </w:p>
    <w:p>
      <w:pPr>
        <w:numPr>
          <w:ilvl w:val="0"/>
          <w:numId w:val="1376"/>
        </w:numPr>
        <w:pStyle w:val="Compact"/>
      </w:pPr>
      <w:r>
        <w:t xml:space="preserve">2010 · Bergenstal RM ·</w:t>
      </w:r>
      <w:r>
        <w:t xml:space="preserve"> </w:t>
      </w:r>
      <w:r>
        <w:rPr>
          <w:iCs/>
          <w:i/>
        </w:rPr>
        <w:t xml:space="preserve">Lancet</w:t>
      </w:r>
      <w:r>
        <w:t xml:space="preserve"> </w:t>
      </w:r>
      <w:r>
        <w:t xml:space="preserve">· Efficacy and safety of exenatide once weekly versus sitagliptin or pioglitazone as an adjunct to metformin for treatment of type 2 diabetes (DURATION-2): a randomised trial. PMID 20580422</w:t>
      </w:r>
    </w:p>
    <w:p>
      <w:pPr>
        <w:numPr>
          <w:ilvl w:val="0"/>
          <w:numId w:val="1376"/>
        </w:numPr>
        <w:pStyle w:val="Compact"/>
      </w:pPr>
      <w:r>
        <w:t xml:space="preserve">2010 · Schwartz EA ·</w:t>
      </w:r>
      <w:r>
        <w:t xml:space="preserve"> </w:t>
      </w:r>
      <w:r>
        <w:rPr>
          <w:iCs/>
          <w:i/>
        </w:rPr>
        <w:t xml:space="preserve">Atherosclerosis</w:t>
      </w:r>
      <w:r>
        <w:t xml:space="preserve"> </w:t>
      </w:r>
      <w:r>
        <w:t xml:space="preserve">· Exenatide suppresses postprandial elevations in lipids and lipoproteins in individuals with impaired glucose tolerance and recent onset type 2 diabetes mellitus. PMID 20557887</w:t>
      </w:r>
    </w:p>
    <w:p>
      <w:pPr>
        <w:numPr>
          <w:ilvl w:val="0"/>
          <w:numId w:val="1376"/>
        </w:numPr>
        <w:pStyle w:val="Compact"/>
      </w:pPr>
      <w:r>
        <w:t xml:space="preserve">2010 · Bunck MC ·</w:t>
      </w:r>
      <w:r>
        <w:t xml:space="preserve"> </w:t>
      </w:r>
      <w:r>
        <w:rPr>
          <w:iCs/>
          <w:i/>
        </w:rPr>
        <w:t xml:space="preserve">Atherosclerosis</w:t>
      </w:r>
      <w:r>
        <w:t xml:space="preserve"> </w:t>
      </w:r>
      <w:r>
        <w:t xml:space="preserve">· One-year treatment with exenatide vs. insulin glargine: effects on postprandial glycemia, lipid profiles, and oxidative stress. PMID 20494360</w:t>
      </w:r>
    </w:p>
    <w:p>
      <w:pPr>
        <w:numPr>
          <w:ilvl w:val="0"/>
          <w:numId w:val="1376"/>
        </w:numPr>
        <w:pStyle w:val="Compact"/>
      </w:pPr>
      <w:r>
        <w:t xml:space="preserve">2010 · Bunck MC ·</w:t>
      </w:r>
      <w:r>
        <w:t xml:space="preserve"> </w:t>
      </w:r>
      <w:r>
        <w:rPr>
          <w:iCs/>
          <w:i/>
        </w:rPr>
        <w:t xml:space="preserve">Diabetes Care</w:t>
      </w:r>
      <w:r>
        <w:t xml:space="preserve"> </w:t>
      </w:r>
      <w:r>
        <w:t xml:space="preserve">· Exenatide affects circulating cardiovascular risk biomarkers independently of changes in body composition. PMID 20424219</w:t>
      </w:r>
    </w:p>
    <w:p>
      <w:pPr>
        <w:numPr>
          <w:ilvl w:val="0"/>
          <w:numId w:val="1376"/>
        </w:numPr>
        <w:pStyle w:val="Compact"/>
      </w:pPr>
      <w:r>
        <w:t xml:space="preserve">2010 · Apovian CM ·</w:t>
      </w:r>
      <w:r>
        <w:t xml:space="preserve"> </w:t>
      </w:r>
      <w:r>
        <w:rPr>
          <w:iCs/>
          <w:i/>
        </w:rPr>
        <w:t xml:space="preserve">Am J Med</w:t>
      </w:r>
      <w:r>
        <w:t xml:space="preserve"> </w:t>
      </w:r>
      <w:r>
        <w:t xml:space="preserve">· Effects of exenatide combined with lifestyle modification in patients with type 2 diabetes. PMID 20399326</w:t>
      </w:r>
    </w:p>
    <w:p>
      <w:pPr>
        <w:numPr>
          <w:ilvl w:val="0"/>
          <w:numId w:val="1376"/>
        </w:numPr>
        <w:pStyle w:val="Compact"/>
      </w:pPr>
      <w:r>
        <w:t xml:space="preserve">2010 · Arnolds S ·</w:t>
      </w:r>
      <w:r>
        <w:t xml:space="preserve"> </w:t>
      </w:r>
      <w:r>
        <w:rPr>
          <w:iCs/>
          <w:i/>
        </w:rPr>
        <w:t xml:space="preserve">Diabetes Care</w:t>
      </w:r>
      <w:r>
        <w:t xml:space="preserve"> </w:t>
      </w:r>
      <w:r>
        <w:t xml:space="preserve">· Further improvement in postprandial glucose control with addition of exenatide or sitagliptin to combination therapy with insulin glargine and metformin: a proof-of-concept study. PMID 20357372</w:t>
      </w:r>
    </w:p>
    <w:p>
      <w:pPr>
        <w:numPr>
          <w:ilvl w:val="0"/>
          <w:numId w:val="1376"/>
        </w:numPr>
        <w:pStyle w:val="Compact"/>
      </w:pPr>
      <w:r>
        <w:t xml:space="preserve">2010 · Raman VS ·</w:t>
      </w:r>
      <w:r>
        <w:t xml:space="preserve"> </w:t>
      </w:r>
      <w:r>
        <w:rPr>
          <w:iCs/>
          <w:i/>
        </w:rPr>
        <w:t xml:space="preserve">Diabetes Care</w:t>
      </w:r>
      <w:r>
        <w:t xml:space="preserve"> </w:t>
      </w:r>
      <w:r>
        <w:t xml:space="preserve">· The role of adjunctive exenatide therapy in pediatric type 1 diabetes. PMID 20332358</w:t>
      </w:r>
    </w:p>
    <w:p>
      <w:pPr>
        <w:numPr>
          <w:ilvl w:val="0"/>
          <w:numId w:val="1376"/>
        </w:numPr>
        <w:pStyle w:val="Compact"/>
      </w:pPr>
      <w:r>
        <w:t xml:space="preserve">2010 · Rosenstock J ·</w:t>
      </w:r>
      <w:r>
        <w:t xml:space="preserve"> </w:t>
      </w:r>
      <w:r>
        <w:rPr>
          <w:iCs/>
          <w:i/>
        </w:rPr>
        <w:t xml:space="preserve">Diabetes Care</w:t>
      </w:r>
      <w:r>
        <w:t xml:space="preserve"> </w:t>
      </w:r>
      <w:r>
        <w:t xml:space="preserve">· Effects of exenatide and lifestyle modification on body weight and glucose tolerance in obese subjects with and without pre-diabetes. PMID 20332357</w:t>
      </w:r>
    </w:p>
    <w:p>
      <w:pPr>
        <w:numPr>
          <w:ilvl w:val="0"/>
          <w:numId w:val="1376"/>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6"/>
        </w:numPr>
        <w:pStyle w:val="Compact"/>
      </w:pPr>
      <w:r>
        <w:t xml:space="preserve">2010 · Buse JB ·</w:t>
      </w:r>
      <w:r>
        <w:t xml:space="preserve"> </w:t>
      </w:r>
      <w:r>
        <w:rPr>
          <w:iCs/>
          <w:i/>
        </w:rPr>
        <w:t xml:space="preserve">Diabetes Care</w:t>
      </w:r>
      <w:r>
        <w:t xml:space="preserve"> </w:t>
      </w:r>
      <w:r>
        <w:t xml:space="preserve">· DURATION-1: exenatide once weekly produces sustained glycemic control and weight loss over 52 weeks. PMID 20215461</w:t>
      </w:r>
    </w:p>
    <w:p>
      <w:pPr>
        <w:numPr>
          <w:ilvl w:val="0"/>
          <w:numId w:val="1376"/>
        </w:numPr>
        <w:pStyle w:val="Compact"/>
      </w:pPr>
      <w:r>
        <w:t xml:space="preserve">2010 · Koska J ·</w:t>
      </w:r>
      <w:r>
        <w:t xml:space="preserve"> </w:t>
      </w:r>
      <w:r>
        <w:rPr>
          <w:iCs/>
          <w:i/>
        </w:rPr>
        <w:t xml:space="preserve">Diabetes Care</w:t>
      </w:r>
      <w:r>
        <w:t xml:space="preserve"> </w:t>
      </w:r>
      <w:r>
        <w:t xml:space="preserve">· Improvement of postprandial endothelial function after a single dose of exenatide in individuals with impaired glucose tolerance and recent-onset type 2 diabetes. PMID 20200309</w:t>
      </w:r>
    </w:p>
    <w:p>
      <w:pPr>
        <w:numPr>
          <w:ilvl w:val="0"/>
          <w:numId w:val="1376"/>
        </w:numPr>
        <w:pStyle w:val="Compact"/>
      </w:pPr>
      <w:r>
        <w:t xml:space="preserve">2010 · Roubícek T ·</w:t>
      </w:r>
      <w:r>
        <w:t xml:space="preserve"> </w:t>
      </w:r>
      <w:r>
        <w:rPr>
          <w:iCs/>
          <w:i/>
        </w:rPr>
        <w:t xml:space="preserve">Vnitr Lek</w:t>
      </w:r>
      <w:r>
        <w:t xml:space="preserve"> </w:t>
      </w:r>
      <w:r>
        <w:t xml:space="preserve">· [The influence of 6-months treatment with exenatide on type 2 diabetes mellitus compensation, anthropometric and biochemical parameters]. PMID 20184107</w:t>
      </w:r>
    </w:p>
    <w:p>
      <w:pPr>
        <w:numPr>
          <w:ilvl w:val="0"/>
          <w:numId w:val="1376"/>
        </w:numPr>
        <w:pStyle w:val="Compact"/>
      </w:pPr>
      <w:r>
        <w:t xml:space="preserve">2010 · Derosa G ·</w:t>
      </w:r>
      <w:r>
        <w:t xml:space="preserve"> </w:t>
      </w:r>
      <w:r>
        <w:rPr>
          <w:iCs/>
          <w:i/>
        </w:rPr>
        <w:t xml:space="preserve">Diabetes Technol Ther</w:t>
      </w:r>
      <w:r>
        <w:t xml:space="preserve"> </w:t>
      </w:r>
      <w:r>
        <w:t xml:space="preserve">· Exenatide versus glibenclamide in patients with diabetes. PMID 20151774</w:t>
      </w:r>
    </w:p>
    <w:p>
      <w:pPr>
        <w:numPr>
          <w:ilvl w:val="0"/>
          <w:numId w:val="1376"/>
        </w:numPr>
        <w:pStyle w:val="Compact"/>
      </w:pPr>
      <w:r>
        <w:t xml:space="preserve">2010 · Gill A ·</w:t>
      </w:r>
      <w:r>
        <w:t xml:space="preserve"> </w:t>
      </w:r>
      <w:r>
        <w:rPr>
          <w:iCs/>
          <w:i/>
        </w:rPr>
        <w:t xml:space="preserve">Cardiovasc Diabetol</w:t>
      </w:r>
      <w:r>
        <w:t xml:space="preserve"> </w:t>
      </w:r>
      <w:r>
        <w:t xml:space="preserve">· Effect of exenatide on heart rate and blood pressure in subjects with type 2 diabetes mellitus: a double-blind, placebo-controlled, randomized pilot study. PMID 20109208</w:t>
      </w:r>
    </w:p>
    <w:p>
      <w:pPr>
        <w:numPr>
          <w:ilvl w:val="0"/>
          <w:numId w:val="1376"/>
        </w:numPr>
        <w:pStyle w:val="Compact"/>
      </w:pPr>
      <w:r>
        <w:t xml:space="preserve">2010 · DeFronzo RA ·</w:t>
      </w:r>
      <w:r>
        <w:t xml:space="preserve"> </w:t>
      </w:r>
      <w:r>
        <w:rPr>
          <w:iCs/>
          <w:i/>
        </w:rPr>
        <w:t xml:space="preserve">Diabetes Care</w:t>
      </w:r>
      <w:r>
        <w:t xml:space="preserve"> </w:t>
      </w:r>
      <w:r>
        <w:t xml:space="preserve">· Effects of exenatide plus rosiglitazone on beta-cell function and insulin sensitivity in subjects with type 2 diabetes on metformin. PMID 20107105</w:t>
      </w:r>
    </w:p>
    <w:p>
      <w:pPr>
        <w:numPr>
          <w:ilvl w:val="0"/>
          <w:numId w:val="1376"/>
        </w:numPr>
        <w:pStyle w:val="Compact"/>
      </w:pPr>
      <w:r>
        <w:t xml:space="preserve">2009 · Faradji RN ·</w:t>
      </w:r>
      <w:r>
        <w:t xml:space="preserve"> </w:t>
      </w:r>
      <w:r>
        <w:rPr>
          <w:iCs/>
          <w:i/>
        </w:rPr>
        <w:t xml:space="preserve">Cell Transplant</w:t>
      </w:r>
      <w:r>
        <w:t xml:space="preserve"> </w:t>
      </w:r>
      <w:r>
        <w:t xml:space="preserve">· Long-term metabolic and hormonal effects of exenatide on islet transplant recipients with allograft dysfunction. PMID 20003758</w:t>
      </w:r>
    </w:p>
    <w:p>
      <w:pPr>
        <w:numPr>
          <w:ilvl w:val="0"/>
          <w:numId w:val="1376"/>
        </w:numPr>
        <w:pStyle w:val="Compact"/>
      </w:pPr>
      <w:r>
        <w:t xml:space="preserve">2009 · Davies MJ ·</w:t>
      </w:r>
      <w:r>
        <w:t xml:space="preserve"> </w:t>
      </w:r>
      <w:r>
        <w:rPr>
          <w:iCs/>
          <w:i/>
        </w:rPr>
        <w:t xml:space="preserve">Diabetes Obes Metab</w:t>
      </w:r>
      <w:r>
        <w:t xml:space="preserve"> </w:t>
      </w:r>
      <w:r>
        <w:t xml:space="preserve">· Exenatide compared with long-acting insulin to achieve glycaemic control with minimal weight gain in patients with type 2 diabetes: results of the Helping Evaluate Exenatide in patients with diabetes compared with Long-Acting insulin (HEELA) study. PMID 19930005</w:t>
      </w:r>
    </w:p>
    <w:p>
      <w:pPr>
        <w:numPr>
          <w:ilvl w:val="0"/>
          <w:numId w:val="1376"/>
        </w:numPr>
        <w:pStyle w:val="Compact"/>
      </w:pPr>
      <w:r>
        <w:t xml:space="preserve">2009 · Linnebjerg H ·</w:t>
      </w:r>
      <w:r>
        <w:t xml:space="preserve"> </w:t>
      </w:r>
      <w:r>
        <w:rPr>
          <w:iCs/>
          <w:i/>
        </w:rPr>
        <w:t xml:space="preserve">Int J Clin Pharmacol Ther</w:t>
      </w:r>
      <w:r>
        <w:t xml:space="preserve"> </w:t>
      </w:r>
      <w:r>
        <w:t xml:space="preserve">· The effect of exenatide on lisinopril pharmacodynamics and pharmacokinetics in patients with hypertension. PMID 19840529</w:t>
      </w:r>
    </w:p>
    <w:p>
      <w:pPr>
        <w:numPr>
          <w:ilvl w:val="0"/>
          <w:numId w:val="1376"/>
        </w:numPr>
        <w:pStyle w:val="Compact"/>
      </w:pPr>
      <w:r>
        <w:t xml:space="preserve">2009 · Rother KI ·</w:t>
      </w:r>
      <w:r>
        <w:t xml:space="preserve"> </w:t>
      </w:r>
      <w:r>
        <w:rPr>
          <w:iCs/>
          <w:i/>
        </w:rPr>
        <w:t xml:space="preserve">Diabetes Care</w:t>
      </w:r>
      <w:r>
        <w:t xml:space="preserve"> </w:t>
      </w:r>
      <w:r>
        <w:t xml:space="preserve">· Effects of exenatide alone and in combination with daclizumab on beta-cell function in long-standing type 1 diabetes. PMID 19808924</w:t>
      </w:r>
    </w:p>
    <w:p>
      <w:pPr>
        <w:numPr>
          <w:ilvl w:val="0"/>
          <w:numId w:val="1376"/>
        </w:numPr>
        <w:pStyle w:val="Compact"/>
      </w:pPr>
      <w:r>
        <w:t xml:space="preserve">2009 · Iwamoto K ·</w:t>
      </w:r>
      <w:r>
        <w:t xml:space="preserve"> </w:t>
      </w:r>
      <w:r>
        <w:rPr>
          <w:iCs/>
          <w:i/>
        </w:rPr>
        <w:t xml:space="preserve">Endocr J</w:t>
      </w:r>
      <w:r>
        <w:t xml:space="preserve"> </w:t>
      </w:r>
      <w:r>
        <w:t xml:space="preserve">· Safety, tolerability, pharmacokinetics, and pharmacodynamics of exenatide once weekly in Japanese patients with type 2 diabetes. PMID 19706990</w:t>
      </w:r>
    </w:p>
    <w:p>
      <w:pPr>
        <w:numPr>
          <w:ilvl w:val="0"/>
          <w:numId w:val="1376"/>
        </w:numPr>
        <w:pStyle w:val="Compact"/>
      </w:pPr>
      <w:r>
        <w:t xml:space="preserve">2009 · Brändle M ·</w:t>
      </w:r>
      <w:r>
        <w:t xml:space="preserve"> </w:t>
      </w:r>
      <w:r>
        <w:rPr>
          <w:iCs/>
          <w:i/>
        </w:rPr>
        <w:t xml:space="preserve">Int J Clin Pharmacol Ther</w:t>
      </w:r>
      <w:r>
        <w:t xml:space="preserve"> </w:t>
      </w:r>
      <w:r>
        <w:t xml:space="preserve">· Exenatide versus insulin glargine: a cost-effectiveness evaluation in patients with Type 2 diabetes in Switzerland. PMID 19640359</w:t>
      </w:r>
    </w:p>
    <w:p>
      <w:pPr>
        <w:numPr>
          <w:ilvl w:val="0"/>
          <w:numId w:val="1376"/>
        </w:numPr>
        <w:pStyle w:val="Compact"/>
      </w:pPr>
      <w:r>
        <w:t xml:space="preserve">2009 · Rosenstock J ·</w:t>
      </w:r>
      <w:r>
        <w:t xml:space="preserve"> </w:t>
      </w:r>
      <w:r>
        <w:rPr>
          <w:iCs/>
          <w:i/>
        </w:rPr>
        <w:t xml:space="preserve">Diabetes Care</w:t>
      </w:r>
      <w:r>
        <w:t xml:space="preserve"> </w:t>
      </w:r>
      <w:r>
        <w:t xml:space="preserve">· Potential of albiglutide, a long-acting GLP-1 receptor agonist, in type 2 diabetes: a randomized controlled trial exploring weekly, biweekly, and monthly dosing. PMID 19592625</w:t>
      </w:r>
    </w:p>
    <w:p>
      <w:pPr>
        <w:numPr>
          <w:ilvl w:val="0"/>
          <w:numId w:val="1376"/>
        </w:numPr>
        <w:pStyle w:val="Compact"/>
      </w:pPr>
      <w:r>
        <w:t xml:space="preserve">2009 · Faludi P ·</w:t>
      </w:r>
      <w:r>
        <w:t xml:space="preserve"> </w:t>
      </w:r>
      <w:r>
        <w:rPr>
          <w:iCs/>
          <w:i/>
        </w:rPr>
        <w:t xml:space="preserve">Peptides</w:t>
      </w:r>
      <w:r>
        <w:t xml:space="preserve"> </w:t>
      </w:r>
      <w:r>
        <w:t xml:space="preserve">· The effect of exenatide re-exposure on safety and efficacy. PMID 19576255</w:t>
      </w:r>
    </w:p>
    <w:p>
      <w:pPr>
        <w:numPr>
          <w:ilvl w:val="0"/>
          <w:numId w:val="1376"/>
        </w:numPr>
        <w:pStyle w:val="Compact"/>
      </w:pPr>
      <w:r>
        <w:t xml:space="preserve">2009 · Best JH ·</w:t>
      </w:r>
      <w:r>
        <w:t xml:space="preserve"> </w:t>
      </w:r>
      <w:r>
        <w:rPr>
          <w:iCs/>
          <w:i/>
        </w:rPr>
        <w:t xml:space="preserve">Diabet Med</w:t>
      </w:r>
      <w:r>
        <w:t xml:space="preserve"> </w:t>
      </w:r>
      <w:r>
        <w:t xml:space="preserve">· Improved treatment satisfaction and weight-related quality of life with exenatide once weekly or twice daily. PMID 19573122</w:t>
      </w:r>
    </w:p>
    <w:p>
      <w:pPr>
        <w:numPr>
          <w:ilvl w:val="0"/>
          <w:numId w:val="1376"/>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6"/>
        </w:numPr>
        <w:pStyle w:val="Compact"/>
      </w:pPr>
      <w:r>
        <w:t xml:space="preserve">2009 · Mazze R ·</w:t>
      </w:r>
      <w:r>
        <w:t xml:space="preserve"> </w:t>
      </w:r>
      <w:r>
        <w:rPr>
          <w:iCs/>
          <w:i/>
        </w:rPr>
        <w:t xml:space="preserve">Endocr Pract</w:t>
      </w:r>
      <w:r>
        <w:t xml:space="preserve"> </w:t>
      </w:r>
      <w:r>
        <w:t xml:space="preserve">· Diurnal glucose patterns of exenatide once weekly: a 1-year study using continuous glucose monitoring with ambulatory glucose profile analysis. PMID 19454385</w:t>
      </w:r>
    </w:p>
    <w:p>
      <w:pPr>
        <w:numPr>
          <w:ilvl w:val="0"/>
          <w:numId w:val="1376"/>
        </w:numPr>
        <w:pStyle w:val="Compact"/>
      </w:pPr>
      <w:r>
        <w:t xml:space="preserve">2009 · Malloy J ·</w:t>
      </w:r>
      <w:r>
        <w:t xml:space="preserve"> </w:t>
      </w:r>
      <w:r>
        <w:rPr>
          <w:iCs/>
          <w:i/>
        </w:rPr>
        <w:t xml:space="preserve">Clin Ther</w:t>
      </w:r>
      <w:r>
        <w:t xml:space="preserve"> </w:t>
      </w:r>
      <w:r>
        <w:t xml:space="preserve">· Pharmacology and tolerability of a single dose of exenatide in adolescent patients with type 2 diabetes mellitus being treated with metformin: a randomized, placebo-controlled, single-blind, dose-escalation, crossover study. PMID 19446153</w:t>
      </w:r>
    </w:p>
    <w:p>
      <w:pPr>
        <w:numPr>
          <w:ilvl w:val="0"/>
          <w:numId w:val="1376"/>
        </w:numPr>
        <w:pStyle w:val="Compact"/>
      </w:pPr>
      <w:r>
        <w:t xml:space="preserve">2009 · Bergenstal R ·</w:t>
      </w:r>
      <w:r>
        <w:t xml:space="preserve"> </w:t>
      </w:r>
      <w:r>
        <w:rPr>
          <w:iCs/>
          <w:i/>
        </w:rPr>
        <w:t xml:space="preserve">Curr Med Res Opin</w:t>
      </w:r>
      <w:r>
        <w:t xml:space="preserve"> </w:t>
      </w:r>
      <w:r>
        <w:t xml:space="preserve">· Efficacy and safety of biphasic insulin aspart 70/30 versus exenatide in subjects with type 2 diabetes failing to achieve glycemic control with metformin and a sulfonylurea. PMID 19210140</w:t>
      </w:r>
    </w:p>
    <w:p>
      <w:pPr>
        <w:numPr>
          <w:ilvl w:val="0"/>
          <w:numId w:val="1376"/>
        </w:numPr>
        <w:pStyle w:val="Compact"/>
      </w:pPr>
      <w:r>
        <w:t xml:space="preserve">2009 · Bunck MC ·</w:t>
      </w:r>
      <w:r>
        <w:t xml:space="preserve"> </w:t>
      </w:r>
      <w:r>
        <w:rPr>
          <w:iCs/>
          <w:i/>
        </w:rPr>
        <w:t xml:space="preserve">Diabetes Care</w:t>
      </w:r>
      <w:r>
        <w:t xml:space="preserve"> </w:t>
      </w:r>
      <w:r>
        <w:t xml:space="preserve">· One-year treatment with exenatide improves beta-cell function, compared with insulin glargine, in metformin-treated type 2 diabetic patients: a randomized, controlled trial. PMID 19196887</w:t>
      </w:r>
    </w:p>
    <w:p>
      <w:pPr>
        <w:numPr>
          <w:ilvl w:val="0"/>
          <w:numId w:val="1376"/>
        </w:numPr>
        <w:pStyle w:val="Compact"/>
      </w:pPr>
      <w:r>
        <w:t xml:space="preserve">2009 · Kadowaki T ·</w:t>
      </w:r>
      <w:r>
        <w:t xml:space="preserve"> </w:t>
      </w:r>
      <w:r>
        <w:rPr>
          <w:iCs/>
          <w:i/>
        </w:rPr>
        <w:t xml:space="preserve">Endocr J</w:t>
      </w:r>
      <w:r>
        <w:t xml:space="preserve"> </w:t>
      </w:r>
      <w:r>
        <w:t xml:space="preserve">· Exenatide exhibits dose-dependent effects on glycemic control over 12 weeks in Japanese patients with suboptimally controlled type 2 diabetes. PMID 19194050</w:t>
      </w:r>
    </w:p>
    <w:p>
      <w:pPr>
        <w:numPr>
          <w:ilvl w:val="0"/>
          <w:numId w:val="1376"/>
        </w:numPr>
        <w:pStyle w:val="Compact"/>
      </w:pPr>
      <w:r>
        <w:t xml:space="preserve">2009 · Gao Y ·</w:t>
      </w:r>
      <w:r>
        <w:t xml:space="preserve"> </w:t>
      </w:r>
      <w:r>
        <w:rPr>
          <w:iCs/>
          <w:i/>
        </w:rPr>
        <w:t xml:space="preserve">Diabetes Res Clin Pract</w:t>
      </w:r>
      <w:r>
        <w:t xml:space="preserve"> </w:t>
      </w:r>
      <w:r>
        <w:t xml:space="preserve">· Efficacy and safety of exenatide in patients of Asian descent with type 2 diabetes inadequately controlled with metformin or metformin and a sulphonylurea. PMID 19019476</w:t>
      </w:r>
    </w:p>
    <w:p>
      <w:pPr>
        <w:numPr>
          <w:ilvl w:val="0"/>
          <w:numId w:val="1376"/>
        </w:numPr>
        <w:pStyle w:val="Compact"/>
      </w:pPr>
      <w:r>
        <w:t xml:space="preserve">2008 · Kothare PA ·</w:t>
      </w:r>
      <w:r>
        <w:t xml:space="preserve"> </w:t>
      </w:r>
      <w:r>
        <w:rPr>
          <w:iCs/>
          <w:i/>
        </w:rPr>
        <w:t xml:space="preserve">J Clin Pharmacol</w:t>
      </w:r>
      <w:r>
        <w:t xml:space="preserve"> </w:t>
      </w:r>
      <w:r>
        <w:t xml:space="preserve">· Pharmacokinetics, pharmacodynamics, tolerability, and safety of exenatide in Japanese patients with type 2 diabetes mellitus. PMID 19047364</w:t>
      </w:r>
    </w:p>
    <w:p>
      <w:pPr>
        <w:numPr>
          <w:ilvl w:val="0"/>
          <w:numId w:val="1376"/>
        </w:numPr>
        <w:pStyle w:val="Compact"/>
      </w:pPr>
      <w:r>
        <w:t xml:space="preserve">2008 · Moretto TJ ·</w:t>
      </w:r>
      <w:r>
        <w:t xml:space="preserve"> </w:t>
      </w:r>
      <w:r>
        <w:rPr>
          <w:iCs/>
          <w:i/>
        </w:rPr>
        <w:t xml:space="preserve">Clin Ther</w:t>
      </w:r>
      <w:r>
        <w:t xml:space="preserve"> </w:t>
      </w:r>
      <w:r>
        <w:t xml:space="preserve">· Efficacy and tolerability of exenatide monotherapy over 24 weeks in antidiabetic drug-naive patients with type 2 diabetes: a randomized, double-blind, placebo-controlled, parallel-group study. PMID 18803987</w:t>
      </w:r>
    </w:p>
    <w:p>
      <w:pPr>
        <w:numPr>
          <w:ilvl w:val="0"/>
          <w:numId w:val="1376"/>
        </w:numPr>
        <w:pStyle w:val="Compact"/>
      </w:pPr>
      <w:r>
        <w:t xml:space="preserve">2008 · Zhao X ·</w:t>
      </w:r>
      <w:r>
        <w:t xml:space="preserve"> </w:t>
      </w:r>
      <w:r>
        <w:rPr>
          <w:iCs/>
          <w:i/>
        </w:rPr>
        <w:t xml:space="preserve">Int J Clin Pharmacol Ther</w:t>
      </w:r>
      <w:r>
        <w:t xml:space="preserve"> </w:t>
      </w:r>
      <w:r>
        <w:t xml:space="preserve">· Exenatide pharmacokinetics in healthy Chinese subjects. PMID 18793576</w:t>
      </w:r>
    </w:p>
    <w:p>
      <w:pPr>
        <w:numPr>
          <w:ilvl w:val="0"/>
          <w:numId w:val="1376"/>
        </w:numPr>
        <w:pStyle w:val="Compact"/>
      </w:pPr>
      <w:r>
        <w:t xml:space="preserve">2008 · DeFronzo RA ·</w:t>
      </w:r>
      <w:r>
        <w:t xml:space="preserve"> </w:t>
      </w:r>
      <w:r>
        <w:rPr>
          <w:iCs/>
          <w:i/>
        </w:rPr>
        <w:t xml:space="preserve">Curr Med Res Opin</w:t>
      </w:r>
      <w:r>
        <w:t xml:space="preserve"> </w:t>
      </w:r>
      <w:r>
        <w:t xml:space="preserve">· Effects of exenatide versus sitagliptin on postprandial glucose, insulin and glucagon secretion, gastric emptying, and caloric intake: a randomized, cross-over study. PMID 18786299</w:t>
      </w:r>
    </w:p>
    <w:p>
      <w:pPr>
        <w:numPr>
          <w:ilvl w:val="0"/>
          <w:numId w:val="1376"/>
        </w:numPr>
        <w:pStyle w:val="Compact"/>
      </w:pPr>
      <w:r>
        <w:t xml:space="preserve">2008 · Drucker DJ ·</w:t>
      </w:r>
      <w:r>
        <w:t xml:space="preserve"> </w:t>
      </w:r>
      <w:r>
        <w:rPr>
          <w:iCs/>
          <w:i/>
        </w:rPr>
        <w:t xml:space="preserve">Lancet</w:t>
      </w:r>
      <w:r>
        <w:t xml:space="preserve"> </w:t>
      </w:r>
      <w:r>
        <w:t xml:space="preserve">· Exenatide once weekly versus twice daily for the treatment of type 2 diabetes: a randomised, open-label, non-inferiority study. PMID 18782641</w:t>
      </w:r>
    </w:p>
    <w:p>
      <w:pPr>
        <w:numPr>
          <w:ilvl w:val="0"/>
          <w:numId w:val="1376"/>
        </w:numPr>
        <w:pStyle w:val="Compact"/>
      </w:pPr>
      <w:r>
        <w:t xml:space="preserve">2008 · Linnebjerg H ·</w:t>
      </w:r>
      <w:r>
        <w:t xml:space="preserve"> </w:t>
      </w:r>
      <w:r>
        <w:rPr>
          <w:iCs/>
          <w:i/>
        </w:rPr>
        <w:t xml:space="preserve">Regul Pept</w:t>
      </w:r>
      <w:r>
        <w:t xml:space="preserve"> </w:t>
      </w:r>
      <w:r>
        <w:t xml:space="preserve">· Effect of exenatide on gastric emptying and relationship to postprandial glycemia in type 2 diabetes. PMID 18675854</w:t>
      </w:r>
    </w:p>
    <w:p>
      <w:pPr>
        <w:numPr>
          <w:ilvl w:val="0"/>
          <w:numId w:val="1376"/>
        </w:numPr>
        <w:pStyle w:val="Compact"/>
      </w:pPr>
      <w:r>
        <w:t xml:space="preserve">2008 · Forti A ·</w:t>
      </w:r>
      <w:r>
        <w:t xml:space="preserve"> </w:t>
      </w:r>
      <w:r>
        <w:rPr>
          <w:iCs/>
          <w:i/>
        </w:rPr>
        <w:t xml:space="preserve">Curr Med Res Opin</w:t>
      </w:r>
      <w:r>
        <w:t xml:space="preserve"> </w:t>
      </w:r>
      <w:r>
        <w:t xml:space="preserve">· Efficacy and safety of exenatide administered before the two largest daily meals of Latin American patients with type 2 diabetes. PMID 18662495</w:t>
      </w:r>
    </w:p>
    <w:p>
      <w:pPr>
        <w:numPr>
          <w:ilvl w:val="0"/>
          <w:numId w:val="1376"/>
        </w:numPr>
        <w:pStyle w:val="Compact"/>
      </w:pPr>
      <w:r>
        <w:t xml:space="preserve">2008 · Schwartz SL ·</w:t>
      </w:r>
      <w:r>
        <w:t xml:space="preserve"> </w:t>
      </w:r>
      <w:r>
        <w:rPr>
          <w:iCs/>
          <w:i/>
        </w:rPr>
        <w:t xml:space="preserve">Clin Ther</w:t>
      </w:r>
      <w:r>
        <w:t xml:space="preserve"> </w:t>
      </w:r>
      <w:r>
        <w:t xml:space="preserve">· Effect of exenatide on 24-hour blood glucose profile compared with placebo in patients with type 2 diabetes: a randomized, double-blind, two-arm, parallel-group, placebo-controlled, 2-week study. PMID 18555933</w:t>
      </w:r>
    </w:p>
    <w:p>
      <w:pPr>
        <w:numPr>
          <w:ilvl w:val="0"/>
          <w:numId w:val="1376"/>
        </w:numPr>
        <w:pStyle w:val="Compact"/>
      </w:pPr>
      <w:r>
        <w:t xml:space="preserve">2008 · Elkind-Hirsch K ·</w:t>
      </w:r>
      <w:r>
        <w:t xml:space="preserve"> </w:t>
      </w:r>
      <w:r>
        <w:rPr>
          <w:iCs/>
          <w:i/>
        </w:rPr>
        <w:t xml:space="preserve">J Clin Endocrinol Metab</w:t>
      </w:r>
      <w:r>
        <w:t xml:space="preserve"> </w:t>
      </w:r>
      <w:r>
        <w:t xml:space="preserve">· Comparison of single and combined treatment with exenatide and metformin on menstrual cyclicity in overweight women with polycystic ovary syndrome. PMID 18460557</w:t>
      </w:r>
    </w:p>
    <w:p>
      <w:pPr>
        <w:numPr>
          <w:ilvl w:val="0"/>
          <w:numId w:val="1376"/>
        </w:numPr>
        <w:pStyle w:val="Compact"/>
      </w:pPr>
      <w:r>
        <w:t xml:space="preserve">2008 · Gangemi A ·</w:t>
      </w:r>
      <w:r>
        <w:t xml:space="preserve"> </w:t>
      </w:r>
      <w:r>
        <w:rPr>
          <w:iCs/>
          <w:i/>
        </w:rPr>
        <w:t xml:space="preserve">Am J Transplant</w:t>
      </w:r>
      <w:r>
        <w:t xml:space="preserve"> </w:t>
      </w:r>
      <w:r>
        <w:t xml:space="preserve">· Islet transplantation for brittle type 1 diabetes: the UIC protocol. PMID 18444920</w:t>
      </w:r>
    </w:p>
    <w:p>
      <w:pPr>
        <w:numPr>
          <w:ilvl w:val="0"/>
          <w:numId w:val="1376"/>
        </w:numPr>
        <w:pStyle w:val="Compact"/>
      </w:pPr>
      <w:r>
        <w:t xml:space="preserve">2008 · Brodows RG ·</w:t>
      </w:r>
      <w:r>
        <w:t xml:space="preserve"> </w:t>
      </w:r>
      <w:r>
        <w:rPr>
          <w:iCs/>
          <w:i/>
        </w:rPr>
        <w:t xml:space="preserve">Curr Med Res Opin</w:t>
      </w:r>
      <w:r>
        <w:t xml:space="preserve"> </w:t>
      </w:r>
      <w:r>
        <w:t xml:space="preserve">· Quantifying the effect of exenatide and insulin glargine on postprandial glucose excursions in patients with type 2 diabetes. PMID 18394265</w:t>
      </w:r>
    </w:p>
    <w:p>
      <w:pPr>
        <w:numPr>
          <w:ilvl w:val="0"/>
          <w:numId w:val="1376"/>
        </w:numPr>
        <w:pStyle w:val="Compact"/>
      </w:pPr>
      <w:r>
        <w:t xml:space="preserve">2008 · Minshall ME ·</w:t>
      </w:r>
      <w:r>
        <w:t xml:space="preserve"> </w:t>
      </w:r>
      <w:r>
        <w:rPr>
          <w:iCs/>
          <w:i/>
        </w:rPr>
        <w:t xml:space="preserve">Value Health</w:t>
      </w:r>
      <w:r>
        <w:t xml:space="preserve"> </w:t>
      </w:r>
      <w:r>
        <w:t xml:space="preserve">· Estimating the long-term cost-effectiveness of exenatide in the United States: an adjunctive treatment for type 2 diabetes mellitus. PMID 18237357</w:t>
      </w:r>
    </w:p>
    <w:p>
      <w:pPr>
        <w:numPr>
          <w:ilvl w:val="0"/>
          <w:numId w:val="1376"/>
        </w:numPr>
        <w:pStyle w:val="Compact"/>
      </w:pPr>
      <w:r>
        <w:t xml:space="preserve">2008 · Glass LC ·</w:t>
      </w:r>
      <w:r>
        <w:t xml:space="preserve"> </w:t>
      </w:r>
      <w:r>
        <w:rPr>
          <w:iCs/>
          <w:i/>
        </w:rPr>
        <w:t xml:space="preserve">Curr Med Res Opin</w:t>
      </w:r>
      <w:r>
        <w:t xml:space="preserve"> </w:t>
      </w:r>
      <w:r>
        <w:t xml:space="preserve">· Effects of exenatide versus insulin analogues on weight change in subjects with type 2 diabetes: a pooled post-hoc analysis. PMID 18218179</w:t>
      </w:r>
    </w:p>
    <w:p>
      <w:pPr>
        <w:numPr>
          <w:ilvl w:val="0"/>
          <w:numId w:val="1376"/>
        </w:numPr>
        <w:pStyle w:val="Compact"/>
      </w:pPr>
      <w:r>
        <w:t xml:space="preserve">2008 · Klonoff DC ·</w:t>
      </w:r>
      <w:r>
        <w:t xml:space="preserve"> </w:t>
      </w:r>
      <w:r>
        <w:rPr>
          <w:iCs/>
          <w:i/>
        </w:rPr>
        <w:t xml:space="preserve">Curr Med Res Opin</w:t>
      </w:r>
      <w:r>
        <w:t xml:space="preserve"> </w:t>
      </w:r>
      <w:r>
        <w:t xml:space="preserve">· Exenatide effects on diabetes, obesity, cardiovascular risk factors and hepatic biomarkers in patients with type 2 diabetes treated for at least 3 years. PMID 18053320</w:t>
      </w:r>
    </w:p>
    <w:p>
      <w:pPr>
        <w:numPr>
          <w:ilvl w:val="0"/>
          <w:numId w:val="1376"/>
        </w:numPr>
        <w:pStyle w:val="Compact"/>
      </w:pPr>
      <w:r>
        <w:t xml:space="preserve">2007 · Barnett AH ·</w:t>
      </w:r>
      <w:r>
        <w:t xml:space="preserve"> </w:t>
      </w:r>
      <w:r>
        <w:rPr>
          <w:iCs/>
          <w:i/>
        </w:rPr>
        <w:t xml:space="preserve">Clin Ther</w:t>
      </w:r>
      <w:r>
        <w:t xml:space="preserve"> </w:t>
      </w:r>
      <w:r>
        <w:t xml:space="preserve">· Tolerability and efficacy of exenatide and titrated insulin glargine in adult patients with type 2 diabetes previously uncontrolled with metformin or a sulfonylurea: a multinational, randomized, open-label, two-period, crossover noninferiority trial. PMID 18158075</w:t>
      </w:r>
    </w:p>
    <w:p>
      <w:pPr>
        <w:numPr>
          <w:ilvl w:val="0"/>
          <w:numId w:val="1376"/>
        </w:numPr>
        <w:pStyle w:val="Compact"/>
      </w:pPr>
      <w:r>
        <w:t xml:space="preserve">2007 · Nelson P ·</w:t>
      </w:r>
      <w:r>
        <w:t xml:space="preserve"> </w:t>
      </w:r>
      <w:r>
        <w:rPr>
          <w:iCs/>
          <w:i/>
        </w:rPr>
        <w:t xml:space="preserve">Diabetes Technol Ther</w:t>
      </w:r>
      <w:r>
        <w:t xml:space="preserve"> </w:t>
      </w:r>
      <w:r>
        <w:t xml:space="preserve">· The incretin mimetic exenatide as a monotherapy in patients with type 2 diabetes. PMID 17705687</w:t>
      </w:r>
    </w:p>
    <w:p>
      <w:pPr>
        <w:numPr>
          <w:ilvl w:val="0"/>
          <w:numId w:val="1376"/>
        </w:numPr>
        <w:pStyle w:val="Compact"/>
      </w:pPr>
      <w:r>
        <w:t xml:space="preserve">2007 · Davis SN ·</w:t>
      </w:r>
      <w:r>
        <w:t xml:space="preserve"> </w:t>
      </w:r>
      <w:r>
        <w:rPr>
          <w:iCs/>
          <w:i/>
        </w:rPr>
        <w:t xml:space="preserve">Diabetes Care</w:t>
      </w:r>
      <w:r>
        <w:t xml:space="preserve"> </w:t>
      </w:r>
      <w:r>
        <w:t xml:space="preserve">· Exploring the substitution of exenatide for insulin in patients with type 2 diabetes treated with insulin in combination with oral antidiabetes agents. PMID 17595353</w:t>
      </w:r>
    </w:p>
    <w:p>
      <w:pPr>
        <w:numPr>
          <w:ilvl w:val="0"/>
          <w:numId w:val="1376"/>
        </w:numPr>
        <w:pStyle w:val="Compact"/>
      </w:pPr>
      <w:r>
        <w:t xml:space="preserve">2007 · Linnebjerg H ·</w:t>
      </w:r>
      <w:r>
        <w:t xml:space="preserve"> </w:t>
      </w:r>
      <w:r>
        <w:rPr>
          <w:iCs/>
          <w:i/>
        </w:rPr>
        <w:t xml:space="preserve">Br J Clin Pharmacol</w:t>
      </w:r>
      <w:r>
        <w:t xml:space="preserve"> </w:t>
      </w:r>
      <w:r>
        <w:t xml:space="preserve">· Effect of renal impairment on the pharmacokinetics of exenatide. PMID 17425627</w:t>
      </w:r>
    </w:p>
    <w:p>
      <w:pPr>
        <w:numPr>
          <w:ilvl w:val="0"/>
          <w:numId w:val="1376"/>
        </w:numPr>
        <w:pStyle w:val="Compact"/>
      </w:pPr>
      <w:r>
        <w:t xml:space="preserve">2007 · Zinman B ·</w:t>
      </w:r>
      <w:r>
        <w:t xml:space="preserve"> </w:t>
      </w:r>
      <w:r>
        <w:rPr>
          <w:iCs/>
          <w:i/>
        </w:rPr>
        <w:t xml:space="preserve">Ann Intern Med</w:t>
      </w:r>
      <w:r>
        <w:t xml:space="preserve"> </w:t>
      </w:r>
      <w:r>
        <w:t xml:space="preserve">· The effect of adding exenatide to a thiazolidinedione in suboptimally controlled type 2 diabetes: a randomized trial. PMID 17404349</w:t>
      </w:r>
    </w:p>
    <w:p>
      <w:pPr>
        <w:numPr>
          <w:ilvl w:val="0"/>
          <w:numId w:val="1376"/>
        </w:numPr>
        <w:pStyle w:val="Compact"/>
      </w:pPr>
      <w:r>
        <w:t xml:space="preserve">2007 · Buse JB ·</w:t>
      </w:r>
      <w:r>
        <w:t xml:space="preserve"> </w:t>
      </w:r>
      <w:r>
        <w:rPr>
          <w:iCs/>
          <w:i/>
        </w:rPr>
        <w:t xml:space="preserve">Clin Ther</w:t>
      </w:r>
      <w:r>
        <w:t xml:space="preserve"> </w:t>
      </w:r>
      <w:r>
        <w:t xml:space="preserve">· Metabolic effects of two years of exenatide treatment on diabetes, obesity, and hepatic biomarkers in patients with type 2 diabetes: an interim analysis of data from the open-label, uncontrolled extension of three double-blind, placebo-controlled trials. PMID 17379054</w:t>
      </w:r>
    </w:p>
    <w:p>
      <w:pPr>
        <w:numPr>
          <w:ilvl w:val="0"/>
          <w:numId w:val="1376"/>
        </w:numPr>
        <w:pStyle w:val="Compact"/>
      </w:pPr>
      <w:r>
        <w:t xml:space="preserve">2007 · Ray JA ·</w:t>
      </w:r>
      <w:r>
        <w:t xml:space="preserve"> </w:t>
      </w:r>
      <w:r>
        <w:rPr>
          <w:iCs/>
          <w:i/>
        </w:rPr>
        <w:t xml:space="preserve">Curr Med Res Opin</w:t>
      </w:r>
      <w:r>
        <w:t xml:space="preserve"> </w:t>
      </w:r>
      <w:r>
        <w:t xml:space="preserve">· Exenatide versus insulin glargine in patients with type 2 diabetes in the UK: a model of long-term clinical and cost outcomes. PMID 17355742</w:t>
      </w:r>
    </w:p>
    <w:p>
      <w:pPr>
        <w:numPr>
          <w:ilvl w:val="0"/>
          <w:numId w:val="1376"/>
        </w:numPr>
        <w:pStyle w:val="Compact"/>
      </w:pPr>
      <w:r>
        <w:t xml:space="preserve">2007 · Kim D ·</w:t>
      </w:r>
      <w:r>
        <w:t xml:space="preserve"> </w:t>
      </w:r>
      <w:r>
        <w:rPr>
          <w:iCs/>
          <w:i/>
        </w:rPr>
        <w:t xml:space="preserve">Diabetes Care</w:t>
      </w:r>
      <w:r>
        <w:t xml:space="preserve"> </w:t>
      </w:r>
      <w:r>
        <w:t xml:space="preserve">· Effects of once-weekly dosing of a long-acting release formulation of exenatide on glucose control and body weight in subjects with type 2 diabetes. PMID 17353504</w:t>
      </w:r>
    </w:p>
    <w:p>
      <w:pPr>
        <w:numPr>
          <w:ilvl w:val="0"/>
          <w:numId w:val="1376"/>
        </w:numPr>
        <w:pStyle w:val="Compact"/>
      </w:pPr>
      <w:r>
        <w:t xml:space="preserve">2007 · Kothare PA ·</w:t>
      </w:r>
      <w:r>
        <w:t xml:space="preserve"> </w:t>
      </w:r>
      <w:r>
        <w:rPr>
          <w:iCs/>
          <w:i/>
        </w:rPr>
        <w:t xml:space="preserve">Int J Clin Pharmacol Ther</w:t>
      </w:r>
      <w:r>
        <w:t xml:space="preserve"> </w:t>
      </w:r>
      <w:r>
        <w:t xml:space="preserve">· Exenatide effects on statin pharmacokinetics and lipid response. PMID 17323791</w:t>
      </w:r>
    </w:p>
    <w:p>
      <w:pPr>
        <w:numPr>
          <w:ilvl w:val="0"/>
          <w:numId w:val="1376"/>
        </w:numPr>
        <w:pStyle w:val="Compact"/>
      </w:pPr>
      <w:r>
        <w:t xml:space="preserve">2007 · Ghofaili KA ·</w:t>
      </w:r>
      <w:r>
        <w:t xml:space="preserve"> </w:t>
      </w:r>
      <w:r>
        <w:rPr>
          <w:iCs/>
          <w:i/>
        </w:rPr>
        <w:t xml:space="preserve">Transplantation</w:t>
      </w:r>
      <w:r>
        <w:t xml:space="preserve"> </w:t>
      </w:r>
      <w:r>
        <w:t xml:space="preserve">· Effect of exenatide on beta cell function after islet transplantation in type 1 diabetes. PMID 17220786</w:t>
      </w:r>
    </w:p>
    <w:p>
      <w:pPr>
        <w:numPr>
          <w:ilvl w:val="0"/>
          <w:numId w:val="1376"/>
        </w:numPr>
        <w:pStyle w:val="Compact"/>
      </w:pPr>
      <w:r>
        <w:t xml:space="preserve">2007 · Nauck MA ·</w:t>
      </w:r>
      <w:r>
        <w:t xml:space="preserve"> </w:t>
      </w:r>
      <w:r>
        <w:rPr>
          <w:iCs/>
          <w:i/>
        </w:rPr>
        <w:t xml:space="preserve">Diabetologia</w:t>
      </w:r>
      <w:r>
        <w:t xml:space="preserve"> </w:t>
      </w:r>
      <w:r>
        <w:t xml:space="preserve">· A comparison of twice-daily exenatide and biphasic insulin aspart in patients with type 2 diabetes who were suboptimally controlled with sulfonylurea and metformin: a non-inferiority study. PMID 17160407</w:t>
      </w:r>
    </w:p>
    <w:p>
      <w:pPr>
        <w:numPr>
          <w:ilvl w:val="0"/>
          <w:numId w:val="1376"/>
        </w:numPr>
        <w:pStyle w:val="Compact"/>
      </w:pPr>
      <w:r>
        <w:t xml:space="preserve">2006 · Mari A ·</w:t>
      </w:r>
      <w:r>
        <w:t xml:space="preserve"> </w:t>
      </w:r>
      <w:r>
        <w:rPr>
          <w:iCs/>
          <w:i/>
        </w:rPr>
        <w:t xml:space="preserve">Horm Metab Res</w:t>
      </w:r>
      <w:r>
        <w:t xml:space="preserve"> </w:t>
      </w:r>
      <w:r>
        <w:t xml:space="preserve">· Mathematical modeling shows exenatide improved beta-cell function in patients with type 2 diabetes treated with metformin or metformin and a sulfonylurea. PMID 17163361</w:t>
      </w:r>
    </w:p>
    <w:p>
      <w:pPr>
        <w:numPr>
          <w:ilvl w:val="0"/>
          <w:numId w:val="1376"/>
        </w:numPr>
        <w:pStyle w:val="Compact"/>
      </w:pPr>
      <w:r>
        <w:t xml:space="preserve">2006 · Secnik Boye K ·</w:t>
      </w:r>
      <w:r>
        <w:t xml:space="preserve"> </w:t>
      </w:r>
      <w:r>
        <w:rPr>
          <w:iCs/>
          <w:i/>
        </w:rPr>
        <w:t xml:space="preserve">Health Qual Life Outcomes</w:t>
      </w:r>
      <w:r>
        <w:t xml:space="preserve"> </w:t>
      </w:r>
      <w:r>
        <w:t xml:space="preserve">· Patient-reported outcomes in a trial of exenatide and insulin glargine for the treatment of type 2 diabetes. PMID 17034640</w:t>
      </w:r>
    </w:p>
    <w:p>
      <w:pPr>
        <w:numPr>
          <w:ilvl w:val="0"/>
          <w:numId w:val="1376"/>
        </w:numPr>
        <w:pStyle w:val="Compact"/>
      </w:pPr>
      <w:r>
        <w:t xml:space="preserve">2006 · Soon D ·</w:t>
      </w:r>
      <w:r>
        <w:t xml:space="preserve"> </w:t>
      </w:r>
      <w:r>
        <w:rPr>
          <w:iCs/>
          <w:i/>
        </w:rPr>
        <w:t xml:space="preserve">J Clin Pharmacol</w:t>
      </w:r>
      <w:r>
        <w:t xml:space="preserve"> </w:t>
      </w:r>
      <w:r>
        <w:t xml:space="preserve">· Effect of exenatide on the pharmacokinetics and pharmacodynamics of warfarin in healthy Asian men. PMID 16988207</w:t>
      </w:r>
    </w:p>
    <w:p>
      <w:pPr>
        <w:numPr>
          <w:ilvl w:val="0"/>
          <w:numId w:val="1376"/>
        </w:numPr>
        <w:pStyle w:val="Compact"/>
      </w:pPr>
      <w:r>
        <w:t xml:space="preserve">2006 · Blonde L ·</w:t>
      </w:r>
      <w:r>
        <w:t xml:space="preserve"> </w:t>
      </w:r>
      <w:r>
        <w:rPr>
          <w:iCs/>
          <w:i/>
        </w:rPr>
        <w:t xml:space="preserve">Diabetes Obes Metab</w:t>
      </w:r>
      <w:r>
        <w:t xml:space="preserve"> </w:t>
      </w:r>
      <w:r>
        <w:t xml:space="preserve">· Interim analysis of the effects of exenatide treatment on A1C, weight and cardiovascular risk factors over 82 weeks in 314 overweight patients with type 2 diabetes. PMID 16776751</w:t>
      </w:r>
    </w:p>
    <w:p>
      <w:pPr>
        <w:numPr>
          <w:ilvl w:val="0"/>
          <w:numId w:val="1376"/>
        </w:numPr>
        <w:pStyle w:val="Compact"/>
      </w:pPr>
      <w:r>
        <w:t xml:space="preserve">2006 · Ratner RE ·</w:t>
      </w:r>
      <w:r>
        <w:t xml:space="preserve"> </w:t>
      </w:r>
      <w:r>
        <w:rPr>
          <w:iCs/>
          <w:i/>
        </w:rPr>
        <w:t xml:space="preserve">Diabetes Obes Metab</w:t>
      </w:r>
      <w:r>
        <w:t xml:space="preserve"> </w:t>
      </w:r>
      <w:r>
        <w:t xml:space="preserve">· Long-term effects of exenatide therapy over 82 weeks on glycaemic control and weight in over-weight metformin-treated patients with type 2 diabetes mellitus. PMID 16776749</w:t>
      </w:r>
    </w:p>
    <w:p>
      <w:pPr>
        <w:numPr>
          <w:ilvl w:val="0"/>
          <w:numId w:val="1376"/>
        </w:numPr>
        <w:pStyle w:val="Compact"/>
      </w:pPr>
      <w:r>
        <w:t xml:space="preserve">2006 · Riddle MC ·</w:t>
      </w:r>
      <w:r>
        <w:t xml:space="preserve"> </w:t>
      </w:r>
      <w:r>
        <w:rPr>
          <w:iCs/>
          <w:i/>
        </w:rPr>
        <w:t xml:space="preserve">Diabetes Metab Res Rev</w:t>
      </w:r>
      <w:r>
        <w:t xml:space="preserve"> </w:t>
      </w:r>
      <w:r>
        <w:t xml:space="preserve">· Exenatide elicits sustained glycaemic control and progressive reduction of body weight in patients with type 2 diabetes inadequately controlled by sulphonylureas with or without metformin. PMID 16634116</w:t>
      </w:r>
    </w:p>
    <w:p>
      <w:pPr>
        <w:numPr>
          <w:ilvl w:val="0"/>
          <w:numId w:val="1376"/>
        </w:numPr>
        <w:pStyle w:val="Compact"/>
      </w:pPr>
      <w:r>
        <w:t xml:space="preserve">2006 · Linnebjerg H ·</w:t>
      </w:r>
      <w:r>
        <w:t xml:space="preserve"> </w:t>
      </w:r>
      <w:r>
        <w:rPr>
          <w:iCs/>
          <w:i/>
        </w:rPr>
        <w:t xml:space="preserve">Diabet Med</w:t>
      </w:r>
      <w:r>
        <w:t xml:space="preserve"> </w:t>
      </w:r>
      <w:r>
        <w:t xml:space="preserve">· Exenatide: effect of injection time on postprandial glucose in patients with Type 2 diabetes. PMID 16492205</w:t>
      </w:r>
    </w:p>
    <w:p>
      <w:pPr>
        <w:numPr>
          <w:ilvl w:val="0"/>
          <w:numId w:val="1376"/>
        </w:numPr>
        <w:pStyle w:val="Compact"/>
      </w:pPr>
      <w:r>
        <w:t xml:space="preserve">2005 · Taylor K ·</w:t>
      </w:r>
      <w:r>
        <w:t xml:space="preserve"> </w:t>
      </w:r>
      <w:r>
        <w:rPr>
          <w:iCs/>
          <w:i/>
        </w:rPr>
        <w:t xml:space="preserve">Horm Metab Res</w:t>
      </w:r>
      <w:r>
        <w:t xml:space="preserve"> </w:t>
      </w:r>
      <w:r>
        <w:t xml:space="preserve">· Day-long subcutaneous infusion of exenatide lowers glycemia in patients with type 2 diabetes. PMID 16278786</w:t>
      </w:r>
    </w:p>
    <w:p>
      <w:pPr>
        <w:numPr>
          <w:ilvl w:val="0"/>
          <w:numId w:val="1376"/>
        </w:numPr>
        <w:pStyle w:val="Compact"/>
      </w:pPr>
      <w:r>
        <w:t xml:space="preserve">2005 · Heine RJ ·</w:t>
      </w:r>
      <w:r>
        <w:t xml:space="preserve"> </w:t>
      </w:r>
      <w:r>
        <w:rPr>
          <w:iCs/>
          <w:i/>
        </w:rPr>
        <w:t xml:space="preserve">Ann Intern Med</w:t>
      </w:r>
      <w:r>
        <w:t xml:space="preserve"> </w:t>
      </w:r>
      <w:r>
        <w:t xml:space="preserve">· Exenatide versus insulin glargine in patients with suboptimally controlled type 2 diabetes: a randomized trial. PMID 16230722</w:t>
      </w:r>
    </w:p>
    <w:p>
      <w:pPr>
        <w:numPr>
          <w:ilvl w:val="0"/>
          <w:numId w:val="1376"/>
        </w:numPr>
        <w:pStyle w:val="Compact"/>
      </w:pPr>
      <w:r>
        <w:t xml:space="preserve">2005 · Fehse F ·</w:t>
      </w:r>
      <w:r>
        <w:t xml:space="preserve"> </w:t>
      </w:r>
      <w:r>
        <w:rPr>
          <w:iCs/>
          <w:i/>
        </w:rPr>
        <w:t xml:space="preserve">J Clin Endocrinol Metab</w:t>
      </w:r>
      <w:r>
        <w:t xml:space="preserve"> </w:t>
      </w:r>
      <w:r>
        <w:t xml:space="preserve">· Exenatide augments first- and second-phase insulin secretion in response to intravenous glucose in subjects with type 2 diabetes. PMID 16144950</w:t>
      </w:r>
    </w:p>
    <w:p>
      <w:pPr>
        <w:numPr>
          <w:ilvl w:val="0"/>
          <w:numId w:val="1376"/>
        </w:numPr>
        <w:pStyle w:val="Compact"/>
      </w:pPr>
      <w:r>
        <w:t xml:space="preserve">2005 · Kothare PA ·</w:t>
      </w:r>
      <w:r>
        <w:t xml:space="preserve"> </w:t>
      </w:r>
      <w:r>
        <w:rPr>
          <w:iCs/>
          <w:i/>
        </w:rPr>
        <w:t xml:space="preserve">J Clin Pharmacol</w:t>
      </w:r>
      <w:r>
        <w:t xml:space="preserve"> </w:t>
      </w:r>
      <w:r>
        <w:t xml:space="preserve">· Effect of exenatide on the steady-state pharmacokinetics of digoxin. PMID 16100297</w:t>
      </w:r>
    </w:p>
    <w:p>
      <w:pPr>
        <w:numPr>
          <w:ilvl w:val="0"/>
          <w:numId w:val="1376"/>
        </w:numPr>
        <w:pStyle w:val="Compact"/>
      </w:pPr>
      <w:r>
        <w:t xml:space="preserve">2005 · Poon T ·</w:t>
      </w:r>
      <w:r>
        <w:t xml:space="preserve"> </w:t>
      </w:r>
      <w:r>
        <w:rPr>
          <w:iCs/>
          <w:i/>
        </w:rPr>
        <w:t xml:space="preserve">Diabetes Technol Ther</w:t>
      </w:r>
      <w:r>
        <w:t xml:space="preserve"> </w:t>
      </w:r>
      <w:r>
        <w:t xml:space="preserve">· Exenatide improves glycemic control and reduces body weight in subjects with type 2 diabetes: a dose-ranging study. PMID 15929678</w:t>
      </w:r>
    </w:p>
    <w:p>
      <w:pPr>
        <w:numPr>
          <w:ilvl w:val="0"/>
          <w:numId w:val="1376"/>
        </w:numPr>
        <w:pStyle w:val="Compact"/>
      </w:pPr>
      <w:r>
        <w:t xml:space="preserve">2005 · DeFronzo RA ·</w:t>
      </w:r>
      <w:r>
        <w:t xml:space="preserve"> </w:t>
      </w:r>
      <w:r>
        <w:rPr>
          <w:iCs/>
          <w:i/>
        </w:rPr>
        <w:t xml:space="preserve">Diabetes Care</w:t>
      </w:r>
      <w:r>
        <w:t xml:space="preserve"> </w:t>
      </w:r>
      <w:r>
        <w:t xml:space="preserve">· Effects of exenatide (exendin-4) on glycemic control and weight over 30 weeks in metformin-treated patients with type 2 diabetes. PMID 15855572</w:t>
      </w:r>
    </w:p>
    <w:p>
      <w:pPr>
        <w:numPr>
          <w:ilvl w:val="0"/>
          <w:numId w:val="1376"/>
        </w:numPr>
        <w:pStyle w:val="Compact"/>
      </w:pPr>
      <w:r>
        <w:t xml:space="preserve">2005 · Kendall DM ·</w:t>
      </w:r>
      <w:r>
        <w:t xml:space="preserve"> </w:t>
      </w:r>
      <w:r>
        <w:rPr>
          <w:iCs/>
          <w:i/>
        </w:rPr>
        <w:t xml:space="preserve">Diabetes Care</w:t>
      </w:r>
      <w:r>
        <w:t xml:space="preserve"> </w:t>
      </w:r>
      <w:r>
        <w:t xml:space="preserve">· Effects of exenatide (exendin-4) on glycemic control over 30 weeks in patients with type 2 diabetes treated with metformin and a sulfonylurea. PMID 15855571</w:t>
      </w:r>
    </w:p>
    <w:p>
      <w:pPr>
        <w:numPr>
          <w:ilvl w:val="0"/>
          <w:numId w:val="1376"/>
        </w:numPr>
        <w:pStyle w:val="Compact"/>
      </w:pPr>
      <w:r>
        <w:t xml:space="preserve">2005 · Blase E ·</w:t>
      </w:r>
      <w:r>
        <w:t xml:space="preserve"> </w:t>
      </w:r>
      <w:r>
        <w:rPr>
          <w:iCs/>
          <w:i/>
        </w:rPr>
        <w:t xml:space="preserve">J Clin Pharmacol</w:t>
      </w:r>
      <w:r>
        <w:t xml:space="preserve"> </w:t>
      </w:r>
      <w:r>
        <w:t xml:space="preserve">· Pharmacokinetics of an oral drug (acetaminophen) administered at various times in relation to subcutaneous injection of exenatide (exendin-4) in healthy subjects. PMID 15831781</w:t>
      </w:r>
    </w:p>
    <w:p>
      <w:pPr>
        <w:numPr>
          <w:ilvl w:val="0"/>
          <w:numId w:val="1376"/>
        </w:numPr>
        <w:pStyle w:val="Compact"/>
      </w:pPr>
      <w:r>
        <w:t xml:space="preserve">2005 · Calara F ·</w:t>
      </w:r>
      <w:r>
        <w:t xml:space="preserve"> </w:t>
      </w:r>
      <w:r>
        <w:rPr>
          <w:iCs/>
          <w:i/>
        </w:rPr>
        <w:t xml:space="preserve">Clin Ther</w:t>
      </w:r>
      <w:r>
        <w:t xml:space="preserve"> </w:t>
      </w:r>
      <w:r>
        <w:t xml:space="preserve">· A randomized, open-label, crossover study examining the effect of injection site on bioavailability of exenatide (synthetic exendin-4). PMID 15811484</w:t>
      </w:r>
    </w:p>
    <w:p>
      <w:pPr>
        <w:numPr>
          <w:ilvl w:val="0"/>
          <w:numId w:val="1376"/>
        </w:numPr>
        <w:pStyle w:val="Compact"/>
      </w:pPr>
      <w:r>
        <w:t xml:space="preserve">2005 · Kolterman OG ·</w:t>
      </w:r>
      <w:r>
        <w:t xml:space="preserve"> </w:t>
      </w:r>
      <w:r>
        <w:rPr>
          <w:iCs/>
          <w:i/>
        </w:rPr>
        <w:t xml:space="preserve">Am J Health Syst Pharm</w:t>
      </w:r>
      <w:r>
        <w:t xml:space="preserve"> </w:t>
      </w:r>
      <w:r>
        <w:t xml:space="preserve">· Pharmacokinetics, pharmacodynamics, and safety of exenatide in patients with type 2 diabetes mellitus. PMID 15700891</w:t>
      </w:r>
    </w:p>
    <w:p>
      <w:pPr>
        <w:numPr>
          <w:ilvl w:val="0"/>
          <w:numId w:val="1376"/>
        </w:numPr>
        <w:pStyle w:val="Compact"/>
      </w:pPr>
      <w:r>
        <w:t xml:space="preserve">2004 · Buse JB ·</w:t>
      </w:r>
      <w:r>
        <w:t xml:space="preserve"> </w:t>
      </w:r>
      <w:r>
        <w:rPr>
          <w:iCs/>
          <w:i/>
        </w:rPr>
        <w:t xml:space="preserve">Diabetes Care</w:t>
      </w:r>
      <w:r>
        <w:t xml:space="preserve"> </w:t>
      </w:r>
      <w:r>
        <w:t xml:space="preserve">· Effects of exenatide (exendin-4) on glycemic control over 30 weeks in sulfonylurea-treated patients with type 2 diabetes. PMID 15504997</w:t>
      </w:r>
    </w:p>
    <w:p>
      <w:pPr>
        <w:numPr>
          <w:ilvl w:val="0"/>
          <w:numId w:val="1376"/>
        </w:numPr>
        <w:pStyle w:val="Compact"/>
      </w:pPr>
      <w:r>
        <w:t xml:space="preserve">2004 · Fineman MS ·</w:t>
      </w:r>
      <w:r>
        <w:t xml:space="preserve"> </w:t>
      </w:r>
      <w:r>
        <w:rPr>
          <w:iCs/>
          <w:i/>
        </w:rPr>
        <w:t xml:space="preserve">Diabetes Metab Res Rev</w:t>
      </w:r>
      <w:r>
        <w:t xml:space="preserve"> </w:t>
      </w:r>
      <w:r>
        <w:t xml:space="preserve">· Effectiveness of progressive dose-escalation of exenatide (exendin-4) in reducing dose-limiting side effects in subjects with type 2 diabetes. PMID 15343588</w:t>
      </w:r>
    </w:p>
    <w:p>
      <w:pPr>
        <w:numPr>
          <w:ilvl w:val="0"/>
          <w:numId w:val="1376"/>
        </w:numPr>
        <w:pStyle w:val="Compact"/>
      </w:pPr>
      <w:r>
        <w:t xml:space="preserve">2004 · Degn KB ·</w:t>
      </w:r>
      <w:r>
        <w:t xml:space="preserve"> </w:t>
      </w:r>
      <w:r>
        <w:rPr>
          <w:iCs/>
          <w:i/>
        </w:rPr>
        <w:t xml:space="preserve">Diabetes</w:t>
      </w:r>
      <w:r>
        <w:t xml:space="preserve"> </w:t>
      </w:r>
      <w:r>
        <w:t xml:space="preserve">· Effect of intravenous infusion of exenatide (synthetic exendin-4) on glucose-dependent insulin secretion and counterregulation during hypoglycemia. PMID 15331551</w:t>
      </w:r>
    </w:p>
    <w:p>
      <w:pPr>
        <w:numPr>
          <w:ilvl w:val="0"/>
          <w:numId w:val="1376"/>
        </w:numPr>
        <w:pStyle w:val="Compact"/>
      </w:pPr>
      <w:r>
        <w:t xml:space="preserve">2003 · Fineman MS ·</w:t>
      </w:r>
      <w:r>
        <w:t xml:space="preserve"> </w:t>
      </w:r>
      <w:r>
        <w:rPr>
          <w:iCs/>
          <w:i/>
        </w:rPr>
        <w:t xml:space="preserve">Diabetes Care</w:t>
      </w:r>
      <w:r>
        <w:t xml:space="preserve"> </w:t>
      </w:r>
      <w:r>
        <w:t xml:space="preserve">· Effect on glycemic control of exenatide (synthetic exendin-4) additive to existing metformin and/or sulfonylurea treatment in patients with type 2 diabetes. PMID 12882864</w:t>
      </w:r>
    </w:p>
    <w:p>
      <w:pPr>
        <w:numPr>
          <w:ilvl w:val="0"/>
          <w:numId w:val="1376"/>
        </w:numPr>
        <w:pStyle w:val="Compact"/>
      </w:pPr>
      <w:r>
        <w:t xml:space="preserve">2003 · Kolterman OG ·</w:t>
      </w:r>
      <w:r>
        <w:t xml:space="preserve"> </w:t>
      </w:r>
      <w:r>
        <w:rPr>
          <w:iCs/>
          <w:i/>
        </w:rPr>
        <w:t xml:space="preserve">J Clin Endocrinol Metab</w:t>
      </w:r>
      <w:r>
        <w:t xml:space="preserve"> </w:t>
      </w:r>
      <w:r>
        <w:t xml:space="preserve">· Synthetic exendin-4 (exenatide) significantly reduces postprandial and fasting plasma glucose in subjects with type 2 diabetes. PMID 12843147</w:t>
      </w:r>
    </w:p>
    <w:bookmarkEnd w:id="1116"/>
    <w:bookmarkStart w:id="1117" w:name="liraglutida-613"/>
    <w:p>
      <w:pPr>
        <w:pStyle w:val="Heading2"/>
      </w:pPr>
      <w:r>
        <w:t xml:space="preserve">Liraglutida (613)</w:t>
      </w:r>
    </w:p>
    <w:p>
      <w:pPr>
        <w:numPr>
          <w:ilvl w:val="0"/>
          <w:numId w:val="1377"/>
        </w:numPr>
        <w:pStyle w:val="Compact"/>
      </w:pPr>
      <w:r>
        <w:t xml:space="preserve">2026 · Caballero-Corbalán J ·</w:t>
      </w:r>
      <w:r>
        <w:t xml:space="preserve"> </w:t>
      </w:r>
      <w:r>
        <w:rPr>
          <w:iCs/>
          <w:i/>
        </w:rPr>
        <w:t xml:space="preserve">Diabetes Obes Metab</w:t>
      </w:r>
      <w:r>
        <w:t xml:space="preserve"> </w:t>
      </w:r>
      <w:r>
        <w:t xml:space="preserve">· Liraglutide and Βeta-Cell Function in Young Adults With Long-Standing Type 1 Diabetes and Residual C-Peptide: A Blinded, Randomized Controlled Trial. PMID 42595732</w:t>
      </w:r>
    </w:p>
    <w:p>
      <w:pPr>
        <w:numPr>
          <w:ilvl w:val="0"/>
          <w:numId w:val="1377"/>
        </w:numPr>
        <w:pStyle w:val="Compact"/>
      </w:pPr>
      <w:r>
        <w:t xml:space="preserve">2026 · Sun Y ·</w:t>
      </w:r>
      <w:r>
        <w:t xml:space="preserve"> </w:t>
      </w:r>
      <w:r>
        <w:rPr>
          <w:iCs/>
          <w:i/>
        </w:rPr>
        <w:t xml:space="preserve">Endocrine</w:t>
      </w:r>
      <w:r>
        <w:t xml:space="preserve"> </w:t>
      </w:r>
      <w:r>
        <w:t xml:space="preserve">· Comparative analysis of IDegLira versus insulin glargine in short-term intensive therapy for overweight or obese patients with type 2 diabetes mellitus. PMID 42439957</w:t>
      </w:r>
    </w:p>
    <w:p>
      <w:pPr>
        <w:numPr>
          <w:ilvl w:val="0"/>
          <w:numId w:val="1377"/>
        </w:numPr>
        <w:pStyle w:val="Compact"/>
      </w:pPr>
      <w:r>
        <w:t xml:space="preserve">2026 · Friedman MI ·</w:t>
      </w:r>
      <w:r>
        <w:t xml:space="preserve"> </w:t>
      </w:r>
      <w:r>
        <w:rPr>
          <w:iCs/>
          <w:i/>
        </w:rPr>
        <w:t xml:space="preserve">Obesity (Silver Spring)</w:t>
      </w:r>
      <w:r>
        <w:t xml:space="preserve"> </w:t>
      </w:r>
      <w:r>
        <w:t xml:space="preserve">· Appetite Suppression by GLP-1 Receptor Agonists: Role of Delayed Gastric Emptying. PMID 42392577</w:t>
      </w:r>
    </w:p>
    <w:p>
      <w:pPr>
        <w:numPr>
          <w:ilvl w:val="0"/>
          <w:numId w:val="1377"/>
        </w:numPr>
        <w:pStyle w:val="Compact"/>
      </w:pPr>
      <w:r>
        <w:t xml:space="preserve">2026 · Sandsdal RM ·</w:t>
      </w:r>
      <w:r>
        <w:t xml:space="preserve"> </w:t>
      </w:r>
      <w:r>
        <w:rPr>
          <w:iCs/>
          <w:i/>
        </w:rPr>
        <w:t xml:space="preserve">Nat Metab</w:t>
      </w:r>
      <w:r>
        <w:t xml:space="preserve"> </w:t>
      </w:r>
      <w:r>
        <w:t xml:space="preserve">· Effects of exercise and liraglutide on vascular health and inflammation during weight loss maintenance: a prespecified secondary analysis of the S-LiTE trial. PMID 42342869</w:t>
      </w:r>
    </w:p>
    <w:p>
      <w:pPr>
        <w:numPr>
          <w:ilvl w:val="0"/>
          <w:numId w:val="1377"/>
        </w:numPr>
        <w:pStyle w:val="Compact"/>
      </w:pPr>
      <w:r>
        <w:t xml:space="preserve">2026 · Sørensen KK ·</w:t>
      </w:r>
      <w:r>
        <w:t xml:space="preserve"> </w:t>
      </w:r>
      <w:r>
        <w:rPr>
          <w:iCs/>
          <w:i/>
        </w:rPr>
        <w:t xml:space="preserve">Clin Trials</w:t>
      </w:r>
      <w:r>
        <w:t xml:space="preserve"> </w:t>
      </w:r>
      <w:r>
        <w:t xml:space="preserve">· Accounting for non-adherence: A re-analysis of the Liraglutide Effect and Action in Diabetes: Evaluation of Cardiovascular Outcome Results trial. PMID 42227113</w:t>
      </w:r>
    </w:p>
    <w:p>
      <w:pPr>
        <w:numPr>
          <w:ilvl w:val="0"/>
          <w:numId w:val="1377"/>
        </w:numPr>
        <w:pStyle w:val="Compact"/>
      </w:pPr>
      <w:r>
        <w:t xml:space="preserve">2026 · Goldberger JJ ·</w:t>
      </w:r>
      <w:r>
        <w:t xml:space="preserve"> </w:t>
      </w:r>
      <w:r>
        <w:rPr>
          <w:iCs/>
          <w:i/>
        </w:rPr>
        <w:t xml:space="preserve">JACC Clin Electrophysiol</w:t>
      </w:r>
      <w:r>
        <w:t xml:space="preserve"> </w:t>
      </w:r>
      <w:r>
        <w:t xml:space="preserve">· The Liraglutide Effects in Atrial Fibrillation (LEAF) Study. PMID 42159524</w:t>
      </w:r>
    </w:p>
    <w:p>
      <w:pPr>
        <w:numPr>
          <w:ilvl w:val="0"/>
          <w:numId w:val="1377"/>
        </w:numPr>
        <w:pStyle w:val="Compact"/>
      </w:pPr>
      <w:r>
        <w:t xml:space="preserve">2026 · Lu L ·</w:t>
      </w:r>
      <w:r>
        <w:t xml:space="preserve"> </w:t>
      </w:r>
      <w:r>
        <w:rPr>
          <w:iCs/>
          <w:i/>
        </w:rPr>
        <w:t xml:space="preserve">Stroke</w:t>
      </w:r>
      <w:r>
        <w:t xml:space="preserve"> </w:t>
      </w:r>
      <w:r>
        <w:t xml:space="preserve">· Liraglutide and Recurrent Stroke by Baseline Insulin Resistance: A Post Hoc Analysis of the LAMP Trial. PMID 42145088</w:t>
      </w:r>
    </w:p>
    <w:p>
      <w:pPr>
        <w:numPr>
          <w:ilvl w:val="0"/>
          <w:numId w:val="1377"/>
        </w:numPr>
        <w:pStyle w:val="Compact"/>
      </w:pPr>
      <w:r>
        <w:t xml:space="preserve">2026 · Cherniavskyi V ·</w:t>
      </w:r>
      <w:r>
        <w:t xml:space="preserve"> </w:t>
      </w:r>
      <w:r>
        <w:rPr>
          <w:iCs/>
          <w:i/>
        </w:rPr>
        <w:t xml:space="preserve">Wiad Lek</w:t>
      </w:r>
      <w:r>
        <w:t xml:space="preserve"> </w:t>
      </w:r>
      <w:r>
        <w:t xml:space="preserve">· Six-month effects of liraglutide and dapagliflozin on lipid profile, cardiovascular risk, and NT-proBNP levels in patients with metabolic dysfunction-associated steatotic liver disease. PMID 42139606</w:t>
      </w:r>
    </w:p>
    <w:p>
      <w:pPr>
        <w:numPr>
          <w:ilvl w:val="0"/>
          <w:numId w:val="1377"/>
        </w:numPr>
        <w:pStyle w:val="Compact"/>
      </w:pPr>
      <w:r>
        <w:t xml:space="preserve">2026 · Evers A ·</w:t>
      </w:r>
      <w:r>
        <w:t xml:space="preserve"> </w:t>
      </w:r>
      <w:r>
        <w:rPr>
          <w:iCs/>
          <w:i/>
        </w:rPr>
        <w:t xml:space="preserve">J Clin Endocrinol Metab</w:t>
      </w:r>
      <w:r>
        <w:t xml:space="preserve"> </w:t>
      </w:r>
      <w:r>
        <w:t xml:space="preserve">· Insights from changes in NDEV biomarkers of metabolism: effects of PPARγ and GLP1 receptor agonists on brain metabolism. PMID 41992726</w:t>
      </w:r>
    </w:p>
    <w:p>
      <w:pPr>
        <w:numPr>
          <w:ilvl w:val="0"/>
          <w:numId w:val="1377"/>
        </w:numPr>
        <w:pStyle w:val="Compact"/>
      </w:pPr>
      <w:r>
        <w:t xml:space="preserve">2026 · Bergenstal RM ·</w:t>
      </w:r>
      <w:r>
        <w:t xml:space="preserve"> </w:t>
      </w:r>
      <w:r>
        <w:rPr>
          <w:iCs/>
          <w:i/>
        </w:rPr>
        <w:t xml:space="preserve">Diabetes Care</w:t>
      </w:r>
      <w:r>
        <w:t xml:space="preserve"> </w:t>
      </w:r>
      <w:r>
        <w:t xml:space="preserve">· Comparison of the Continuous Glucose Monitoring Profiles of Four Glucose-Lowering Medications in the GRADE Randomized Trial. PMID 41925680</w:t>
      </w:r>
    </w:p>
    <w:p>
      <w:pPr>
        <w:numPr>
          <w:ilvl w:val="0"/>
          <w:numId w:val="1377"/>
        </w:numPr>
        <w:pStyle w:val="Compact"/>
      </w:pPr>
      <w:r>
        <w:t xml:space="preserve">2026 · Baldassarre MPA ·</w:t>
      </w:r>
      <w:r>
        <w:t xml:space="preserve"> </w:t>
      </w:r>
      <w:r>
        <w:rPr>
          <w:iCs/>
          <w:i/>
        </w:rPr>
        <w:t xml:space="preserve">J Diabetes Complications</w:t>
      </w:r>
      <w:r>
        <w:t xml:space="preserve"> </w:t>
      </w:r>
      <w:r>
        <w:t xml:space="preserve">· Modulation of circulating extracellular vesicles by antihyperglycemic therapies: A pilot randomized controlled trial. PMID 41621217</w:t>
      </w:r>
    </w:p>
    <w:p>
      <w:pPr>
        <w:numPr>
          <w:ilvl w:val="0"/>
          <w:numId w:val="1377"/>
        </w:numPr>
        <w:pStyle w:val="Compact"/>
      </w:pPr>
      <w:r>
        <w:t xml:space="preserve">2026 · Jensen SBK ·</w:t>
      </w:r>
      <w:r>
        <w:t xml:space="preserve"> </w:t>
      </w:r>
      <w:r>
        <w:rPr>
          <w:iCs/>
          <w:i/>
        </w:rPr>
        <w:t xml:space="preserve">Sports Med</w:t>
      </w:r>
      <w:r>
        <w:t xml:space="preserve"> </w:t>
      </w:r>
      <w:r>
        <w:t xml:space="preserve">· Physical Fitness with Exercise and GLP-1 Receptor Agonist Treatment Alone or Combined After Diet-Induced Weight Loss: A Secondary Analysis of a Randomized Controlled Trial in Adults with Obesity. PMID 41579235</w:t>
      </w:r>
    </w:p>
    <w:p>
      <w:pPr>
        <w:numPr>
          <w:ilvl w:val="0"/>
          <w:numId w:val="1377"/>
        </w:numPr>
        <w:pStyle w:val="Compact"/>
      </w:pPr>
      <w:r>
        <w:t xml:space="preserve">2026 · Gutierrez de Piñeres V ·</w:t>
      </w:r>
      <w:r>
        <w:t xml:space="preserve"> </w:t>
      </w:r>
      <w:r>
        <w:rPr>
          <w:iCs/>
          <w:i/>
        </w:rPr>
        <w:t xml:space="preserve">Diabetes Res Clin Pract</w:t>
      </w:r>
      <w:r>
        <w:t xml:space="preserve"> </w:t>
      </w:r>
      <w:r>
        <w:t xml:space="preserve">· Effects of liraglutide treatment for 35-days on total and regional fat free, lean, and bone mass, and on the Myostatin-Activin-Follistatin-IGF-1 axes: a secondary analysis of a randomized placebo-controlled crossover study. PMID 41571048</w:t>
      </w:r>
    </w:p>
    <w:p>
      <w:pPr>
        <w:numPr>
          <w:ilvl w:val="0"/>
          <w:numId w:val="1377"/>
        </w:numPr>
        <w:pStyle w:val="Compact"/>
      </w:pPr>
      <w:r>
        <w:t xml:space="preserve">2026 · Gonzalez JS ·</w:t>
      </w:r>
      <w:r>
        <w:t xml:space="preserve"> </w:t>
      </w:r>
      <w:r>
        <w:rPr>
          <w:iCs/>
          <w:i/>
        </w:rPr>
        <w:t xml:space="preserve">Diabetes Care</w:t>
      </w:r>
      <w:r>
        <w:t xml:space="preserve"> </w:t>
      </w:r>
      <w:r>
        <w:t xml:space="preserve">· Medication Adherence in the Glycemia Reduction Approaches in Diabetes: A Comparative Effectiveness Study (GRADE). PMID 41557987</w:t>
      </w:r>
    </w:p>
    <w:p>
      <w:pPr>
        <w:numPr>
          <w:ilvl w:val="0"/>
          <w:numId w:val="1377"/>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7"/>
        </w:numPr>
        <w:pStyle w:val="Compact"/>
      </w:pPr>
      <w:r>
        <w:t xml:space="preserve">2026 · Kahn SE ·</w:t>
      </w:r>
      <w:r>
        <w:t xml:space="preserve"> </w:t>
      </w:r>
      <w:r>
        <w:rPr>
          <w:iCs/>
          <w:i/>
        </w:rPr>
        <w:t xml:space="preserve">Diabetes Care</w:t>
      </w:r>
      <w:r>
        <w:t xml:space="preserve"> </w:t>
      </w:r>
      <w:r>
        <w:t xml:space="preserve">· Differential Longitudinal Effects of Glucose-Lowering Medications on Glucagon and C-peptide Responses in the Glycemia Reduction Approaches in Diabetes: A Comparative Effectiveness Study (GRADE). PMID 41432725</w:t>
      </w:r>
    </w:p>
    <w:p>
      <w:pPr>
        <w:numPr>
          <w:ilvl w:val="0"/>
          <w:numId w:val="1377"/>
        </w:numPr>
        <w:pStyle w:val="Compact"/>
      </w:pPr>
      <w:r>
        <w:t xml:space="preserve">2026 · Edison P ·</w:t>
      </w:r>
      <w:r>
        <w:t xml:space="preserve"> </w:t>
      </w:r>
      <w:r>
        <w:rPr>
          <w:iCs/>
          <w:i/>
        </w:rPr>
        <w:t xml:space="preserve">Nat Med</w:t>
      </w:r>
      <w:r>
        <w:t xml:space="preserve"> </w:t>
      </w:r>
      <w:r>
        <w:t xml:space="preserve">· Liraglutide in mild to moderate Alzheimer’s disease: a phase 2b clinical trial. PMID 41326666</w:t>
      </w:r>
    </w:p>
    <w:p>
      <w:pPr>
        <w:numPr>
          <w:ilvl w:val="0"/>
          <w:numId w:val="1377"/>
        </w:numPr>
        <w:pStyle w:val="Compact"/>
      </w:pPr>
      <w:r>
        <w:t xml:space="preserve">2026 · Gutierrez de Piñeres V ·</w:t>
      </w:r>
      <w:r>
        <w:t xml:space="preserve"> </w:t>
      </w:r>
      <w:r>
        <w:rPr>
          <w:iCs/>
          <w:i/>
        </w:rPr>
        <w:t xml:space="preserve">Diabetes Obes Metab</w:t>
      </w:r>
      <w:r>
        <w:t xml:space="preserve"> </w:t>
      </w:r>
      <w:r>
        <w:t xml:space="preserve">· Effects of liraglutide treatment for 18 days on metabolic parameters, regional body composition and the myostatin-activin-follistatin-IGF-1 axis: Results from an exploratory, randomized, placebo-controlled, crossover study. PMID 41287185</w:t>
      </w:r>
    </w:p>
    <w:p>
      <w:pPr>
        <w:numPr>
          <w:ilvl w:val="0"/>
          <w:numId w:val="1377"/>
        </w:numPr>
        <w:pStyle w:val="Compact"/>
      </w:pPr>
      <w:r>
        <w:t xml:space="preserve">2026 · Zhu H ·</w:t>
      </w:r>
      <w:r>
        <w:t xml:space="preserve"> </w:t>
      </w:r>
      <w:r>
        <w:rPr>
          <w:iCs/>
          <w:i/>
        </w:rPr>
        <w:t xml:space="preserve">JAMA Intern Med</w:t>
      </w:r>
      <w:r>
        <w:t xml:space="preserve"> </w:t>
      </w:r>
      <w:r>
        <w:t xml:space="preserve">· Liraglutide in Acute Minor Ischemic Stroke or High-Risk Transient Ischemic Attack With Type 2 Diabetes: The LAMP Randomized Clinical Trial. PMID 41182740</w:t>
      </w:r>
    </w:p>
    <w:p>
      <w:pPr>
        <w:numPr>
          <w:ilvl w:val="0"/>
          <w:numId w:val="1377"/>
        </w:numPr>
        <w:pStyle w:val="Compact"/>
      </w:pPr>
      <w:r>
        <w:t xml:space="preserve">2026 · Holt J ·</w:t>
      </w:r>
      <w:r>
        <w:t xml:space="preserve"> </w:t>
      </w:r>
      <w:r>
        <w:rPr>
          <w:iCs/>
          <w:i/>
        </w:rPr>
        <w:t xml:space="preserve">Obesity (Silver Spring)</w:t>
      </w:r>
      <w:r>
        <w:t xml:space="preserve"> </w:t>
      </w:r>
      <w:r>
        <w:t xml:space="preserve">· One Year of Exercise After Weight Loss Increases Postprandial GLP-1 Secretion in Contrast to Usual Activity or GLP-1 Receptor Agonist Treatment. PMID 40998556</w:t>
      </w:r>
    </w:p>
    <w:p>
      <w:pPr>
        <w:numPr>
          <w:ilvl w:val="0"/>
          <w:numId w:val="1377"/>
        </w:numPr>
        <w:pStyle w:val="Compact"/>
      </w:pPr>
      <w:r>
        <w:t xml:space="preserve">2025 · Long XF ·</w:t>
      </w:r>
      <w:r>
        <w:t xml:space="preserve"> </w:t>
      </w:r>
      <w:r>
        <w:rPr>
          <w:iCs/>
          <w:i/>
        </w:rPr>
        <w:t xml:space="preserve">Front Endocrinol (Lausanne)</w:t>
      </w:r>
      <w:r>
        <w:t xml:space="preserve"> </w:t>
      </w:r>
      <w:r>
        <w:t xml:space="preserve">· Combination metformin and liraglutide in PCOS: clinical efficacy in women and preclinical insights from gut microbiome modulation in rats. PMID 41384017</w:t>
      </w:r>
    </w:p>
    <w:p>
      <w:pPr>
        <w:numPr>
          <w:ilvl w:val="0"/>
          <w:numId w:val="1377"/>
        </w:numPr>
        <w:pStyle w:val="Compact"/>
      </w:pPr>
      <w:r>
        <w:t xml:space="preserve">2025 · Brown WA ·</w:t>
      </w:r>
      <w:r>
        <w:t xml:space="preserve"> </w:t>
      </w:r>
      <w:r>
        <w:rPr>
          <w:iCs/>
          <w:i/>
        </w:rPr>
        <w:t xml:space="preserve">JAMA Netw Open</w:t>
      </w:r>
      <w:r>
        <w:t xml:space="preserve"> </w:t>
      </w:r>
      <w:r>
        <w:t xml:space="preserve">· Liraglutide and Weight Loss Among Suboptimal Responders to Metabolic Bariatric Surgery: A Randomized Clinical Trial. PMID 41160027</w:t>
      </w:r>
    </w:p>
    <w:p>
      <w:pPr>
        <w:numPr>
          <w:ilvl w:val="0"/>
          <w:numId w:val="1377"/>
        </w:numPr>
        <w:pStyle w:val="Compact"/>
      </w:pPr>
      <w:r>
        <w:t xml:space="preserve">2025 · Mashayekhi M ·</w:t>
      </w:r>
      <w:r>
        <w:t xml:space="preserve"> </w:t>
      </w:r>
      <w:r>
        <w:rPr>
          <w:iCs/>
          <w:i/>
        </w:rPr>
        <w:t xml:space="preserve">J Endocrinol</w:t>
      </w:r>
      <w:r>
        <w:t xml:space="preserve"> </w:t>
      </w:r>
      <w:r>
        <w:t xml:space="preserve">· RISING STARS: Effects of a GLP-1 receptor polymorphism on responses to liraglutide. PMID 41042549</w:t>
      </w:r>
    </w:p>
    <w:p>
      <w:pPr>
        <w:numPr>
          <w:ilvl w:val="0"/>
          <w:numId w:val="1377"/>
        </w:numPr>
        <w:pStyle w:val="Compact"/>
      </w:pPr>
      <w:r>
        <w:t xml:space="preserve">2025 · Glaros SB ·</w:t>
      </w:r>
      <w:r>
        <w:t xml:space="preserve"> </w:t>
      </w:r>
      <w:r>
        <w:rPr>
          <w:iCs/>
          <w:i/>
        </w:rPr>
        <w:t xml:space="preserve">Gut Microbes</w:t>
      </w:r>
      <w:r>
        <w:t xml:space="preserve"> </w:t>
      </w:r>
      <w:r>
        <w:t xml:space="preserve">· Systemic and gut microbiome changes with metformin and liraglutide in youth-onset type 2 diabetes: the MIGHTY study. PMID 41020378</w:t>
      </w:r>
    </w:p>
    <w:p>
      <w:pPr>
        <w:numPr>
          <w:ilvl w:val="0"/>
          <w:numId w:val="1377"/>
        </w:numPr>
        <w:pStyle w:val="Compact"/>
      </w:pPr>
      <w:r>
        <w:t xml:space="preserve">2025 · Pop-Busui R ·</w:t>
      </w:r>
      <w:r>
        <w:t xml:space="preserve"> </w:t>
      </w:r>
      <w:r>
        <w:rPr>
          <w:iCs/>
          <w:i/>
        </w:rPr>
        <w:t xml:space="preserve">Diabetes Care</w:t>
      </w:r>
      <w:r>
        <w:t xml:space="preserve"> </w:t>
      </w:r>
      <w:r>
        <w:t xml:space="preserve">· Differences in Prevalence and Incidence of Electrocardiogram Abnormalities and Cardiovascular Autonomic Neuropathy Among Randomized Glucose-Lowering Treatments in Early Type 2 Diabetes: The Glycemia Reduction Approaches in Diabetes (GRADE) Cohort. PMID 40986645</w:t>
      </w:r>
    </w:p>
    <w:p>
      <w:pPr>
        <w:numPr>
          <w:ilvl w:val="0"/>
          <w:numId w:val="1377"/>
        </w:numPr>
        <w:pStyle w:val="Compact"/>
      </w:pPr>
      <w:r>
        <w:t xml:space="preserve">2025 · Li X ·</w:t>
      </w:r>
      <w:r>
        <w:t xml:space="preserve"> </w:t>
      </w:r>
      <w:r>
        <w:rPr>
          <w:iCs/>
          <w:i/>
        </w:rPr>
        <w:t xml:space="preserve">Diabetes Obes Metab</w:t>
      </w:r>
      <w:r>
        <w:t xml:space="preserve"> </w:t>
      </w:r>
      <w:r>
        <w:t xml:space="preserve">· Dapagliflozin restores odour-induced functional integration of primary olfactory cortex circuit but not olfactory-related regional brain activation in patients with type 2 diabetes: A 16-week randomised comparative study. PMID 40954925</w:t>
      </w:r>
    </w:p>
    <w:p>
      <w:pPr>
        <w:numPr>
          <w:ilvl w:val="0"/>
          <w:numId w:val="1377"/>
        </w:numPr>
        <w:pStyle w:val="Compact"/>
      </w:pPr>
      <w:r>
        <w:t xml:space="preserve">2025 · Brosnahan N ·</w:t>
      </w:r>
      <w:r>
        <w:t xml:space="preserve"> </w:t>
      </w:r>
      <w:r>
        <w:rPr>
          <w:iCs/>
          <w:i/>
        </w:rPr>
        <w:t xml:space="preserve">Clin Nutr</w:t>
      </w:r>
      <w:r>
        <w:t xml:space="preserve"> </w:t>
      </w:r>
      <w:r>
        <w:t xml:space="preserve">· Diet strategies for maintaining substantial therapeutic weight loss: 78-week mixed methods randomised trial. PMID 40934815</w:t>
      </w:r>
    </w:p>
    <w:p>
      <w:pPr>
        <w:numPr>
          <w:ilvl w:val="0"/>
          <w:numId w:val="1377"/>
        </w:numPr>
        <w:pStyle w:val="Compact"/>
      </w:pPr>
      <w:r>
        <w:t xml:space="preserve">2025 · Guerdjikova AI ·</w:t>
      </w:r>
      <w:r>
        <w:t xml:space="preserve"> </w:t>
      </w:r>
      <w:r>
        <w:rPr>
          <w:iCs/>
          <w:i/>
        </w:rPr>
        <w:t xml:space="preserve">Int J Psychiatry Clin Pract</w:t>
      </w:r>
      <w:r>
        <w:t xml:space="preserve"> </w:t>
      </w:r>
      <w:r>
        <w:t xml:space="preserve">· Features of binge eating disorder in obese or overweight individuals with stable bipolar disorder participating in a weight loss trial - a post hoc analysis. PMID 40849800</w:t>
      </w:r>
    </w:p>
    <w:p>
      <w:pPr>
        <w:numPr>
          <w:ilvl w:val="0"/>
          <w:numId w:val="1377"/>
        </w:numPr>
        <w:pStyle w:val="Compact"/>
      </w:pPr>
      <w:r>
        <w:t xml:space="preserve">2025 · Nigro S ·</w:t>
      </w:r>
      <w:r>
        <w:t xml:space="preserve"> </w:t>
      </w:r>
      <w:r>
        <w:rPr>
          <w:iCs/>
          <w:i/>
        </w:rPr>
        <w:t xml:space="preserve">Obes Surg</w:t>
      </w:r>
      <w:r>
        <w:t xml:space="preserve"> </w:t>
      </w:r>
      <w:r>
        <w:t xml:space="preserve">· Comparative Efficacy of Endoscopic Sleeve Gastroplasty (Esg) Versus Liraglutide in Weight Loss and Remission Of Obesity-Related Comorbidities: Twelve Months Follow-Up Results. PMID 40779281</w:t>
      </w:r>
    </w:p>
    <w:p>
      <w:pPr>
        <w:numPr>
          <w:ilvl w:val="0"/>
          <w:numId w:val="1377"/>
        </w:numPr>
        <w:pStyle w:val="Compact"/>
      </w:pPr>
      <w:r>
        <w:t xml:space="preserve">2025 · Gómez-Medina AM ·</w:t>
      </w:r>
      <w:r>
        <w:t xml:space="preserve"> </w:t>
      </w:r>
      <w:r>
        <w:rPr>
          <w:iCs/>
          <w:i/>
        </w:rPr>
        <w:t xml:space="preserve">Diabetologia</w:t>
      </w:r>
      <w:r>
        <w:t xml:space="preserve"> </w:t>
      </w:r>
      <w:r>
        <w:t xml:space="preserve">· Insulin DEgludec/LIraglutide versus multiple daily insulin injections in the transition from hospital to outpatient management assessed by continuous glucose monitoring: the DELI transition trial. PMID 40760249</w:t>
      </w:r>
    </w:p>
    <w:p>
      <w:pPr>
        <w:numPr>
          <w:ilvl w:val="0"/>
          <w:numId w:val="1377"/>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77"/>
        </w:numPr>
        <w:pStyle w:val="Compact"/>
      </w:pPr>
      <w:r>
        <w:t xml:space="preserve">2025 · Simeone PG ·</w:t>
      </w:r>
      <w:r>
        <w:t xml:space="preserve"> </w:t>
      </w:r>
      <w:r>
        <w:rPr>
          <w:iCs/>
          <w:i/>
        </w:rPr>
        <w:t xml:space="preserve">Cardiovasc Diabetol</w:t>
      </w:r>
      <w:r>
        <w:t xml:space="preserve"> </w:t>
      </w:r>
      <w:r>
        <w:t xml:space="preserve">· Interleukin-1β in circulating mononuclear cells predicts steatotic liver disease improvement after weight loss in subjects with obesity and prediabetes or type 2 diabetes. PMID 40514652</w:t>
      </w:r>
    </w:p>
    <w:p>
      <w:pPr>
        <w:numPr>
          <w:ilvl w:val="0"/>
          <w:numId w:val="1377"/>
        </w:numPr>
        <w:pStyle w:val="Compact"/>
      </w:pPr>
      <w:r>
        <w:t xml:space="preserve">2025 · Cifuentes L ·</w:t>
      </w:r>
      <w:r>
        <w:t xml:space="preserve"> </w:t>
      </w:r>
      <w:r>
        <w:rPr>
          <w:iCs/>
          <w:i/>
        </w:rPr>
        <w:t xml:space="preserve">Cell Metab</w:t>
      </w:r>
      <w:r>
        <w:t xml:space="preserve"> </w:t>
      </w:r>
      <w:r>
        <w:t xml:space="preserve">· Genetic and physiological insights into satiation variability predict responses to obesity treatment. PMID 40482646</w:t>
      </w:r>
    </w:p>
    <w:p>
      <w:pPr>
        <w:numPr>
          <w:ilvl w:val="0"/>
          <w:numId w:val="1377"/>
        </w:numPr>
        <w:pStyle w:val="Compact"/>
      </w:pPr>
      <w:r>
        <w:t xml:space="preserve">2025 · Hsia DS ·</w:t>
      </w:r>
      <w:r>
        <w:t xml:space="preserve"> </w:t>
      </w:r>
      <w:r>
        <w:rPr>
          <w:iCs/>
          <w:i/>
        </w:rPr>
        <w:t xml:space="preserve">Diabetes Care</w:t>
      </w:r>
      <w:r>
        <w:t xml:space="preserve"> </w:t>
      </w:r>
      <w:r>
        <w:t xml:space="preserve">· Association of Hospitalizations With Randomized Glycemia-Lowering Treatment in GRADE. PMID 40424051</w:t>
      </w:r>
    </w:p>
    <w:p>
      <w:pPr>
        <w:numPr>
          <w:ilvl w:val="0"/>
          <w:numId w:val="1377"/>
        </w:numPr>
        <w:pStyle w:val="Compact"/>
      </w:pPr>
      <w:r>
        <w:t xml:space="preserve">2025 · Luchsinger JA ·</w:t>
      </w:r>
      <w:r>
        <w:t xml:space="preserve"> </w:t>
      </w:r>
      <w:r>
        <w:rPr>
          <w:iCs/>
          <w:i/>
        </w:rPr>
        <w:t xml:space="preserve">JAMA Intern Med</w:t>
      </w:r>
      <w:r>
        <w:t xml:space="preserve"> </w:t>
      </w:r>
      <w:r>
        <w:t xml:space="preserve">· Glucose-Lowering Medications, Glycemia, and Cognitive Outcomes: The GRADE Randomized Clinical Trial. PMID 40388190</w:t>
      </w:r>
    </w:p>
    <w:p>
      <w:pPr>
        <w:numPr>
          <w:ilvl w:val="0"/>
          <w:numId w:val="1377"/>
        </w:numPr>
        <w:pStyle w:val="Compact"/>
      </w:pPr>
      <w:r>
        <w:t xml:space="preserve">2025 · Caruso P ·</w:t>
      </w:r>
      <w:r>
        <w:t xml:space="preserve"> </w:t>
      </w:r>
      <w:r>
        <w:rPr>
          <w:iCs/>
          <w:i/>
        </w:rPr>
        <w:t xml:space="preserve">Diabetes Obes Metab</w:t>
      </w:r>
      <w:r>
        <w:t xml:space="preserve"> </w:t>
      </w:r>
      <w:r>
        <w:t xml:space="preserve">· Liraglutide improves peripheral perfusion and markers of angiogenesis and inflammation in people with type 2 diabetes and peripheral artery disease: An 18-month follow-up of a randomized clinical trial. PMID 40276845</w:t>
      </w:r>
    </w:p>
    <w:p>
      <w:pPr>
        <w:numPr>
          <w:ilvl w:val="0"/>
          <w:numId w:val="1377"/>
        </w:numPr>
        <w:pStyle w:val="Compact"/>
      </w:pPr>
      <w:r>
        <w:t xml:space="preserve">2025 · Wexler DJ ·</w:t>
      </w:r>
      <w:r>
        <w:t xml:space="preserve"> </w:t>
      </w:r>
      <w:r>
        <w:rPr>
          <w:iCs/>
          <w:i/>
        </w:rPr>
        <w:t xml:space="preserve">Diabetes Care</w:t>
      </w:r>
      <w:r>
        <w:t xml:space="preserve"> </w:t>
      </w:r>
      <w:r>
        <w:t xml:space="preserve">· Weight Gain Was Associated With Worsening Glycemia and Cardiovascular and Kidney Outcomes in Patients With Type 2 Diabetes Independent of Diabetes Medication in the GRADE Randomized Controlled Trial. PMID 40267365</w:t>
      </w:r>
    </w:p>
    <w:p>
      <w:pPr>
        <w:numPr>
          <w:ilvl w:val="0"/>
          <w:numId w:val="1377"/>
        </w:numPr>
        <w:pStyle w:val="Compact"/>
      </w:pPr>
      <w:r>
        <w:t xml:space="preserve">2025 · Richardson KM ·</w:t>
      </w:r>
      <w:r>
        <w:t xml:space="preserve"> </w:t>
      </w:r>
      <w:r>
        <w:rPr>
          <w:iCs/>
          <w:i/>
        </w:rPr>
        <w:t xml:space="preserve">Diabetes Obes Metab</w:t>
      </w:r>
      <w:r>
        <w:t xml:space="preserve"> </w:t>
      </w:r>
      <w:r>
        <w:t xml:space="preserve">· The influence of the glucagon-like peptide-1 receptor agonist, liraglutide, on dietary patterns and nutrient intakes in patients with obesity and prediabetes: A secondary analysis of a randomized controlled trial. PMID 40259488</w:t>
      </w:r>
    </w:p>
    <w:p>
      <w:pPr>
        <w:numPr>
          <w:ilvl w:val="0"/>
          <w:numId w:val="1377"/>
        </w:numPr>
        <w:pStyle w:val="Compact"/>
      </w:pPr>
      <w:r>
        <w:t xml:space="preserve">2025 · Utzschneider KM ·</w:t>
      </w:r>
      <w:r>
        <w:t xml:space="preserve"> </w:t>
      </w:r>
      <w:r>
        <w:rPr>
          <w:iCs/>
          <w:i/>
        </w:rPr>
        <w:t xml:space="preserve">Diabetes Care</w:t>
      </w:r>
      <w:r>
        <w:t xml:space="preserve"> </w:t>
      </w:r>
      <w:r>
        <w:t xml:space="preserve">· Differential Treatment Effects on β-Cell Function Using Model-Based Parameters in Type 2 Diabetes: Results From the Glycemia Reduction Approaches in Diabetes: A Comparative Effectiveness Study (GRADE). PMID 39998948</w:t>
      </w:r>
    </w:p>
    <w:p>
      <w:pPr>
        <w:numPr>
          <w:ilvl w:val="0"/>
          <w:numId w:val="1377"/>
        </w:numPr>
        <w:pStyle w:val="Compact"/>
      </w:pPr>
      <w:r>
        <w:t xml:space="preserve">2025 · Lahooti A ·</w:t>
      </w:r>
      <w:r>
        <w:t xml:space="preserve"> </w:t>
      </w:r>
      <w:r>
        <w:rPr>
          <w:iCs/>
          <w:i/>
        </w:rPr>
        <w:t xml:space="preserve">Obes Surg</w:t>
      </w:r>
      <w:r>
        <w:t xml:space="preserve"> </w:t>
      </w:r>
      <w:r>
        <w:t xml:space="preserve">· A Randomized, Double-Blind, Two-Way Cross-over Study to Evaluate the Efficacy of Liraglutide Treatment in Patients Undergoing Transoral Outlet Reduction Endoscopy for Weight Regain Post Roux-en-Y Gastric Bypass. PMID 39885064</w:t>
      </w:r>
    </w:p>
    <w:p>
      <w:pPr>
        <w:numPr>
          <w:ilvl w:val="0"/>
          <w:numId w:val="1377"/>
        </w:numPr>
        <w:pStyle w:val="Compact"/>
      </w:pPr>
      <w:r>
        <w:t xml:space="preserve">2025 · Shah VN ·</w:t>
      </w:r>
      <w:r>
        <w:t xml:space="preserve"> </w:t>
      </w:r>
      <w:r>
        <w:rPr>
          <w:iCs/>
          <w:i/>
        </w:rPr>
        <w:t xml:space="preserve">J Diabetes Sci Technol</w:t>
      </w:r>
      <w:r>
        <w:t xml:space="preserve"> </w:t>
      </w:r>
      <w:r>
        <w:t xml:space="preserve">· Determinants of Liraglutide Treatment Discontinuation in Type 1 Diabetes: A Post Hoc Analysis of ADJUNCT ONE and ADJUNCT TWO Randomized Placebo-Controlled Clinical Studies. PMID 39717993</w:t>
      </w:r>
    </w:p>
    <w:p>
      <w:pPr>
        <w:numPr>
          <w:ilvl w:val="0"/>
          <w:numId w:val="1377"/>
        </w:numPr>
        <w:pStyle w:val="Compact"/>
      </w:pPr>
      <w:r>
        <w:t xml:space="preserve">2025 · Holt R ·</w:t>
      </w:r>
      <w:r>
        <w:t xml:space="preserve"> </w:t>
      </w:r>
      <w:r>
        <w:rPr>
          <w:iCs/>
          <w:i/>
        </w:rPr>
        <w:t xml:space="preserve">J Clin Endocrinol Metab</w:t>
      </w:r>
      <w:r>
        <w:t xml:space="preserve"> </w:t>
      </w:r>
      <w:r>
        <w:t xml:space="preserve">· Weight Loss Induces Changes in Vitamin D Status in Women With Obesity But Not in Men: A Randomized Clinical Trial. PMID 39530599</w:t>
      </w:r>
    </w:p>
    <w:p>
      <w:pPr>
        <w:numPr>
          <w:ilvl w:val="0"/>
          <w:numId w:val="1377"/>
        </w:numPr>
        <w:pStyle w:val="Compact"/>
      </w:pPr>
      <w:r>
        <w:t xml:space="preserve">2025 · Lofton HF ·</w:t>
      </w:r>
      <w:r>
        <w:t xml:space="preserve"> </w:t>
      </w:r>
      <w:r>
        <w:rPr>
          <w:iCs/>
          <w:i/>
        </w:rPr>
        <w:t xml:space="preserve">Surg Obes Relat Dis</w:t>
      </w:r>
      <w:r>
        <w:t xml:space="preserve"> </w:t>
      </w:r>
      <w:r>
        <w:t xml:space="preserve">· A randomized, double-blind, placebo-controlled trial of weight loss using liraglutide 3.0 mg for weight recurrence after Roux-en-Y gastric bypass. PMID 39401933</w:t>
      </w:r>
    </w:p>
    <w:p>
      <w:pPr>
        <w:numPr>
          <w:ilvl w:val="0"/>
          <w:numId w:val="1377"/>
        </w:numPr>
        <w:pStyle w:val="Compact"/>
      </w:pPr>
      <w:r>
        <w:t xml:space="preserve">2025 · Beetz N ·</w:t>
      </w:r>
      <w:r>
        <w:t xml:space="preserve"> </w:t>
      </w:r>
      <w:r>
        <w:rPr>
          <w:iCs/>
          <w:i/>
        </w:rPr>
        <w:t xml:space="preserve">Diabetes Obes Metab</w:t>
      </w:r>
      <w:r>
        <w:t xml:space="preserve"> </w:t>
      </w:r>
      <w:r>
        <w:t xml:space="preserve">· A randomized phase I study of BI 1820237, a novel neuropeptide Y receptor type 2 agonist, alone or in combination with low-dose liraglutide in otherwise healthy men with overweight or obesity. PMID 39373311</w:t>
      </w:r>
    </w:p>
    <w:p>
      <w:pPr>
        <w:numPr>
          <w:ilvl w:val="0"/>
          <w:numId w:val="1377"/>
        </w:numPr>
        <w:pStyle w:val="Compact"/>
      </w:pPr>
      <w:r>
        <w:t xml:space="preserve">2025 · Iacobellis G ·</w:t>
      </w:r>
      <w:r>
        <w:t xml:space="preserve"> </w:t>
      </w:r>
      <w:r>
        <w:rPr>
          <w:iCs/>
          <w:i/>
        </w:rPr>
        <w:t xml:space="preserve">Nutr Metab Cardiovasc Dis</w:t>
      </w:r>
      <w:r>
        <w:t xml:space="preserve"> </w:t>
      </w:r>
      <w:r>
        <w:t xml:space="preserve">· Liraglutide effects on epicardial adipose tissue micro-RNAs and intra-operative glucose control. PMID 39277531</w:t>
      </w:r>
    </w:p>
    <w:p>
      <w:pPr>
        <w:numPr>
          <w:ilvl w:val="0"/>
          <w:numId w:val="1377"/>
        </w:numPr>
        <w:pStyle w:val="Compact"/>
      </w:pPr>
      <w:r>
        <w:t xml:space="preserve">2025 · Fox CK ·</w:t>
      </w:r>
      <w:r>
        <w:t xml:space="preserve"> </w:t>
      </w:r>
      <w:r>
        <w:rPr>
          <w:iCs/>
          <w:i/>
        </w:rPr>
        <w:t xml:space="preserve">N Engl J Med</w:t>
      </w:r>
      <w:r>
        <w:t xml:space="preserve"> </w:t>
      </w:r>
      <w:r>
        <w:t xml:space="preserve">· Liraglutide for Children 6 to &lt;12 Years of Age with Obesity - A Randomized Trial. PMID 39258838</w:t>
      </w:r>
    </w:p>
    <w:p>
      <w:pPr>
        <w:numPr>
          <w:ilvl w:val="0"/>
          <w:numId w:val="1377"/>
        </w:numPr>
        <w:pStyle w:val="Compact"/>
      </w:pPr>
      <w:r>
        <w:t xml:space="preserve">2025 · Jin Y ·</w:t>
      </w:r>
      <w:r>
        <w:t xml:space="preserve"> </w:t>
      </w:r>
      <w:r>
        <w:rPr>
          <w:iCs/>
          <w:i/>
        </w:rPr>
        <w:t xml:space="preserve">Altern Ther Health Med</w:t>
      </w:r>
      <w:r>
        <w:t xml:space="preserve"> </w:t>
      </w:r>
      <w:r>
        <w:t xml:space="preserve">· Analysis of the Efficacy of Polyenyl Phosphatidylcholine in Combination with Liraglutide in Nonalcoholic Fatty Liver Disease and the Effect of Omentin-1 and Vaspin Expression. PMID 38814610</w:t>
      </w:r>
    </w:p>
    <w:p>
      <w:pPr>
        <w:numPr>
          <w:ilvl w:val="0"/>
          <w:numId w:val="1377"/>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7"/>
        </w:numPr>
        <w:pStyle w:val="Compact"/>
      </w:pPr>
      <w:r>
        <w:t xml:space="preserve">2024 · Ellegaard AM ·</w:t>
      </w:r>
      <w:r>
        <w:t xml:space="preserve"> </w:t>
      </w:r>
      <w:r>
        <w:rPr>
          <w:iCs/>
          <w:i/>
        </w:rPr>
        <w:t xml:space="preserve">Clin Transl Gastroenterol</w:t>
      </w:r>
      <w:r>
        <w:t xml:space="preserve"> </w:t>
      </w:r>
      <w:r>
        <w:t xml:space="preserve">· Liraglutide and Colesevelam Change Serum and Fecal Bile Acid Levels in a Randomized Trial With Patients With Bile Acid Diarrhea. PMID 39602188</w:t>
      </w:r>
    </w:p>
    <w:p>
      <w:pPr>
        <w:numPr>
          <w:ilvl w:val="0"/>
          <w:numId w:val="1377"/>
        </w:numPr>
        <w:pStyle w:val="Compact"/>
      </w:pPr>
      <w:r>
        <w:t xml:space="preserve">2024 · Seaquist ER ·</w:t>
      </w:r>
      <w:r>
        <w:t xml:space="preserve"> </w:t>
      </w:r>
      <w:r>
        <w:rPr>
          <w:iCs/>
          <w:i/>
        </w:rPr>
        <w:t xml:space="preserve">PLoS One</w:t>
      </w:r>
      <w:r>
        <w:t xml:space="preserve"> </w:t>
      </w:r>
      <w:r>
        <w:t xml:space="preserve">· Glycemia reduction in type 2 diabetes-Hypoglycemia outcomes: A randomized clinical trial. PMID 39546502</w:t>
      </w:r>
    </w:p>
    <w:p>
      <w:pPr>
        <w:numPr>
          <w:ilvl w:val="0"/>
          <w:numId w:val="1377"/>
        </w:numPr>
        <w:pStyle w:val="Compact"/>
      </w:pPr>
      <w:r>
        <w:t xml:space="preserve">2024 · Punthakee Z ·</w:t>
      </w:r>
      <w:r>
        <w:t xml:space="preserve"> </w:t>
      </w:r>
      <w:r>
        <w:rPr>
          <w:iCs/>
          <w:i/>
        </w:rPr>
        <w:t xml:space="preserve">Diabetes Obes Metab</w:t>
      </w:r>
      <w:r>
        <w:t xml:space="preserve"> </w:t>
      </w:r>
      <w:r>
        <w:t xml:space="preserve">· Evaluating remission of type 2 diabetes using a metabolic intervention including fixed-ratio insulin degludec and liraglutide: A randomized controlled trial. PMID 39239702</w:t>
      </w:r>
    </w:p>
    <w:p>
      <w:pPr>
        <w:numPr>
          <w:ilvl w:val="0"/>
          <w:numId w:val="1377"/>
        </w:numPr>
        <w:pStyle w:val="Compact"/>
      </w:pPr>
      <w:r>
        <w:t xml:space="preserve">2024 · Dejgaard TF ·</w:t>
      </w:r>
      <w:r>
        <w:t xml:space="preserve"> </w:t>
      </w:r>
      <w:r>
        <w:rPr>
          <w:iCs/>
          <w:i/>
        </w:rPr>
        <w:t xml:space="preserve">Diabetes Obes Metab</w:t>
      </w:r>
      <w:r>
        <w:t xml:space="preserve"> </w:t>
      </w:r>
      <w:r>
        <w:t xml:space="preserve">· Liraglutide enhances insulin secretion and prolongs the remission period in adults with newly diagnosed type 1 diabetes (the NewLira study): A randomized, double-blind, placebo-controlled trial. PMID 39192527</w:t>
      </w:r>
    </w:p>
    <w:p>
      <w:pPr>
        <w:numPr>
          <w:ilvl w:val="0"/>
          <w:numId w:val="1377"/>
        </w:numPr>
        <w:pStyle w:val="Compact"/>
      </w:pPr>
      <w:r>
        <w:t xml:space="preserve">2024 · Chowdhary A ·</w:t>
      </w:r>
      <w:r>
        <w:t xml:space="preserve"> </w:t>
      </w:r>
      <w:r>
        <w:rPr>
          <w:iCs/>
          <w:i/>
        </w:rPr>
        <w:t xml:space="preserve">J Am Coll Cardiol</w:t>
      </w:r>
      <w:r>
        <w:t xml:space="preserve"> </w:t>
      </w:r>
      <w:r>
        <w:t xml:space="preserve">· Liraglutide Improves Myocardial Perfusion and Energetics and Exercise Tolerance in Patients With Type 2 Diabetes. PMID 39084829</w:t>
      </w:r>
    </w:p>
    <w:p>
      <w:pPr>
        <w:numPr>
          <w:ilvl w:val="0"/>
          <w:numId w:val="1377"/>
        </w:numPr>
        <w:pStyle w:val="Compact"/>
      </w:pPr>
      <w:r>
        <w:t xml:space="preserve">2024 · Oosterom-Eijmael MJP ·</w:t>
      </w:r>
      <w:r>
        <w:t xml:space="preserve"> </w:t>
      </w:r>
      <w:r>
        <w:rPr>
          <w:iCs/>
          <w:i/>
        </w:rPr>
        <w:t xml:space="preserve">J Cardiothorac Vasc Anesth</w:t>
      </w:r>
      <w:r>
        <w:t xml:space="preserve"> </w:t>
      </w:r>
      <w:r>
        <w:t xml:space="preserve">· Continuous Glucose Monitoring and the Effect of Liraglutide in Cardiac Surgery Patients: A Substudy of the Randomized Controlled GLOBE Trial. PMID 38977382</w:t>
      </w:r>
    </w:p>
    <w:p>
      <w:pPr>
        <w:numPr>
          <w:ilvl w:val="0"/>
          <w:numId w:val="1377"/>
        </w:numPr>
        <w:pStyle w:val="Compact"/>
      </w:pPr>
      <w:r>
        <w:t xml:space="preserve">2024 · Hoekx CA ·</w:t>
      </w:r>
      <w:r>
        <w:t xml:space="preserve"> </w:t>
      </w:r>
      <w:r>
        <w:rPr>
          <w:iCs/>
          <w:i/>
        </w:rPr>
        <w:t xml:space="preserve">Exp Physiol</w:t>
      </w:r>
      <w:r>
        <w:t xml:space="preserve"> </w:t>
      </w:r>
      <w:r>
        <w:t xml:space="preserve">· Growth differentiation factor 15 is not modified after weight loss induced by liraglutide in South Asians and Europids with type 2 diabetes mellitus. PMID 38965822</w:t>
      </w:r>
    </w:p>
    <w:p>
      <w:pPr>
        <w:numPr>
          <w:ilvl w:val="0"/>
          <w:numId w:val="1377"/>
        </w:numPr>
        <w:pStyle w:val="Compact"/>
      </w:pPr>
      <w:r>
        <w:t xml:space="preserve">2024 · Jensen SBK ·</w:t>
      </w:r>
      <w:r>
        <w:t xml:space="preserve"> </w:t>
      </w:r>
      <w:r>
        <w:rPr>
          <w:iCs/>
          <w:i/>
        </w:rPr>
        <w:t xml:space="preserve">JAMA Netw Open</w:t>
      </w:r>
      <w:r>
        <w:t xml:space="preserve"> </w:t>
      </w:r>
      <w:r>
        <w:t xml:space="preserve">· Bone Health After Exercise Alone, GLP-1 Receptor Agonist Treatment, or Combination Treatment: A Secondary Analysis of a Randomized Clinical Trial. PMID 38916894</w:t>
      </w:r>
    </w:p>
    <w:p>
      <w:pPr>
        <w:numPr>
          <w:ilvl w:val="0"/>
          <w:numId w:val="1377"/>
        </w:numPr>
        <w:pStyle w:val="Compact"/>
      </w:pPr>
      <w:r>
        <w:t xml:space="preserve">2024 · Dogan ADA ·</w:t>
      </w:r>
      <w:r>
        <w:t xml:space="preserve"> </w:t>
      </w:r>
      <w:r>
        <w:rPr>
          <w:iCs/>
          <w:i/>
        </w:rPr>
        <w:t xml:space="preserve">BMC Res Notes</w:t>
      </w:r>
      <w:r>
        <w:t xml:space="preserve"> </w:t>
      </w:r>
      <w:r>
        <w:t xml:space="preserve">· FDG-PET/CT-based respiration-gated lung segmentation and quantification of lung inflammation in COPD patients. PMID 38902794</w:t>
      </w:r>
    </w:p>
    <w:p>
      <w:pPr>
        <w:numPr>
          <w:ilvl w:val="0"/>
          <w:numId w:val="1377"/>
        </w:numPr>
        <w:pStyle w:val="Compact"/>
      </w:pPr>
      <w:r>
        <w:t xml:space="preserve">2024 · Konstantinidou SK ·</w:t>
      </w:r>
      <w:r>
        <w:t xml:space="preserve"> </w:t>
      </w:r>
      <w:r>
        <w:rPr>
          <w:iCs/>
          <w:i/>
        </w:rPr>
        <w:t xml:space="preserve">Diabetes Obes Metab</w:t>
      </w:r>
      <w:r>
        <w:t xml:space="preserve"> </w:t>
      </w:r>
      <w:r>
        <w:t xml:space="preserve">· Total and H-specific growth/differentiation factor 15 levels are unaffected by liraglutide or naltrexone/bupropion administration. PMID 38757729</w:t>
      </w:r>
    </w:p>
    <w:p>
      <w:pPr>
        <w:numPr>
          <w:ilvl w:val="0"/>
          <w:numId w:val="1377"/>
        </w:numPr>
        <w:pStyle w:val="Compact"/>
      </w:pPr>
      <w:r>
        <w:t xml:space="preserve">2024 · Herfarth H ·</w:t>
      </w:r>
      <w:r>
        <w:t xml:space="preserve"> </w:t>
      </w:r>
      <w:r>
        <w:rPr>
          <w:iCs/>
          <w:i/>
        </w:rPr>
        <w:t xml:space="preserve">Am J Gastroenterol</w:t>
      </w:r>
      <w:r>
        <w:t xml:space="preserve"> </w:t>
      </w:r>
      <w:r>
        <w:t xml:space="preserve">· Efficacy and Safety of Liraglutide in Patients With an Ileal Pouch-Anal Anastomosis and Chronic High Bowel Frequency: A Placebo-Controlled, Crossover, Proof-of-Concept Study. PMID 38668926</w:t>
      </w:r>
    </w:p>
    <w:p>
      <w:pPr>
        <w:numPr>
          <w:ilvl w:val="0"/>
          <w:numId w:val="1377"/>
        </w:numPr>
        <w:pStyle w:val="Compact"/>
      </w:pPr>
      <w:r>
        <w:t xml:space="preserve">2024 · Pandey A ·</w:t>
      </w:r>
      <w:r>
        <w:t xml:space="preserve"> </w:t>
      </w:r>
      <w:r>
        <w:rPr>
          <w:iCs/>
          <w:i/>
        </w:rPr>
        <w:t xml:space="preserve">J Cachexia Sarcopenia Muscle</w:t>
      </w:r>
      <w:r>
        <w:t xml:space="preserve"> </w:t>
      </w:r>
      <w:r>
        <w:t xml:space="preserve">· Effect of liraglutide on thigh muscle fat and muscle composition in adults with overweight or obesity: Results from a randomized clinical trial. PMID 38561962</w:t>
      </w:r>
    </w:p>
    <w:p>
      <w:pPr>
        <w:numPr>
          <w:ilvl w:val="0"/>
          <w:numId w:val="1377"/>
        </w:numPr>
        <w:pStyle w:val="Compact"/>
      </w:pPr>
      <w:r>
        <w:t xml:space="preserve">2024 · Katogiannis K ·</w:t>
      </w:r>
      <w:r>
        <w:t xml:space="preserve"> </w:t>
      </w:r>
      <w:r>
        <w:rPr>
          <w:iCs/>
          <w:i/>
        </w:rPr>
        <w:t xml:space="preserve">Medicina (Kaunas)</w:t>
      </w:r>
      <w:r>
        <w:t xml:space="preserve"> </w:t>
      </w:r>
      <w:r>
        <w:t xml:space="preserve">· Effects of Liraglutide, Empagliflozin and Their Combination on Left Atrial Strain and Arterial Function. PMID 38541121</w:t>
      </w:r>
    </w:p>
    <w:p>
      <w:pPr>
        <w:numPr>
          <w:ilvl w:val="0"/>
          <w:numId w:val="1377"/>
        </w:numPr>
        <w:pStyle w:val="Compact"/>
      </w:pPr>
      <w:r>
        <w:t xml:space="preserve">2024 · Caruso P ·</w:t>
      </w:r>
      <w:r>
        <w:t xml:space="preserve"> </w:t>
      </w:r>
      <w:r>
        <w:rPr>
          <w:iCs/>
          <w:i/>
        </w:rPr>
        <w:t xml:space="preserve">JAMA Netw Open</w:t>
      </w:r>
      <w:r>
        <w:t xml:space="preserve"> </w:t>
      </w:r>
      <w:r>
        <w:t xml:space="preserve">· Liraglutide for Lower Limb Perfusion in People With Type 2 Diabetes and Peripheral Artery Disease: The STARDUST Randomized Clinical Trial. PMID 38470420</w:t>
      </w:r>
    </w:p>
    <w:p>
      <w:pPr>
        <w:numPr>
          <w:ilvl w:val="0"/>
          <w:numId w:val="1377"/>
        </w:numPr>
        <w:pStyle w:val="Compact"/>
      </w:pPr>
      <w:r>
        <w:t xml:space="preserve">2024 · Dearos Sanchis M ·</w:t>
      </w:r>
      <w:r>
        <w:t xml:space="preserve"> </w:t>
      </w:r>
      <w:r>
        <w:rPr>
          <w:iCs/>
          <w:i/>
        </w:rPr>
        <w:t xml:space="preserve">Nutr Hosp</w:t>
      </w:r>
      <w:r>
        <w:t xml:space="preserve"> </w:t>
      </w:r>
      <w:r>
        <w:t xml:space="preserve">· [Impact on weight loss and body composition of a food education intervention associated with Liraglutide treatment to address obesity]. PMID 38450509</w:t>
      </w:r>
    </w:p>
    <w:p>
      <w:pPr>
        <w:numPr>
          <w:ilvl w:val="0"/>
          <w:numId w:val="1377"/>
        </w:numPr>
        <w:pStyle w:val="Compact"/>
      </w:pPr>
      <w:r>
        <w:t xml:space="preserve">2024 · Green JB ·</w:t>
      </w:r>
      <w:r>
        <w:t xml:space="preserve"> </w:t>
      </w:r>
      <w:r>
        <w:rPr>
          <w:iCs/>
          <w:i/>
        </w:rPr>
        <w:t xml:space="preserve">Circulation</w:t>
      </w:r>
      <w:r>
        <w:t xml:space="preserve"> </w:t>
      </w:r>
      <w:r>
        <w:t xml:space="preserve">· Cardiovascular Outcomes in GRADE (Glycemia Reduction Approaches in Type 2 Diabetes: A Comparative Effectiveness Study). PMID 38344820</w:t>
      </w:r>
    </w:p>
    <w:p>
      <w:pPr>
        <w:numPr>
          <w:ilvl w:val="0"/>
          <w:numId w:val="1377"/>
        </w:numPr>
        <w:pStyle w:val="Compact"/>
      </w:pPr>
      <w:r>
        <w:t xml:space="preserve">2024 · Ma J ·</w:t>
      </w:r>
      <w:r>
        <w:t xml:space="preserve"> </w:t>
      </w:r>
      <w:r>
        <w:rPr>
          <w:iCs/>
          <w:i/>
        </w:rPr>
        <w:t xml:space="preserve">Altern Ther Health Med</w:t>
      </w:r>
      <w:r>
        <w:t xml:space="preserve"> </w:t>
      </w:r>
      <w:r>
        <w:t xml:space="preserve">· Clinical Efficacy and Safety of Liraglutide and Dapagliflozin on Glucose and Lipid Metabolism and Insulin Function in Patients with Type 2 Diabetes Mellitus. PMID 38294744</w:t>
      </w:r>
    </w:p>
    <w:p>
      <w:pPr>
        <w:numPr>
          <w:ilvl w:val="0"/>
          <w:numId w:val="1377"/>
        </w:numPr>
        <w:pStyle w:val="Compact"/>
      </w:pPr>
      <w:r>
        <w:t xml:space="preserve">2024 · Garvey WT ·</w:t>
      </w:r>
      <w:r>
        <w:t xml:space="preserve"> </w:t>
      </w:r>
      <w:r>
        <w:rPr>
          <w:iCs/>
          <w:i/>
        </w:rPr>
        <w:t xml:space="preserve">Diabetes Care</w:t>
      </w:r>
      <w:r>
        <w:t xml:space="preserve"> </w:t>
      </w:r>
      <w:r>
        <w:t xml:space="preserve">· Association of Baseline Factors With Glycemic Outcomes in GRADE: A Comparative Effectiveness Randomized Clinical Trial. PMID 38285957</w:t>
      </w:r>
    </w:p>
    <w:p>
      <w:pPr>
        <w:numPr>
          <w:ilvl w:val="0"/>
          <w:numId w:val="1377"/>
        </w:numPr>
        <w:pStyle w:val="Compact"/>
      </w:pPr>
      <w:r>
        <w:t xml:space="preserve">2024 · Kawaguchi Y ·</w:t>
      </w:r>
      <w:r>
        <w:t xml:space="preserve"> </w:t>
      </w:r>
      <w:r>
        <w:rPr>
          <w:iCs/>
          <w:i/>
        </w:rPr>
        <w:t xml:space="preserve">J Diabetes Investig</w:t>
      </w:r>
      <w:r>
        <w:t xml:space="preserve"> </w:t>
      </w:r>
      <w:r>
        <w:t xml:space="preserve">· Comparison of efficacy and safety of insulin degludec/liraglutide and insulin glargine U-100/lixisenatide in individuals with type 2 diabetes mellitus using professional continuous glucose monitoring. PMID 38258482</w:t>
      </w:r>
    </w:p>
    <w:p>
      <w:pPr>
        <w:numPr>
          <w:ilvl w:val="0"/>
          <w:numId w:val="1377"/>
        </w:numPr>
        <w:pStyle w:val="Compact"/>
      </w:pPr>
      <w:r>
        <w:t xml:space="preserve">2024 · McElroy SL ·</w:t>
      </w:r>
      <w:r>
        <w:t xml:space="preserve"> </w:t>
      </w:r>
      <w:r>
        <w:rPr>
          <w:iCs/>
          <w:i/>
        </w:rPr>
        <w:t xml:space="preserve">J Clin Psychopharmacol</w:t>
      </w:r>
      <w:r>
        <w:t xml:space="preserve"> </w:t>
      </w:r>
      <w:r>
        <w:t xml:space="preserve">· Liraglutide in Obese or Overweight Individuals With Stable Bipolar Disorder. PMID 38227621</w:t>
      </w:r>
    </w:p>
    <w:p>
      <w:pPr>
        <w:numPr>
          <w:ilvl w:val="0"/>
          <w:numId w:val="1377"/>
        </w:numPr>
        <w:pStyle w:val="Compact"/>
      </w:pPr>
      <w:r>
        <w:t xml:space="preserve">2024 · Rasouli N ·</w:t>
      </w:r>
      <w:r>
        <w:t xml:space="preserve"> </w:t>
      </w:r>
      <w:r>
        <w:rPr>
          <w:iCs/>
          <w:i/>
        </w:rPr>
        <w:t xml:space="preserve">Diabetes Care</w:t>
      </w:r>
      <w:r>
        <w:t xml:space="preserve"> </w:t>
      </w:r>
      <w:r>
        <w:t xml:space="preserve">· Longitudinal Effects of Glucose-Lowering Medications on β-Cell Responses and Insulin Sensitivity in Type 2 Diabetes: The GRADE Randomized Clinical Trial. PMID 38211595</w:t>
      </w:r>
    </w:p>
    <w:p>
      <w:pPr>
        <w:numPr>
          <w:ilvl w:val="0"/>
          <w:numId w:val="1377"/>
        </w:numPr>
        <w:pStyle w:val="Compact"/>
      </w:pPr>
      <w:r>
        <w:t xml:space="preserve">2024 · Kirkman MS ·</w:t>
      </w:r>
      <w:r>
        <w:t xml:space="preserve"> </w:t>
      </w:r>
      <w:r>
        <w:rPr>
          <w:iCs/>
          <w:i/>
        </w:rPr>
        <w:t xml:space="preserve">Diabetes Care</w:t>
      </w:r>
      <w:r>
        <w:t xml:space="preserve"> </w:t>
      </w:r>
      <w:r>
        <w:t xml:space="preserve">· Comparative Effects of Randomized Second-line Therapy for Type 2 Diabetes on a Composite Outcome Incorporating Glycemic Control, Body Weight, and Hypoglycemia: An Analysis of the Glycemia Reduction Approaches in Diabetes: A Comparative Effectiveness Study (GRADE). PMID 38194519</w:t>
      </w:r>
    </w:p>
    <w:p>
      <w:pPr>
        <w:numPr>
          <w:ilvl w:val="0"/>
          <w:numId w:val="1377"/>
        </w:numPr>
        <w:pStyle w:val="Compact"/>
      </w:pPr>
      <w:r>
        <w:t xml:space="preserve">2024 · Cherrington AL ·</w:t>
      </w:r>
      <w:r>
        <w:t xml:space="preserve"> </w:t>
      </w:r>
      <w:r>
        <w:rPr>
          <w:iCs/>
          <w:i/>
        </w:rPr>
        <w:t xml:space="preserve">Diabetes Care</w:t>
      </w:r>
      <w:r>
        <w:t xml:space="preserve"> </w:t>
      </w:r>
      <w:r>
        <w:t xml:space="preserve">· Impact of Glucose-Lowering Medications on Health-Related Quality of Life in the Glycemia Reduction Approaches in Diabetes: A Comparative Effectiveness Study (GRADE). PMID 38190625</w:t>
      </w:r>
    </w:p>
    <w:p>
      <w:pPr>
        <w:numPr>
          <w:ilvl w:val="0"/>
          <w:numId w:val="1377"/>
        </w:numPr>
        <w:pStyle w:val="Compact"/>
      </w:pPr>
      <w:r>
        <w:t xml:space="preserve">2024 · Utzschneider KM ·</w:t>
      </w:r>
      <w:r>
        <w:t xml:space="preserve"> </w:t>
      </w:r>
      <w:r>
        <w:rPr>
          <w:iCs/>
          <w:i/>
        </w:rPr>
        <w:t xml:space="preserve">Diabetes Care</w:t>
      </w:r>
      <w:r>
        <w:t xml:space="preserve"> </w:t>
      </w:r>
      <w:r>
        <w:t xml:space="preserve">· Impact of Insulin Sensitivity and β-Cell Function Over Time on Glycemic Outcomes in the Glycemia Reduction Approaches in Diabetes: A Comparative Effectiveness Study (GRADE): Differential Treatment Effects of Dual Therapy. PMID 38190619</w:t>
      </w:r>
    </w:p>
    <w:p>
      <w:pPr>
        <w:numPr>
          <w:ilvl w:val="0"/>
          <w:numId w:val="1377"/>
        </w:numPr>
        <w:pStyle w:val="Compact"/>
      </w:pPr>
      <w:r>
        <w:t xml:space="preserve">2024 · Eghbali M ·</w:t>
      </w:r>
      <w:r>
        <w:t xml:space="preserve"> </w:t>
      </w:r>
      <w:r>
        <w:rPr>
          <w:iCs/>
          <w:i/>
        </w:rPr>
        <w:t xml:space="preserve">Adv Ther</w:t>
      </w:r>
      <w:r>
        <w:t xml:space="preserve"> </w:t>
      </w:r>
      <w:r>
        <w:t xml:space="preserve">· Glucagon-Like Peptide 1 (GLP-1) Receptor Variants and Glycemic Response to Liraglutide: A Pharmacogenetics Study in Iranian People with Type 2 Diabetes Mellitus. PMID 38172377</w:t>
      </w:r>
    </w:p>
    <w:p>
      <w:pPr>
        <w:numPr>
          <w:ilvl w:val="0"/>
          <w:numId w:val="1377"/>
        </w:numPr>
        <w:pStyle w:val="Compact"/>
      </w:pPr>
      <w:r>
        <w:t xml:space="preserve">2024 · Hany M ·</w:t>
      </w:r>
      <w:r>
        <w:t xml:space="preserve"> </w:t>
      </w:r>
      <w:r>
        <w:rPr>
          <w:iCs/>
          <w:i/>
        </w:rPr>
        <w:t xml:space="preserve">Int J Surg</w:t>
      </w:r>
      <w:r>
        <w:t xml:space="preserve"> </w:t>
      </w:r>
      <w:r>
        <w:t xml:space="preserve">· Boosting weight loss after conversional Roux-en-Y Gastric Bypass with liraglutide and placebo use. A double-blind-randomized controlled trial. PMID 38100630</w:t>
      </w:r>
    </w:p>
    <w:p>
      <w:pPr>
        <w:numPr>
          <w:ilvl w:val="0"/>
          <w:numId w:val="1377"/>
        </w:numPr>
        <w:pStyle w:val="Compact"/>
      </w:pPr>
      <w:r>
        <w:t xml:space="preserve">2024 · O’Donnell C ·</w:t>
      </w:r>
      <w:r>
        <w:t xml:space="preserve"> </w:t>
      </w:r>
      <w:r>
        <w:rPr>
          <w:iCs/>
          <w:i/>
        </w:rPr>
        <w:t xml:space="preserve">Ann Am Thorac Soc</w:t>
      </w:r>
      <w:r>
        <w:t xml:space="preserve"> </w:t>
      </w:r>
      <w:r>
        <w:t xml:space="preserve">· Continuous Positive Airway Pressure but Not GLP1-mediated Weight Loss Improves Early Cardiovascular Disease in Obstructive Sleep Apnea: A Randomized Proof-of-Concept Study. PMID 38096106</w:t>
      </w:r>
    </w:p>
    <w:p>
      <w:pPr>
        <w:numPr>
          <w:ilvl w:val="0"/>
          <w:numId w:val="1377"/>
        </w:numPr>
        <w:pStyle w:val="Compact"/>
      </w:pPr>
      <w:r>
        <w:t xml:space="preserve">2024 · Krishnan K ·</w:t>
      </w:r>
      <w:r>
        <w:t xml:space="preserve"> </w:t>
      </w:r>
      <w:r>
        <w:rPr>
          <w:iCs/>
          <w:i/>
        </w:rPr>
        <w:t xml:space="preserve">Diabetes Res Clin Pract</w:t>
      </w:r>
      <w:r>
        <w:t xml:space="preserve"> </w:t>
      </w:r>
      <w:r>
        <w:t xml:space="preserve">· Phase 3 efficacy and safety trial of proposed liraglutide biosimilar for reduction of glycosylated hemoglobin (HbA1c) in patients with Type 2 diabetes mellitus. PMID 38061446</w:t>
      </w:r>
    </w:p>
    <w:p>
      <w:pPr>
        <w:numPr>
          <w:ilvl w:val="0"/>
          <w:numId w:val="1377"/>
        </w:numPr>
        <w:pStyle w:val="Compact"/>
      </w:pPr>
      <w:r>
        <w:t xml:space="preserve">2024 · Dietsche KB ·</w:t>
      </w:r>
      <w:r>
        <w:t xml:space="preserve"> </w:t>
      </w:r>
      <w:r>
        <w:rPr>
          <w:iCs/>
          <w:i/>
        </w:rPr>
        <w:t xml:space="preserve">J Clin Endocrinol Metab</w:t>
      </w:r>
      <w:r>
        <w:t xml:space="preserve"> </w:t>
      </w:r>
      <w:r>
        <w:t xml:space="preserve">· Glycemia and Gluconeogenesis With Metformin and Liraglutide: A Randomized Trial in Youth-onset Type 2 Diabetes. PMID 37967247</w:t>
      </w:r>
    </w:p>
    <w:p>
      <w:pPr>
        <w:numPr>
          <w:ilvl w:val="0"/>
          <w:numId w:val="1377"/>
        </w:numPr>
        <w:pStyle w:val="Compact"/>
      </w:pPr>
      <w:r>
        <w:t xml:space="preserve">2024 · Custódio G ·</w:t>
      </w:r>
      <w:r>
        <w:t xml:space="preserve"> </w:t>
      </w:r>
      <w:r>
        <w:rPr>
          <w:iCs/>
          <w:i/>
        </w:rPr>
        <w:t xml:space="preserve">Liver Transpl</w:t>
      </w:r>
      <w:r>
        <w:t xml:space="preserve"> </w:t>
      </w:r>
      <w:r>
        <w:t xml:space="preserve">· Does liraglutide alleviate inflammation in brain-dead donors? A randomized clinical trial. PMID 37938130</w:t>
      </w:r>
    </w:p>
    <w:p>
      <w:pPr>
        <w:numPr>
          <w:ilvl w:val="0"/>
          <w:numId w:val="1377"/>
        </w:numPr>
        <w:pStyle w:val="Compact"/>
      </w:pPr>
      <w:r>
        <w:t xml:space="preserve">2024 · Mashayekhi M ·</w:t>
      </w:r>
      <w:r>
        <w:t xml:space="preserve"> </w:t>
      </w:r>
      <w:r>
        <w:rPr>
          <w:iCs/>
          <w:i/>
        </w:rPr>
        <w:t xml:space="preserve">Diabetes</w:t>
      </w:r>
      <w:r>
        <w:t xml:space="preserve"> </w:t>
      </w:r>
      <w:r>
        <w:t xml:space="preserve">· Weight Loss-Independent Effect of Liraglutide on Insulin Sensitivity in Individuals With Obesity and Prediabetes. PMID 37874653</w:t>
      </w:r>
    </w:p>
    <w:p>
      <w:pPr>
        <w:numPr>
          <w:ilvl w:val="0"/>
          <w:numId w:val="1377"/>
        </w:numPr>
        <w:pStyle w:val="Compact"/>
      </w:pPr>
      <w:r>
        <w:t xml:space="preserve">2024 · Foghsgaard S ·</w:t>
      </w:r>
      <w:r>
        <w:t xml:space="preserve"> </w:t>
      </w:r>
      <w:r>
        <w:rPr>
          <w:iCs/>
          <w:i/>
        </w:rPr>
        <w:t xml:space="preserve">Diabetes Obes Metab</w:t>
      </w:r>
      <w:r>
        <w:t xml:space="preserve"> </w:t>
      </w:r>
      <w:r>
        <w:t xml:space="preserve">· Liraglutide treatment for the prevention of glucose tolerance deterioration in women with prior gestational diabetes mellitus: A 52-week randomized controlled clinical trial. PMID 37846555</w:t>
      </w:r>
    </w:p>
    <w:p>
      <w:pPr>
        <w:numPr>
          <w:ilvl w:val="0"/>
          <w:numId w:val="1377"/>
        </w:numPr>
        <w:pStyle w:val="Compact"/>
      </w:pPr>
      <w:r>
        <w:t xml:space="preserve">2024 · Hollander PA ·</w:t>
      </w:r>
      <w:r>
        <w:t xml:space="preserve"> </w:t>
      </w:r>
      <w:r>
        <w:rPr>
          <w:iCs/>
          <w:i/>
        </w:rPr>
        <w:t xml:space="preserve">Diabetes Care</w:t>
      </w:r>
      <w:r>
        <w:t xml:space="preserve"> </w:t>
      </w:r>
      <w:r>
        <w:t xml:space="preserve">· The Use of Rescue Insulin in the Glycemia Reduction Approaches in Diabetes: A Comparative Effectiveness Study (GRADE). PMID 37756542</w:t>
      </w:r>
    </w:p>
    <w:p>
      <w:pPr>
        <w:numPr>
          <w:ilvl w:val="0"/>
          <w:numId w:val="1377"/>
        </w:numPr>
        <w:pStyle w:val="Compact"/>
      </w:pPr>
      <w:r>
        <w:t xml:space="preserve">2024 · Liao M ·</w:t>
      </w:r>
      <w:r>
        <w:t xml:space="preserve"> </w:t>
      </w:r>
      <w:r>
        <w:rPr>
          <w:iCs/>
          <w:i/>
        </w:rPr>
        <w:t xml:space="preserve">Endocrine</w:t>
      </w:r>
      <w:r>
        <w:t xml:space="preserve"> </w:t>
      </w:r>
      <w:r>
        <w:t xml:space="preserve">· Effects and plasma proteomic analysis of GLP-1RA versus CPA/EE, in combination with metformin, on overweight PCOS women: a randomized controlled trial. PMID 37653215</w:t>
      </w:r>
    </w:p>
    <w:p>
      <w:pPr>
        <w:numPr>
          <w:ilvl w:val="0"/>
          <w:numId w:val="1377"/>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7"/>
        </w:numPr>
        <w:pStyle w:val="Compact"/>
      </w:pPr>
      <w:r>
        <w:t xml:space="preserve">2024 · Philis-Tsimikas A ·</w:t>
      </w:r>
      <w:r>
        <w:t xml:space="preserve"> </w:t>
      </w:r>
      <w:r>
        <w:rPr>
          <w:iCs/>
          <w:i/>
        </w:rPr>
        <w:t xml:space="preserve">J Diabetes Sci Technol</w:t>
      </w:r>
      <w:r>
        <w:t xml:space="preserve"> </w:t>
      </w:r>
      <w:r>
        <w:t xml:space="preserve">· Higher Derived Time in Range With IDegLira Versus Insulin Glargine U100 in People With Type 2 Diabetes. PMID 36710452</w:t>
      </w:r>
    </w:p>
    <w:p>
      <w:pPr>
        <w:numPr>
          <w:ilvl w:val="0"/>
          <w:numId w:val="1377"/>
        </w:numPr>
        <w:pStyle w:val="Compact"/>
      </w:pPr>
      <w:r>
        <w:t xml:space="preserve">2023 · Parker VER ·</w:t>
      </w:r>
      <w:r>
        <w:t xml:space="preserve"> </w:t>
      </w:r>
      <w:r>
        <w:rPr>
          <w:iCs/>
          <w:i/>
        </w:rPr>
        <w:t xml:space="preserve">Nat Metab</w:t>
      </w:r>
      <w:r>
        <w:t xml:space="preserve"> </w:t>
      </w:r>
      <w:r>
        <w:t xml:space="preserve">· Cotadutide promotes glycogenolysis in people with overweight or obesity diagnosed with type 2 diabetes. PMID 38066113</w:t>
      </w:r>
    </w:p>
    <w:p>
      <w:pPr>
        <w:numPr>
          <w:ilvl w:val="0"/>
          <w:numId w:val="1377"/>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7"/>
        </w:numPr>
        <w:pStyle w:val="Compact"/>
      </w:pPr>
      <w:r>
        <w:t xml:space="preserve">2023 · Coppin G ·</w:t>
      </w:r>
      <w:r>
        <w:t xml:space="preserve"> </w:t>
      </w:r>
      <w:r>
        <w:rPr>
          <w:iCs/>
          <w:i/>
        </w:rPr>
        <w:t xml:space="preserve">Int J Obes (Lond)</w:t>
      </w:r>
      <w:r>
        <w:t xml:space="preserve"> </w:t>
      </w:r>
      <w:r>
        <w:t xml:space="preserve">· A randomized controlled trial investigating the effect of liraglutide on self-reported liking and neural responses to food stimuli in participants with obesity. PMID 37626125</w:t>
      </w:r>
    </w:p>
    <w:p>
      <w:pPr>
        <w:numPr>
          <w:ilvl w:val="0"/>
          <w:numId w:val="1377"/>
        </w:numPr>
        <w:pStyle w:val="Compact"/>
      </w:pPr>
      <w:r>
        <w:t xml:space="preserve">2023 · Hanssen R ·</w:t>
      </w:r>
      <w:r>
        <w:t xml:space="preserve"> </w:t>
      </w:r>
      <w:r>
        <w:rPr>
          <w:iCs/>
          <w:i/>
        </w:rPr>
        <w:t xml:space="preserve">Nat Metab</w:t>
      </w:r>
      <w:r>
        <w:t xml:space="preserve"> </w:t>
      </w:r>
      <w:r>
        <w:t xml:space="preserve">· Liraglutide restores impaired associative learning in individuals with obesity. PMID 37592007</w:t>
      </w:r>
    </w:p>
    <w:p>
      <w:pPr>
        <w:numPr>
          <w:ilvl w:val="0"/>
          <w:numId w:val="1377"/>
        </w:numPr>
        <w:pStyle w:val="Compact"/>
      </w:pPr>
      <w:r>
        <w:t xml:space="preserve">2023 · Freitas FPC ·</w:t>
      </w:r>
      <w:r>
        <w:t xml:space="preserve"> </w:t>
      </w:r>
      <w:r>
        <w:rPr>
          <w:iCs/>
          <w:i/>
        </w:rPr>
        <w:t xml:space="preserve">Sci Rep</w:t>
      </w:r>
      <w:r>
        <w:t xml:space="preserve"> </w:t>
      </w:r>
      <w:r>
        <w:t xml:space="preserve">· Effect of liraglutide on cardiometabolic profile and on bioelectrical impedance analysis in patients with obesity and metabolic syndrome. PMID 37567946</w:t>
      </w:r>
    </w:p>
    <w:p>
      <w:pPr>
        <w:numPr>
          <w:ilvl w:val="0"/>
          <w:numId w:val="1377"/>
        </w:numPr>
        <w:pStyle w:val="Compact"/>
      </w:pPr>
      <w:r>
        <w:t xml:space="preserve">2023 · Mok J ·</w:t>
      </w:r>
      <w:r>
        <w:t xml:space="preserve"> </w:t>
      </w:r>
      <w:r>
        <w:rPr>
          <w:iCs/>
          <w:i/>
        </w:rPr>
        <w:t xml:space="preserve">JAMA Surg</w:t>
      </w:r>
      <w:r>
        <w:t xml:space="preserve"> </w:t>
      </w:r>
      <w:r>
        <w:t xml:space="preserve">· Safety and Efficacy of Liraglutide, 3.0 mg, Once Daily vs Placebo in Patients With Poor Weight Loss Following Metabolic Surgery: The BARI-OPTIMISE Randomized Clinical Trial. PMID 37494014</w:t>
      </w:r>
    </w:p>
    <w:p>
      <w:pPr>
        <w:numPr>
          <w:ilvl w:val="0"/>
          <w:numId w:val="1377"/>
        </w:numPr>
        <w:pStyle w:val="Compact"/>
      </w:pPr>
      <w:r>
        <w:t xml:space="preserve">2023 · Galindo RJ ·</w:t>
      </w:r>
      <w:r>
        <w:t xml:space="preserve"> </w:t>
      </w:r>
      <w:r>
        <w:rPr>
          <w:iCs/>
          <w:i/>
        </w:rPr>
        <w:t xml:space="preserve">Diabetes Care</w:t>
      </w:r>
      <w:r>
        <w:t xml:space="preserve"> </w:t>
      </w:r>
      <w:r>
        <w:t xml:space="preserve">· A Randomized Controlled Trial Comparing the Efficacy and Safety of IDegLira Versus Basal-Bolus in Patients With Poorly Controlled Type 2 Diabetes and Very High HbA1c ≥9-15%: DUAL HIGH Trial. PMID 37459574</w:t>
      </w:r>
    </w:p>
    <w:p>
      <w:pPr>
        <w:numPr>
          <w:ilvl w:val="0"/>
          <w:numId w:val="1377"/>
        </w:numPr>
        <w:pStyle w:val="Compact"/>
      </w:pPr>
      <w:r>
        <w:t xml:space="preserve">2023 · Scherbak NN ·</w:t>
      </w:r>
      <w:r>
        <w:t xml:space="preserve"> </w:t>
      </w:r>
      <w:r>
        <w:rPr>
          <w:iCs/>
          <w:i/>
        </w:rPr>
        <w:t xml:space="preserve">Diabetes Metab J</w:t>
      </w:r>
      <w:r>
        <w:t xml:space="preserve"> </w:t>
      </w:r>
      <w:r>
        <w:t xml:space="preserve">· Glimepiride Compared to Liraglutide Increases Plasma Levels of miR-206, miR-182-5p, and miR-766-3p in Type 2 Diabetes Mellitus: A Randomized Controlled Trial. PMID 37349083</w:t>
      </w:r>
    </w:p>
    <w:p>
      <w:pPr>
        <w:numPr>
          <w:ilvl w:val="0"/>
          <w:numId w:val="1377"/>
        </w:numPr>
        <w:pStyle w:val="Compact"/>
      </w:pPr>
      <w:r>
        <w:t xml:space="preserve">2023 · Bensignor MO ·</w:t>
      </w:r>
      <w:r>
        <w:t xml:space="preserve"> </w:t>
      </w:r>
      <w:r>
        <w:rPr>
          <w:iCs/>
          <w:i/>
        </w:rPr>
        <w:t xml:space="preserve">Pediatr Obes</w:t>
      </w:r>
      <w:r>
        <w:t xml:space="preserve"> </w:t>
      </w:r>
      <w:r>
        <w:t xml:space="preserve">· Evaluating potential predictors of weight loss response to liraglutide in adolescents with obesity: A post hoc analysis of the randomized, placebo-controlled SCALE Teens trial. PMID 37264767</w:t>
      </w:r>
    </w:p>
    <w:p>
      <w:pPr>
        <w:numPr>
          <w:ilvl w:val="0"/>
          <w:numId w:val="1377"/>
        </w:numPr>
        <w:pStyle w:val="Compact"/>
      </w:pPr>
      <w:r>
        <w:t xml:space="preserve">2023 · Wexler DJ ·</w:t>
      </w:r>
      <w:r>
        <w:t xml:space="preserve"> </w:t>
      </w:r>
      <w:r>
        <w:rPr>
          <w:iCs/>
          <w:i/>
        </w:rPr>
        <w:t xml:space="preserve">JAMA Intern Med</w:t>
      </w:r>
      <w:r>
        <w:t xml:space="preserve"> </w:t>
      </w:r>
      <w:r>
        <w:t xml:space="preserve">· Comparative Effects of Glucose-Lowering Medications on Kidney Outcomes in Type 2 Diabetes: The GRADE Randomized Clinical Trial. PMID 37213109</w:t>
      </w:r>
    </w:p>
    <w:p>
      <w:pPr>
        <w:numPr>
          <w:ilvl w:val="0"/>
          <w:numId w:val="1377"/>
        </w:numPr>
        <w:pStyle w:val="Compact"/>
      </w:pPr>
      <w:r>
        <w:t xml:space="preserve">2023 · Silver HJ ·</w:t>
      </w:r>
      <w:r>
        <w:t xml:space="preserve"> </w:t>
      </w:r>
      <w:r>
        <w:rPr>
          <w:iCs/>
          <w:i/>
        </w:rPr>
        <w:t xml:space="preserve">Diabetes Obes Metab</w:t>
      </w:r>
      <w:r>
        <w:t xml:space="preserve"> </w:t>
      </w:r>
      <w:r>
        <w:t xml:space="preserve">· Effect of the glucagon-like peptide-1 receptor agonist liraglutide, compared to caloric restriction, on appetite, dietary intake, body fat distribution and cardiometabolic biomarkers: A randomized trial in adults with obesity and prediabetes. PMID 37188932</w:t>
      </w:r>
    </w:p>
    <w:p>
      <w:pPr>
        <w:numPr>
          <w:ilvl w:val="0"/>
          <w:numId w:val="1377"/>
        </w:numPr>
        <w:pStyle w:val="Compact"/>
      </w:pPr>
      <w:r>
        <w:t xml:space="preserve">2023 · Meng XM ·</w:t>
      </w:r>
      <w:r>
        <w:t xml:space="preserve"> </w:t>
      </w:r>
      <w:r>
        <w:rPr>
          <w:iCs/>
          <w:i/>
        </w:rPr>
        <w:t xml:space="preserve">Zhonghua Yi Xue Za Zhi</w:t>
      </w:r>
      <w:r>
        <w:t xml:space="preserve"> </w:t>
      </w:r>
      <w:r>
        <w:t xml:space="preserve">· [Effect of Liraglutide on platelet distribution width and carotid intima-media thickness in type 2 diabetic mellitus patients with obesity]. PMID 37150681</w:t>
      </w:r>
    </w:p>
    <w:p>
      <w:pPr>
        <w:numPr>
          <w:ilvl w:val="0"/>
          <w:numId w:val="1377"/>
        </w:numPr>
        <w:pStyle w:val="Compact"/>
      </w:pPr>
      <w:r>
        <w:t xml:space="preserve">2023 · Jensen SBK ·</w:t>
      </w:r>
      <w:r>
        <w:t xml:space="preserve"> </w:t>
      </w:r>
      <w:r>
        <w:rPr>
          <w:iCs/>
          <w:i/>
        </w:rPr>
        <w:t xml:space="preserve">Obesity (Silver Spring)</w:t>
      </w:r>
      <w:r>
        <w:t xml:space="preserve"> </w:t>
      </w:r>
      <w:r>
        <w:t xml:space="preserve">· Weight loss maintenance with exercise and liraglutide improves glucose tolerance, glucagon response, and beta cell function. PMID 36942420</w:t>
      </w:r>
    </w:p>
    <w:p>
      <w:pPr>
        <w:numPr>
          <w:ilvl w:val="0"/>
          <w:numId w:val="1377"/>
        </w:numPr>
        <w:pStyle w:val="Compact"/>
      </w:pPr>
      <w:r>
        <w:t xml:space="preserve">2023 · Xu Z ·</w:t>
      </w:r>
      <w:r>
        <w:t xml:space="preserve"> </w:t>
      </w:r>
      <w:r>
        <w:rPr>
          <w:iCs/>
          <w:i/>
        </w:rPr>
        <w:t xml:space="preserve">Expert Rev Clin Pharmacol</w:t>
      </w:r>
      <w:r>
        <w:t xml:space="preserve"> </w:t>
      </w:r>
      <w:r>
        <w:t xml:space="preserve">· Comparing the bioequivalence and safety of liraglutide in healthy Chinese subjects: an open, single-dose, randomized, repeated, two-sequence, two-cycle phase I clinical trial. PMID 36883362</w:t>
      </w:r>
    </w:p>
    <w:p>
      <w:pPr>
        <w:numPr>
          <w:ilvl w:val="0"/>
          <w:numId w:val="1377"/>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7"/>
        </w:numPr>
        <w:pStyle w:val="Compact"/>
      </w:pPr>
      <w:r>
        <w:t xml:space="preserve">2023 · Bechlioulis A ·</w:t>
      </w:r>
      <w:r>
        <w:t xml:space="preserve"> </w:t>
      </w:r>
      <w:r>
        <w:rPr>
          <w:iCs/>
          <w:i/>
        </w:rPr>
        <w:t xml:space="preserve">J Diabetes Complications</w:t>
      </w:r>
      <w:r>
        <w:t xml:space="preserve"> </w:t>
      </w:r>
      <w:r>
        <w:t xml:space="preserve">· The effect of SGLT2 inhibitors, GLP1 agonists, and their sequential combination on cardiometabolic parameters: A randomized, prospective, intervention study. PMID 36842186</w:t>
      </w:r>
    </w:p>
    <w:p>
      <w:pPr>
        <w:numPr>
          <w:ilvl w:val="0"/>
          <w:numId w:val="1377"/>
        </w:numPr>
        <w:pStyle w:val="Compact"/>
      </w:pPr>
      <w:r>
        <w:t xml:space="preserve">2023 · Sandsdal RM ·</w:t>
      </w:r>
      <w:r>
        <w:t xml:space="preserve"> </w:t>
      </w:r>
      <w:r>
        <w:rPr>
          <w:iCs/>
          <w:i/>
        </w:rPr>
        <w:t xml:space="preserve">Cardiovasc Diabetol</w:t>
      </w:r>
      <w:r>
        <w:t xml:space="preserve"> </w:t>
      </w:r>
      <w:r>
        <w:t xml:space="preserve">· Combination of exercise and GLP-1 receptor agonist treatment reduces severity of metabolic syndrome, abdominal obesity, and inflammation: a randomized controlled trial. PMID 36841762</w:t>
      </w:r>
    </w:p>
    <w:p>
      <w:pPr>
        <w:numPr>
          <w:ilvl w:val="0"/>
          <w:numId w:val="1377"/>
        </w:numPr>
        <w:pStyle w:val="Compact"/>
      </w:pPr>
      <w:r>
        <w:t xml:space="preserve">2023 · Nerild HH ·</w:t>
      </w:r>
      <w:r>
        <w:t xml:space="preserve"> </w:t>
      </w:r>
      <w:r>
        <w:rPr>
          <w:iCs/>
          <w:i/>
        </w:rPr>
        <w:t xml:space="preserve">Diabetes Obes Metab</w:t>
      </w:r>
      <w:r>
        <w:t xml:space="preserve"> </w:t>
      </w:r>
      <w:r>
        <w:t xml:space="preserve">· Liraglutide changes postprandial responses of gut hormones involved in the regulation of gallbladder motility. PMID 36781820</w:t>
      </w:r>
    </w:p>
    <w:p>
      <w:pPr>
        <w:numPr>
          <w:ilvl w:val="0"/>
          <w:numId w:val="1377"/>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7"/>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7"/>
        </w:numPr>
        <w:pStyle w:val="Compact"/>
      </w:pPr>
      <w:r>
        <w:t xml:space="preserve">2023 · Sindhvananda W ·</w:t>
      </w:r>
      <w:r>
        <w:t xml:space="preserve"> </w:t>
      </w:r>
      <w:r>
        <w:rPr>
          <w:iCs/>
          <w:i/>
        </w:rPr>
        <w:t xml:space="preserve">Ann Card Anaesth</w:t>
      </w:r>
      <w:r>
        <w:t xml:space="preserve"> </w:t>
      </w:r>
      <w:r>
        <w:t xml:space="preserve">· Comparison of glucose control by added liraglutide to only insulin infusion in diabetic patient undergoing cardiac surgery: A preliminary randomized-controlled trial. PMID 36722590</w:t>
      </w:r>
    </w:p>
    <w:p>
      <w:pPr>
        <w:numPr>
          <w:ilvl w:val="0"/>
          <w:numId w:val="1377"/>
        </w:numPr>
        <w:pStyle w:val="Compact"/>
      </w:pPr>
      <w:r>
        <w:t xml:space="preserve">2023 · Feng S ·</w:t>
      </w:r>
      <w:r>
        <w:t xml:space="preserve"> </w:t>
      </w:r>
      <w:r>
        <w:rPr>
          <w:iCs/>
          <w:i/>
        </w:rPr>
        <w:t xml:space="preserve">Clin Pharmacol Drug Dev</w:t>
      </w:r>
      <w:r>
        <w:t xml:space="preserve"> </w:t>
      </w:r>
      <w:r>
        <w:t xml:space="preserve">· A Single-dose, Two-Period Crossover Bioequivalence Study Comparing Two Liraglutide Formulations in Healthy Chinese Subjects. PMID 36648126</w:t>
      </w:r>
    </w:p>
    <w:p>
      <w:pPr>
        <w:numPr>
          <w:ilvl w:val="0"/>
          <w:numId w:val="1377"/>
        </w:numPr>
        <w:pStyle w:val="Compact"/>
      </w:pPr>
      <w:r>
        <w:t xml:space="preserve">2023 · Jiang W ·</w:t>
      </w:r>
      <w:r>
        <w:t xml:space="preserve"> </w:t>
      </w:r>
      <w:r>
        <w:rPr>
          <w:iCs/>
          <w:i/>
        </w:rPr>
        <w:t xml:space="preserve">Sleep Breath</w:t>
      </w:r>
      <w:r>
        <w:t xml:space="preserve"> </w:t>
      </w:r>
      <w:r>
        <w:t xml:space="preserve">· Efficacy and safety of liraglutide in patients with type 2 diabetes mellitus and severe obstructive sleep apnea. PMID 36542275</w:t>
      </w:r>
    </w:p>
    <w:p>
      <w:pPr>
        <w:numPr>
          <w:ilvl w:val="0"/>
          <w:numId w:val="1377"/>
        </w:numPr>
        <w:pStyle w:val="Compact"/>
      </w:pPr>
      <w:r>
        <w:t xml:space="preserve">2023 · Bogh AF ·</w:t>
      </w:r>
      <w:r>
        <w:t xml:space="preserve"> </w:t>
      </w:r>
      <w:r>
        <w:rPr>
          <w:iCs/>
          <w:i/>
        </w:rPr>
        <w:t xml:space="preserve">Sleep</w:t>
      </w:r>
      <w:r>
        <w:t xml:space="preserve"> </w:t>
      </w:r>
      <w:r>
        <w:t xml:space="preserve">· Insufficient sleep predicts poor weight loss maintenance after 1 year. PMID 36472579</w:t>
      </w:r>
    </w:p>
    <w:p>
      <w:pPr>
        <w:numPr>
          <w:ilvl w:val="0"/>
          <w:numId w:val="1377"/>
        </w:numPr>
        <w:pStyle w:val="Compact"/>
      </w:pPr>
      <w:r>
        <w:t xml:space="preserve">2023 · Angelidi AM ·</w:t>
      </w:r>
      <w:r>
        <w:t xml:space="preserve"> </w:t>
      </w:r>
      <w:r>
        <w:rPr>
          <w:iCs/>
          <w:i/>
        </w:rPr>
        <w:t xml:space="preserve">Metabolism</w:t>
      </w:r>
      <w:r>
        <w:t xml:space="preserve"> </w:t>
      </w:r>
      <w:r>
        <w:t xml:space="preserve">· Early metabolomic, lipid and lipoprotein changes in response to medical and surgical therapeutic approaches to obesity. PMID 36375643</w:t>
      </w:r>
    </w:p>
    <w:p>
      <w:pPr>
        <w:numPr>
          <w:ilvl w:val="0"/>
          <w:numId w:val="1377"/>
        </w:numPr>
        <w:pStyle w:val="Compact"/>
      </w:pPr>
      <w:r>
        <w:t xml:space="preserve">2023 · Mashayekhi M ·</w:t>
      </w:r>
      <w:r>
        <w:t xml:space="preserve"> </w:t>
      </w:r>
      <w:r>
        <w:rPr>
          <w:iCs/>
          <w:i/>
        </w:rPr>
        <w:t xml:space="preserve">Diabetes Obes Metab</w:t>
      </w:r>
      <w:r>
        <w:t xml:space="preserve"> </w:t>
      </w:r>
      <w:r>
        <w:t xml:space="preserve">· Comparative effects of weight loss and incretin-based therapies on vascular endothelial function, fibrinolysis and inflammation in individuals with obesity and prediabetes: A randomized controlled trial. PMID 36306151</w:t>
      </w:r>
    </w:p>
    <w:p>
      <w:pPr>
        <w:numPr>
          <w:ilvl w:val="0"/>
          <w:numId w:val="1377"/>
        </w:numPr>
        <w:pStyle w:val="Compact"/>
      </w:pPr>
      <w:r>
        <w:t xml:space="preserve">2023 · Sannaa W ·</w:t>
      </w:r>
      <w:r>
        <w:t xml:space="preserve"> </w:t>
      </w:r>
      <w:r>
        <w:rPr>
          <w:iCs/>
          <w:i/>
        </w:rPr>
        <w:t xml:space="preserve">Diabetes Obes Metab</w:t>
      </w:r>
      <w:r>
        <w:t xml:space="preserve"> </w:t>
      </w:r>
      <w:r>
        <w:t xml:space="preserve">· Factors associated with successful weight loss after liraglutide treatment for obesity. PMID 36193713</w:t>
      </w:r>
    </w:p>
    <w:p>
      <w:pPr>
        <w:numPr>
          <w:ilvl w:val="0"/>
          <w:numId w:val="1377"/>
        </w:numPr>
        <w:pStyle w:val="Compact"/>
      </w:pPr>
      <w:r>
        <w:t xml:space="preserve">2023 · Neves JS ·</w:t>
      </w:r>
      <w:r>
        <w:t xml:space="preserve"> </w:t>
      </w:r>
      <w:r>
        <w:rPr>
          <w:iCs/>
          <w:i/>
        </w:rPr>
        <w:t xml:space="preserve">Diabetes Obes Metab</w:t>
      </w:r>
      <w:r>
        <w:t xml:space="preserve"> </w:t>
      </w:r>
      <w:r>
        <w:t xml:space="preserve">· Risk of adverse events with liraglutide in heart failure with reduced ejection fraction: A post hoc analysis of the FIGHT trial. PMID 36082522</w:t>
      </w:r>
    </w:p>
    <w:p>
      <w:pPr>
        <w:numPr>
          <w:ilvl w:val="0"/>
          <w:numId w:val="1377"/>
        </w:numPr>
        <w:pStyle w:val="Compact"/>
      </w:pPr>
      <w:r>
        <w:t xml:space="preserve">2022 · Diene G ·</w:t>
      </w:r>
      <w:r>
        <w:t xml:space="preserve"> </w:t>
      </w:r>
      <w:r>
        <w:rPr>
          <w:iCs/>
          <w:i/>
        </w:rPr>
        <w:t xml:space="preserve">J Clin Endocrinol Metab</w:t>
      </w:r>
      <w:r>
        <w:t xml:space="preserve"> </w:t>
      </w:r>
      <w:r>
        <w:t xml:space="preserve">· Liraglutide for Weight Management in Children and Adolescents With Prader-Willi Syndrome and Obesity. PMID 36181471</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Microvascular and Cardiovascular Outcomes. PMID 36129997</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Glycemic Outcomes. PMID 36129996</w:t>
      </w:r>
    </w:p>
    <w:p>
      <w:pPr>
        <w:numPr>
          <w:ilvl w:val="0"/>
          <w:numId w:val="1377"/>
        </w:numPr>
        <w:pStyle w:val="Compact"/>
      </w:pPr>
      <w:r>
        <w:t xml:space="preserve">2022 · Yu D ·</w:t>
      </w:r>
      <w:r>
        <w:t xml:space="preserve"> </w:t>
      </w:r>
      <w:r>
        <w:rPr>
          <w:iCs/>
          <w:i/>
        </w:rPr>
        <w:t xml:space="preserve">Front Endocrinol (Lausanne)</w:t>
      </w:r>
      <w:r>
        <w:t xml:space="preserve"> </w:t>
      </w:r>
      <w:r>
        <w:t xml:space="preserve">· Effects of liraglutide or lifestyle interventions combined with other antidiabetic drugs on abdominal fat distribution in people with obesity and type 2 diabetes mellitus evaluated by the energy spectrum ct: A prospective randomized controlled study. PMID 36093105</w:t>
      </w:r>
    </w:p>
    <w:p>
      <w:pPr>
        <w:numPr>
          <w:ilvl w:val="0"/>
          <w:numId w:val="1377"/>
        </w:numPr>
        <w:pStyle w:val="Compact"/>
      </w:pPr>
      <w:r>
        <w:t xml:space="preserve">2022 · Xing C ·</w:t>
      </w:r>
      <w:r>
        <w:t xml:space="preserve"> </w:t>
      </w:r>
      <w:r>
        <w:rPr>
          <w:iCs/>
          <w:i/>
        </w:rPr>
        <w:t xml:space="preserve">Front Endocrinol (Lausanne)</w:t>
      </w:r>
      <w:r>
        <w:t xml:space="preserve"> </w:t>
      </w:r>
      <w:r>
        <w:t xml:space="preserve">· Effect of metformin versus metformin plus liraglutide on gonadal and metabolic profiles in overweight patients with polycystic ovary syndrome. PMID 36060969</w:t>
      </w:r>
    </w:p>
    <w:p>
      <w:pPr>
        <w:numPr>
          <w:ilvl w:val="0"/>
          <w:numId w:val="1377"/>
        </w:numPr>
        <w:pStyle w:val="Compact"/>
      </w:pPr>
      <w:r>
        <w:t xml:space="preserve">2022 · Zhaohu H ·</w:t>
      </w:r>
      <w:r>
        <w:t xml:space="preserve"> </w:t>
      </w:r>
      <w:r>
        <w:rPr>
          <w:iCs/>
          <w:i/>
        </w:rPr>
        <w:t xml:space="preserve">J Diabetes Res</w:t>
      </w:r>
      <w:r>
        <w:t xml:space="preserve"> </w:t>
      </w:r>
      <w:r>
        <w:t xml:space="preserve">· Efficacy and Safety of Dapagliflozin versus Liraglutide in Patients with Overweight or Obesity and Type 2 Diabetes Mellitus: A Randomised Controlled Clinical Trial in Tianjin, China. PMID 35990242</w:t>
      </w:r>
    </w:p>
    <w:p>
      <w:pPr>
        <w:numPr>
          <w:ilvl w:val="0"/>
          <w:numId w:val="1377"/>
        </w:numPr>
        <w:pStyle w:val="Compact"/>
      </w:pPr>
      <w:r>
        <w:t xml:space="preserve">2022 · Jensen SBK ·</w:t>
      </w:r>
      <w:r>
        <w:t xml:space="preserve"> </w:t>
      </w:r>
      <w:r>
        <w:rPr>
          <w:iCs/>
          <w:i/>
        </w:rPr>
        <w:t xml:space="preserve">Nat Commun</w:t>
      </w:r>
      <w:r>
        <w:t xml:space="preserve"> </w:t>
      </w:r>
      <w:r>
        <w:t xml:space="preserve">· Exploratory analysis of eating- and physical activity-related outcomes from a randomized controlled trial for weight loss maintenance with exercise and liraglutide single or combination treatment. PMID 35970829</w:t>
      </w:r>
    </w:p>
    <w:p>
      <w:pPr>
        <w:numPr>
          <w:ilvl w:val="0"/>
          <w:numId w:val="1377"/>
        </w:numPr>
        <w:pStyle w:val="Compact"/>
      </w:pPr>
      <w:r>
        <w:t xml:space="preserve">2022 · Xiao Y ·</w:t>
      </w:r>
      <w:r>
        <w:t xml:space="preserve"> </w:t>
      </w:r>
      <w:r>
        <w:rPr>
          <w:iCs/>
          <w:i/>
        </w:rPr>
        <w:t xml:space="preserve">Metab Syndr Relat Disord</w:t>
      </w:r>
      <w:r>
        <w:t xml:space="preserve"> </w:t>
      </w:r>
      <w:r>
        <w:t xml:space="preserve">· Effect of 5:2 Fasting Diet on Liver Fat Content in Patients with Type 2 Diabetic with Nonalcoholic Fatty Liver Disease. PMID 35925752</w:t>
      </w:r>
    </w:p>
    <w:p>
      <w:pPr>
        <w:numPr>
          <w:ilvl w:val="0"/>
          <w:numId w:val="1377"/>
        </w:numPr>
        <w:pStyle w:val="Compact"/>
      </w:pPr>
      <w:r>
        <w:t xml:space="preserve">2022 · Maselli D ·</w:t>
      </w:r>
      <w:r>
        <w:t xml:space="preserve"> </w:t>
      </w:r>
      <w:r>
        <w:rPr>
          <w:iCs/>
          <w:i/>
        </w:rPr>
        <w:t xml:space="preserve">Obesity (Silver Spring)</w:t>
      </w:r>
      <w:r>
        <w:t xml:space="preserve"> </w:t>
      </w:r>
      <w:r>
        <w:t xml:space="preserve">· Effects of liraglutide on gastrointestinal functions and weight in obesity: A randomized clinical and pharmacogenomic trial. PMID 35894080</w:t>
      </w:r>
    </w:p>
    <w:p>
      <w:pPr>
        <w:numPr>
          <w:ilvl w:val="0"/>
          <w:numId w:val="1377"/>
        </w:numPr>
        <w:pStyle w:val="Compact"/>
      </w:pPr>
      <w:r>
        <w:t xml:space="preserve">2022 · Utzschneider KM ·</w:t>
      </w:r>
      <w:r>
        <w:t xml:space="preserve"> </w:t>
      </w:r>
      <w:r>
        <w:rPr>
          <w:iCs/>
          <w:i/>
        </w:rPr>
        <w:t xml:space="preserve">Obesity (Silver Spring)</w:t>
      </w:r>
      <w:r>
        <w:t xml:space="preserve"> </w:t>
      </w:r>
      <w:r>
        <w:t xml:space="preserve">· Weight loss and β-cell responses following gastric banding or pharmacotherapy in adults with impaired glucose tolerance or type 2 diabetes: a randomized trial. PMID 35894078</w:t>
      </w:r>
    </w:p>
    <w:p>
      <w:pPr>
        <w:numPr>
          <w:ilvl w:val="0"/>
          <w:numId w:val="1377"/>
        </w:numPr>
        <w:pStyle w:val="Compact"/>
      </w:pPr>
      <w:r>
        <w:t xml:space="preserve">2022 · Stier C ·</w:t>
      </w:r>
      <w:r>
        <w:t xml:space="preserve"> </w:t>
      </w:r>
      <w:r>
        <w:rPr>
          <w:iCs/>
          <w:i/>
        </w:rPr>
        <w:t xml:space="preserve">Clin Nutr ESPEN</w:t>
      </w:r>
      <w:r>
        <w:t xml:space="preserve"> </w:t>
      </w:r>
      <w:r>
        <w:t xml:space="preserve">· Fast-track rescue weight reduction therapy to achieve rapid technical operability for emergency bariatric surgery in patients with life-threatening inoperable severe obesity - A proof of concept study. PMID 35871930</w:t>
      </w:r>
    </w:p>
    <w:p>
      <w:pPr>
        <w:numPr>
          <w:ilvl w:val="0"/>
          <w:numId w:val="1377"/>
        </w:numPr>
        <w:pStyle w:val="Compact"/>
      </w:pPr>
      <w:r>
        <w:t xml:space="preserve">2022 · Zhou R ·</w:t>
      </w:r>
      <w:r>
        <w:t xml:space="preserve"> </w:t>
      </w:r>
      <w:r>
        <w:rPr>
          <w:iCs/>
          <w:i/>
        </w:rPr>
        <w:t xml:space="preserve">Clin Transl Sci</w:t>
      </w:r>
      <w:r>
        <w:t xml:space="preserve"> </w:t>
      </w:r>
      <w:r>
        <w:t xml:space="preserve">· A phase I study comparing the pharmacokinetics of the biosimilar (RD12014) with liraglutide (Victoza) in healthy Chinese male subjects. PMID 35871497</w:t>
      </w:r>
    </w:p>
    <w:p>
      <w:pPr>
        <w:numPr>
          <w:ilvl w:val="0"/>
          <w:numId w:val="1377"/>
        </w:numPr>
        <w:pStyle w:val="Compact"/>
      </w:pPr>
      <w:r>
        <w:t xml:space="preserve">2022 · Kårhus ML ·</w:t>
      </w:r>
      <w:r>
        <w:t xml:space="preserve"> </w:t>
      </w:r>
      <w:r>
        <w:rPr>
          <w:iCs/>
          <w:i/>
        </w:rPr>
        <w:t xml:space="preserve">Lancet Gastroenterol Hepatol</w:t>
      </w:r>
      <w:r>
        <w:t xml:space="preserve"> </w:t>
      </w:r>
      <w:r>
        <w:t xml:space="preserve">· Safety and efficacy of liraglutide versus colesevelam for the treatment of bile acid diarrhoea: a randomised, double-blind, active-comparator, non-inferiority clinical trial. PMID 35868334</w:t>
      </w:r>
    </w:p>
    <w:p>
      <w:pPr>
        <w:numPr>
          <w:ilvl w:val="0"/>
          <w:numId w:val="1377"/>
        </w:numPr>
        <w:pStyle w:val="Compact"/>
      </w:pPr>
      <w:r>
        <w:t xml:space="preserve">2022 · Zenz S ·</w:t>
      </w:r>
      <w:r>
        <w:t xml:space="preserve"> </w:t>
      </w:r>
      <w:r>
        <w:rPr>
          <w:iCs/>
          <w:i/>
        </w:rPr>
        <w:t xml:space="preserve">J Clin Endocrinol Metab</w:t>
      </w:r>
      <w:r>
        <w:t xml:space="preserve"> </w:t>
      </w:r>
      <w:r>
        <w:t xml:space="preserve">· Effect of Liraglutide Treatment on Whole-body Glucose Fluxes in C-peptide-Positive Type 1 Diabetes During Hypoglycemia. PMID 35833597</w:t>
      </w:r>
    </w:p>
    <w:p>
      <w:pPr>
        <w:numPr>
          <w:ilvl w:val="0"/>
          <w:numId w:val="1377"/>
        </w:numPr>
        <w:pStyle w:val="Compact"/>
      </w:pPr>
      <w:r>
        <w:t xml:space="preserve">2022 · Lin K ·</w:t>
      </w:r>
      <w:r>
        <w:t xml:space="preserve"> </w:t>
      </w:r>
      <w:r>
        <w:rPr>
          <w:iCs/>
          <w:i/>
        </w:rPr>
        <w:t xml:space="preserve">Comput Intell Neurosci</w:t>
      </w:r>
      <w:r>
        <w:t xml:space="preserve"> </w:t>
      </w:r>
      <w:r>
        <w:t xml:space="preserve">· Evaluation of the Clinical Efficacy of the Treatment of Overweight and Obesity in Type 2 Diabetes Mellitus by the Telemedicine Management System Based on the Internet of Things Technology. PMID 35785080</w:t>
      </w:r>
    </w:p>
    <w:p>
      <w:pPr>
        <w:numPr>
          <w:ilvl w:val="0"/>
          <w:numId w:val="1377"/>
        </w:numPr>
        <w:pStyle w:val="Compact"/>
      </w:pPr>
      <w:r>
        <w:t xml:space="preserve">2022 · Wang W ·</w:t>
      </w:r>
      <w:r>
        <w:t xml:space="preserve"> </w:t>
      </w:r>
      <w:r>
        <w:rPr>
          <w:iCs/>
          <w:i/>
        </w:rPr>
        <w:t xml:space="preserve">J Diabetes</w:t>
      </w:r>
      <w:r>
        <w:t xml:space="preserve"> </w:t>
      </w:r>
      <w:r>
        <w:t xml:space="preserve">· DUAL I China: Improved glycemic control with IDegLira versus its individual components in a randomized trial with Chinese participants with type 2 diabetes uncontrolled on oral antidiabetic drugs. PMID 35762390</w:t>
      </w:r>
    </w:p>
    <w:p>
      <w:pPr>
        <w:numPr>
          <w:ilvl w:val="0"/>
          <w:numId w:val="1377"/>
        </w:numPr>
        <w:pStyle w:val="Compact"/>
      </w:pPr>
      <w:r>
        <w:t xml:space="preserve">2022 · Ou T ·</w:t>
      </w:r>
      <w:r>
        <w:t xml:space="preserve"> </w:t>
      </w:r>
      <w:r>
        <w:rPr>
          <w:iCs/>
          <w:i/>
        </w:rPr>
        <w:t xml:space="preserve">Altern Ther Health Med</w:t>
      </w:r>
      <w:r>
        <w:t xml:space="preserve"> </w:t>
      </w:r>
      <w:r>
        <w:t xml:space="preserve">· Liraglutide Plus Dapagliflozin for High Uric Acid and Microalbuminuria in Diabetes Mellitus Complicated With Metabolic Syndrome. PMID 35751892</w:t>
      </w:r>
    </w:p>
    <w:p>
      <w:pPr>
        <w:numPr>
          <w:ilvl w:val="0"/>
          <w:numId w:val="1377"/>
        </w:numPr>
        <w:pStyle w:val="Compact"/>
      </w:pPr>
      <w:r>
        <w:t xml:space="preserve">2022 · Elkind-Hirsch KE ·</w:t>
      </w:r>
      <w:r>
        <w:t xml:space="preserve"> </w:t>
      </w:r>
      <w:r>
        <w:rPr>
          <w:iCs/>
          <w:i/>
        </w:rPr>
        <w:t xml:space="preserve">Fertil Steril</w:t>
      </w:r>
      <w:r>
        <w:t xml:space="preserve"> </w:t>
      </w:r>
      <w:r>
        <w:t xml:space="preserve">· Liraglutide 3 mg on weight, body composition, and hormonal and metabolic parameters in women with obesity and polycystic ovary syndrome: a randomized placebo-controlled-phase 3 study. PMID 35710599</w:t>
      </w:r>
    </w:p>
    <w:p>
      <w:pPr>
        <w:numPr>
          <w:ilvl w:val="0"/>
          <w:numId w:val="1377"/>
        </w:numPr>
        <w:pStyle w:val="Compact"/>
      </w:pPr>
      <w:r>
        <w:t xml:space="preserve">2022 · Valenzuela-Vallejo L ·</w:t>
      </w:r>
      <w:r>
        <w:t xml:space="preserve"> </w:t>
      </w:r>
      <w:r>
        <w:rPr>
          <w:iCs/>
          <w:i/>
        </w:rPr>
        <w:t xml:space="preserve">Metabolism</w:t>
      </w:r>
      <w:r>
        <w:t xml:space="preserve"> </w:t>
      </w:r>
      <w:r>
        <w:t xml:space="preserve">· Circulating total and intact GDF-15 levels are not altered in response to weight loss induced by liraglutide or lorcaserin treatment in humans with obesity. PMID 35700837</w:t>
      </w:r>
    </w:p>
    <w:p>
      <w:pPr>
        <w:numPr>
          <w:ilvl w:val="0"/>
          <w:numId w:val="1377"/>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7"/>
        </w:numPr>
        <w:pStyle w:val="Compact"/>
      </w:pPr>
      <w:r>
        <w:t xml:space="preserve">2022 · Lerman JB ·</w:t>
      </w:r>
      <w:r>
        <w:t xml:space="preserve"> </w:t>
      </w:r>
      <w:r>
        <w:rPr>
          <w:iCs/>
          <w:i/>
        </w:rPr>
        <w:t xml:space="preserve">Sci Rep</w:t>
      </w:r>
      <w:r>
        <w:t xml:space="preserve"> </w:t>
      </w:r>
      <w:r>
        <w:t xml:space="preserve">· Plasma metabolites associated with functional and clinical outcomes in heart failure with reduced ejection fraction with and without type 2 diabetes. PMID 35654972</w:t>
      </w:r>
    </w:p>
    <w:p>
      <w:pPr>
        <w:numPr>
          <w:ilvl w:val="0"/>
          <w:numId w:val="1377"/>
        </w:numPr>
        <w:pStyle w:val="Compact"/>
      </w:pPr>
      <w:r>
        <w:t xml:space="preserve">2022 · Andersen E ·</w:t>
      </w:r>
      <w:r>
        <w:t xml:space="preserve"> </w:t>
      </w:r>
      <w:r>
        <w:rPr>
          <w:iCs/>
          <w:i/>
        </w:rPr>
        <w:t xml:space="preserve">Hum Reprod</w:t>
      </w:r>
      <w:r>
        <w:t xml:space="preserve"> </w:t>
      </w:r>
      <w:r>
        <w:t xml:space="preserve">· Sperm count is increased by diet-induced weight loss and maintained by exercise or GLP-1 analogue treatment: a randomized controlled trial. PMID 35580859</w:t>
      </w:r>
    </w:p>
    <w:p>
      <w:pPr>
        <w:numPr>
          <w:ilvl w:val="0"/>
          <w:numId w:val="1377"/>
        </w:numPr>
        <w:pStyle w:val="Compact"/>
      </w:pPr>
      <w:r>
        <w:t xml:space="preserve">2022 · Sivalingam S ·</w:t>
      </w:r>
      <w:r>
        <w:t xml:space="preserve"> </w:t>
      </w:r>
      <w:r>
        <w:rPr>
          <w:iCs/>
          <w:i/>
        </w:rPr>
        <w:t xml:space="preserve">Diabetes Obes Metab</w:t>
      </w:r>
      <w:r>
        <w:t xml:space="preserve"> </w:t>
      </w:r>
      <w:r>
        <w:t xml:space="preserve">· The effect of liraglutide on cardiac autonomic function in type 2 diabetes: A prespecified secondary analysis from the LIRAFLAME randomized, double-blinded, placebo-controlled trial. PMID 35415938</w:t>
      </w:r>
    </w:p>
    <w:p>
      <w:pPr>
        <w:numPr>
          <w:ilvl w:val="0"/>
          <w:numId w:val="1377"/>
        </w:numPr>
        <w:pStyle w:val="Compact"/>
      </w:pPr>
      <w:r>
        <w:t xml:space="preserve">2022 · Kawaguchi Y ·</w:t>
      </w:r>
      <w:r>
        <w:t xml:space="preserve"> </w:t>
      </w:r>
      <w:r>
        <w:rPr>
          <w:iCs/>
          <w:i/>
        </w:rPr>
        <w:t xml:space="preserve">Adv Ther</w:t>
      </w:r>
      <w:r>
        <w:t xml:space="preserve"> </w:t>
      </w:r>
      <w:r>
        <w:t xml:space="preserve">· Efficacy of IDegLira Versus IDegAsp Therapy in Patients with Type 2 Diabetes: A Randomized Crossover Study by isCGM. PMID 35403949</w:t>
      </w:r>
    </w:p>
    <w:p>
      <w:pPr>
        <w:numPr>
          <w:ilvl w:val="0"/>
          <w:numId w:val="1377"/>
        </w:numPr>
        <w:pStyle w:val="Compact"/>
      </w:pPr>
      <w:r>
        <w:t xml:space="preserve">2022 · Loganathan J ·</w:t>
      </w:r>
      <w:r>
        <w:t xml:space="preserve"> </w:t>
      </w:r>
      <w:r>
        <w:rPr>
          <w:iCs/>
          <w:i/>
        </w:rPr>
        <w:t xml:space="preserve">J Diabetes Complications</w:t>
      </w:r>
      <w:r>
        <w:t xml:space="preserve"> </w:t>
      </w:r>
      <w:r>
        <w:t xml:space="preserve">· A pilot clinical study to Evaluate Liraglutide-mediated Anti-platelet activity in patients with type-2 Diabetes (ELAID study). PMID 35382966</w:t>
      </w:r>
    </w:p>
    <w:p>
      <w:pPr>
        <w:numPr>
          <w:ilvl w:val="0"/>
          <w:numId w:val="1377"/>
        </w:numPr>
        <w:pStyle w:val="Compact"/>
      </w:pPr>
      <w:r>
        <w:t xml:space="preserve">2022 · Seino Y ·</w:t>
      </w:r>
      <w:r>
        <w:t xml:space="preserve"> </w:t>
      </w:r>
      <w:r>
        <w:rPr>
          <w:iCs/>
          <w:i/>
        </w:rPr>
        <w:t xml:space="preserve">J Diabetes Investig</w:t>
      </w:r>
      <w:r>
        <w:t xml:space="preserve"> </w:t>
      </w:r>
      <w:r>
        <w:t xml:space="preserve">· A randomized trial to investigate the efficacy and safety of once-daily liraglutide 1.8 mg in Japanese adults with type 2 diabetes exhibiting an inadequate response to liraglutide 0.9 mg. PMID 35285173</w:t>
      </w:r>
    </w:p>
    <w:p>
      <w:pPr>
        <w:numPr>
          <w:ilvl w:val="0"/>
          <w:numId w:val="1377"/>
        </w:numPr>
        <w:pStyle w:val="Compact"/>
      </w:pPr>
      <w:r>
        <w:t xml:space="preserve">2022 · Simeone P ·</w:t>
      </w:r>
      <w:r>
        <w:t xml:space="preserve"> </w:t>
      </w:r>
      <w:r>
        <w:rPr>
          <w:iCs/>
          <w:i/>
        </w:rPr>
        <w:t xml:space="preserve">Cardiovasc Diabetol</w:t>
      </w:r>
      <w:r>
        <w:t xml:space="preserve"> </w:t>
      </w:r>
      <w:r>
        <w:t xml:space="preserve">· Effects of liraglutide vs. lifestyle changes on soluble suppression of tumorigenesis-2 (sST2) and galectin-3 in obese subjects with prediabetes or type 2 diabetes after comparable weight loss. PMID 35277168</w:t>
      </w:r>
    </w:p>
    <w:p>
      <w:pPr>
        <w:numPr>
          <w:ilvl w:val="0"/>
          <w:numId w:val="1377"/>
        </w:numPr>
        <w:pStyle w:val="Compact"/>
      </w:pPr>
      <w:r>
        <w:t xml:space="preserve">2022 · Cheng H ·</w:t>
      </w:r>
      <w:r>
        <w:t xml:space="preserve"> </w:t>
      </w:r>
      <w:r>
        <w:rPr>
          <w:iCs/>
          <w:i/>
        </w:rPr>
        <w:t xml:space="preserve">Diabetes Care</w:t>
      </w:r>
      <w:r>
        <w:t xml:space="preserve"> </w:t>
      </w:r>
      <w:r>
        <w:t xml:space="preserve">· Enhancement of Impaired Olfactory Neural Activation and Cognitive Capacity by Liraglutide, but Not Dapagliflozin or Acarbose, in Patients With Type 2 Diabetes: A 16-Week Randomized Parallel Comparative Study. PMID 35263425</w:t>
      </w:r>
    </w:p>
    <w:p>
      <w:pPr>
        <w:numPr>
          <w:ilvl w:val="0"/>
          <w:numId w:val="1377"/>
        </w:numPr>
        <w:pStyle w:val="Compact"/>
      </w:pPr>
      <w:r>
        <w:t xml:space="preserve">2022 · Altintas Dogan AD ·</w:t>
      </w:r>
      <w:r>
        <w:t xml:space="preserve"> </w:t>
      </w:r>
      <w:r>
        <w:rPr>
          <w:iCs/>
          <w:i/>
        </w:rPr>
        <w:t xml:space="preserve">Int J Chron Obstruct Pulmon Dis</w:t>
      </w:r>
      <w:r>
        <w:t xml:space="preserve"> </w:t>
      </w:r>
      <w:r>
        <w:t xml:space="preserve">· Respiratory Effects of Treatment with a Glucagon-Like Peptide-1 Receptor Agonist in Patients Suffering from Obesity and Chronic Obstructive Pulmonary Disease. PMID 35237033</w:t>
      </w:r>
    </w:p>
    <w:p>
      <w:pPr>
        <w:numPr>
          <w:ilvl w:val="0"/>
          <w:numId w:val="1377"/>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7"/>
        </w:numPr>
        <w:pStyle w:val="Compact"/>
      </w:pPr>
      <w:r>
        <w:t xml:space="preserve">2022 · Westman K ·</w:t>
      </w:r>
      <w:r>
        <w:t xml:space="preserve"> </w:t>
      </w:r>
      <w:r>
        <w:rPr>
          <w:iCs/>
          <w:i/>
        </w:rPr>
        <w:t xml:space="preserve">J Diabetes Complications</w:t>
      </w:r>
      <w:r>
        <w:t xml:space="preserve"> </w:t>
      </w:r>
      <w:r>
        <w:t xml:space="preserve">· Effect of liraglutide on markers of insulin production in persons with type 2 diabetes treated with multiple daily insulin injections. PMID 35101325</w:t>
      </w:r>
    </w:p>
    <w:p>
      <w:pPr>
        <w:numPr>
          <w:ilvl w:val="0"/>
          <w:numId w:val="1377"/>
        </w:numPr>
        <w:pStyle w:val="Compact"/>
      </w:pPr>
      <w:r>
        <w:t xml:space="preserve">2022 · Takeshita Y ·</w:t>
      </w:r>
      <w:r>
        <w:t xml:space="preserve"> </w:t>
      </w:r>
      <w:r>
        <w:rPr>
          <w:iCs/>
          <w:i/>
        </w:rPr>
        <w:t xml:space="preserve">J Diabetes Investig</w:t>
      </w:r>
      <w:r>
        <w:t xml:space="preserve"> </w:t>
      </w:r>
      <w:r>
        <w:t xml:space="preserve">· Insulin-glucagon-like peptide-1 receptor agonist relay and glucagon-like peptide-1 receptor agonist first regimens in individuals with type 2 diabetes: A randomized, open-label trial study. PMID 35034428</w:t>
      </w:r>
    </w:p>
    <w:p>
      <w:pPr>
        <w:numPr>
          <w:ilvl w:val="0"/>
          <w:numId w:val="1377"/>
        </w:numPr>
        <w:pStyle w:val="Compact"/>
      </w:pPr>
      <w:r>
        <w:t xml:space="preserve">2022 · van Ruiten CC ·</w:t>
      </w:r>
      <w:r>
        <w:t xml:space="preserve"> </w:t>
      </w:r>
      <w:r>
        <w:rPr>
          <w:iCs/>
          <w:i/>
        </w:rPr>
        <w:t xml:space="preserve">Psychoneuroendocrinology</w:t>
      </w:r>
      <w:r>
        <w:t xml:space="preserve"> </w:t>
      </w:r>
      <w:r>
        <w:t xml:space="preserve">· Eating behavior modulates the sensitivity to the central effects of GLP-1 receptor agonist treatment: a secondary analysis of a randomized trial. PMID 35033928</w:t>
      </w:r>
    </w:p>
    <w:p>
      <w:pPr>
        <w:numPr>
          <w:ilvl w:val="0"/>
          <w:numId w:val="1377"/>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7"/>
        </w:numPr>
        <w:pStyle w:val="Compact"/>
      </w:pPr>
      <w:r>
        <w:t xml:space="preserve">2022 · Barnard-Kelly K ·</w:t>
      </w:r>
      <w:r>
        <w:t xml:space="preserve"> </w:t>
      </w:r>
      <w:r>
        <w:rPr>
          <w:iCs/>
          <w:i/>
        </w:rPr>
        <w:t xml:space="preserve">BMC Psychiatry</w:t>
      </w:r>
      <w:r>
        <w:t xml:space="preserve"> </w:t>
      </w:r>
      <w:r>
        <w:t xml:space="preserve">· Liraglutide and the management of overweight and obesity in people with severe mental illness: qualitative sub-study. PMID 34996406</w:t>
      </w:r>
    </w:p>
    <w:p>
      <w:pPr>
        <w:numPr>
          <w:ilvl w:val="0"/>
          <w:numId w:val="1377"/>
        </w:numPr>
        <w:pStyle w:val="Compact"/>
      </w:pPr>
      <w:r>
        <w:t xml:space="preserve">2022 · Arendt Nielsen T ·</w:t>
      </w:r>
      <w:r>
        <w:t xml:space="preserve"> </w:t>
      </w:r>
      <w:r>
        <w:rPr>
          <w:iCs/>
          <w:i/>
        </w:rPr>
        <w:t xml:space="preserve">J Ocul Pharmacol Ther</w:t>
      </w:r>
      <w:r>
        <w:t xml:space="preserve"> </w:t>
      </w:r>
      <w:r>
        <w:t xml:space="preserve">· Liraglutide Treatment Does Not Induce Changes in the Peripapillary Retinal Nerve Fiber Layer Thickness in Patients with Diabetic Retinopathy. PMID 34918951</w:t>
      </w:r>
    </w:p>
    <w:p>
      <w:pPr>
        <w:numPr>
          <w:ilvl w:val="0"/>
          <w:numId w:val="1377"/>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7"/>
        </w:numPr>
        <w:pStyle w:val="Compact"/>
      </w:pPr>
      <w:r>
        <w:t xml:space="preserve">2022 · Middleton TL ·</w:t>
      </w:r>
      <w:r>
        <w:t xml:space="preserve"> </w:t>
      </w:r>
      <w:r>
        <w:rPr>
          <w:iCs/>
          <w:i/>
        </w:rPr>
        <w:t xml:space="preserve">Diabetes Obes Metab</w:t>
      </w:r>
      <w:r>
        <w:t xml:space="preserve"> </w:t>
      </w:r>
      <w:r>
        <w:t xml:space="preserve">· Improving beta-cell secretory function and glycaemia in young-onset type 2 diabetes: A pilot, 12-month, randomized trial of a novel, continuous glucose monitor-guided, rapid treatment intensification strategy incorporating empagliflozin and liraglutide. PMID 34882926</w:t>
      </w:r>
    </w:p>
    <w:p>
      <w:pPr>
        <w:numPr>
          <w:ilvl w:val="0"/>
          <w:numId w:val="1377"/>
        </w:numPr>
        <w:pStyle w:val="Compact"/>
      </w:pPr>
      <w:r>
        <w:t xml:space="preserve">2022 · Liu H ·</w:t>
      </w:r>
      <w:r>
        <w:t xml:space="preserve"> </w:t>
      </w:r>
      <w:r>
        <w:rPr>
          <w:iCs/>
          <w:i/>
        </w:rPr>
        <w:t xml:space="preserve">J Diabetes Investig</w:t>
      </w:r>
      <w:r>
        <w:t xml:space="preserve"> </w:t>
      </w:r>
      <w:r>
        <w:t xml:space="preserve">· Preserved pharmacokinetics and pharmacodynamics of insulin degludec and liraglutide when administered as insulin degludec/liraglutide in a Chinese population. PMID 34797962</w:t>
      </w:r>
    </w:p>
    <w:p>
      <w:pPr>
        <w:numPr>
          <w:ilvl w:val="0"/>
          <w:numId w:val="1377"/>
        </w:numPr>
        <w:pStyle w:val="Compact"/>
      </w:pPr>
      <w:r>
        <w:t xml:space="preserve">2022 · López-Cano C ·</w:t>
      </w:r>
      <w:r>
        <w:t xml:space="preserve"> </w:t>
      </w:r>
      <w:r>
        <w:rPr>
          <w:iCs/>
          <w:i/>
        </w:rPr>
        <w:t xml:space="preserve">Diabetes</w:t>
      </w:r>
      <w:r>
        <w:t xml:space="preserve"> </w:t>
      </w:r>
      <w:r>
        <w:t xml:space="preserve">· Liraglutide Improves Forced Vital Capacity in Individuals With Type 2 Diabetes: Data From the Randomized Crossover LIRALUNG Study. PMID 34737187</w:t>
      </w:r>
    </w:p>
    <w:p>
      <w:pPr>
        <w:numPr>
          <w:ilvl w:val="0"/>
          <w:numId w:val="1377"/>
        </w:numPr>
        <w:pStyle w:val="Compact"/>
      </w:pPr>
      <w:r>
        <w:t xml:space="preserve">2022 · Heller SR ·</w:t>
      </w:r>
      <w:r>
        <w:t xml:space="preserve"> </w:t>
      </w:r>
      <w:r>
        <w:rPr>
          <w:iCs/>
          <w:i/>
        </w:rPr>
        <w:t xml:space="preserve">Diabetologia</w:t>
      </w:r>
      <w:r>
        <w:t xml:space="preserve"> </w:t>
      </w:r>
      <w:r>
        <w:t xml:space="preserve">· A higher non-severe hypoglycaemia rate is associated with an increased risk of subsequent severe hypoglycaemia and major adverse cardiovascular events in individuals with type 2 diabetes in the LEADER study. PMID 34704120</w:t>
      </w:r>
    </w:p>
    <w:p>
      <w:pPr>
        <w:numPr>
          <w:ilvl w:val="0"/>
          <w:numId w:val="1377"/>
        </w:numPr>
        <w:pStyle w:val="Compact"/>
      </w:pPr>
      <w:r>
        <w:t xml:space="preserve">2022 · Unger J ·</w:t>
      </w:r>
      <w:r>
        <w:t xml:space="preserve"> </w:t>
      </w:r>
      <w:r>
        <w:rPr>
          <w:iCs/>
          <w:i/>
        </w:rPr>
        <w:t xml:space="preserve">Diabetes Obes Metab</w:t>
      </w:r>
      <w:r>
        <w:t xml:space="preserve"> </w:t>
      </w:r>
      <w:r>
        <w:t xml:space="preserve">· Maintenance of glycaemic control with liraglutide versus oral antidiabetic drugs as add-on therapies in patients with type 2 diabetes uncontrolled with metformin alone: A randomized clinical trial in primary care (LIRA-PRIME). PMID 34622567</w:t>
      </w:r>
    </w:p>
    <w:p>
      <w:pPr>
        <w:numPr>
          <w:ilvl w:val="0"/>
          <w:numId w:val="1377"/>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7"/>
        </w:numPr>
        <w:pStyle w:val="Compact"/>
      </w:pPr>
      <w:r>
        <w:t xml:space="preserve">2022 · Schmidt S ·</w:t>
      </w:r>
      <w:r>
        <w:t xml:space="preserve"> </w:t>
      </w:r>
      <w:r>
        <w:rPr>
          <w:iCs/>
          <w:i/>
        </w:rPr>
        <w:t xml:space="preserve">Diabetes Obes Metab</w:t>
      </w:r>
      <w:r>
        <w:t xml:space="preserve"> </w:t>
      </w:r>
      <w:r>
        <w:t xml:space="preserve">· Liraglutide changes body composition and lowers added sugar intake in overweight persons with insulin pump-treated type 1 diabetes. PMID 34595827</w:t>
      </w:r>
    </w:p>
    <w:p>
      <w:pPr>
        <w:numPr>
          <w:ilvl w:val="0"/>
          <w:numId w:val="1377"/>
        </w:numPr>
        <w:pStyle w:val="Compact"/>
      </w:pPr>
      <w:r>
        <w:t xml:space="preserve">2022 · Møller M ·</w:t>
      </w:r>
      <w:r>
        <w:t xml:space="preserve"> </w:t>
      </w:r>
      <w:r>
        <w:rPr>
          <w:iCs/>
          <w:i/>
        </w:rPr>
        <w:t xml:space="preserve">CNS Spectr</w:t>
      </w:r>
      <w:r>
        <w:t xml:space="preserve"> </w:t>
      </w:r>
      <w:r>
        <w:t xml:space="preserve">· Proinflammatory biomarkers are associated with prediabetes in patients with schizophrenia. PMID 33308348</w:t>
      </w:r>
    </w:p>
    <w:p>
      <w:pPr>
        <w:numPr>
          <w:ilvl w:val="0"/>
          <w:numId w:val="1377"/>
        </w:numPr>
        <w:pStyle w:val="Compact"/>
      </w:pPr>
      <w:r>
        <w:t xml:space="preserve">2022 · Lin L ·</w:t>
      </w:r>
      <w:r>
        <w:t xml:space="preserve"> </w:t>
      </w:r>
      <w:r>
        <w:rPr>
          <w:iCs/>
          <w:i/>
        </w:rPr>
        <w:t xml:space="preserve">J Dermatolog Treat</w:t>
      </w:r>
      <w:r>
        <w:t xml:space="preserve"> </w:t>
      </w:r>
      <w:r>
        <w:t xml:space="preserve">· Glucagon-like peptide-1 receptor agonist liraglutide therapy for psoriasis patients with type 2 diabetes: a randomized-controlled trial. PMID 32962477</w:t>
      </w:r>
    </w:p>
    <w:p>
      <w:pPr>
        <w:numPr>
          <w:ilvl w:val="0"/>
          <w:numId w:val="1377"/>
        </w:numPr>
        <w:pStyle w:val="Compact"/>
      </w:pPr>
      <w:r>
        <w:t xml:space="preserve">2021 · Jendle J ·</w:t>
      </w:r>
      <w:r>
        <w:t xml:space="preserve"> </w:t>
      </w:r>
      <w:r>
        <w:rPr>
          <w:iCs/>
          <w:i/>
        </w:rPr>
        <w:t xml:space="preserve">Cardiovasc Diabetol</w:t>
      </w:r>
      <w:r>
        <w:t xml:space="preserve"> </w:t>
      </w:r>
      <w:r>
        <w:t xml:space="preserve">· Pharmacometabolomic profiles in type 2 diabetic subjects treated with liraglutide or glimepiride. PMID 34920733</w:t>
      </w:r>
    </w:p>
    <w:p>
      <w:pPr>
        <w:numPr>
          <w:ilvl w:val="0"/>
          <w:numId w:val="1377"/>
        </w:numPr>
        <w:pStyle w:val="Compact"/>
      </w:pPr>
      <w:r>
        <w:t xml:space="preserve">2021 · Jensen JK ·</w:t>
      </w:r>
      <w:r>
        <w:t xml:space="preserve"> </w:t>
      </w:r>
      <w:r>
        <w:rPr>
          <w:iCs/>
          <w:i/>
        </w:rPr>
        <w:t xml:space="preserve">Front Endocrinol (Lausanne)</w:t>
      </w:r>
      <w:r>
        <w:t xml:space="preserve"> </w:t>
      </w:r>
      <w:r>
        <w:t xml:space="preserve">· Effect of 26 Weeks of Liraglutide Treatment on Coronary Artery Inflammation in Type 2 Diabetes Quantified by [(64)Cu]Cu-DOTATATE PET/CT: Results from the LIRAFLAME Trial. PMID 34917038</w:t>
      </w:r>
    </w:p>
    <w:p>
      <w:pPr>
        <w:numPr>
          <w:ilvl w:val="0"/>
          <w:numId w:val="1377"/>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77"/>
        </w:numPr>
        <w:pStyle w:val="Compact"/>
      </w:pPr>
      <w:r>
        <w:t xml:space="preserve">2021 · Yu DN ·</w:t>
      </w:r>
      <w:r>
        <w:t xml:space="preserve"> </w:t>
      </w:r>
      <w:r>
        <w:rPr>
          <w:iCs/>
          <w:i/>
        </w:rPr>
        <w:t xml:space="preserve">Zhonghua Nei Ke Za Zhi</w:t>
      </w:r>
      <w:r>
        <w:t xml:space="preserve"> </w:t>
      </w:r>
      <w:r>
        <w:t xml:space="preserve">· [The effects of liraglutide on body composition and muscle strength in adult obese patients with type 2 diabetes mellitus]. PMID 34689519</w:t>
      </w:r>
    </w:p>
    <w:p>
      <w:pPr>
        <w:numPr>
          <w:ilvl w:val="0"/>
          <w:numId w:val="1377"/>
        </w:numPr>
        <w:pStyle w:val="Compact"/>
      </w:pPr>
      <w:r>
        <w:t xml:space="preserve">2021 · Zobel EH ·</w:t>
      </w:r>
      <w:r>
        <w:t xml:space="preserve"> </w:t>
      </w:r>
      <w:r>
        <w:rPr>
          <w:iCs/>
          <w:i/>
        </w:rPr>
        <w:t xml:space="preserve">Sci Rep</w:t>
      </w:r>
      <w:r>
        <w:t xml:space="preserve"> </w:t>
      </w:r>
      <w:r>
        <w:t xml:space="preserve">· Effect of liraglutide on expression of inflammatory genes in type 2 diabetes. PMID 34535716</w:t>
      </w:r>
    </w:p>
    <w:p>
      <w:pPr>
        <w:numPr>
          <w:ilvl w:val="0"/>
          <w:numId w:val="1377"/>
        </w:numPr>
        <w:pStyle w:val="Compact"/>
      </w:pPr>
      <w:r>
        <w:t xml:space="preserve">2021 · Zobel EH ·</w:t>
      </w:r>
      <w:r>
        <w:t xml:space="preserve"> </w:t>
      </w:r>
      <w:r>
        <w:rPr>
          <w:iCs/>
          <w:i/>
        </w:rPr>
        <w:t xml:space="preserve">BMJ Open Diabetes Res Care</w:t>
      </w:r>
      <w:r>
        <w:t xml:space="preserve"> </w:t>
      </w:r>
      <w:r>
        <w:t xml:space="preserve">· Ceramides and phospholipids are downregulated with liraglutide treatment: results from the LiraFlame randomized controlled trial. PMID 34518158</w:t>
      </w:r>
    </w:p>
    <w:p>
      <w:pPr>
        <w:numPr>
          <w:ilvl w:val="0"/>
          <w:numId w:val="1377"/>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7"/>
        </w:numPr>
        <w:pStyle w:val="Compact"/>
      </w:pPr>
      <w:r>
        <w:t xml:space="preserve">2021 · Dejgaard TF ·</w:t>
      </w:r>
      <w:r>
        <w:t xml:space="preserve"> </w:t>
      </w:r>
      <w:r>
        <w:rPr>
          <w:iCs/>
          <w:i/>
        </w:rPr>
        <w:t xml:space="preserve">Diabetes Obes Metab</w:t>
      </w:r>
      <w:r>
        <w:t xml:space="preserve"> </w:t>
      </w:r>
      <w:r>
        <w:t xml:space="preserve">· Efficacy and safety of liraglutide in type 1 diabetes by baseline characteristics in the ADJUNCT ONE and ADJUNCT TWO randomized controlled trials. PMID 34463425</w:t>
      </w:r>
    </w:p>
    <w:p>
      <w:pPr>
        <w:numPr>
          <w:ilvl w:val="0"/>
          <w:numId w:val="1377"/>
        </w:numPr>
        <w:pStyle w:val="Compact"/>
      </w:pPr>
      <w:r>
        <w:t xml:space="preserve">2021 · Pei Y ·</w:t>
      </w:r>
      <w:r>
        <w:t xml:space="preserve"> </w:t>
      </w:r>
      <w:r>
        <w:rPr>
          <w:iCs/>
          <w:i/>
        </w:rPr>
        <w:t xml:space="preserve">Diabetes Obes Metab</w:t>
      </w:r>
      <w:r>
        <w:t xml:space="preserve"> </w:t>
      </w:r>
      <w:r>
        <w:t xml:space="preserve">· DUAL II China: Superior HbA1c reductions and weight loss with insulin degludec/liraglutide (IDegLira) versus insulin degludec in a randomized trial of Chinese people with type 2 diabetes inadequately controlled on basal insulin. PMID 34387411</w:t>
      </w:r>
    </w:p>
    <w:p>
      <w:pPr>
        <w:numPr>
          <w:ilvl w:val="0"/>
          <w:numId w:val="1377"/>
        </w:numPr>
        <w:pStyle w:val="Compact"/>
      </w:pPr>
      <w:r>
        <w:t xml:space="preserve">2021 · Rasmussen IKB ·</w:t>
      </w:r>
      <w:r>
        <w:t xml:space="preserve"> </w:t>
      </w:r>
      <w:r>
        <w:rPr>
          <w:iCs/>
          <w:i/>
        </w:rPr>
        <w:t xml:space="preserve">Diabetes Obes Metab</w:t>
      </w:r>
      <w:r>
        <w:t xml:space="preserve"> </w:t>
      </w:r>
      <w:r>
        <w:t xml:space="preserve">· Liraglutide reduces cardiac adipose tissue in type 2 diabetes: A secondary analysis of the LIRAFLAME randomized placebo-controlled trial. PMID 34387408</w:t>
      </w:r>
    </w:p>
    <w:p>
      <w:pPr>
        <w:numPr>
          <w:ilvl w:val="0"/>
          <w:numId w:val="1377"/>
        </w:numPr>
        <w:pStyle w:val="Compact"/>
      </w:pPr>
      <w:r>
        <w:t xml:space="preserve">2021 · Neeland IJ ·</w:t>
      </w:r>
      <w:r>
        <w:t xml:space="preserve"> </w:t>
      </w:r>
      <w:r>
        <w:rPr>
          <w:iCs/>
          <w:i/>
        </w:rPr>
        <w:t xml:space="preserve">Lancet Diabetes Endocrinol</w:t>
      </w:r>
      <w:r>
        <w:t xml:space="preserve"> </w:t>
      </w:r>
      <w:r>
        <w:t xml:space="preserve">· Effects of liraglutide on visceral and ectopic fat in adults with overweight and obesity at high cardiovascular risk: a randomised, double-blind, placebo-controlled, clinical trial. PMID 34358471</w:t>
      </w:r>
    </w:p>
    <w:p>
      <w:pPr>
        <w:numPr>
          <w:ilvl w:val="0"/>
          <w:numId w:val="1377"/>
        </w:numPr>
        <w:pStyle w:val="Compact"/>
      </w:pPr>
      <w:r>
        <w:t xml:space="preserve">2021 · Samson SL ·</w:t>
      </w:r>
      <w:r>
        <w:t xml:space="preserve"> </w:t>
      </w:r>
      <w:r>
        <w:rPr>
          <w:iCs/>
          <w:i/>
        </w:rPr>
        <w:t xml:space="preserve">Pituitary</w:t>
      </w:r>
      <w:r>
        <w:t xml:space="preserve"> </w:t>
      </w:r>
      <w:r>
        <w:t xml:space="preserve">· Managing pasireotide-associated hyperglycemia: a randomized, open-label, Phase IV study. PMID 34275099</w:t>
      </w:r>
    </w:p>
    <w:p>
      <w:pPr>
        <w:numPr>
          <w:ilvl w:val="0"/>
          <w:numId w:val="1377"/>
        </w:numPr>
        <w:pStyle w:val="Compact"/>
      </w:pPr>
      <w:r>
        <w:t xml:space="preserve">2021 · Pantalone KM ·</w:t>
      </w:r>
      <w:r>
        <w:t xml:space="preserve"> </w:t>
      </w:r>
      <w:r>
        <w:rPr>
          <w:iCs/>
          <w:i/>
        </w:rPr>
        <w:t xml:space="preserve">JAMA Netw Open</w:t>
      </w:r>
      <w:r>
        <w:t xml:space="preserve"> </w:t>
      </w:r>
      <w:r>
        <w:t xml:space="preserve">· Effectiveness of Combining Antiobesity Medication With an Employer-Based Weight Management Program for Treatment of Obesity: A Randomized Clinical Trial. PMID 34255049</w:t>
      </w:r>
    </w:p>
    <w:p>
      <w:pPr>
        <w:numPr>
          <w:ilvl w:val="0"/>
          <w:numId w:val="1377"/>
        </w:numPr>
        <w:pStyle w:val="Compact"/>
      </w:pPr>
      <w:r>
        <w:t xml:space="preserve">2021 · Li Q ·</w:t>
      </w:r>
      <w:r>
        <w:t xml:space="preserve"> </w:t>
      </w:r>
      <w:r>
        <w:rPr>
          <w:iCs/>
          <w:i/>
        </w:rPr>
        <w:t xml:space="preserve">J Am Heart Assoc</w:t>
      </w:r>
      <w:r>
        <w:t xml:space="preserve"> </w:t>
      </w:r>
      <w:r>
        <w:t xml:space="preserve">· Activation of Glucagon-Like Peptide-1 Receptor Ameliorates Cognitive Decline in Type 2 Diabetes Mellitus Through a Metabolism-Independent Pathway. PMID 34250817</w:t>
      </w:r>
    </w:p>
    <w:p>
      <w:pPr>
        <w:numPr>
          <w:ilvl w:val="0"/>
          <w:numId w:val="1377"/>
        </w:numPr>
        <w:pStyle w:val="Compact"/>
      </w:pPr>
      <w:r>
        <w:t xml:space="preserve">2021 · Quast DR ·</w:t>
      </w:r>
      <w:r>
        <w:t xml:space="preserve"> </w:t>
      </w:r>
      <w:r>
        <w:rPr>
          <w:iCs/>
          <w:i/>
        </w:rPr>
        <w:t xml:space="preserve">Diabetes Obes Metab</w:t>
      </w:r>
      <w:r>
        <w:t xml:space="preserve"> </w:t>
      </w:r>
      <w:r>
        <w:t xml:space="preserve">· Macronutrient intake, appetite, food preferences and exocrine pancreas function after treatment with short- and long-acting glucagon-like peptide-1 receptor agonists in type 2 diabetes. PMID 34189834</w:t>
      </w:r>
    </w:p>
    <w:p>
      <w:pPr>
        <w:numPr>
          <w:ilvl w:val="0"/>
          <w:numId w:val="1377"/>
        </w:numPr>
        <w:pStyle w:val="Compact"/>
      </w:pPr>
      <w:r>
        <w:t xml:space="preserve">2021 · Bojer AS ·</w:t>
      </w:r>
      <w:r>
        <w:t xml:space="preserve"> </w:t>
      </w:r>
      <w:r>
        <w:rPr>
          <w:iCs/>
          <w:i/>
        </w:rPr>
        <w:t xml:space="preserve">Diabetes Obes Metab</w:t>
      </w:r>
      <w:r>
        <w:t xml:space="preserve"> </w:t>
      </w:r>
      <w:r>
        <w:t xml:space="preserve">· Metabolic improvement with short-term, glucagon-like peptide-1 receptor agonist treatment does not improve cardiac diastolic dysfunction in patients with type 2 diabetes: A randomized, double-blind, placebo-controlled trial. PMID 34189832</w:t>
      </w:r>
    </w:p>
    <w:p>
      <w:pPr>
        <w:numPr>
          <w:ilvl w:val="0"/>
          <w:numId w:val="1377"/>
        </w:numPr>
        <w:pStyle w:val="Compact"/>
      </w:pPr>
      <w:r>
        <w:t xml:space="preserve">2021 · Ripa RS ·</w:t>
      </w:r>
      <w:r>
        <w:t xml:space="preserve"> </w:t>
      </w:r>
      <w:r>
        <w:rPr>
          <w:iCs/>
          <w:i/>
        </w:rPr>
        <w:t xml:space="preserve">Circ Cardiovasc Imaging</w:t>
      </w:r>
      <w:r>
        <w:t xml:space="preserve"> </w:t>
      </w:r>
      <w:r>
        <w:t xml:space="preserve">· Effect of Liraglutide on Arterial Inflammation Assessed as [(18)F]FDG Uptake in Patients With Type 2 Diabetes: A Randomized, Double-Blind, Placebo-Controlled Trial. PMID 34187185</w:t>
      </w:r>
    </w:p>
    <w:p>
      <w:pPr>
        <w:numPr>
          <w:ilvl w:val="0"/>
          <w:numId w:val="1377"/>
        </w:numPr>
        <w:pStyle w:val="Compact"/>
      </w:pPr>
      <w:r>
        <w:t xml:space="preserve">2021 · Hompesch M ·</w:t>
      </w:r>
      <w:r>
        <w:t xml:space="preserve"> </w:t>
      </w:r>
      <w:r>
        <w:rPr>
          <w:iCs/>
          <w:i/>
        </w:rPr>
        <w:t xml:space="preserve">BMJ Open Diabetes Res Care</w:t>
      </w:r>
      <w:r>
        <w:t xml:space="preserve"> </w:t>
      </w:r>
      <w:r>
        <w:t xml:space="preserve">· Effects of efpeglenatide versus liraglutide on gastric emptying, glucose metabolism and beta-cell function in people with type 2 diabetes: an exploratory, randomized phase Ib study. PMID 34172436</w:t>
      </w:r>
    </w:p>
    <w:p>
      <w:pPr>
        <w:numPr>
          <w:ilvl w:val="0"/>
          <w:numId w:val="1377"/>
        </w:numPr>
        <w:pStyle w:val="Compact"/>
      </w:pPr>
      <w:r>
        <w:t xml:space="preserve">2021 · Kahn SE ·</w:t>
      </w:r>
      <w:r>
        <w:t xml:space="preserve"> </w:t>
      </w:r>
      <w:r>
        <w:rPr>
          <w:iCs/>
          <w:i/>
        </w:rPr>
        <w:t xml:space="preserve">Diabetes Care</w:t>
      </w:r>
      <w:r>
        <w:t xml:space="preserve"> </w:t>
      </w:r>
      <w:r>
        <w:t xml:space="preserve">· Effect of Medical and Surgical Interventions on α-Cell Function in Dysglycemic Youth and Adults in the RISE Study. PMID 34135015</w:t>
      </w:r>
    </w:p>
    <w:p>
      <w:pPr>
        <w:numPr>
          <w:ilvl w:val="0"/>
          <w:numId w:val="1377"/>
        </w:numPr>
        <w:pStyle w:val="Compact"/>
      </w:pPr>
      <w:r>
        <w:t xml:space="preserve">2021 · Blonde L ·</w:t>
      </w:r>
      <w:r>
        <w:t xml:space="preserve"> </w:t>
      </w:r>
      <w:r>
        <w:rPr>
          <w:iCs/>
          <w:i/>
        </w:rPr>
        <w:t xml:space="preserve">Diabetes Obes Metab</w:t>
      </w:r>
      <w:r>
        <w:t xml:space="preserve"> </w:t>
      </w:r>
      <w:r>
        <w:t xml:space="preserve">· Efficacy of liraglutide added to sodium-glucose cotransporter-2 inhibitors in type 2 diabetes, stratified by baseline characteristics: Post-hoc analysis of LIRA-ADD2SGLT2i. PMID 34132018</w:t>
      </w:r>
    </w:p>
    <w:p>
      <w:pPr>
        <w:numPr>
          <w:ilvl w:val="0"/>
          <w:numId w:val="1377"/>
        </w:numPr>
        <w:pStyle w:val="Compact"/>
      </w:pPr>
      <w:r>
        <w:t xml:space="preserve">2021 · Sam S ·</w:t>
      </w:r>
      <w:r>
        <w:t xml:space="preserve"> </w:t>
      </w:r>
      <w:r>
        <w:rPr>
          <w:iCs/>
          <w:i/>
        </w:rPr>
        <w:t xml:space="preserve">Diabetes Care</w:t>
      </w:r>
      <w:r>
        <w:t xml:space="preserve"> </w:t>
      </w:r>
      <w:r>
        <w:t xml:space="preserve">· Baseline Predictors of Glycemic Worsening in Youth and Adults With Impaired Glucose Tolerance or Recently Diagnosed Type 2 Diabetes in the Restoring Insulin Secretion (RISE) Study. PMID 34131048</w:t>
      </w:r>
    </w:p>
    <w:p>
      <w:pPr>
        <w:numPr>
          <w:ilvl w:val="0"/>
          <w:numId w:val="1377"/>
        </w:numPr>
        <w:pStyle w:val="Compact"/>
      </w:pPr>
      <w:r>
        <w:t xml:space="preserve">2021 · Sharma A ·</w:t>
      </w:r>
      <w:r>
        <w:t xml:space="preserve"> </w:t>
      </w:r>
      <w:r>
        <w:rPr>
          <w:iCs/>
          <w:i/>
        </w:rPr>
        <w:t xml:space="preserve">ESC Heart Fail</w:t>
      </w:r>
      <w:r>
        <w:t xml:space="preserve"> </w:t>
      </w:r>
      <w:r>
        <w:t xml:space="preserve">· Growth differentiation factor-15, treatment with liraglutide, and clinical outcomes among patients with heart failure. PMID 34061470</w:t>
      </w:r>
    </w:p>
    <w:p>
      <w:pPr>
        <w:numPr>
          <w:ilvl w:val="0"/>
          <w:numId w:val="1377"/>
        </w:numPr>
        <w:pStyle w:val="Compact"/>
      </w:pPr>
      <w:r>
        <w:t xml:space="preserve">2021 · Nahra R ·</w:t>
      </w:r>
      <w:r>
        <w:t xml:space="preserve"> </w:t>
      </w:r>
      <w:r>
        <w:rPr>
          <w:iCs/>
          <w:i/>
        </w:rPr>
        <w:t xml:space="preserve">Diabetes Care</w:t>
      </w:r>
      <w:r>
        <w:t xml:space="preserve"> </w:t>
      </w:r>
      <w:r>
        <w:t xml:space="preserve">· Effects of Cotadutide on Metabolic and Hepatic Parameters in Adults With Overweight or Obesity and Type 2 Diabetes: A 54-Week Randomized Phase 2b Study. PMID 34016612</w:t>
      </w:r>
    </w:p>
    <w:p>
      <w:pPr>
        <w:numPr>
          <w:ilvl w:val="0"/>
          <w:numId w:val="1377"/>
        </w:numPr>
        <w:pStyle w:val="Compact"/>
      </w:pPr>
      <w:r>
        <w:t xml:space="preserve">2021 · Sivalingam S ·</w:t>
      </w:r>
      <w:r>
        <w:t xml:space="preserve"> </w:t>
      </w:r>
      <w:r>
        <w:rPr>
          <w:iCs/>
          <w:i/>
        </w:rPr>
        <w:t xml:space="preserve">Sci Rep</w:t>
      </w:r>
      <w:r>
        <w:t xml:space="preserve"> </w:t>
      </w:r>
      <w:r>
        <w:t xml:space="preserve">· The effect of liraglutide and sitagliptin on oxidative stress in persons with type 2 diabetes. PMID 34012064</w:t>
      </w:r>
    </w:p>
    <w:p>
      <w:pPr>
        <w:numPr>
          <w:ilvl w:val="0"/>
          <w:numId w:val="1377"/>
        </w:numPr>
        <w:pStyle w:val="Compact"/>
      </w:pPr>
      <w:r>
        <w:t xml:space="preserve">2021 · Brooks-Worrell BM ·</w:t>
      </w:r>
      <w:r>
        <w:t xml:space="preserve"> </w:t>
      </w:r>
      <w:r>
        <w:rPr>
          <w:iCs/>
          <w:i/>
        </w:rPr>
        <w:t xml:space="preserve">Front Immunol</w:t>
      </w:r>
      <w:r>
        <w:t xml:space="preserve"> </w:t>
      </w:r>
      <w:r>
        <w:t xml:space="preserve">· Islet Autoimmunity in Adults With Impaired Glucose Tolerance and Recently Diagnosed, Treatment Naïve Type 2 Diabetes in the Restoring Insulin SEcretion (RISE) Study. PMID 33981301</w:t>
      </w:r>
    </w:p>
    <w:p>
      <w:pPr>
        <w:numPr>
          <w:ilvl w:val="0"/>
          <w:numId w:val="1377"/>
        </w:numPr>
        <w:pStyle w:val="Compact"/>
      </w:pPr>
      <w:r>
        <w:t xml:space="preserve">2021 · Lundgren JR ·</w:t>
      </w:r>
      <w:r>
        <w:t xml:space="preserve"> </w:t>
      </w:r>
      <w:r>
        <w:rPr>
          <w:iCs/>
          <w:i/>
        </w:rPr>
        <w:t xml:space="preserve">N Engl J Med</w:t>
      </w:r>
      <w:r>
        <w:t xml:space="preserve"> </w:t>
      </w:r>
      <w:r>
        <w:t xml:space="preserve">· Healthy Weight Loss Maintenance with Exercise, Liraglutide, or Both Combined. PMID 33951361</w:t>
      </w:r>
    </w:p>
    <w:p>
      <w:pPr>
        <w:numPr>
          <w:ilvl w:val="0"/>
          <w:numId w:val="1377"/>
        </w:numPr>
        <w:pStyle w:val="Compact"/>
      </w:pPr>
      <w:r>
        <w:t xml:space="preserve">2021 · Schiavon M ·</w:t>
      </w:r>
      <w:r>
        <w:t xml:space="preserve"> </w:t>
      </w:r>
      <w:r>
        <w:rPr>
          <w:iCs/>
          <w:i/>
        </w:rPr>
        <w:t xml:space="preserve">Diabetes Obes Metab</w:t>
      </w:r>
      <w:r>
        <w:t xml:space="preserve"> </w:t>
      </w:r>
      <w:r>
        <w:t xml:space="preserve">· Improved postprandial glucose metabolism in type 2 diabetes by the dual glucagon-like peptide-1/glucagon receptor agonist SAR425899 in comparison with liraglutide. PMID 33822469</w:t>
      </w:r>
    </w:p>
    <w:p>
      <w:pPr>
        <w:numPr>
          <w:ilvl w:val="0"/>
          <w:numId w:val="1377"/>
        </w:numPr>
        <w:pStyle w:val="Compact"/>
      </w:pPr>
      <w:r>
        <w:t xml:space="preserve">2021 · von Herrath M ·</w:t>
      </w:r>
      <w:r>
        <w:t xml:space="preserve"> </w:t>
      </w:r>
      <w:r>
        <w:rPr>
          <w:iCs/>
          <w:i/>
        </w:rPr>
        <w:t xml:space="preserve">Lancet Diabetes Endocrinol</w:t>
      </w:r>
      <w:r>
        <w:t xml:space="preserve"> </w:t>
      </w:r>
      <w:r>
        <w:t xml:space="preserve">· Anti-interleukin-21 antibody and liraglutide for the preservation of β-cell function in adults with recent-onset type 1 diabetes: a randomised, double-blind, placebo-controlled, phase 2 trial. PMID 33662334</w:t>
      </w:r>
    </w:p>
    <w:p>
      <w:pPr>
        <w:numPr>
          <w:ilvl w:val="0"/>
          <w:numId w:val="1377"/>
        </w:numPr>
        <w:pStyle w:val="Compact"/>
      </w:pPr>
      <w:r>
        <w:t xml:space="preserve">2021 · Ando Y ·</w:t>
      </w:r>
      <w:r>
        <w:t xml:space="preserve"> </w:t>
      </w:r>
      <w:r>
        <w:rPr>
          <w:iCs/>
          <w:i/>
        </w:rPr>
        <w:t xml:space="preserve">J Diabetes Investig</w:t>
      </w:r>
      <w:r>
        <w:t xml:space="preserve"> </w:t>
      </w:r>
      <w:r>
        <w:t xml:space="preserve">· Simplification of complex insulin regimens using canagliflozin or liraglutide in patients with well-controlled type 2 diabetes: A 24-week randomized controlled trial. PMID 33650779</w:t>
      </w:r>
    </w:p>
    <w:p>
      <w:pPr>
        <w:numPr>
          <w:ilvl w:val="0"/>
          <w:numId w:val="1377"/>
        </w:numPr>
        <w:pStyle w:val="Compact"/>
      </w:pPr>
      <w:r>
        <w:t xml:space="preserve">2021 · Bensignor MO ·</w:t>
      </w:r>
      <w:r>
        <w:t xml:space="preserve"> </w:t>
      </w:r>
      <w:r>
        <w:rPr>
          <w:iCs/>
          <w:i/>
        </w:rPr>
        <w:t xml:space="preserve">Pediatr Obes</w:t>
      </w:r>
      <w:r>
        <w:t xml:space="preserve"> </w:t>
      </w:r>
      <w:r>
        <w:t xml:space="preserve">· Effect of liraglutide treatment on body mass index and weight parameters in children and adolescents with type 2 diabetes: Post hoc analysis of the ellipse trial. PMID 33634589</w:t>
      </w:r>
    </w:p>
    <w:p>
      <w:pPr>
        <w:numPr>
          <w:ilvl w:val="0"/>
          <w:numId w:val="1377"/>
        </w:numPr>
        <w:pStyle w:val="Compact"/>
      </w:pPr>
      <w:r>
        <w:t xml:space="preserve">2021 · Wegeberg AM ·</w:t>
      </w:r>
      <w:r>
        <w:t xml:space="preserve"> </w:t>
      </w:r>
      <w:r>
        <w:rPr>
          <w:iCs/>
          <w:i/>
        </w:rPr>
        <w:t xml:space="preserve">Basic Clin Pharmacol Toxicol</w:t>
      </w:r>
      <w:r>
        <w:t xml:space="preserve"> </w:t>
      </w:r>
      <w:r>
        <w:t xml:space="preserve">· Subcutaneous adipose tissue composition and function are unaffected by liraglutide-induced weight loss in adults with type 1 diabetes. PMID 33624417</w:t>
      </w:r>
    </w:p>
    <w:p>
      <w:pPr>
        <w:numPr>
          <w:ilvl w:val="0"/>
          <w:numId w:val="1377"/>
        </w:numPr>
        <w:pStyle w:val="Compact"/>
      </w:pPr>
      <w:r>
        <w:t xml:space="preserve">2021 · Pasquel FJ ·</w:t>
      </w:r>
      <w:r>
        <w:t xml:space="preserve"> </w:t>
      </w:r>
      <w:r>
        <w:rPr>
          <w:iCs/>
          <w:i/>
        </w:rPr>
        <w:t xml:space="preserve">Diabetes Obes Metab</w:t>
      </w:r>
      <w:r>
        <w:t xml:space="preserve"> </w:t>
      </w:r>
      <w:r>
        <w:t xml:space="preserve">· Liraglutide hospital discharge trial: A randomized controlled trial comparing the safety and efficacy of liraglutide versus insulin glargine for the management of patients with type 2 diabetes after hospital discharge. PMID 33591621</w:t>
      </w:r>
    </w:p>
    <w:p>
      <w:pPr>
        <w:numPr>
          <w:ilvl w:val="0"/>
          <w:numId w:val="1377"/>
        </w:numPr>
        <w:pStyle w:val="Compact"/>
      </w:pPr>
      <w:r>
        <w:t xml:space="preserve">2021 · Grannell A ·</w:t>
      </w:r>
      <w:r>
        <w:t xml:space="preserve"> </w:t>
      </w:r>
      <w:r>
        <w:rPr>
          <w:iCs/>
          <w:i/>
        </w:rPr>
        <w:t xml:space="preserve">Obesity (Silver Spring)</w:t>
      </w:r>
      <w:r>
        <w:t xml:space="preserve"> </w:t>
      </w:r>
      <w:r>
        <w:t xml:space="preserve">· Liraglutide Does Not Adversely Impact Fat-Free Mass Loss. PMID 33528919</w:t>
      </w:r>
    </w:p>
    <w:p>
      <w:pPr>
        <w:numPr>
          <w:ilvl w:val="0"/>
          <w:numId w:val="1377"/>
        </w:numPr>
        <w:pStyle w:val="Compact"/>
      </w:pPr>
      <w:r>
        <w:t xml:space="preserve">2021 · Whicher CA ·</w:t>
      </w:r>
      <w:r>
        <w:t xml:space="preserve"> </w:t>
      </w:r>
      <w:r>
        <w:rPr>
          <w:iCs/>
          <w:i/>
        </w:rPr>
        <w:t xml:space="preserve">Diabetes Obes Metab</w:t>
      </w:r>
      <w:r>
        <w:t xml:space="preserve"> </w:t>
      </w:r>
      <w:r>
        <w:t xml:space="preserve">· The use of liraglutide 3.0 mg daily in the management of overweight and obesity in people with schizophrenia, schizoaffective disorder and first episode psychosis: Results of a pilot randomized, double-blind, placebo-controlled trial. PMID 33528914</w:t>
      </w:r>
    </w:p>
    <w:p>
      <w:pPr>
        <w:numPr>
          <w:ilvl w:val="0"/>
          <w:numId w:val="1377"/>
        </w:numPr>
        <w:pStyle w:val="Compact"/>
      </w:pPr>
      <w:r>
        <w:t xml:space="preserve">2021 · Persson F ·</w:t>
      </w:r>
      <w:r>
        <w:t xml:space="preserve"> </w:t>
      </w:r>
      <w:r>
        <w:rPr>
          <w:iCs/>
          <w:i/>
        </w:rPr>
        <w:t xml:space="preserve">Diabetes Care</w:t>
      </w:r>
      <w:r>
        <w:t xml:space="preserve"> </w:t>
      </w:r>
      <w:r>
        <w:t xml:space="preserve">· Changes in Albuminuria Predict Cardiovascular and Renal Outcomes in Type 2 Diabetes: A Post Hoc Analysis of the LEADER Trial. PMID 33504496</w:t>
      </w:r>
    </w:p>
    <w:p>
      <w:pPr>
        <w:numPr>
          <w:ilvl w:val="0"/>
          <w:numId w:val="1377"/>
        </w:numPr>
        <w:pStyle w:val="Compact"/>
      </w:pPr>
      <w:r>
        <w:t xml:space="preserve">2021 · Alba M ·</w:t>
      </w:r>
      <w:r>
        <w:t xml:space="preserve"> </w:t>
      </w:r>
      <w:r>
        <w:rPr>
          <w:iCs/>
          <w:i/>
        </w:rPr>
        <w:t xml:space="preserve">Clin Obes</w:t>
      </w:r>
      <w:r>
        <w:t xml:space="preserve"> </w:t>
      </w:r>
      <w:r>
        <w:t xml:space="preserve">· Efficacy and safety of glucagon-like peptide-1/glucagon receptor co-agonist JNJ-64565111 in individuals with obesity without type 2 diabetes mellitus: A randomized dose-ranging study. PMID 33475255</w:t>
      </w:r>
    </w:p>
    <w:p>
      <w:pPr>
        <w:numPr>
          <w:ilvl w:val="0"/>
          <w:numId w:val="1377"/>
        </w:numPr>
        <w:pStyle w:val="Compact"/>
      </w:pPr>
      <w:r>
        <w:t xml:space="preserve">2021 · Gudbergsen H ·</w:t>
      </w:r>
      <w:r>
        <w:t xml:space="preserve"> </w:t>
      </w:r>
      <w:r>
        <w:rPr>
          <w:iCs/>
          <w:i/>
        </w:rPr>
        <w:t xml:space="preserve">Am J Clin Nutr</w:t>
      </w:r>
      <w:r>
        <w:t xml:space="preserve"> </w:t>
      </w:r>
      <w:r>
        <w:t xml:space="preserve">· Liraglutide after diet-induced weight loss for pain and weight control in knee osteoarthritis: a randomized controlled trial. PMID 33471039</w:t>
      </w:r>
    </w:p>
    <w:p>
      <w:pPr>
        <w:numPr>
          <w:ilvl w:val="0"/>
          <w:numId w:val="1377"/>
        </w:numPr>
        <w:pStyle w:val="Compact"/>
      </w:pPr>
      <w:r>
        <w:t xml:space="preserve">2021 · Smits MM ·</w:t>
      </w:r>
      <w:r>
        <w:t xml:space="preserve"> </w:t>
      </w:r>
      <w:r>
        <w:rPr>
          <w:iCs/>
          <w:i/>
        </w:rPr>
        <w:t xml:space="preserve">Diabetes Metab</w:t>
      </w:r>
      <w:r>
        <w:t xml:space="preserve"> </w:t>
      </w:r>
      <w:r>
        <w:t xml:space="preserve">· Liraglutide and sitagliptin have no effect on intestinal microbiota composition: A 12-week randomized placebo-controlled trial in adults with type 2 diabetes. PMID 33429063</w:t>
      </w:r>
    </w:p>
    <w:p>
      <w:pPr>
        <w:numPr>
          <w:ilvl w:val="0"/>
          <w:numId w:val="1377"/>
        </w:numPr>
        <w:pStyle w:val="Compact"/>
      </w:pPr>
      <w:r>
        <w:t xml:space="preserve">2021 · Kumarathurai P ·</w:t>
      </w:r>
      <w:r>
        <w:t xml:space="preserve"> </w:t>
      </w:r>
      <w:r>
        <w:rPr>
          <w:iCs/>
          <w:i/>
        </w:rPr>
        <w:t xml:space="preserve">Cardiovasc Diabetol</w:t>
      </w:r>
      <w:r>
        <w:t xml:space="preserve"> </w:t>
      </w:r>
      <w:r>
        <w:t xml:space="preserve">· Effects of liraglutide on diastolic function parameters in patients with type 2 diabetes and coronary artery disease: a randomized crossover study. PMID 33413428</w:t>
      </w:r>
    </w:p>
    <w:p>
      <w:pPr>
        <w:numPr>
          <w:ilvl w:val="0"/>
          <w:numId w:val="1377"/>
        </w:numPr>
        <w:pStyle w:val="Compact"/>
      </w:pPr>
      <w:r>
        <w:t xml:space="preserve">2021 · Maagensen H ·</w:t>
      </w:r>
      <w:r>
        <w:t xml:space="preserve"> </w:t>
      </w:r>
      <w:r>
        <w:rPr>
          <w:iCs/>
          <w:i/>
        </w:rPr>
        <w:t xml:space="preserve">Psychiatry Res</w:t>
      </w:r>
      <w:r>
        <w:t xml:space="preserve"> </w:t>
      </w:r>
      <w:r>
        <w:t xml:space="preserve">· Liraglutide does not change bone turnover in clozapine- and olanzapine-treated schizophrenia overweight patients with prediabetes - randomized controlled trial. PMID 33373806</w:t>
      </w:r>
    </w:p>
    <w:p>
      <w:pPr>
        <w:numPr>
          <w:ilvl w:val="0"/>
          <w:numId w:val="1377"/>
        </w:numPr>
        <w:pStyle w:val="Compact"/>
      </w:pPr>
      <w:r>
        <w:t xml:space="preserve">2021 · van Baar ACG ·</w:t>
      </w:r>
      <w:r>
        <w:t xml:space="preserve"> </w:t>
      </w:r>
      <w:r>
        <w:rPr>
          <w:iCs/>
          <w:i/>
        </w:rPr>
        <w:t xml:space="preserve">Gastrointest Endosc</w:t>
      </w:r>
      <w:r>
        <w:t xml:space="preserve"> </w:t>
      </w:r>
      <w:r>
        <w:t xml:space="preserve">· Duodenal mucosal resurfacing combined with glucagon-like peptide-1 receptor agonism to discontinue insulin in type 2 diabetes: a feasibility study. PMID 33359437</w:t>
      </w:r>
    </w:p>
    <w:p>
      <w:pPr>
        <w:numPr>
          <w:ilvl w:val="0"/>
          <w:numId w:val="1377"/>
        </w:numPr>
        <w:pStyle w:val="Compact"/>
      </w:pPr>
      <w:r>
        <w:t xml:space="preserve">2021 · Dekkers IA ·</w:t>
      </w:r>
      <w:r>
        <w:t xml:space="preserve"> </w:t>
      </w:r>
      <w:r>
        <w:rPr>
          <w:iCs/>
          <w:i/>
        </w:rPr>
        <w:t xml:space="preserve">J Ren Nutr</w:t>
      </w:r>
      <w:r>
        <w:t xml:space="preserve"> </w:t>
      </w:r>
      <w:r>
        <w:t xml:space="preserve">· The Effect of Glycemic Control on Renal Triglyceride Content Assessed by Proton Spectroscopy in Patients With Type 2 Diabetes Mellitus: A Single-Center Parallel-Group Trial. PMID 33293204</w:t>
      </w:r>
    </w:p>
    <w:p>
      <w:pPr>
        <w:numPr>
          <w:ilvl w:val="0"/>
          <w:numId w:val="1377"/>
        </w:numPr>
        <w:pStyle w:val="Compact"/>
      </w:pPr>
      <w:r>
        <w:t xml:space="preserve">2021 · Kim SH ·</w:t>
      </w:r>
      <w:r>
        <w:t xml:space="preserve"> </w:t>
      </w:r>
      <w:r>
        <w:rPr>
          <w:iCs/>
          <w:i/>
        </w:rPr>
        <w:t xml:space="preserve">Diabetes Obes Metab</w:t>
      </w:r>
      <w:r>
        <w:t xml:space="preserve"> </w:t>
      </w:r>
      <w:r>
        <w:t xml:space="preserve">· Effect of the glucagon-like peptide-1 analogue liraglutide versus placebo treatment on circulating proglucagon-derived peptides that mediate improvements in body weight, insulin secretion and action: A randomized controlled trial. PMID 33140542</w:t>
      </w:r>
    </w:p>
    <w:p>
      <w:pPr>
        <w:numPr>
          <w:ilvl w:val="0"/>
          <w:numId w:val="1377"/>
        </w:numPr>
        <w:pStyle w:val="Compact"/>
      </w:pPr>
      <w:r>
        <w:t xml:space="preserve">2021 · Aso Y ·</w:t>
      </w:r>
      <w:r>
        <w:t xml:space="preserve"> </w:t>
      </w:r>
      <w:r>
        <w:rPr>
          <w:iCs/>
          <w:i/>
        </w:rPr>
        <w:t xml:space="preserve">Int J Clin Pract</w:t>
      </w:r>
      <w:r>
        <w:t xml:space="preserve"> </w:t>
      </w:r>
      <w:r>
        <w:t xml:space="preserve">· Comparison of insulin degludec (IDeg)/insulin Aspart (IAsp) co-formulation therapy twice-daily with free combination of GLP-1 receptor agonist liraglutide plus insulin degludec in Tochigi: IDEAL Trial. PMID 33099848</w:t>
      </w:r>
    </w:p>
    <w:p>
      <w:pPr>
        <w:numPr>
          <w:ilvl w:val="0"/>
          <w:numId w:val="1377"/>
        </w:numPr>
        <w:pStyle w:val="Compact"/>
      </w:pPr>
      <w:r>
        <w:t xml:space="preserve">2021 · Jiang J ·</w:t>
      </w:r>
      <w:r>
        <w:t xml:space="preserve"> </w:t>
      </w:r>
      <w:r>
        <w:rPr>
          <w:iCs/>
          <w:i/>
        </w:rPr>
        <w:t xml:space="preserve">Endocr Metab Immune Disord Drug Targets</w:t>
      </w:r>
      <w:r>
        <w:t xml:space="preserve"> </w:t>
      </w:r>
      <w:r>
        <w:t xml:space="preserve">· Comparison of Dapaglifozin and Liraglutide in Patients with Poorly Controlled Type 2 Diabetes Mellitus: a 24-week, Open, Double-centered, Head to Head Trial. PMID 32875989</w:t>
      </w:r>
    </w:p>
    <w:p>
      <w:pPr>
        <w:numPr>
          <w:ilvl w:val="0"/>
          <w:numId w:val="1377"/>
        </w:numPr>
        <w:pStyle w:val="Compact"/>
      </w:pPr>
      <w:r>
        <w:t xml:space="preserve">2021 · Thakur U ·</w:t>
      </w:r>
      <w:r>
        <w:t xml:space="preserve"> </w:t>
      </w:r>
      <w:r>
        <w:rPr>
          <w:iCs/>
          <w:i/>
        </w:rPr>
        <w:t xml:space="preserve">Obes Surg</w:t>
      </w:r>
      <w:r>
        <w:t xml:space="preserve"> </w:t>
      </w:r>
      <w:r>
        <w:t xml:space="preserve">· Liraglutide Augments Weight Loss After Laparoscopic Sleeve Gastrectomy: a Randomised, Double-Blind, Placebo-Control Study. PMID 32656729</w:t>
      </w:r>
    </w:p>
    <w:p>
      <w:pPr>
        <w:numPr>
          <w:ilvl w:val="0"/>
          <w:numId w:val="1377"/>
        </w:numPr>
        <w:pStyle w:val="Compact"/>
      </w:pPr>
      <w:r>
        <w:t xml:space="preserve">2021 · Billings LK ·</w:t>
      </w:r>
      <w:r>
        <w:t xml:space="preserve"> </w:t>
      </w:r>
      <w:r>
        <w:rPr>
          <w:iCs/>
          <w:i/>
        </w:rPr>
        <w:t xml:space="preserve">J Diabetes Sci Technol</w:t>
      </w:r>
      <w:r>
        <w:t xml:space="preserve"> </w:t>
      </w:r>
      <w:r>
        <w:t xml:space="preserve">· The Benefit of Insulin Degludec/Liraglutide (IDegLira) Compared With Basal-Bolus Insulin Therapy is Consistent Across Participant Subgroups With Type 2 Diabetes in the DUAL VII Randomized Trial. PMID 32107930</w:t>
      </w:r>
    </w:p>
    <w:p>
      <w:pPr>
        <w:numPr>
          <w:ilvl w:val="0"/>
          <w:numId w:val="1377"/>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7"/>
        </w:numPr>
        <w:pStyle w:val="Compact"/>
      </w:pPr>
      <w:r>
        <w:t xml:space="preserve">2020 · Tronieri JS ·</w:t>
      </w:r>
      <w:r>
        <w:t xml:space="preserve"> </w:t>
      </w:r>
      <w:r>
        <w:rPr>
          <w:iCs/>
          <w:i/>
        </w:rPr>
        <w:t xml:space="preserve">Obes Facts</w:t>
      </w:r>
      <w:r>
        <w:t xml:space="preserve"> </w:t>
      </w:r>
      <w:r>
        <w:t xml:space="preserve">· Effects of Dietary Self-Monitoring, Physical Activity, Liraglutide 3.0 mg, and Placebo on Weight Loss in the SCALE IBT Trial. PMID 33197917</w:t>
      </w:r>
    </w:p>
    <w:p>
      <w:pPr>
        <w:numPr>
          <w:ilvl w:val="0"/>
          <w:numId w:val="1377"/>
        </w:numPr>
        <w:pStyle w:val="Compact"/>
      </w:pPr>
      <w:r>
        <w:t xml:space="preserve">2020 · Guo W ·</w:t>
      </w:r>
      <w:r>
        <w:t xml:space="preserve"> </w:t>
      </w:r>
      <w:r>
        <w:rPr>
          <w:iCs/>
          <w:i/>
        </w:rPr>
        <w:t xml:space="preserve">Diabetes Res Clin Pract</w:t>
      </w:r>
      <w:r>
        <w:t xml:space="preserve"> </w:t>
      </w:r>
      <w:r>
        <w:t xml:space="preserve">· Liraglutide or insulin glargine treatments improves hepatic fat in obese patients with type 2 diabetes and nonalcoholic fatty liver disease in twenty-six weeks: A randomized placebo-controlled trial. PMID 33035599</w:t>
      </w:r>
    </w:p>
    <w:p>
      <w:pPr>
        <w:numPr>
          <w:ilvl w:val="0"/>
          <w:numId w:val="1377"/>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7"/>
        </w:numPr>
        <w:pStyle w:val="Compact"/>
      </w:pPr>
      <w:r>
        <w:t xml:space="preserve">2020 · Ali AM ·</w:t>
      </w:r>
      <w:r>
        <w:t xml:space="preserve"> </w:t>
      </w:r>
      <w:r>
        <w:rPr>
          <w:iCs/>
          <w:i/>
        </w:rPr>
        <w:t xml:space="preserve">J Clin Endocrinol Metab</w:t>
      </w:r>
      <w:r>
        <w:t xml:space="preserve"> </w:t>
      </w:r>
      <w:r>
        <w:t xml:space="preserve">· Improved Beta Cell Glucose Sensitivity Plays Predominant Role in the Decrease in HbA1c with Cana and Lira in T2DM. PMID 32745202</w:t>
      </w:r>
    </w:p>
    <w:p>
      <w:pPr>
        <w:numPr>
          <w:ilvl w:val="0"/>
          <w:numId w:val="1377"/>
        </w:numPr>
        <w:pStyle w:val="Compact"/>
      </w:pPr>
      <w:r>
        <w:t xml:space="preserve">2020 · Quast DR ·</w:t>
      </w:r>
      <w:r>
        <w:t xml:space="preserve"> </w:t>
      </w:r>
      <w:r>
        <w:rPr>
          <w:iCs/>
          <w:i/>
        </w:rPr>
        <w:t xml:space="preserve">Diabetes Care</w:t>
      </w:r>
      <w:r>
        <w:t xml:space="preserve"> </w:t>
      </w:r>
      <w:r>
        <w:t xml:space="preserve">· Effects of Lixisenatide Versus Liraglutide (Short- and Long-Acting GLP-1 Receptor Agonists) on Esophageal and Gastric Function in Patients With Type 2 Diabetes. PMID 32647054</w:t>
      </w:r>
    </w:p>
    <w:p>
      <w:pPr>
        <w:numPr>
          <w:ilvl w:val="0"/>
          <w:numId w:val="1377"/>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7"/>
        </w:numPr>
        <w:pStyle w:val="Compact"/>
      </w:pPr>
      <w:r>
        <w:t xml:space="preserve">2020 · Nielsen R ·</w:t>
      </w:r>
      <w:r>
        <w:t xml:space="preserve"> </w:t>
      </w:r>
      <w:r>
        <w:rPr>
          <w:iCs/>
          <w:i/>
        </w:rPr>
        <w:t xml:space="preserve">Diabetes Obes Metab</w:t>
      </w:r>
      <w:r>
        <w:t xml:space="preserve"> </w:t>
      </w:r>
      <w:r>
        <w:t xml:space="preserve">· The impact of the glucagon-like peptide-1 receptor agonist liraglutide on natriuretic peptides in heart failure patients with reduced ejection fraction with and without type 2 diabetes. PMID 32627271</w:t>
      </w:r>
    </w:p>
    <w:p>
      <w:pPr>
        <w:numPr>
          <w:ilvl w:val="0"/>
          <w:numId w:val="1377"/>
        </w:numPr>
        <w:pStyle w:val="Compact"/>
      </w:pPr>
      <w:r>
        <w:t xml:space="preserve">2020 · Mosenzon O ·</w:t>
      </w:r>
      <w:r>
        <w:t xml:space="preserve"> </w:t>
      </w:r>
      <w:r>
        <w:rPr>
          <w:iCs/>
          <w:i/>
        </w:rPr>
        <w:t xml:space="preserve">Diabetes Obes Metab</w:t>
      </w:r>
      <w:r>
        <w:t xml:space="preserve"> </w:t>
      </w:r>
      <w:r>
        <w:t xml:space="preserve">· Cardiovascular and renal outcomes by baseline albuminuria status and renal function: Results from the LEADER randomized trial. PMID 32618386</w:t>
      </w:r>
    </w:p>
    <w:p>
      <w:pPr>
        <w:numPr>
          <w:ilvl w:val="0"/>
          <w:numId w:val="1377"/>
        </w:numPr>
        <w:pStyle w:val="Compact"/>
      </w:pPr>
      <w:r>
        <w:t xml:space="preserve">2020 · Del Olmo-García MI ·</w:t>
      </w:r>
      <w:r>
        <w:t xml:space="preserve"> </w:t>
      </w:r>
      <w:r>
        <w:rPr>
          <w:iCs/>
          <w:i/>
        </w:rPr>
        <w:t xml:space="preserve">J Int Med Res</w:t>
      </w:r>
      <w:r>
        <w:t xml:space="preserve"> </w:t>
      </w:r>
      <w:r>
        <w:t xml:space="preserve">· Glycemic variability in type 2 diabetes mellitus and acute coronary syndrome: liraglutide compared with insulin glargine: a pilot study. PMID 32567433</w:t>
      </w:r>
    </w:p>
    <w:p>
      <w:pPr>
        <w:numPr>
          <w:ilvl w:val="0"/>
          <w:numId w:val="1377"/>
        </w:numPr>
        <w:pStyle w:val="Compact"/>
      </w:pPr>
      <w:r>
        <w:t xml:space="preserve">2020 · Tronieri JS ·</w:t>
      </w:r>
      <w:r>
        <w:t xml:space="preserve"> </w:t>
      </w:r>
      <w:r>
        <w:rPr>
          <w:iCs/>
          <w:i/>
        </w:rPr>
        <w:t xml:space="preserve">Behav Res Ther</w:t>
      </w:r>
      <w:r>
        <w:t xml:space="preserve"> </w:t>
      </w:r>
      <w:r>
        <w:t xml:space="preserve">· Measures of adherence as predictors of early and total weight loss with intensive behavioral therapy for obesity combined with liraglutide 3.0 mg. PMID 32450367</w:t>
      </w:r>
    </w:p>
    <w:p>
      <w:pPr>
        <w:numPr>
          <w:ilvl w:val="0"/>
          <w:numId w:val="1377"/>
        </w:numPr>
        <w:pStyle w:val="Compact"/>
      </w:pPr>
      <w:r>
        <w:t xml:space="preserve">2020 · Ghanim H ·</w:t>
      </w:r>
      <w:r>
        <w:t xml:space="preserve"> </w:t>
      </w:r>
      <w:r>
        <w:rPr>
          <w:iCs/>
          <w:i/>
        </w:rPr>
        <w:t xml:space="preserve">Diabetes Obes Metab</w:t>
      </w:r>
      <w:r>
        <w:t xml:space="preserve"> </w:t>
      </w:r>
      <w:r>
        <w:t xml:space="preserve">· Liraglutide treatment in overweight and obese patients with type 1 diabetes: A 26-week randomized controlled trial; mechanisms of weight loss. PMID 32424935</w:t>
      </w:r>
    </w:p>
    <w:p>
      <w:pPr>
        <w:numPr>
          <w:ilvl w:val="0"/>
          <w:numId w:val="1377"/>
        </w:numPr>
        <w:pStyle w:val="Compact"/>
      </w:pPr>
      <w:r>
        <w:t xml:space="preserve">2020 · Wegeberg AL ·</w:t>
      </w:r>
      <w:r>
        <w:t xml:space="preserve"> </w:t>
      </w:r>
      <w:r>
        <w:rPr>
          <w:iCs/>
          <w:i/>
        </w:rPr>
        <w:t xml:space="preserve">United European Gastroenterol J</w:t>
      </w:r>
      <w:r>
        <w:t xml:space="preserve"> </w:t>
      </w:r>
      <w:r>
        <w:t xml:space="preserve">· Liraglutide accelerates colonic transit in people with type 1 diabetes and polyneuropathy: A randomised, double-blind, placebo-controlled trial. PMID 32390563</w:t>
      </w:r>
    </w:p>
    <w:p>
      <w:pPr>
        <w:numPr>
          <w:ilvl w:val="0"/>
          <w:numId w:val="1377"/>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7"/>
        </w:numPr>
        <w:pStyle w:val="Compact"/>
      </w:pPr>
      <w:r>
        <w:t xml:space="preserve">2020 · Buse JB ·</w:t>
      </w:r>
      <w:r>
        <w:t xml:space="preserve"> </w:t>
      </w:r>
      <w:r>
        <w:rPr>
          <w:iCs/>
          <w:i/>
        </w:rPr>
        <w:t xml:space="preserve">Diabetes Care</w:t>
      </w:r>
      <w:r>
        <w:t xml:space="preserve"> </w:t>
      </w:r>
      <w:r>
        <w:t xml:space="preserve">· Cardiovascular Risk Reduction With Liraglutide: An Exploratory Mediation Analysis of the LEADER Trial. PMID 32366578</w:t>
      </w:r>
    </w:p>
    <w:p>
      <w:pPr>
        <w:numPr>
          <w:ilvl w:val="0"/>
          <w:numId w:val="1377"/>
        </w:numPr>
        <w:pStyle w:val="Compact"/>
      </w:pPr>
      <w:r>
        <w:t xml:space="preserve">2020 · Redouane B ·</w:t>
      </w:r>
      <w:r>
        <w:t xml:space="preserve"> </w:t>
      </w:r>
      <w:r>
        <w:rPr>
          <w:iCs/>
          <w:i/>
        </w:rPr>
        <w:t xml:space="preserve">Circ Heart Fail</w:t>
      </w:r>
      <w:r>
        <w:t xml:space="preserve"> </w:t>
      </w:r>
      <w:r>
        <w:t xml:space="preserve">· Effects of Liraglutide on Worsening Renal Function Among Patients With Heart Failure With Reduced Ejection Fraction: Insights From the FIGHT Trial. PMID 32362166</w:t>
      </w:r>
    </w:p>
    <w:p>
      <w:pPr>
        <w:numPr>
          <w:ilvl w:val="0"/>
          <w:numId w:val="1377"/>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7"/>
        </w:numPr>
        <w:pStyle w:val="Compact"/>
      </w:pPr>
      <w:r>
        <w:t xml:space="preserve">2020 · Ikonomidis I ·</w:t>
      </w:r>
      <w:r>
        <w:t xml:space="preserve"> </w:t>
      </w:r>
      <w:r>
        <w:rPr>
          <w:iCs/>
          <w:i/>
        </w:rPr>
        <w:t xml:space="preserve">J Am Heart Assoc</w:t>
      </w:r>
      <w:r>
        <w:t xml:space="preserve"> </w:t>
      </w:r>
      <w:r>
        <w:t xml:space="preserve">· Effects of Glucagon-Like Peptide-1 Receptor Agonists, Sodium-Glucose Cotransporter-2 Inhibitors, and Their Combination on Endothelial Glycocalyx, Arterial Function, and Myocardial Work Index in Patients With Type 2 Diabetes Mellitus After 12-Month Treatment. PMID 32326806</w:t>
      </w:r>
    </w:p>
    <w:p>
      <w:pPr>
        <w:numPr>
          <w:ilvl w:val="0"/>
          <w:numId w:val="1377"/>
        </w:numPr>
        <w:pStyle w:val="Compact"/>
      </w:pPr>
      <w:r>
        <w:t xml:space="preserve">2020 · Tougaard RS ·</w:t>
      </w:r>
      <w:r>
        <w:t xml:space="preserve"> </w:t>
      </w:r>
      <w:r>
        <w:rPr>
          <w:iCs/>
          <w:i/>
        </w:rPr>
        <w:t xml:space="preserve">Scand Cardiovasc J</w:t>
      </w:r>
      <w:r>
        <w:t xml:space="preserve"> </w:t>
      </w:r>
      <w:r>
        <w:t xml:space="preserve">· Heart rate increases in liraglutide treated chronic heart failure patients: association with clinical parameters and adverse events. PMID 32292074</w:t>
      </w:r>
    </w:p>
    <w:p>
      <w:pPr>
        <w:numPr>
          <w:ilvl w:val="0"/>
          <w:numId w:val="1377"/>
        </w:numPr>
        <w:pStyle w:val="Compact"/>
      </w:pPr>
      <w:r>
        <w:t xml:space="preserve">2020 · Dubé MC ·</w:t>
      </w:r>
      <w:r>
        <w:t xml:space="preserve"> </w:t>
      </w:r>
      <w:r>
        <w:rPr>
          <w:iCs/>
          <w:i/>
        </w:rPr>
        <w:t xml:space="preserve">Diabetes Obes Metab</w:t>
      </w:r>
      <w:r>
        <w:t xml:space="preserve"> </w:t>
      </w:r>
      <w:r>
        <w:t xml:space="preserve">· Effect of liraglutide on food consumption, appetite sensations and eating behaviours in overweight people with type 1 diabetes. PMID 32250534</w:t>
      </w:r>
    </w:p>
    <w:p>
      <w:pPr>
        <w:numPr>
          <w:ilvl w:val="0"/>
          <w:numId w:val="1377"/>
        </w:numPr>
        <w:pStyle w:val="Compact"/>
      </w:pPr>
      <w:r>
        <w:t xml:space="preserve">2020 · Kelly AS ·</w:t>
      </w:r>
      <w:r>
        <w:t xml:space="preserve"> </w:t>
      </w:r>
      <w:r>
        <w:rPr>
          <w:iCs/>
          <w:i/>
        </w:rPr>
        <w:t xml:space="preserve">N Engl J Med</w:t>
      </w:r>
      <w:r>
        <w:t xml:space="preserve"> </w:t>
      </w:r>
      <w:r>
        <w:t xml:space="preserve">· A Randomized, Controlled Trial of Liraglutide for Adolescents with Obesity. PMID 32233338</w:t>
      </w:r>
    </w:p>
    <w:p>
      <w:pPr>
        <w:numPr>
          <w:ilvl w:val="0"/>
          <w:numId w:val="1377"/>
        </w:numPr>
        <w:pStyle w:val="Compact"/>
      </w:pPr>
      <w:r>
        <w:t xml:space="preserve">2020 · Ali AM ·</w:t>
      </w:r>
      <w:r>
        <w:t xml:space="preserve"> </w:t>
      </w:r>
      <w:r>
        <w:rPr>
          <w:iCs/>
          <w:i/>
        </w:rPr>
        <w:t xml:space="preserve">Diabetes Care</w:t>
      </w:r>
      <w:r>
        <w:t xml:space="preserve"> </w:t>
      </w:r>
      <w:r>
        <w:t xml:space="preserve">· Combination Therapy With Canagliflozin Plus Liraglutide Exerts Additive Effect on Weight Loss, but Not on HbA(1c), in Patients With Type 2 Diabetes. PMID 32220916</w:t>
      </w:r>
    </w:p>
    <w:p>
      <w:pPr>
        <w:numPr>
          <w:ilvl w:val="0"/>
          <w:numId w:val="1377"/>
        </w:numPr>
        <w:pStyle w:val="Compact"/>
      </w:pPr>
      <w:r>
        <w:t xml:space="preserve">2020 · Marso SP ·</w:t>
      </w:r>
      <w:r>
        <w:t xml:space="preserve"> </w:t>
      </w:r>
      <w:r>
        <w:rPr>
          <w:iCs/>
          <w:i/>
        </w:rPr>
        <w:t xml:space="preserve">J Am Coll Cardiol</w:t>
      </w:r>
      <w:r>
        <w:t xml:space="preserve"> </w:t>
      </w:r>
      <w:r>
        <w:t xml:space="preserve">· Effects of Liraglutide on Cardiovascular Outcomes in Patients With Diabetes With or Without Heart Failure. PMID 32164886</w:t>
      </w:r>
    </w:p>
    <w:p>
      <w:pPr>
        <w:numPr>
          <w:ilvl w:val="0"/>
          <w:numId w:val="1377"/>
        </w:numPr>
        <w:pStyle w:val="Compact"/>
      </w:pPr>
      <w:r>
        <w:t xml:space="preserve">2020 · Webb DR ·</w:t>
      </w:r>
      <w:r>
        <w:t xml:space="preserve"> </w:t>
      </w:r>
      <w:r>
        <w:rPr>
          <w:iCs/>
          <w:i/>
        </w:rPr>
        <w:t xml:space="preserve">Diabetes Obes Metab</w:t>
      </w:r>
      <w:r>
        <w:t xml:space="preserve"> </w:t>
      </w:r>
      <w:r>
        <w:t xml:space="preserve">· A randomized, open-label, active comparator trial assessing the effects of 26 weeks of liraglutide or sitagliptin on cardiovascular function in young obese adults with type 2 diabetes. PMID 32157772</w:t>
      </w:r>
    </w:p>
    <w:p>
      <w:pPr>
        <w:numPr>
          <w:ilvl w:val="0"/>
          <w:numId w:val="1377"/>
        </w:numPr>
        <w:pStyle w:val="Compact"/>
      </w:pPr>
      <w:r>
        <w:t xml:space="preserve">2020 · Garvey WT ·</w:t>
      </w:r>
      <w:r>
        <w:t xml:space="preserve"> </w:t>
      </w:r>
      <w:r>
        <w:rPr>
          <w:iCs/>
          <w:i/>
        </w:rPr>
        <w:t xml:space="preserve">Diabetes Care</w:t>
      </w:r>
      <w:r>
        <w:t xml:space="preserve"> </w:t>
      </w:r>
      <w:r>
        <w:t xml:space="preserve">· Efficacy and Safety of Liraglutide 3.0 mg in Individuals With Overweight or Obesity and Type 2 Diabetes Treated With Basal Insulin: The SCALE Insulin Randomized Controlled Trial. PMID 32139381</w:t>
      </w:r>
    </w:p>
    <w:p>
      <w:pPr>
        <w:numPr>
          <w:ilvl w:val="0"/>
          <w:numId w:val="1377"/>
        </w:numPr>
        <w:pStyle w:val="Compact"/>
      </w:pPr>
      <w:r>
        <w:t xml:space="preserve">2020 · Mann JFE ·</w:t>
      </w:r>
      <w:r>
        <w:t xml:space="preserve"> </w:t>
      </w:r>
      <w:r>
        <w:rPr>
          <w:iCs/>
          <w:i/>
        </w:rPr>
        <w:t xml:space="preserve">Clin J Am Soc Nephrol</w:t>
      </w:r>
      <w:r>
        <w:t xml:space="preserve"> </w:t>
      </w:r>
      <w:r>
        <w:t xml:space="preserve">· Safety of Liraglutide in Type 2 Diabetes and Chronic Kidney Disease. PMID 32132141</w:t>
      </w:r>
    </w:p>
    <w:p>
      <w:pPr>
        <w:numPr>
          <w:ilvl w:val="0"/>
          <w:numId w:val="1377"/>
        </w:numPr>
        <w:pStyle w:val="Compact"/>
      </w:pPr>
      <w:r>
        <w:t xml:space="preserve">2020 · van Eyk HJ ·</w:t>
      </w:r>
      <w:r>
        <w:t xml:space="preserve"> </w:t>
      </w:r>
      <w:r>
        <w:rPr>
          <w:iCs/>
          <w:i/>
        </w:rPr>
        <w:t xml:space="preserve">Nutr Metab Cardiovasc Dis</w:t>
      </w:r>
      <w:r>
        <w:t xml:space="preserve"> </w:t>
      </w:r>
      <w:r>
        <w:t xml:space="preserve">· Liraglutide decreases energy expenditure and does not affect the fat fraction of supraclavicular brown adipose tissue in patients with type 2 diabetes. PMID 32127340</w:t>
      </w:r>
    </w:p>
    <w:p>
      <w:pPr>
        <w:numPr>
          <w:ilvl w:val="0"/>
          <w:numId w:val="1377"/>
        </w:numPr>
        <w:pStyle w:val="Compact"/>
      </w:pPr>
      <w:r>
        <w:t xml:space="preserve">2020 · Zhang LY ·</w:t>
      </w:r>
      <w:r>
        <w:t xml:space="preserve"> </w:t>
      </w:r>
      <w:r>
        <w:rPr>
          <w:iCs/>
          <w:i/>
        </w:rPr>
        <w:t xml:space="preserve">Clin Res Hepatol Gastroenterol</w:t>
      </w:r>
      <w:r>
        <w:t xml:space="preserve"> </w:t>
      </w:r>
      <w:r>
        <w:t xml:space="preserve">· Effect of liraglutide therapy on serum fetuin A in patients with type 2 diabetes and non-alcoholic fatty liver disease. PMID 32113823</w:t>
      </w:r>
    </w:p>
    <w:p>
      <w:pPr>
        <w:numPr>
          <w:ilvl w:val="0"/>
          <w:numId w:val="1377"/>
        </w:numPr>
        <w:pStyle w:val="Compact"/>
      </w:pPr>
      <w:r>
        <w:t xml:space="preserve">2020 · Wadden TA ·</w:t>
      </w:r>
      <w:r>
        <w:t xml:space="preserve"> </w:t>
      </w:r>
      <w:r>
        <w:rPr>
          <w:iCs/>
          <w:i/>
        </w:rPr>
        <w:t xml:space="preserve">Obesity (Silver Spring)</w:t>
      </w:r>
      <w:r>
        <w:t xml:space="preserve"> </w:t>
      </w:r>
      <w:r>
        <w:t xml:space="preserve">· Liraglutide 3.0 mg and Intensive Behavioral Therapy (IBT) for Obesity in Primary Care: The SCALE IBT Randomized Controlled Trial. PMID 32090517</w:t>
      </w:r>
    </w:p>
    <w:p>
      <w:pPr>
        <w:numPr>
          <w:ilvl w:val="0"/>
          <w:numId w:val="1377"/>
        </w:numPr>
        <w:pStyle w:val="Compact"/>
      </w:pPr>
      <w:r>
        <w:t xml:space="preserve">2020 · Elkind-Hirsch KE ·</w:t>
      </w:r>
      <w:r>
        <w:t xml:space="preserve"> </w:t>
      </w:r>
      <w:r>
        <w:rPr>
          <w:iCs/>
          <w:i/>
        </w:rPr>
        <w:t xml:space="preserve">J Diabetes Complications</w:t>
      </w:r>
      <w:r>
        <w:t xml:space="preserve"> </w:t>
      </w:r>
      <w:r>
        <w:t xml:space="preserve">· Postpartum treatment with liraglutide in combination with metformin versus metformin monotherapy to improve metabolic status and reduce body weight in overweight/obese women with recent gestational diabetes: A double-blind, randomized, placebo-controlled study. PMID 32046931</w:t>
      </w:r>
    </w:p>
    <w:p>
      <w:pPr>
        <w:numPr>
          <w:ilvl w:val="0"/>
          <w:numId w:val="1377"/>
        </w:numPr>
        <w:pStyle w:val="Compact"/>
      </w:pPr>
      <w:r>
        <w:t xml:space="preserve">2020 · Blonde L ·</w:t>
      </w:r>
      <w:r>
        <w:t xml:space="preserve"> </w:t>
      </w:r>
      <w:r>
        <w:rPr>
          <w:iCs/>
          <w:i/>
        </w:rPr>
        <w:t xml:space="preserve">Diabetes Obes Metab</w:t>
      </w:r>
      <w:r>
        <w:t xml:space="preserve"> </w:t>
      </w:r>
      <w:r>
        <w:t xml:space="preserve">· Liraglutide as add-on to sodium-glucose co-transporter-2 inhibitors in patients with inadequately controlled type 2 diabetes: LIRA-ADD2SGLT2i, a 26-week, randomized, double-blind, placebo-controlled trial. PMID 31984646</w:t>
      </w:r>
    </w:p>
    <w:p>
      <w:pPr>
        <w:numPr>
          <w:ilvl w:val="0"/>
          <w:numId w:val="1377"/>
        </w:numPr>
        <w:pStyle w:val="Compact"/>
      </w:pPr>
      <w:r>
        <w:t xml:space="preserve">2020 · Vadini F ·</w:t>
      </w:r>
      <w:r>
        <w:t xml:space="preserve"> </w:t>
      </w:r>
      <w:r>
        <w:rPr>
          <w:iCs/>
          <w:i/>
        </w:rPr>
        <w:t xml:space="preserve">Int J Obes (Lond)</w:t>
      </w:r>
      <w:r>
        <w:t xml:space="preserve"> </w:t>
      </w:r>
      <w:r>
        <w:t xml:space="preserve">· Liraglutide improves memory in obese patients with prediabetes or early type 2 diabetes: a randomized, controlled study. PMID 31965072</w:t>
      </w:r>
    </w:p>
    <w:p>
      <w:pPr>
        <w:numPr>
          <w:ilvl w:val="0"/>
          <w:numId w:val="1377"/>
        </w:numPr>
        <w:pStyle w:val="Compact"/>
      </w:pPr>
      <w:r>
        <w:t xml:space="preserve">2020 · Sesti G ·</w:t>
      </w:r>
      <w:r>
        <w:t xml:space="preserve"> </w:t>
      </w:r>
      <w:r>
        <w:rPr>
          <w:iCs/>
          <w:i/>
        </w:rPr>
        <w:t xml:space="preserve">Diabetes Obes Metab</w:t>
      </w:r>
      <w:r>
        <w:t xml:space="preserve"> </w:t>
      </w:r>
      <w:r>
        <w:t xml:space="preserve">· A greater proportion of participants with type 2 diabetes achieve treatment targets with insulin degludec/liraglutide versus insulin glargine 100 units/mL at 26 weeks: DUAL VIII, a randomized trial designed to resemble clinical practice. PMID 31903724</w:t>
      </w:r>
    </w:p>
    <w:p>
      <w:pPr>
        <w:numPr>
          <w:ilvl w:val="0"/>
          <w:numId w:val="1377"/>
        </w:numPr>
        <w:pStyle w:val="Compact"/>
      </w:pPr>
      <w:r>
        <w:t xml:space="preserve">2020 · Hygum K ·</w:t>
      </w:r>
      <w:r>
        <w:t xml:space="preserve"> </w:t>
      </w:r>
      <w:r>
        <w:rPr>
          <w:iCs/>
          <w:i/>
        </w:rPr>
        <w:t xml:space="preserve">Bone</w:t>
      </w:r>
      <w:r>
        <w:t xml:space="preserve"> </w:t>
      </w:r>
      <w:r>
        <w:t xml:space="preserve">· Bone resorption is unchanged by liraglutide in type 2 diabetes patients: A randomised controlled trial. PMID 31870634</w:t>
      </w:r>
    </w:p>
    <w:p>
      <w:pPr>
        <w:numPr>
          <w:ilvl w:val="0"/>
          <w:numId w:val="1377"/>
        </w:numPr>
        <w:pStyle w:val="Compact"/>
      </w:pPr>
      <w:r>
        <w:t xml:space="preserve">2020 · Yao MY ·</w:t>
      </w:r>
      <w:r>
        <w:t xml:space="preserve"> </w:t>
      </w:r>
      <w:r>
        <w:rPr>
          <w:iCs/>
          <w:i/>
        </w:rPr>
        <w:t xml:space="preserve">Braz J Med Biol Res</w:t>
      </w:r>
      <w:r>
        <w:t xml:space="preserve"> </w:t>
      </w:r>
      <w:r>
        <w:t xml:space="preserve">· Use of flash glucose-sensing technology in patients with type 2 diabetes treated with liraglutide combined with CSII: a pilot study. PMID 31859911</w:t>
      </w:r>
    </w:p>
    <w:p>
      <w:pPr>
        <w:numPr>
          <w:ilvl w:val="0"/>
          <w:numId w:val="1377"/>
        </w:numPr>
        <w:pStyle w:val="Compact"/>
      </w:pPr>
      <w:r>
        <w:t xml:space="preserve">2020 · Janez A ·</w:t>
      </w:r>
      <w:r>
        <w:t xml:space="preserve"> </w:t>
      </w:r>
      <w:r>
        <w:rPr>
          <w:iCs/>
          <w:i/>
        </w:rPr>
        <w:t xml:space="preserve">Diabetes Obes Metab</w:t>
      </w:r>
      <w:r>
        <w:t xml:space="preserve"> </w:t>
      </w:r>
      <w:r>
        <w:t xml:space="preserve">· Benefits of insulin degludec/liraglutide are maintained even in patients discontinuing sulphonylureas or dipeptidyl peptidase-4 inhibitors upon initiation of degludec/liraglutide therapy: A post hoc analysis of the DUAL II and DUAL IX trials. PMID 31858673</w:t>
      </w:r>
    </w:p>
    <w:p>
      <w:pPr>
        <w:numPr>
          <w:ilvl w:val="0"/>
          <w:numId w:val="1377"/>
        </w:numPr>
        <w:pStyle w:val="Compact"/>
      </w:pPr>
      <w:r>
        <w:t xml:space="preserve">2020 · Cannon AJ ·</w:t>
      </w:r>
      <w:r>
        <w:t xml:space="preserve"> </w:t>
      </w:r>
      <w:r>
        <w:rPr>
          <w:iCs/>
          <w:i/>
        </w:rPr>
        <w:t xml:space="preserve">J Manag Care Spec Pharm</w:t>
      </w:r>
      <w:r>
        <w:t xml:space="preserve"> </w:t>
      </w:r>
      <w:r>
        <w:t xml:space="preserve">· Evaluation of the Short-Term Cost-Effectiveness of IDegLira Versus Basal Insulin and Basal-Bolus Therapy in Patients with Type 2 Diabetes Based on Attainment of Clinically Relevant Treatment Targets. PMID 31856636</w:t>
      </w:r>
    </w:p>
    <w:p>
      <w:pPr>
        <w:numPr>
          <w:ilvl w:val="0"/>
          <w:numId w:val="1377"/>
        </w:numPr>
        <w:pStyle w:val="Compact"/>
      </w:pPr>
      <w:r>
        <w:t xml:space="preserve">2020 · Paiman EHM ·</w:t>
      </w:r>
      <w:r>
        <w:t xml:space="preserve"> </w:t>
      </w:r>
      <w:r>
        <w:rPr>
          <w:iCs/>
          <w:i/>
        </w:rPr>
        <w:t xml:space="preserve">J Magn Reson Imaging</w:t>
      </w:r>
      <w:r>
        <w:t xml:space="preserve"> </w:t>
      </w:r>
      <w:r>
        <w:t xml:space="preserve">· Effect of Liraglutide on Cardiovascular Function and Myocardial Tissue Characteristics in Type 2 Diabetes Patients of South Asian Descent Living in the Netherlands: A Double-Blind, Randomized, Placebo-Controlled Trial. PMID 31799782</w:t>
      </w:r>
    </w:p>
    <w:p>
      <w:pPr>
        <w:numPr>
          <w:ilvl w:val="0"/>
          <w:numId w:val="1377"/>
        </w:numPr>
        <w:pStyle w:val="Compact"/>
      </w:pPr>
      <w:r>
        <w:t xml:space="preserve">2020 · Hulst AH ·</w:t>
      </w:r>
      <w:r>
        <w:t xml:space="preserve"> </w:t>
      </w:r>
      <w:r>
        <w:rPr>
          <w:iCs/>
          <w:i/>
        </w:rPr>
        <w:t xml:space="preserve">Diabetes Obes Metab</w:t>
      </w:r>
      <w:r>
        <w:t xml:space="preserve"> </w:t>
      </w:r>
      <w:r>
        <w:t xml:space="preserve">· Liraglutide for perioperative management of hyperglycaemia in cardiac surgery patients: a multicentre randomized superiority trial. PMID 31749275</w:t>
      </w:r>
    </w:p>
    <w:p>
      <w:pPr>
        <w:numPr>
          <w:ilvl w:val="0"/>
          <w:numId w:val="1377"/>
        </w:numPr>
        <w:pStyle w:val="Compact"/>
      </w:pPr>
      <w:r>
        <w:t xml:space="preserve">2020 · Dejgaard TF ·</w:t>
      </w:r>
      <w:r>
        <w:t xml:space="preserve"> </w:t>
      </w:r>
      <w:r>
        <w:rPr>
          <w:iCs/>
          <w:i/>
        </w:rPr>
        <w:t xml:space="preserve">Diabetes Obes Metab</w:t>
      </w:r>
      <w:r>
        <w:t xml:space="preserve"> </w:t>
      </w:r>
      <w:r>
        <w:t xml:space="preserve">· Liraglutide reduces hyperglycaemia and body weight in overweight, dysregulated insulin-pump-treated patients with type 1 diabetes: The Lira Pump trial-a randomized, double-blinded, placebo-controlled trial. PMID 31696598</w:t>
      </w:r>
    </w:p>
    <w:p>
      <w:pPr>
        <w:numPr>
          <w:ilvl w:val="0"/>
          <w:numId w:val="1377"/>
        </w:numPr>
        <w:pStyle w:val="Compact"/>
      </w:pPr>
      <w:r>
        <w:t xml:space="preserve">2020 · Bizino MB ·</w:t>
      </w:r>
      <w:r>
        <w:t xml:space="preserve"> </w:t>
      </w:r>
      <w:r>
        <w:rPr>
          <w:iCs/>
          <w:i/>
        </w:rPr>
        <w:t xml:space="preserve">Diabetologia</w:t>
      </w:r>
      <w:r>
        <w:t xml:space="preserve"> </w:t>
      </w:r>
      <w:r>
        <w:t xml:space="preserve">· Placebo-controlled randomised trial with liraglutide on magnetic resonance endpoints in individuals with type 2 diabetes: a pre-specified secondary study on ectopic fat accumulation. PMID 31690988</w:t>
      </w:r>
    </w:p>
    <w:p>
      <w:pPr>
        <w:numPr>
          <w:ilvl w:val="0"/>
          <w:numId w:val="1377"/>
        </w:numPr>
        <w:pStyle w:val="Compact"/>
      </w:pPr>
      <w:r>
        <w:t xml:space="preserve">2020 · Kadouh H ·</w:t>
      </w:r>
      <w:r>
        <w:t xml:space="preserve"> </w:t>
      </w:r>
      <w:r>
        <w:rPr>
          <w:iCs/>
          <w:i/>
        </w:rPr>
        <w:t xml:space="preserve">J Clin Endocrinol Metab</w:t>
      </w:r>
      <w:r>
        <w:t xml:space="preserve"> </w:t>
      </w:r>
      <w:r>
        <w:t xml:space="preserve">· GLP-1 Analog Modulates Appetite, Taste Preference, Gut Hormones, and Regional Body Fat Stores in Adults with Obesity. PMID 31665455</w:t>
      </w:r>
    </w:p>
    <w:p>
      <w:pPr>
        <w:numPr>
          <w:ilvl w:val="0"/>
          <w:numId w:val="1377"/>
        </w:numPr>
        <w:pStyle w:val="Compact"/>
      </w:pPr>
      <w:r>
        <w:t xml:space="preserve">2020 · Gaborit B ·</w:t>
      </w:r>
      <w:r>
        <w:t xml:space="preserve"> </w:t>
      </w:r>
      <w:r>
        <w:rPr>
          <w:iCs/>
          <w:i/>
        </w:rPr>
        <w:t xml:space="preserve">J Clin Endocrinol Metab</w:t>
      </w:r>
      <w:r>
        <w:t xml:space="preserve"> </w:t>
      </w:r>
      <w:r>
        <w:t xml:space="preserve">· Glucagon-like Peptide 1 Receptor Agonists, Diabetic Retinopathy and Angiogenesis: The AngioSafe Type 2 Diabetes Study. PMID 31589290</w:t>
      </w:r>
    </w:p>
    <w:p>
      <w:pPr>
        <w:numPr>
          <w:ilvl w:val="0"/>
          <w:numId w:val="1377"/>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7"/>
        </w:numPr>
        <w:pStyle w:val="Compact"/>
      </w:pPr>
      <w:r>
        <w:t xml:space="preserve">2020 · Tronieri JS ·</w:t>
      </w:r>
      <w:r>
        <w:t xml:space="preserve"> </w:t>
      </w:r>
      <w:r>
        <w:rPr>
          <w:iCs/>
          <w:i/>
        </w:rPr>
        <w:t xml:space="preserve">Int J Obes (Lond)</w:t>
      </w:r>
      <w:r>
        <w:t xml:space="preserve"> </w:t>
      </w:r>
      <w:r>
        <w:t xml:space="preserve">· Effects of liraglutide on appetite, food preoccupation, and food liking: results of a randomized controlled trial. PMID 30926955</w:t>
      </w:r>
    </w:p>
    <w:p>
      <w:pPr>
        <w:numPr>
          <w:ilvl w:val="0"/>
          <w:numId w:val="1377"/>
        </w:numPr>
        <w:pStyle w:val="Compact"/>
      </w:pPr>
      <w:r>
        <w:t xml:space="preserve">2019 · Patel S ·</w:t>
      </w:r>
      <w:r>
        <w:t xml:space="preserve"> </w:t>
      </w:r>
      <w:r>
        <w:rPr>
          <w:iCs/>
          <w:i/>
        </w:rPr>
        <w:t xml:space="preserve">BMJ Open Diabetes Res Care</w:t>
      </w:r>
      <w:r>
        <w:t xml:space="preserve"> </w:t>
      </w:r>
      <w:r>
        <w:t xml:space="preserve">· Effect of medication adherence on clinical outcomes in type 2 diabetes: analysis of the SIMPLE study. PMID 31803482</w:t>
      </w:r>
    </w:p>
    <w:p>
      <w:pPr>
        <w:numPr>
          <w:ilvl w:val="0"/>
          <w:numId w:val="1377"/>
        </w:numPr>
        <w:pStyle w:val="Compact"/>
      </w:pPr>
      <w:r>
        <w:t xml:space="preserve">2019 · Verma S ·</w:t>
      </w:r>
      <w:r>
        <w:t xml:space="preserve"> </w:t>
      </w:r>
      <w:r>
        <w:rPr>
          <w:iCs/>
          <w:i/>
        </w:rPr>
        <w:t xml:space="preserve">JAMA Cardiol</w:t>
      </w:r>
      <w:r>
        <w:t xml:space="preserve"> </w:t>
      </w:r>
      <w:r>
        <w:t xml:space="preserve">· Occurence of First and Recurrent Major Adverse Cardiovascular Events With Liraglutide Treatment Among Patients With Type 2 Diabetes and High Risk of Cardiovascular Events: A Post Hoc Analysis of a Randomized Clinical Trial. PMID 31721979</w:t>
      </w:r>
    </w:p>
    <w:p>
      <w:pPr>
        <w:numPr>
          <w:ilvl w:val="0"/>
          <w:numId w:val="1377"/>
        </w:numPr>
        <w:pStyle w:val="Compact"/>
      </w:pPr>
      <w:r>
        <w:t xml:space="preserve">2019 · Chao AM ·</w:t>
      </w:r>
      <w:r>
        <w:t xml:space="preserve"> </w:t>
      </w:r>
      <w:r>
        <w:rPr>
          <w:iCs/>
          <w:i/>
        </w:rPr>
        <w:t xml:space="preserve">Clin Obes</w:t>
      </w:r>
      <w:r>
        <w:t xml:space="preserve"> </w:t>
      </w:r>
      <w:r>
        <w:t xml:space="preserve">· Changes in health-related quality of life with intensive behavioural therapy combined with liraglutide 3.0 mg per day. PMID 31691531</w:t>
      </w:r>
    </w:p>
    <w:p>
      <w:pPr>
        <w:numPr>
          <w:ilvl w:val="0"/>
          <w:numId w:val="1377"/>
        </w:numPr>
        <w:pStyle w:val="Compact"/>
      </w:pPr>
      <w:r>
        <w:t xml:space="preserve">2019 · Peradze N ·</w:t>
      </w:r>
      <w:r>
        <w:t xml:space="preserve"> </w:t>
      </w:r>
      <w:r>
        <w:rPr>
          <w:iCs/>
          <w:i/>
        </w:rPr>
        <w:t xml:space="preserve">Cardiovasc Diabetol</w:t>
      </w:r>
      <w:r>
        <w:t xml:space="preserve"> </w:t>
      </w:r>
      <w:r>
        <w:t xml:space="preserve">· Short-term treatment with high dose liraglutide improves lipid and lipoprotein profile and changes hormonal mediators of lipid metabolism in obese patients with no overt type 2 diabetes mellitus: a randomized, placebo-controlled, cross-over, double-blind clinical trial. PMID 31672146</w:t>
      </w:r>
    </w:p>
    <w:p>
      <w:pPr>
        <w:numPr>
          <w:ilvl w:val="0"/>
          <w:numId w:val="1377"/>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7"/>
        </w:numPr>
        <w:pStyle w:val="Compact"/>
      </w:pPr>
      <w:r>
        <w:t xml:space="preserve">2019 · Watada H ·</w:t>
      </w:r>
      <w:r>
        <w:t xml:space="preserve"> </w:t>
      </w:r>
      <w:r>
        <w:rPr>
          <w:iCs/>
          <w:i/>
        </w:rPr>
        <w:t xml:space="preserve">Diabetes Obes Metab</w:t>
      </w:r>
      <w:r>
        <w:t xml:space="preserve"> </w:t>
      </w:r>
      <w:r>
        <w:t xml:space="preserve">· Superior HbA1c control with the fixed-ratio combination of insulin degludec and liraglutide (IDegLira) compared with a maximum dose of 50 units of insulin degludec in Japanese individuals with type 2 diabetes in a phase 3, double-blind, randomized trial. PMID 31423685</w:t>
      </w:r>
    </w:p>
    <w:p>
      <w:pPr>
        <w:numPr>
          <w:ilvl w:val="0"/>
          <w:numId w:val="1377"/>
        </w:numPr>
        <w:pStyle w:val="Compact"/>
      </w:pPr>
      <w:r>
        <w:t xml:space="preserve">2019 · Kaku K ·</w:t>
      </w:r>
      <w:r>
        <w:t xml:space="preserve"> </w:t>
      </w:r>
      <w:r>
        <w:rPr>
          <w:iCs/>
          <w:i/>
        </w:rPr>
        <w:t xml:space="preserve">Diabetes Obes Metab</w:t>
      </w:r>
      <w:r>
        <w:t xml:space="preserve"> </w:t>
      </w:r>
      <w:r>
        <w:t xml:space="preserve">· Superior efficacy with a fixed-ratio combination of insulin degludec and liraglutide (IDegLira) compared with insulin degludec and liraglutide in insulin-naïve Japanese patients with type 2 diabetes in a phase 3, open-label, randomized trial. PMID 31407845</w:t>
      </w:r>
    </w:p>
    <w:p>
      <w:pPr>
        <w:numPr>
          <w:ilvl w:val="0"/>
          <w:numId w:val="1377"/>
        </w:numPr>
        <w:pStyle w:val="Compact"/>
      </w:pPr>
      <w:r>
        <w:t xml:space="preserve">2019 · Nauck MA ·</w:t>
      </w:r>
      <w:r>
        <w:t xml:space="preserve"> </w:t>
      </w:r>
      <w:r>
        <w:rPr>
          <w:iCs/>
          <w:i/>
        </w:rPr>
        <w:t xml:space="preserve">Diabetes Care</w:t>
      </w:r>
      <w:r>
        <w:t xml:space="preserve"> </w:t>
      </w:r>
      <w:r>
        <w:t xml:space="preserve">· Effects of Liraglutide Compared With Placebo on Events of Acute Gallbladder or Biliary Disease in Patients With Type 2 Diabetes at High Risk for Cardiovascular Events in the LEADER Randomized Trial. PMID 31399438</w:t>
      </w:r>
    </w:p>
    <w:p>
      <w:pPr>
        <w:numPr>
          <w:ilvl w:val="0"/>
          <w:numId w:val="1377"/>
        </w:numPr>
        <w:pStyle w:val="Compact"/>
      </w:pPr>
      <w:r>
        <w:t xml:space="preserve">2019 · Wexler DJ ·</w:t>
      </w:r>
      <w:r>
        <w:t xml:space="preserve"> </w:t>
      </w:r>
      <w:r>
        <w:rPr>
          <w:iCs/>
          <w:i/>
        </w:rPr>
        <w:t xml:space="preserve">Diabetes Care</w:t>
      </w:r>
      <w:r>
        <w:t xml:space="preserve"> </w:t>
      </w:r>
      <w:r>
        <w:t xml:space="preserve">· Baseline Characteristics of Randomized Participants in the Glycemia Reduction Approaches in Diabetes: A Comparative Effectiveness Study (GRADE). PMID 31391203</w:t>
      </w:r>
    </w:p>
    <w:p>
      <w:pPr>
        <w:numPr>
          <w:ilvl w:val="0"/>
          <w:numId w:val="1377"/>
        </w:numPr>
        <w:pStyle w:val="Compact"/>
      </w:pPr>
      <w:r>
        <w:t xml:space="preserve">2019 · Miller E ·</w:t>
      </w:r>
      <w:r>
        <w:t xml:space="preserve"> </w:t>
      </w:r>
      <w:r>
        <w:rPr>
          <w:iCs/>
          <w:i/>
        </w:rPr>
        <w:t xml:space="preserve">Diabetes Obes Metab</w:t>
      </w:r>
      <w:r>
        <w:t xml:space="preserve"> </w:t>
      </w:r>
      <w:r>
        <w:t xml:space="preserve">· IDegLira improves patient-reported outcomes while using a simple regimen with fewer injections and dose adjustments compared with basal-bolus therapy. PMID 31385425</w:t>
      </w:r>
    </w:p>
    <w:p>
      <w:pPr>
        <w:numPr>
          <w:ilvl w:val="0"/>
          <w:numId w:val="1377"/>
        </w:numPr>
        <w:pStyle w:val="Compact"/>
      </w:pPr>
      <w:r>
        <w:t xml:space="preserve">2019 · Brock C ·</w:t>
      </w:r>
      <w:r>
        <w:t xml:space="preserve"> </w:t>
      </w:r>
      <w:r>
        <w:rPr>
          <w:iCs/>
          <w:i/>
        </w:rPr>
        <w:t xml:space="preserve">Br J Clin Pharmacol</w:t>
      </w:r>
      <w:r>
        <w:t xml:space="preserve"> </w:t>
      </w:r>
      <w:r>
        <w:t xml:space="preserve">· Liraglutide treatment reduced interleukin-6 in adults with type 1 diabetes but did not improve established autonomic or polyneuropathy. PMID 31338868</w:t>
      </w:r>
    </w:p>
    <w:p>
      <w:pPr>
        <w:numPr>
          <w:ilvl w:val="0"/>
          <w:numId w:val="1377"/>
        </w:numPr>
        <w:pStyle w:val="Compact"/>
      </w:pPr>
      <w:r>
        <w:t xml:space="preserve">2019 · Makino H ·</w:t>
      </w:r>
      <w:r>
        <w:t xml:space="preserve"> </w:t>
      </w:r>
      <w:r>
        <w:rPr>
          <w:iCs/>
          <w:i/>
        </w:rPr>
        <w:t xml:space="preserve">Diabet Med</w:t>
      </w:r>
      <w:r>
        <w:t xml:space="preserve"> </w:t>
      </w:r>
      <w:r>
        <w:t xml:space="preserve">· Addition of low-dose liraglutide to insulin therapy is useful for glycaemic control during the peri-operative period: effect of glucagon-like peptide-1 receptor agonist therapy on glycaemic control in patients undergoing cardiac surgery (GLOLIA study). PMID 31335979</w:t>
      </w:r>
    </w:p>
    <w:p>
      <w:pPr>
        <w:numPr>
          <w:ilvl w:val="0"/>
          <w:numId w:val="1377"/>
        </w:numPr>
        <w:pStyle w:val="Compact"/>
      </w:pPr>
      <w:r>
        <w:t xml:space="preserve">2019 · Anholm C ·</w:t>
      </w:r>
      <w:r>
        <w:t xml:space="preserve"> </w:t>
      </w:r>
      <w:r>
        <w:rPr>
          <w:iCs/>
          <w:i/>
        </w:rPr>
        <w:t xml:space="preserve">Atherosclerosis</w:t>
      </w:r>
      <w:r>
        <w:t xml:space="preserve"> </w:t>
      </w:r>
      <w:r>
        <w:t xml:space="preserve">· Liraglutide in combination with metformin may improve the atherogenic lipid profile and decrease C-reactive protein level in statin treated obese patients with coronary artery disease and newly diagnosed type 2 diabetes: A randomized trial. PMID 31326727</w:t>
      </w:r>
    </w:p>
    <w:p>
      <w:pPr>
        <w:numPr>
          <w:ilvl w:val="0"/>
          <w:numId w:val="1377"/>
        </w:numPr>
        <w:pStyle w:val="Compact"/>
      </w:pPr>
      <w:r>
        <w:t xml:space="preserve">2019 · Rosenstock J ·</w:t>
      </w:r>
      <w:r>
        <w:t xml:space="preserve"> </w:t>
      </w:r>
      <w:r>
        <w:rPr>
          <w:iCs/>
          <w:i/>
        </w:rPr>
        <w:t xml:space="preserve">Diabetes Care</w:t>
      </w:r>
      <w:r>
        <w:t xml:space="preserve"> </w:t>
      </w:r>
      <w:r>
        <w:t xml:space="preserve">· Once-Weekly Efpeglenatide Dose-Range Effects on Glycemic Control and Body Weight in Patients With Type 2 Diabetes on Metformin or Drug Naive, Referenced to Liraglutide. PMID 31320446</w:t>
      </w:r>
    </w:p>
    <w:p>
      <w:pPr>
        <w:numPr>
          <w:ilvl w:val="0"/>
          <w:numId w:val="1377"/>
        </w:numPr>
        <w:pStyle w:val="Compact"/>
      </w:pPr>
      <w:r>
        <w:t xml:space="preserve">2019 · van Eyk HJ ·</w:t>
      </w:r>
      <w:r>
        <w:t xml:space="preserve"> </w:t>
      </w:r>
      <w:r>
        <w:rPr>
          <w:iCs/>
          <w:i/>
        </w:rPr>
        <w:t xml:space="preserve">Sci Rep</w:t>
      </w:r>
      <w:r>
        <w:t xml:space="preserve"> </w:t>
      </w:r>
      <w:r>
        <w:t xml:space="preserve">· Hepatic triglyceride content does not affect circulating CETP: lessons from a liraglutide intervention trial and a population-based cohort. PMID 31292457</w:t>
      </w:r>
    </w:p>
    <w:p>
      <w:pPr>
        <w:numPr>
          <w:ilvl w:val="0"/>
          <w:numId w:val="1377"/>
        </w:numPr>
        <w:pStyle w:val="Compact"/>
      </w:pPr>
      <w:r>
        <w:t xml:space="preserve">2019 · van Eyk HJ ·</w:t>
      </w:r>
      <w:r>
        <w:t xml:space="preserve"> </w:t>
      </w:r>
      <w:r>
        <w:rPr>
          <w:iCs/>
          <w:i/>
        </w:rPr>
        <w:t xml:space="preserve">Cardiovasc Diabetol</w:t>
      </w:r>
      <w:r>
        <w:t xml:space="preserve"> </w:t>
      </w:r>
      <w:r>
        <w:t xml:space="preserve">· A double-blind, placebo-controlled, randomised trial to assess the effect of liraglutide on ectopic fat accumulation in South Asian type 2 diabetes patients. PMID 31288820</w:t>
      </w:r>
    </w:p>
    <w:p>
      <w:pPr>
        <w:numPr>
          <w:ilvl w:val="0"/>
          <w:numId w:val="1377"/>
        </w:numPr>
        <w:pStyle w:val="Compact"/>
      </w:pPr>
      <w:r>
        <w:t xml:space="preserve">2019 · Tack CJ ·</w:t>
      </w:r>
      <w:r>
        <w:t xml:space="preserve"> </w:t>
      </w:r>
      <w:r>
        <w:rPr>
          <w:iCs/>
          <w:i/>
        </w:rPr>
        <w:t xml:space="preserve">Diabetes Obes Metab</w:t>
      </w:r>
      <w:r>
        <w:t xml:space="preserve"> </w:t>
      </w:r>
      <w:r>
        <w:t xml:space="preserve">· Long-term efficacy and safety of combined insulin and glucagon-like peptide-1 therapy: Evidence from the LEADER trial. PMID 31282028</w:t>
      </w:r>
    </w:p>
    <w:p>
      <w:pPr>
        <w:numPr>
          <w:ilvl w:val="0"/>
          <w:numId w:val="1377"/>
        </w:numPr>
        <w:pStyle w:val="Compact"/>
      </w:pPr>
      <w:r>
        <w:t xml:space="preserve">2019 · Farr OM ·</w:t>
      </w:r>
      <w:r>
        <w:t xml:space="preserve"> </w:t>
      </w:r>
      <w:r>
        <w:rPr>
          <w:iCs/>
          <w:i/>
        </w:rPr>
        <w:t xml:space="preserve">Diabetes Obes Metab</w:t>
      </w:r>
      <w:r>
        <w:t xml:space="preserve"> </w:t>
      </w:r>
      <w:r>
        <w:t xml:space="preserve">· Longer-term liraglutide administration at the highest dose approved for obesity increases reward-related orbitofrontal cortex activation in response to food cues: Implications for plateauing weight loss in response to anti-obesity therapies. PMID 31282006</w:t>
      </w:r>
    </w:p>
    <w:p>
      <w:pPr>
        <w:numPr>
          <w:ilvl w:val="0"/>
          <w:numId w:val="1377"/>
        </w:numPr>
        <w:pStyle w:val="Compact"/>
      </w:pPr>
      <w:r>
        <w:t xml:space="preserve">2019 · Li LQ ·</w:t>
      </w:r>
      <w:r>
        <w:t xml:space="preserve"> </w:t>
      </w:r>
      <w:r>
        <w:rPr>
          <w:iCs/>
          <w:i/>
        </w:rPr>
        <w:t xml:space="preserve">Endocr J</w:t>
      </w:r>
      <w:r>
        <w:t xml:space="preserve"> </w:t>
      </w:r>
      <w:r>
        <w:t xml:space="preserve">· Continuous subcutaneous insulin infusion combined with liraglutide reduced glycemic variability and oxidative stress in type 2 diabetes mellitus: a study based on the flash glucose monitoring system. PMID 31243192</w:t>
      </w:r>
    </w:p>
    <w:p>
      <w:pPr>
        <w:numPr>
          <w:ilvl w:val="0"/>
          <w:numId w:val="1377"/>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7"/>
        </w:numPr>
        <w:pStyle w:val="Compact"/>
      </w:pPr>
      <w:r>
        <w:t xml:space="preserve">2019 · Aroda VR ·</w:t>
      </w:r>
      <w:r>
        <w:t xml:space="preserve"> </w:t>
      </w:r>
      <w:r>
        <w:rPr>
          <w:iCs/>
          <w:i/>
        </w:rPr>
        <w:t xml:space="preserve">Lancet Diabetes Endocrinol</w:t>
      </w:r>
      <w:r>
        <w:t xml:space="preserve"> </w:t>
      </w:r>
      <w:r>
        <w:t xml:space="preserve">· Durability of insulin degludec plus liraglutide versus insulin glargine U100 as initial injectable therapy in type 2 diabetes (DUAL VIII): a multicentre, open-label, phase 3b, randomised controlled trial. PMID 31189519</w:t>
      </w:r>
    </w:p>
    <w:p>
      <w:pPr>
        <w:numPr>
          <w:ilvl w:val="0"/>
          <w:numId w:val="1377"/>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7"/>
        </w:numPr>
        <w:pStyle w:val="Compact"/>
      </w:pPr>
      <w:r>
        <w:t xml:space="preserve">2019 · Miras AD ·</w:t>
      </w:r>
      <w:r>
        <w:t xml:space="preserve"> </w:t>
      </w:r>
      <w:r>
        <w:rPr>
          <w:iCs/>
          <w:i/>
        </w:rPr>
        <w:t xml:space="preserve">Lancet Diabetes Endocrinol</w:t>
      </w:r>
      <w:r>
        <w:t xml:space="preserve"> </w:t>
      </w:r>
      <w:r>
        <w:t xml:space="preserve">· Adjunctive liraglutide treatment in patients with persistent or recurrent type 2 diabetes after metabolic surgery (GRAVITAS): a randomised, double-blind, placebo-controlled trial. PMID 31174993</w:t>
      </w:r>
    </w:p>
    <w:p>
      <w:pPr>
        <w:numPr>
          <w:ilvl w:val="0"/>
          <w:numId w:val="1377"/>
        </w:numPr>
        <w:pStyle w:val="Compact"/>
      </w:pPr>
      <w:r>
        <w:t xml:space="preserve">2019 · Abreu M ·</w:t>
      </w:r>
      <w:r>
        <w:t xml:space="preserve"> </w:t>
      </w:r>
      <w:r>
        <w:rPr>
          <w:iCs/>
          <w:i/>
        </w:rPr>
        <w:t xml:space="preserve">Diabetes Obes Metab</w:t>
      </w:r>
      <w:r>
        <w:t xml:space="preserve"> </w:t>
      </w:r>
      <w:r>
        <w:t xml:space="preserve">· A randomized trial comparing the efficacy and safety of treating patients with type 2 diabetes and highly elevated HbA1c levels with basal-bolus insulin or a glucagon-like peptide-1 receptor agonist plus basal insulin: The SIMPLE study. PMID 31144435</w:t>
      </w:r>
    </w:p>
    <w:p>
      <w:pPr>
        <w:numPr>
          <w:ilvl w:val="0"/>
          <w:numId w:val="1377"/>
        </w:numPr>
        <w:pStyle w:val="Compact"/>
      </w:pPr>
      <w:r>
        <w:t xml:space="preserve">2019 · Øhrstrøm CC ·</w:t>
      </w:r>
      <w:r>
        <w:t xml:space="preserve"> </w:t>
      </w:r>
      <w:r>
        <w:rPr>
          <w:iCs/>
          <w:i/>
        </w:rPr>
        <w:t xml:space="preserve">Diabetes Obes Metab</w:t>
      </w:r>
      <w:r>
        <w:t xml:space="preserve"> </w:t>
      </w:r>
      <w:r>
        <w:t xml:space="preserve">· Postprandial hypoglycaemia after Roux-en-Y gastric bypass and the effects of acarbose, sitagliptin, verapamil, liraglutide and pasireotide. PMID 31144430</w:t>
      </w:r>
    </w:p>
    <w:p>
      <w:pPr>
        <w:numPr>
          <w:ilvl w:val="0"/>
          <w:numId w:val="1377"/>
        </w:numPr>
        <w:pStyle w:val="Compact"/>
      </w:pPr>
      <w:r>
        <w:t xml:space="preserve">2019 · Anholm C ·</w:t>
      </w:r>
      <w:r>
        <w:t xml:space="preserve"> </w:t>
      </w:r>
      <w:r>
        <w:rPr>
          <w:iCs/>
          <w:i/>
        </w:rPr>
        <w:t xml:space="preserve">Diabetes Obes Metab</w:t>
      </w:r>
      <w:r>
        <w:t xml:space="preserve"> </w:t>
      </w:r>
      <w:r>
        <w:t xml:space="preserve">· Effect of liraglutide on estimates of lipolysis and lipid oxidation in obese patients with stable coronary artery disease and newly diagnosed type 2 diabetes: A randomized trial. PMID 31050161</w:t>
      </w:r>
    </w:p>
    <w:p>
      <w:pPr>
        <w:numPr>
          <w:ilvl w:val="0"/>
          <w:numId w:val="1377"/>
        </w:numPr>
        <w:pStyle w:val="Compact"/>
      </w:pPr>
      <w:r>
        <w:t xml:space="preserve">2019 · Bizino MB ·</w:t>
      </w:r>
      <w:r>
        <w:t xml:space="preserve"> </w:t>
      </w:r>
      <w:r>
        <w:rPr>
          <w:iCs/>
          <w:i/>
        </w:rPr>
        <w:t xml:space="preserve">Cardiovasc Diabetol</w:t>
      </w:r>
      <w:r>
        <w:t xml:space="preserve"> </w:t>
      </w:r>
      <w:r>
        <w:t xml:space="preserve">· Effect of liraglutide on cardiac function in patients with type 2 diabetes mellitus: randomized placebo-controlled trial. PMID 31039778</w:t>
      </w:r>
    </w:p>
    <w:p>
      <w:pPr>
        <w:numPr>
          <w:ilvl w:val="0"/>
          <w:numId w:val="1377"/>
        </w:numPr>
        <w:pStyle w:val="Compact"/>
      </w:pPr>
      <w:r>
        <w:t xml:space="preserve">2019 · Tamborlane WV ·</w:t>
      </w:r>
      <w:r>
        <w:t xml:space="preserve"> </w:t>
      </w:r>
      <w:r>
        <w:rPr>
          <w:iCs/>
          <w:i/>
        </w:rPr>
        <w:t xml:space="preserve">N Engl J Med</w:t>
      </w:r>
      <w:r>
        <w:t xml:space="preserve"> </w:t>
      </w:r>
      <w:r>
        <w:t xml:space="preserve">· Liraglutide in Children and Adolescents with Type 2 Diabetes. PMID 31034184</w:t>
      </w:r>
    </w:p>
    <w:p>
      <w:pPr>
        <w:numPr>
          <w:ilvl w:val="0"/>
          <w:numId w:val="1377"/>
        </w:numPr>
        <w:pStyle w:val="Compact"/>
      </w:pPr>
      <w:r>
        <w:t xml:space="preserve">2019 · Adiels M ·</w:t>
      </w:r>
      <w:r>
        <w:t xml:space="preserve"> </w:t>
      </w:r>
      <w:r>
        <w:rPr>
          <w:iCs/>
          <w:i/>
        </w:rPr>
        <w:t xml:space="preserve">Diabetes Obes Metab</w:t>
      </w:r>
      <w:r>
        <w:t xml:space="preserve"> </w:t>
      </w:r>
      <w:r>
        <w:t xml:space="preserve">· Role of apolipoprotein C-III overproduction in diabetic dyslipidaemia. PMID 30972934</w:t>
      </w:r>
    </w:p>
    <w:p>
      <w:pPr>
        <w:numPr>
          <w:ilvl w:val="0"/>
          <w:numId w:val="1377"/>
        </w:numPr>
        <w:pStyle w:val="Compact"/>
      </w:pPr>
      <w:r>
        <w:t xml:space="preserve">2019 · Tronieri JS ·</w:t>
      </w:r>
      <w:r>
        <w:t xml:space="preserve"> </w:t>
      </w:r>
      <w:r>
        <w:rPr>
          <w:iCs/>
          <w:i/>
        </w:rPr>
        <w:t xml:space="preserve">Metabolism</w:t>
      </w:r>
      <w:r>
        <w:t xml:space="preserve"> </w:t>
      </w:r>
      <w:r>
        <w:t xml:space="preserve">· Effects of liraglutide plus phentermine in adults with obesity following 1 year of treatment by liraglutide alone: A randomized placebo-controlled pilot trial. PMID 30902750</w:t>
      </w:r>
    </w:p>
    <w:p>
      <w:pPr>
        <w:numPr>
          <w:ilvl w:val="0"/>
          <w:numId w:val="1377"/>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7"/>
        </w:numPr>
        <w:pStyle w:val="Compact"/>
      </w:pPr>
      <w:r>
        <w:t xml:space="preserve">2019 · Liu X ·</w:t>
      </w:r>
      <w:r>
        <w:t xml:space="preserve"> </w:t>
      </w:r>
      <w:r>
        <w:rPr>
          <w:iCs/>
          <w:i/>
        </w:rPr>
        <w:t xml:space="preserve">J Coll Physicians Surg Pak</w:t>
      </w:r>
      <w:r>
        <w:t xml:space="preserve"> </w:t>
      </w:r>
      <w:r>
        <w:t xml:space="preserve">· Effects of Liraglutide Combined with Insulin on Oxidative Stress and Serum MCP-1 and NF-kB Levels in Type 2 Diabetes. PMID 30823945</w:t>
      </w:r>
    </w:p>
    <w:p>
      <w:pPr>
        <w:numPr>
          <w:ilvl w:val="0"/>
          <w:numId w:val="1377"/>
        </w:numPr>
        <w:pStyle w:val="Compact"/>
      </w:pPr>
      <w:r>
        <w:t xml:space="preserve">2019 · Brown-Frandsen K ·</w:t>
      </w:r>
      <w:r>
        <w:t xml:space="preserve"> </w:t>
      </w:r>
      <w:r>
        <w:rPr>
          <w:iCs/>
          <w:i/>
        </w:rPr>
        <w:t xml:space="preserve">Diabetes Obes Metab</w:t>
      </w:r>
      <w:r>
        <w:t xml:space="preserve"> </w:t>
      </w:r>
      <w:r>
        <w:t xml:space="preserve">· Lower rates of cardiovascular events and mortality associated with liraglutide use in patients treated with basal insulin: A DEVOTE subanalysis (DEVOTE 10). PMID 30793465</w:t>
      </w:r>
    </w:p>
    <w:p>
      <w:pPr>
        <w:numPr>
          <w:ilvl w:val="0"/>
          <w:numId w:val="1377"/>
        </w:numPr>
        <w:pStyle w:val="Compact"/>
      </w:pPr>
      <w:r>
        <w:t xml:space="preserve">2019 · Suhrs HE ·</w:t>
      </w:r>
      <w:r>
        <w:t xml:space="preserve"> </w:t>
      </w:r>
      <w:r>
        <w:rPr>
          <w:iCs/>
          <w:i/>
        </w:rPr>
        <w:t xml:space="preserve">Int J Cardiol</w:t>
      </w:r>
      <w:r>
        <w:t xml:space="preserve"> </w:t>
      </w:r>
      <w:r>
        <w:t xml:space="preserve">· Effect of liraglutide on body weight and microvascular function in non-diabetic overweight women with coronary microvascular dysfunction. PMID 30773266</w:t>
      </w:r>
    </w:p>
    <w:p>
      <w:pPr>
        <w:numPr>
          <w:ilvl w:val="0"/>
          <w:numId w:val="1377"/>
        </w:numPr>
        <w:pStyle w:val="Compact"/>
      </w:pPr>
      <w:r>
        <w:t xml:space="preserve">2019 · Philis-Tsimikas A ·</w:t>
      </w:r>
      <w:r>
        <w:t xml:space="preserve"> </w:t>
      </w:r>
      <w:r>
        <w:rPr>
          <w:iCs/>
          <w:i/>
        </w:rPr>
        <w:t xml:space="preserve">Diabetes Obes Metab</w:t>
      </w:r>
      <w:r>
        <w:t xml:space="preserve"> </w:t>
      </w:r>
      <w:r>
        <w:t xml:space="preserve">· Superior efficacy of insulin degludec/liraglutide versus insulin glargine U100 as add-on to sodium-glucose co-transporter-2 inhibitor therapy: A randomized clinical trial in people with uncontrolled type 2 diabetes. PMID 30761720</w:t>
      </w:r>
    </w:p>
    <w:p>
      <w:pPr>
        <w:numPr>
          <w:ilvl w:val="0"/>
          <w:numId w:val="1377"/>
        </w:numPr>
        <w:pStyle w:val="Compact"/>
      </w:pPr>
      <w:r>
        <w:t xml:space="preserve">2019 · Khoo J ·</w:t>
      </w:r>
      <w:r>
        <w:t xml:space="preserve"> </w:t>
      </w:r>
      <w:r>
        <w:rPr>
          <w:iCs/>
          <w:i/>
        </w:rPr>
        <w:t xml:space="preserve">Liver Int</w:t>
      </w:r>
      <w:r>
        <w:t xml:space="preserve"> </w:t>
      </w:r>
      <w:r>
        <w:t xml:space="preserve">· Randomized trial comparing effects of weight loss by liraglutide with lifestyle modification in non-alcoholic fatty liver disease. PMID 30721572</w:t>
      </w:r>
    </w:p>
    <w:p>
      <w:pPr>
        <w:numPr>
          <w:ilvl w:val="0"/>
          <w:numId w:val="1377"/>
        </w:numPr>
        <w:pStyle w:val="Compact"/>
      </w:pPr>
      <w:r>
        <w:t xml:space="preserve">2019 · Zobel EH ·</w:t>
      </w:r>
      <w:r>
        <w:t xml:space="preserve"> </w:t>
      </w:r>
      <w:r>
        <w:rPr>
          <w:iCs/>
          <w:i/>
        </w:rPr>
        <w:t xml:space="preserve">Diabetes Obes Metab</w:t>
      </w:r>
      <w:r>
        <w:t xml:space="preserve"> </w:t>
      </w:r>
      <w:r>
        <w:t xml:space="preserve">· Pleiotropic effects of liraglutide in patients with type 2 diabetes and moderate renal impairment: Individual effects of treatment. PMID 30663196</w:t>
      </w:r>
    </w:p>
    <w:p>
      <w:pPr>
        <w:numPr>
          <w:ilvl w:val="0"/>
          <w:numId w:val="1377"/>
        </w:numPr>
        <w:pStyle w:val="Compact"/>
      </w:pPr>
      <w:r>
        <w:t xml:space="preserve">2019 · Mastrandrea LD ·</w:t>
      </w:r>
      <w:r>
        <w:t xml:space="preserve"> </w:t>
      </w:r>
      <w:r>
        <w:rPr>
          <w:iCs/>
          <w:i/>
        </w:rPr>
        <w:t xml:space="preserve">Pediatr Obes</w:t>
      </w:r>
      <w:r>
        <w:t xml:space="preserve"> </w:t>
      </w:r>
      <w:r>
        <w:t xml:space="preserve">· Liraglutide effects in a paediatric (7-11 y) population with obesity: A randomized, double-blind, placebo-controlled, short-term trial to assess safety, tolerability, pharmacokinetics, and pharmacodynamics. PMID 30653847</w:t>
      </w:r>
    </w:p>
    <w:p>
      <w:pPr>
        <w:numPr>
          <w:ilvl w:val="0"/>
          <w:numId w:val="1377"/>
        </w:numPr>
        <w:pStyle w:val="Compact"/>
      </w:pPr>
      <w:r>
        <w:t xml:space="preserve">2019 · Wijkman MO ·</w:t>
      </w:r>
      <w:r>
        <w:t xml:space="preserve"> </w:t>
      </w:r>
      <w:r>
        <w:rPr>
          <w:iCs/>
          <w:i/>
        </w:rPr>
        <w:t xml:space="preserve">J Clin Hypertens (Greenwich)</w:t>
      </w:r>
      <w:r>
        <w:t xml:space="preserve"> </w:t>
      </w:r>
      <w:r>
        <w:t xml:space="preserve">· Predictors and correlates of systolic blood pressure reduction with liraglutide treatment in patients with type 2 diabetes. PMID 30515978</w:t>
      </w:r>
    </w:p>
    <w:p>
      <w:pPr>
        <w:numPr>
          <w:ilvl w:val="0"/>
          <w:numId w:val="1377"/>
        </w:numPr>
        <w:pStyle w:val="Compact"/>
      </w:pPr>
      <w:r>
        <w:t xml:space="preserve">2019 · Gilbert MP ·</w:t>
      </w:r>
      <w:r>
        <w:t xml:space="preserve"> </w:t>
      </w:r>
      <w:r>
        <w:rPr>
          <w:iCs/>
          <w:i/>
        </w:rPr>
        <w:t xml:space="preserve">Ann Intern Med</w:t>
      </w:r>
      <w:r>
        <w:t xml:space="preserve"> </w:t>
      </w:r>
      <w:r>
        <w:t xml:space="preserve">· Effect of Liraglutide on Cardiovascular Outcomes in Elderly Patients: A Post Hoc Analysis of a Randomized Controlled Trial. PMID 30508430</w:t>
      </w:r>
    </w:p>
    <w:p>
      <w:pPr>
        <w:numPr>
          <w:ilvl w:val="0"/>
          <w:numId w:val="1377"/>
        </w:numPr>
        <w:pStyle w:val="Compact"/>
      </w:pPr>
      <w:r>
        <w:t xml:space="preserve">2019 · Wadden TA ·</w:t>
      </w:r>
      <w:r>
        <w:t xml:space="preserve"> </w:t>
      </w:r>
      <w:r>
        <w:rPr>
          <w:iCs/>
          <w:i/>
        </w:rPr>
        <w:t xml:space="preserve">Obesity (Silver Spring)</w:t>
      </w:r>
      <w:r>
        <w:t xml:space="preserve"> </w:t>
      </w:r>
      <w:r>
        <w:t xml:space="preserve">· Intensive Behavioral Therapy for Obesity Combined with Liraglutide 3.0 mg: A Randomized Controlled Trial. PMID 30421856</w:t>
      </w:r>
    </w:p>
    <w:p>
      <w:pPr>
        <w:numPr>
          <w:ilvl w:val="0"/>
          <w:numId w:val="1377"/>
        </w:numPr>
        <w:pStyle w:val="Compact"/>
      </w:pPr>
      <w:r>
        <w:t xml:space="preserve">2019 · Lingvay I ·</w:t>
      </w:r>
      <w:r>
        <w:t xml:space="preserve"> </w:t>
      </w:r>
      <w:r>
        <w:rPr>
          <w:iCs/>
          <w:i/>
        </w:rPr>
        <w:t xml:space="preserve">Endocr Pract</w:t>
      </w:r>
      <w:r>
        <w:t xml:space="preserve"> </w:t>
      </w:r>
      <w:r>
        <w:t xml:space="preserve">· EFFICACY AND SAFETY OF IDEGLIRA IN OLDER PATIENTS WITH TYPE 2 DIABETES. PMID 30383495</w:t>
      </w:r>
    </w:p>
    <w:p>
      <w:pPr>
        <w:numPr>
          <w:ilvl w:val="0"/>
          <w:numId w:val="1377"/>
        </w:numPr>
        <w:pStyle w:val="Compact"/>
      </w:pPr>
      <w:r>
        <w:t xml:space="preserve">2019 · Svensson CK ·</w:t>
      </w:r>
      <w:r>
        <w:t xml:space="preserve"> </w:t>
      </w:r>
      <w:r>
        <w:rPr>
          <w:iCs/>
          <w:i/>
        </w:rPr>
        <w:t xml:space="preserve">Acta Psychiatr Scand</w:t>
      </w:r>
      <w:r>
        <w:t xml:space="preserve"> </w:t>
      </w:r>
      <w:r>
        <w:t xml:space="preserve">· One-year follow-up on liraglutide treatment for prediabetes and overweight/obesity in clozapine- or olanzapine-treated patients. PMID 30374965</w:t>
      </w:r>
    </w:p>
    <w:p>
      <w:pPr>
        <w:numPr>
          <w:ilvl w:val="0"/>
          <w:numId w:val="1377"/>
        </w:numPr>
        <w:pStyle w:val="Compact"/>
      </w:pPr>
      <w:r>
        <w:t xml:space="preserve">2019 · Yan J ·</w:t>
      </w:r>
      <w:r>
        <w:t xml:space="preserve"> </w:t>
      </w:r>
      <w:r>
        <w:rPr>
          <w:iCs/>
          <w:i/>
        </w:rPr>
        <w:t xml:space="preserve">Hepatology</w:t>
      </w:r>
      <w:r>
        <w:t xml:space="preserve"> </w:t>
      </w:r>
      <w:r>
        <w:t xml:space="preserve">· Liraglutide, Sitagliptin, and Insulin Glargine Added to Metformin: The Effect on Body Weight and Intrahepatic Lipid in Patients With Type 2 Diabetes Mellitus and Nonalcoholic Fatty Liver Disease. PMID 30341767</w:t>
      </w:r>
    </w:p>
    <w:p>
      <w:pPr>
        <w:numPr>
          <w:ilvl w:val="0"/>
          <w:numId w:val="1377"/>
        </w:numPr>
        <w:pStyle w:val="Compact"/>
      </w:pPr>
      <w:r>
        <w:t xml:space="preserve">2019 · Nauck MA ·</w:t>
      </w:r>
      <w:r>
        <w:t xml:space="preserve"> </w:t>
      </w:r>
      <w:r>
        <w:rPr>
          <w:iCs/>
          <w:i/>
        </w:rPr>
        <w:t xml:space="preserve">Diabetes Obes Metab</w:t>
      </w:r>
      <w:r>
        <w:t xml:space="preserve"> </w:t>
      </w:r>
      <w:r>
        <w:t xml:space="preserve">· Health-related quality of life in people with type 2 diabetes participating in the LEADER trial. PMID 30260088</w:t>
      </w:r>
    </w:p>
    <w:p>
      <w:pPr>
        <w:numPr>
          <w:ilvl w:val="0"/>
          <w:numId w:val="1377"/>
        </w:numPr>
        <w:pStyle w:val="Compact"/>
      </w:pPr>
      <w:r>
        <w:t xml:space="preserve">2019 · Liakos A ·</w:t>
      </w:r>
      <w:r>
        <w:t xml:space="preserve"> </w:t>
      </w:r>
      <w:r>
        <w:rPr>
          <w:iCs/>
          <w:i/>
        </w:rPr>
        <w:t xml:space="preserve">Diabetes Obes Metab</w:t>
      </w:r>
      <w:r>
        <w:t xml:space="preserve"> </w:t>
      </w:r>
      <w:r>
        <w:t xml:space="preserve">· Effect of liraglutide on ambulatory blood pressure in patients with hypertension and type 2 diabetes: A randomized, double-blind, placebo-controlled trial. PMID 30242948</w:t>
      </w:r>
    </w:p>
    <w:p>
      <w:pPr>
        <w:numPr>
          <w:ilvl w:val="0"/>
          <w:numId w:val="1377"/>
        </w:numPr>
        <w:pStyle w:val="Compact"/>
      </w:pPr>
      <w:r>
        <w:t xml:space="preserve">2019 · Wägner AM ·</w:t>
      </w:r>
      <w:r>
        <w:t xml:space="preserve"> </w:t>
      </w:r>
      <w:r>
        <w:rPr>
          <w:iCs/>
          <w:i/>
        </w:rPr>
        <w:t xml:space="preserve">Diabetes Metab</w:t>
      </w:r>
      <w:r>
        <w:t xml:space="preserve"> </w:t>
      </w:r>
      <w:r>
        <w:t xml:space="preserve">· Effect of liraglutide on physical performance in type 2 diabetes: Results of a randomized, double-blind, controlled trial (LIPER2). PMID 30223083</w:t>
      </w:r>
    </w:p>
    <w:p>
      <w:pPr>
        <w:numPr>
          <w:ilvl w:val="0"/>
          <w:numId w:val="1377"/>
        </w:numPr>
        <w:pStyle w:val="Compact"/>
      </w:pPr>
      <w:r>
        <w:t xml:space="preserve">2019 · Watson KT ·</w:t>
      </w:r>
      <w:r>
        <w:t xml:space="preserve"> </w:t>
      </w:r>
      <w:r>
        <w:rPr>
          <w:iCs/>
          <w:i/>
        </w:rPr>
        <w:t xml:space="preserve">Behav Brain Res</w:t>
      </w:r>
      <w:r>
        <w:t xml:space="preserve"> </w:t>
      </w:r>
      <w:r>
        <w:t xml:space="preserve">· Neural correlates of liraglutide effects in persons at risk for Alzheimer’s disease. PMID 30099030</w:t>
      </w:r>
    </w:p>
    <w:p>
      <w:pPr>
        <w:numPr>
          <w:ilvl w:val="0"/>
          <w:numId w:val="1377"/>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7"/>
        </w:numPr>
        <w:pStyle w:val="Compact"/>
      </w:pPr>
      <w:r>
        <w:t xml:space="preserve">2019 · Matikainen N ·</w:t>
      </w:r>
      <w:r>
        <w:t xml:space="preserve"> </w:t>
      </w:r>
      <w:r>
        <w:rPr>
          <w:iCs/>
          <w:i/>
        </w:rPr>
        <w:t xml:space="preserve">Diabetes Obes Metab</w:t>
      </w:r>
      <w:r>
        <w:t xml:space="preserve"> </w:t>
      </w:r>
      <w:r>
        <w:t xml:space="preserve">· Liraglutide treatment improves postprandial lipid metabolism and cardiometabolic risk factors in humans with adequately controlled type 2 diabetes: A single-centre randomized controlled study. PMID 30073766</w:t>
      </w:r>
    </w:p>
    <w:p>
      <w:pPr>
        <w:numPr>
          <w:ilvl w:val="0"/>
          <w:numId w:val="1377"/>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7"/>
        </w:numPr>
        <w:pStyle w:val="Compact"/>
      </w:pPr>
      <w:r>
        <w:t xml:space="preserve">2019 · Feng WH ·</w:t>
      </w:r>
      <w:r>
        <w:t xml:space="preserve"> </w:t>
      </w:r>
      <w:r>
        <w:rPr>
          <w:iCs/>
          <w:i/>
        </w:rPr>
        <w:t xml:space="preserve">J Diabetes Investig</w:t>
      </w:r>
      <w:r>
        <w:t xml:space="preserve"> </w:t>
      </w:r>
      <w:r>
        <w:t xml:space="preserve">· Effects of liraglutide, metformin and gliclazide on body composition in patients with both type 2 diabetes and non-alcoholic fatty liver disease: A randomized trial. PMID 29957886</w:t>
      </w:r>
    </w:p>
    <w:p>
      <w:pPr>
        <w:numPr>
          <w:ilvl w:val="0"/>
          <w:numId w:val="1377"/>
        </w:numPr>
        <w:pStyle w:val="Compact"/>
      </w:pPr>
      <w:r>
        <w:t xml:space="preserve">2019 · Nielsen R ·</w:t>
      </w:r>
      <w:r>
        <w:t xml:space="preserve"> </w:t>
      </w:r>
      <w:r>
        <w:rPr>
          <w:iCs/>
          <w:i/>
        </w:rPr>
        <w:t xml:space="preserve">J Nucl Cardiol</w:t>
      </w:r>
      <w:r>
        <w:t xml:space="preserve"> </w:t>
      </w:r>
      <w:r>
        <w:t xml:space="preserve">· Effect of liraglutide on myocardial glucose uptake and blood flow in stable chronic heart failure patients: A double-blind, randomized, placebo-controlled LIVE sub-study. PMID 28770459</w:t>
      </w:r>
    </w:p>
    <w:p>
      <w:pPr>
        <w:numPr>
          <w:ilvl w:val="0"/>
          <w:numId w:val="1377"/>
        </w:numPr>
        <w:pStyle w:val="Compact"/>
      </w:pPr>
      <w:r>
        <w:t xml:space="preserve">2018 · Mann JFE ·</w:t>
      </w:r>
      <w:r>
        <w:t xml:space="preserve"> </w:t>
      </w:r>
      <w:r>
        <w:rPr>
          <w:iCs/>
          <w:i/>
        </w:rPr>
        <w:t xml:space="preserve">Circulation</w:t>
      </w:r>
      <w:r>
        <w:t xml:space="preserve"> </w:t>
      </w:r>
      <w:r>
        <w:t xml:space="preserve">· Effects of Liraglutide Versus Placebo on Cardiovascular Events in Patients With Type 2 Diabetes Mellitus and Chronic Kidney Disease. PMID 30566006</w:t>
      </w:r>
    </w:p>
    <w:p>
      <w:pPr>
        <w:numPr>
          <w:ilvl w:val="0"/>
          <w:numId w:val="1377"/>
        </w:numPr>
        <w:pStyle w:val="Compact"/>
      </w:pPr>
      <w:r>
        <w:t xml:space="preserve">2018 · Verma S ·</w:t>
      </w:r>
      <w:r>
        <w:t xml:space="preserve"> </w:t>
      </w:r>
      <w:r>
        <w:rPr>
          <w:iCs/>
          <w:i/>
        </w:rPr>
        <w:t xml:space="preserve">Circulation</w:t>
      </w:r>
      <w:r>
        <w:t xml:space="preserve"> </w:t>
      </w:r>
      <w:r>
        <w:t xml:space="preserve">· Effects of Liraglutide on Cardiovascular Outcomes in Patients With Type 2 Diabetes Mellitus With or Without History of Myocardial Infarction or Stroke. PMID 30566004</w:t>
      </w:r>
    </w:p>
    <w:p>
      <w:pPr>
        <w:numPr>
          <w:ilvl w:val="0"/>
          <w:numId w:val="1377"/>
        </w:numPr>
        <w:pStyle w:val="Compact"/>
      </w:pPr>
      <w:r>
        <w:t xml:space="preserve">2018 · Simeone P ·</w:t>
      </w:r>
      <w:r>
        <w:t xml:space="preserve"> </w:t>
      </w:r>
      <w:r>
        <w:rPr>
          <w:iCs/>
          <w:i/>
        </w:rPr>
        <w:t xml:space="preserve">Nutrients</w:t>
      </w:r>
      <w:r>
        <w:t xml:space="preserve"> </w:t>
      </w:r>
      <w:r>
        <w:t xml:space="preserve">· Thromboxane-Dependent Platelet Activation in Obese Subjects with Prediabetes or Early Type 2 Diabetes: Effects of Liraglutide- or Lifestyle Changes-Induced Weight Loss. PMID 30513818</w:t>
      </w:r>
    </w:p>
    <w:p>
      <w:pPr>
        <w:numPr>
          <w:ilvl w:val="0"/>
          <w:numId w:val="1377"/>
        </w:numPr>
        <w:pStyle w:val="Compact"/>
      </w:pPr>
      <w:r>
        <w:t xml:space="preserve">2018 · Said OV ·</w:t>
      </w:r>
      <w:r>
        <w:t xml:space="preserve"> </w:t>
      </w:r>
      <w:r>
        <w:rPr>
          <w:iCs/>
          <w:i/>
        </w:rPr>
        <w:t xml:space="preserve">Wiad Lek</w:t>
      </w:r>
      <w:r>
        <w:t xml:space="preserve"> </w:t>
      </w:r>
      <w:r>
        <w:t xml:space="preserve">· Assessment of complex treatment influence on systemic inflammation in overweight type 2 diabetes patients. PMID 30267490</w:t>
      </w:r>
    </w:p>
    <w:p>
      <w:pPr>
        <w:numPr>
          <w:ilvl w:val="0"/>
          <w:numId w:val="1377"/>
        </w:numPr>
        <w:pStyle w:val="Compact"/>
      </w:pPr>
      <w:r>
        <w:t xml:space="preserve">2018 · Horie I ·</w:t>
      </w:r>
      <w:r>
        <w:t xml:space="preserve"> </w:t>
      </w:r>
      <w:r>
        <w:rPr>
          <w:iCs/>
          <w:i/>
        </w:rPr>
        <w:t xml:space="preserve">Diabetes Res Clin Pract</w:t>
      </w:r>
      <w:r>
        <w:t xml:space="preserve"> </w:t>
      </w:r>
      <w:r>
        <w:t xml:space="preserve">· Predictive factors of efficacy of combination therapy with basal insulin and liraglutide in type 2 diabetes when switched from longstanding basal-bolus insulin: Association between the responses of β- and α-cells to GLP-1 stimulation and the glycaemic control at 6 months after switching therapy. PMID 30194951</w:t>
      </w:r>
    </w:p>
    <w:p>
      <w:pPr>
        <w:numPr>
          <w:ilvl w:val="0"/>
          <w:numId w:val="1377"/>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7"/>
        </w:numPr>
        <w:pStyle w:val="Compact"/>
      </w:pPr>
      <w:r>
        <w:t xml:space="preserve">2018 · Sharma A ·</w:t>
      </w:r>
      <w:r>
        <w:t xml:space="preserve"> </w:t>
      </w:r>
      <w:r>
        <w:rPr>
          <w:iCs/>
          <w:i/>
        </w:rPr>
        <w:t xml:space="preserve">ESC Heart Fail</w:t>
      </w:r>
      <w:r>
        <w:t xml:space="preserve"> </w:t>
      </w:r>
      <w:r>
        <w:t xml:space="preserve">· Liraglutide and weight loss among patients with advanced heart failure and a reduced ejection fraction: insights from the FIGHT trial. PMID 30120812</w:t>
      </w:r>
    </w:p>
    <w:p>
      <w:pPr>
        <w:numPr>
          <w:ilvl w:val="0"/>
          <w:numId w:val="1377"/>
        </w:numPr>
        <w:pStyle w:val="Compact"/>
      </w:pPr>
      <w:r>
        <w:t xml:space="preserve">2018 · Dhatariya K ·</w:t>
      </w:r>
      <w:r>
        <w:t xml:space="preserve"> </w:t>
      </w:r>
      <w:r>
        <w:rPr>
          <w:iCs/>
          <w:i/>
        </w:rPr>
        <w:t xml:space="preserve">Diabetes Care</w:t>
      </w:r>
      <w:r>
        <w:t xml:space="preserve"> </w:t>
      </w:r>
      <w:r>
        <w:t xml:space="preserve">· The Impact of Liraglutide on Diabetes-Related Foot Ulceration and Associated Complications in Patients With Type 2 Diabetes at High Risk for Cardiovascular Events: Results From the LEADER Trial. PMID 30072400</w:t>
      </w:r>
    </w:p>
    <w:p>
      <w:pPr>
        <w:numPr>
          <w:ilvl w:val="0"/>
          <w:numId w:val="1377"/>
        </w:numPr>
        <w:pStyle w:val="Compact"/>
      </w:pPr>
      <w:r>
        <w:t xml:space="preserve">2018 · Hiramatsu T ·</w:t>
      </w:r>
      <w:r>
        <w:t xml:space="preserve"> </w:t>
      </w:r>
      <w:r>
        <w:rPr>
          <w:iCs/>
          <w:i/>
        </w:rPr>
        <w:t xml:space="preserve">Eur J Clin Invest</w:t>
      </w:r>
      <w:r>
        <w:t xml:space="preserve"> </w:t>
      </w:r>
      <w:r>
        <w:t xml:space="preserve">· Liraglutide relieves cardiac dilated function than DPP-4 inhibitors. PMID 30054920</w:t>
      </w:r>
    </w:p>
    <w:p>
      <w:pPr>
        <w:numPr>
          <w:ilvl w:val="0"/>
          <w:numId w:val="1377"/>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7"/>
        </w:numPr>
        <w:pStyle w:val="Compact"/>
      </w:pPr>
      <w:r>
        <w:t xml:space="preserve">2018 · Vergès B ·</w:t>
      </w:r>
      <w:r>
        <w:t xml:space="preserve"> </w:t>
      </w:r>
      <w:r>
        <w:rPr>
          <w:iCs/>
          <w:i/>
        </w:rPr>
        <w:t xml:space="preserve">Arterioscler Thromb Vasc Biol</w:t>
      </w:r>
      <w:r>
        <w:t xml:space="preserve"> </w:t>
      </w:r>
      <w:r>
        <w:t xml:space="preserve">· Liraglutide Reduces Postprandial Hyperlipidemia by Increasing ApoB48 (Apolipoprotein B48) Catabolism and by Reducing ApoB48 Production in Patients With Type 2 Diabetes Mellitus. PMID 30026275</w:t>
      </w:r>
    </w:p>
    <w:p>
      <w:pPr>
        <w:numPr>
          <w:ilvl w:val="0"/>
          <w:numId w:val="1377"/>
        </w:numPr>
        <w:pStyle w:val="Compact"/>
      </w:pPr>
      <w:r>
        <w:t xml:space="preserve">2018 · Mather KJ ·</w:t>
      </w:r>
      <w:r>
        <w:t xml:space="preserve"> </w:t>
      </w:r>
      <w:r>
        <w:rPr>
          <w:iCs/>
          <w:i/>
        </w:rPr>
        <w:t xml:space="preserve">J Clin Endocrinol Metab</w:t>
      </w:r>
      <w:r>
        <w:t xml:space="preserve"> </w:t>
      </w:r>
      <w:r>
        <w:t xml:space="preserve">· Combination GLP-1 and Insulin Treatment Fails to Alter Myocardial Fuel Selection vs. Insulin Alone in Type 2 Diabetes. PMID 30020461</w:t>
      </w:r>
    </w:p>
    <w:p>
      <w:pPr>
        <w:numPr>
          <w:ilvl w:val="0"/>
          <w:numId w:val="1377"/>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7"/>
        </w:numPr>
        <w:pStyle w:val="Compact"/>
      </w:pPr>
      <w:r>
        <w:t xml:space="preserve">2018 · Nauck MA ·</w:t>
      </w:r>
      <w:r>
        <w:t xml:space="preserve"> </w:t>
      </w:r>
      <w:r>
        <w:rPr>
          <w:iCs/>
          <w:i/>
        </w:rPr>
        <w:t xml:space="preserve">Diab Vasc Dis Res</w:t>
      </w:r>
      <w:r>
        <w:t xml:space="preserve"> </w:t>
      </w:r>
      <w:r>
        <w:t xml:space="preserve">· Cardiovascular outcomes in patients who experienced a myocardial infarction while treated with liraglutide versus placebo in the LEADER trial. PMID 29947247</w:t>
      </w:r>
    </w:p>
    <w:p>
      <w:pPr>
        <w:numPr>
          <w:ilvl w:val="0"/>
          <w:numId w:val="1377"/>
        </w:numPr>
        <w:pStyle w:val="Compact"/>
      </w:pPr>
      <w:r>
        <w:t xml:space="preserve">2018 · Zinman B ·</w:t>
      </w:r>
      <w:r>
        <w:t xml:space="preserve"> </w:t>
      </w:r>
      <w:r>
        <w:rPr>
          <w:iCs/>
          <w:i/>
        </w:rPr>
        <w:t xml:space="preserve">Diabetes Care</w:t>
      </w:r>
      <w:r>
        <w:t xml:space="preserve"> </w:t>
      </w:r>
      <w:r>
        <w:t xml:space="preserve">· Hypoglycemia, Cardiovascular Outcomes, and Death: The LEADER Experience. PMID 29903847</w:t>
      </w:r>
    </w:p>
    <w:p>
      <w:pPr>
        <w:numPr>
          <w:ilvl w:val="0"/>
          <w:numId w:val="1377"/>
        </w:numPr>
        <w:pStyle w:val="Compact"/>
      </w:pPr>
      <w:r>
        <w:t xml:space="preserve">2018 · Nauck MA ·</w:t>
      </w:r>
      <w:r>
        <w:t xml:space="preserve"> </w:t>
      </w:r>
      <w:r>
        <w:rPr>
          <w:iCs/>
          <w:i/>
        </w:rPr>
        <w:t xml:space="preserve">Diabetes Care</w:t>
      </w:r>
      <w:r>
        <w:t xml:space="preserve"> </w:t>
      </w:r>
      <w:r>
        <w:t xml:space="preserve">· Neoplasms Reported With Liraglutide or Placebo in People With Type 2 Diabetes: Results From the LEADER Randomized Trial. PMID 29898902</w:t>
      </w:r>
    </w:p>
    <w:p>
      <w:pPr>
        <w:numPr>
          <w:ilvl w:val="0"/>
          <w:numId w:val="1377"/>
        </w:numPr>
        <w:pStyle w:val="Compact"/>
      </w:pPr>
      <w:r>
        <w:t xml:space="preserve">2018 · Nexøe-Larsen CC ·</w:t>
      </w:r>
      <w:r>
        <w:t xml:space="preserve"> </w:t>
      </w:r>
      <w:r>
        <w:rPr>
          <w:iCs/>
          <w:i/>
        </w:rPr>
        <w:t xml:space="preserve">Diabetes Obes Metab</w:t>
      </w:r>
      <w:r>
        <w:t xml:space="preserve"> </w:t>
      </w:r>
      <w:r>
        <w:t xml:space="preserve">· Effects of liraglutide on gallbladder emptying: A randomized, placebo-controlled trial in adults with overweight or obesity. PMID 29892986</w:t>
      </w:r>
    </w:p>
    <w:p>
      <w:pPr>
        <w:numPr>
          <w:ilvl w:val="0"/>
          <w:numId w:val="1377"/>
        </w:numPr>
        <w:pStyle w:val="Compact"/>
      </w:pPr>
      <w:r>
        <w:t xml:space="preserve">2018 · Iepsen EW ·</w:t>
      </w:r>
      <w:r>
        <w:t xml:space="preserve"> </w:t>
      </w:r>
      <w:r>
        <w:rPr>
          <w:iCs/>
          <w:i/>
        </w:rPr>
        <w:t xml:space="preserve">Cell Metab</w:t>
      </w:r>
      <w:r>
        <w:t xml:space="preserve"> </w:t>
      </w:r>
      <w:r>
        <w:t xml:space="preserve">· Patients with Obesity Caused by Melanocortin-4 Receptor Mutations Can Be Treated with a Glucagon-like Peptide-1 Receptor Agonist. PMID 29861388</w:t>
      </w:r>
    </w:p>
    <w:p>
      <w:pPr>
        <w:numPr>
          <w:ilvl w:val="0"/>
          <w:numId w:val="1377"/>
        </w:numPr>
        <w:pStyle w:val="Compact"/>
      </w:pPr>
      <w:r>
        <w:t xml:space="preserve">2018 · Verma S ·</w:t>
      </w:r>
      <w:r>
        <w:t xml:space="preserve"> </w:t>
      </w:r>
      <w:r>
        <w:rPr>
          <w:iCs/>
          <w:i/>
        </w:rPr>
        <w:t xml:space="preserve">Circulation</w:t>
      </w:r>
      <w:r>
        <w:t xml:space="preserve"> </w:t>
      </w:r>
      <w:r>
        <w:t xml:space="preserve">· Effect of Liraglutide on Cardiovascular Events in Patients With Type 2 Diabetes Mellitus and Polyvascular Disease: Results of the LEADER Trial. PMID 29760228</w:t>
      </w:r>
    </w:p>
    <w:p>
      <w:pPr>
        <w:numPr>
          <w:ilvl w:val="0"/>
          <w:numId w:val="1377"/>
        </w:numPr>
        <w:pStyle w:val="Compact"/>
      </w:pPr>
      <w:r>
        <w:t xml:space="preserve">2018 · Salamun V ·</w:t>
      </w:r>
      <w:r>
        <w:t xml:space="preserve"> </w:t>
      </w:r>
      <w:r>
        <w:rPr>
          <w:iCs/>
          <w:i/>
        </w:rPr>
        <w:t xml:space="preserve">Eur J Endocrinol</w:t>
      </w:r>
      <w:r>
        <w:t xml:space="preserve"> </w:t>
      </w:r>
      <w:r>
        <w:t xml:space="preserve">· Liraglutide increases IVF pregnancy rates in obese PCOS women with poor response to first-line reproductive treatments: a pilot randomized study. PMID 29703793</w:t>
      </w:r>
    </w:p>
    <w:p>
      <w:pPr>
        <w:numPr>
          <w:ilvl w:val="0"/>
          <w:numId w:val="1377"/>
        </w:numPr>
        <w:pStyle w:val="Compact"/>
      </w:pPr>
      <w:r>
        <w:t xml:space="preserve">2018 · Chen XM ·</w:t>
      </w:r>
      <w:r>
        <w:t xml:space="preserve"> </w:t>
      </w:r>
      <w:r>
        <w:rPr>
          <w:iCs/>
          <w:i/>
        </w:rPr>
        <w:t xml:space="preserve">Cardiovasc Diabetol</w:t>
      </w:r>
      <w:r>
        <w:t xml:space="preserve"> </w:t>
      </w:r>
      <w:r>
        <w:t xml:space="preserve">· Liraglutide suppresses non-esterified free fatty acids and soluble vascular cell adhesion molecule-1 compared with metformin in patients with recent-onset type 2 diabetes. PMID 29636047</w:t>
      </w:r>
    </w:p>
    <w:p>
      <w:pPr>
        <w:numPr>
          <w:ilvl w:val="0"/>
          <w:numId w:val="1377"/>
        </w:numPr>
        <w:pStyle w:val="Compact"/>
      </w:pPr>
      <w:r>
        <w:t xml:space="preserve">2018 · Martinez R ·</w:t>
      </w:r>
      <w:r>
        <w:t xml:space="preserve"> </w:t>
      </w:r>
      <w:r>
        <w:rPr>
          <w:iCs/>
          <w:i/>
        </w:rPr>
        <w:t xml:space="preserve">Diabetes</w:t>
      </w:r>
      <w:r>
        <w:t xml:space="preserve"> </w:t>
      </w:r>
      <w:r>
        <w:t xml:space="preserve">· Endogenous Glucose Production and Hormonal Changes in Response to Canagliflozin and Liraglutide Combination Therapy. PMID 29602791</w:t>
      </w:r>
    </w:p>
    <w:p>
      <w:pPr>
        <w:numPr>
          <w:ilvl w:val="0"/>
          <w:numId w:val="1377"/>
        </w:numPr>
        <w:pStyle w:val="Compact"/>
      </w:pPr>
      <w:r>
        <w:t xml:space="preserve">2018 · Yamamoto S ·</w:t>
      </w:r>
      <w:r>
        <w:t xml:space="preserve"> </w:t>
      </w:r>
      <w:r>
        <w:rPr>
          <w:iCs/>
          <w:i/>
        </w:rPr>
        <w:t xml:space="preserve">Diabetes Res Clin Pract</w:t>
      </w:r>
      <w:r>
        <w:t xml:space="preserve"> </w:t>
      </w:r>
      <w:r>
        <w:t xml:space="preserve">· Comparison of liraglutide plus basal insulin and basal-bolus insulin therapy (BBIT) for glycemic control, body weight stability, and treatment satisfaction in patients treated using BBIT for type 2 diabetes without severe insulin deficiency: A randomized prospective pilot study. PMID 29588170</w:t>
      </w:r>
    </w:p>
    <w:p>
      <w:pPr>
        <w:numPr>
          <w:ilvl w:val="0"/>
          <w:numId w:val="1377"/>
        </w:numPr>
        <w:pStyle w:val="Compact"/>
      </w:pPr>
      <w:r>
        <w:t xml:space="preserve">2018 · Shankar SS ·</w:t>
      </w:r>
      <w:r>
        <w:t xml:space="preserve"> </w:t>
      </w:r>
      <w:r>
        <w:rPr>
          <w:iCs/>
          <w:i/>
        </w:rPr>
        <w:t xml:space="preserve">Diabetes</w:t>
      </w:r>
      <w:r>
        <w:t xml:space="preserve"> </w:t>
      </w:r>
      <w:r>
        <w:t xml:space="preserve">· Native Oxyntomodulin Has Significant Glucoregulatory Effects Independent of Weight Loss in Obese Humans With and Without Type 2 Diabetes. PMID 29545266</w:t>
      </w:r>
    </w:p>
    <w:p>
      <w:pPr>
        <w:numPr>
          <w:ilvl w:val="0"/>
          <w:numId w:val="1377"/>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7"/>
        </w:numPr>
        <w:pStyle w:val="Compact"/>
      </w:pPr>
      <w:r>
        <w:t xml:space="preserve">2018 · Billings LK ·</w:t>
      </w:r>
      <w:r>
        <w:t xml:space="preserve"> </w:t>
      </w:r>
      <w:r>
        <w:rPr>
          <w:iCs/>
          <w:i/>
        </w:rPr>
        <w:t xml:space="preserve">Diabetes Care</w:t>
      </w:r>
      <w:r>
        <w:t xml:space="preserve"> </w:t>
      </w:r>
      <w:r>
        <w:t xml:space="preserve">· Efficacy and Safety of IDegLira Versus Basal-Bolus Insulin Therapy in Patients With Type 2 Diabetes Uncontrolled on Metformin and Basal Insulin: The DUAL VII Randomized Clinical Trial. PMID 29483185</w:t>
      </w:r>
    </w:p>
    <w:p>
      <w:pPr>
        <w:numPr>
          <w:ilvl w:val="0"/>
          <w:numId w:val="1377"/>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7"/>
        </w:numPr>
        <w:pStyle w:val="Compact"/>
      </w:pPr>
      <w:r>
        <w:t xml:space="preserve">2018 · Capristo E ·</w:t>
      </w:r>
      <w:r>
        <w:t xml:space="preserve"> </w:t>
      </w:r>
      <w:r>
        <w:rPr>
          <w:iCs/>
          <w:i/>
        </w:rPr>
        <w:t xml:space="preserve">Diabetes Metab</w:t>
      </w:r>
      <w:r>
        <w:t xml:space="preserve"> </w:t>
      </w:r>
      <w:r>
        <w:t xml:space="preserve">· Intensive lifestyle modifications with or without liraglutide 3mg vs. sleeve gastrectomy: A three-arm non-randomised, controlled, pilot study. PMID 29398254</w:t>
      </w:r>
    </w:p>
    <w:p>
      <w:pPr>
        <w:numPr>
          <w:ilvl w:val="0"/>
          <w:numId w:val="1377"/>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7"/>
        </w:numPr>
        <w:pStyle w:val="Compact"/>
      </w:pPr>
      <w:r>
        <w:t xml:space="preserve">2018 · Lambadiari V ·</w:t>
      </w:r>
      <w:r>
        <w:t xml:space="preserve"> </w:t>
      </w:r>
      <w:r>
        <w:rPr>
          <w:iCs/>
          <w:i/>
        </w:rPr>
        <w:t xml:space="preserve">Cardiovasc Diabetol</w:t>
      </w:r>
      <w:r>
        <w:t xml:space="preserve"> </w:t>
      </w:r>
      <w:r>
        <w:t xml:space="preserve">· Effects of 6-month treatment with the glucagon like peptide-1 analogue liraglutide on arterial stiffness, left ventricular myocardial deformation and oxidative stress in subjects with newly diagnosed type 2 diabetes. PMID 29310645</w:t>
      </w:r>
    </w:p>
    <w:p>
      <w:pPr>
        <w:numPr>
          <w:ilvl w:val="0"/>
          <w:numId w:val="1377"/>
        </w:numPr>
        <w:pStyle w:val="Compact"/>
      </w:pPr>
      <w:r>
        <w:t xml:space="preserve">2018 · Hegedüs L ·</w:t>
      </w:r>
      <w:r>
        <w:t xml:space="preserve"> </w:t>
      </w:r>
      <w:r>
        <w:rPr>
          <w:iCs/>
          <w:i/>
        </w:rPr>
        <w:t xml:space="preserve">Diabetes Care</w:t>
      </w:r>
      <w:r>
        <w:t xml:space="preserve"> </w:t>
      </w:r>
      <w:r>
        <w:t xml:space="preserve">· No Evidence of Increase in Calcitonin Concentrations or Development of C-Cell Malignancy in Response to Liraglutide for Up to 5 Years in the LEADER Trial. PMID 29279300</w:t>
      </w:r>
    </w:p>
    <w:p>
      <w:pPr>
        <w:numPr>
          <w:ilvl w:val="0"/>
          <w:numId w:val="1377"/>
        </w:numPr>
        <w:pStyle w:val="Compact"/>
      </w:pPr>
      <w:r>
        <w:t xml:space="preserve">2018 · Kaneko S ·</w:t>
      </w:r>
      <w:r>
        <w:t xml:space="preserve"> </w:t>
      </w:r>
      <w:r>
        <w:rPr>
          <w:iCs/>
          <w:i/>
        </w:rPr>
        <w:t xml:space="preserve">J Diabetes Investig</w:t>
      </w:r>
      <w:r>
        <w:t xml:space="preserve"> </w:t>
      </w:r>
      <w:r>
        <w:t xml:space="preserve">· Efficacy and safety of adding liraglutide to existing insulin regimens in Japanese patients with type 2 diabetes mellitus: A post-hoc analysis of a phase 3 randomized clinical trial. PMID 29277968</w:t>
      </w:r>
    </w:p>
    <w:p>
      <w:pPr>
        <w:numPr>
          <w:ilvl w:val="0"/>
          <w:numId w:val="1377"/>
        </w:numPr>
        <w:pStyle w:val="Compact"/>
      </w:pPr>
      <w:r>
        <w:t xml:space="preserve">2018 · Polderman JAW ·</w:t>
      </w:r>
      <w:r>
        <w:t xml:space="preserve"> </w:t>
      </w:r>
      <w:r>
        <w:rPr>
          <w:iCs/>
          <w:i/>
        </w:rPr>
        <w:t xml:space="preserve">Anaesthesia</w:t>
      </w:r>
      <w:r>
        <w:t xml:space="preserve"> </w:t>
      </w:r>
      <w:r>
        <w:t xml:space="preserve">· Peri-operative management of patients with type-2 diabetes mellitus undergoing non-cardiac surgery using liraglutide, glucose-insulin-potassium infusion or intravenous insulin bolus regimens: a randomised controlled trial. PMID 29230803</w:t>
      </w:r>
    </w:p>
    <w:p>
      <w:pPr>
        <w:numPr>
          <w:ilvl w:val="0"/>
          <w:numId w:val="137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77"/>
        </w:numPr>
        <w:pStyle w:val="Compact"/>
      </w:pPr>
      <w:r>
        <w:t xml:space="preserve">2018 · Tran S ·</w:t>
      </w:r>
      <w:r>
        <w:t xml:space="preserve"> </w:t>
      </w:r>
      <w:r>
        <w:rPr>
          <w:iCs/>
          <w:i/>
        </w:rPr>
        <w:t xml:space="preserve">Am J Physiol Endocrinol Metab</w:t>
      </w:r>
      <w:r>
        <w:t xml:space="preserve"> </w:t>
      </w:r>
      <w:r>
        <w:t xml:space="preserve">· Effect of chronic liraglutide therapy and its withdrawal on time to postchallenge peak glucose in type 2 diabetes. PMID 29183873</w:t>
      </w:r>
    </w:p>
    <w:p>
      <w:pPr>
        <w:numPr>
          <w:ilvl w:val="0"/>
          <w:numId w:val="1377"/>
        </w:numPr>
        <w:pStyle w:val="Compact"/>
      </w:pPr>
      <w:r>
        <w:t xml:space="preserve">2018 · Evans M ·</w:t>
      </w:r>
      <w:r>
        <w:t xml:space="preserve"> </w:t>
      </w:r>
      <w:r>
        <w:rPr>
          <w:iCs/>
          <w:i/>
        </w:rPr>
        <w:t xml:space="preserve">J Med Econ</w:t>
      </w:r>
      <w:r>
        <w:t xml:space="preserve"> </w:t>
      </w:r>
      <w:r>
        <w:t xml:space="preserve">· An indirect treatment comparison of the efficacy of insulin degludec/liraglutide (IDegLira) and insulin glargine/lixisenatide (iGlarLixi) in patients with type 2 diabetes uncontrolled on basal insulin. PMID 29164973</w:t>
      </w:r>
    </w:p>
    <w:p>
      <w:pPr>
        <w:numPr>
          <w:ilvl w:val="0"/>
          <w:numId w:val="1377"/>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7"/>
        </w:numPr>
        <w:pStyle w:val="Compact"/>
      </w:pPr>
      <w:r>
        <w:t xml:space="preserve">2018 · Kolotkin RL ·</w:t>
      </w:r>
      <w:r>
        <w:t xml:space="preserve"> </w:t>
      </w:r>
      <w:r>
        <w:rPr>
          <w:iCs/>
          <w:i/>
        </w:rPr>
        <w:t xml:space="preserve">Clin Obes</w:t>
      </w:r>
      <w:r>
        <w:t xml:space="preserve"> </w:t>
      </w:r>
      <w:r>
        <w:t xml:space="preserve">· Improvements in health-related quality of life over 3 years with liraglutide 3.0 mg compared with placebo in participants with overweight or obesity. PMID 29045079</w:t>
      </w:r>
    </w:p>
    <w:p>
      <w:pPr>
        <w:numPr>
          <w:ilvl w:val="0"/>
          <w:numId w:val="1377"/>
        </w:numPr>
        <w:pStyle w:val="Compact"/>
      </w:pPr>
      <w:r>
        <w:t xml:space="preserve">2018 · Kiyosue A ·</w:t>
      </w:r>
      <w:r>
        <w:t xml:space="preserve"> </w:t>
      </w:r>
      <w:r>
        <w:rPr>
          <w:iCs/>
          <w:i/>
        </w:rPr>
        <w:t xml:space="preserve">J Diabetes Investig</w:t>
      </w:r>
      <w:r>
        <w:t xml:space="preserve"> </w:t>
      </w:r>
      <w:r>
        <w:t xml:space="preserve">· Safety and efficacy of the combination of the glucagon-like peptide-1 receptor agonist liraglutide with an oral antidiabetic drug in Japanese patients with type 2 diabetes: Post-hoc analysis of a randomized, 52-week, open-label, parallel-group trial. PMID 28984041</w:t>
      </w:r>
    </w:p>
    <w:p>
      <w:pPr>
        <w:numPr>
          <w:ilvl w:val="0"/>
          <w:numId w:val="1377"/>
        </w:numPr>
        <w:pStyle w:val="Compact"/>
      </w:pPr>
      <w:r>
        <w:t xml:space="preserve">2018 · Dubé MC ·</w:t>
      </w:r>
      <w:r>
        <w:t xml:space="preserve"> </w:t>
      </w:r>
      <w:r>
        <w:rPr>
          <w:iCs/>
          <w:i/>
        </w:rPr>
        <w:t xml:space="preserve">Diabetes Obes Metab</w:t>
      </w:r>
      <w:r>
        <w:t xml:space="preserve"> </w:t>
      </w:r>
      <w:r>
        <w:t xml:space="preserve">· Beyond glycaemic control: A cross-over, double-blinded, 24-week intervention with liraglutide in type 1 diabetes. PMID 28722271</w:t>
      </w:r>
    </w:p>
    <w:p>
      <w:pPr>
        <w:numPr>
          <w:ilvl w:val="0"/>
          <w:numId w:val="1377"/>
        </w:numPr>
        <w:pStyle w:val="Compact"/>
      </w:pPr>
      <w:r>
        <w:t xml:space="preserve">2018 · Frøssing S ·</w:t>
      </w:r>
      <w:r>
        <w:t xml:space="preserve"> </w:t>
      </w:r>
      <w:r>
        <w:rPr>
          <w:iCs/>
          <w:i/>
        </w:rPr>
        <w:t xml:space="preserve">Diabetes Obes Metab</w:t>
      </w:r>
      <w:r>
        <w:t xml:space="preserve"> </w:t>
      </w:r>
      <w:r>
        <w:t xml:space="preserve">· Effect of liraglutide on ectopic fat in polycystic ovary syndrome: A randomized clinical trial. PMID 28681988</w:t>
      </w:r>
    </w:p>
    <w:p>
      <w:pPr>
        <w:numPr>
          <w:ilvl w:val="0"/>
          <w:numId w:val="1377"/>
        </w:numPr>
        <w:pStyle w:val="Compact"/>
      </w:pPr>
      <w:r>
        <w:t xml:space="preserve">2018 · Lingvay I ·</w:t>
      </w:r>
      <w:r>
        <w:t xml:space="preserve"> </w:t>
      </w:r>
      <w:r>
        <w:rPr>
          <w:iCs/>
          <w:i/>
        </w:rPr>
        <w:t xml:space="preserve">Diabetes Obes Metab</w:t>
      </w:r>
      <w:r>
        <w:t xml:space="preserve"> </w:t>
      </w:r>
      <w:r>
        <w:t xml:space="preserve">· Insulin degludec/liraglutide (IDegLira) was effective across a range of dysglycaemia and body mass index categories in the DUAL V randomized trial. PMID 28643425</w:t>
      </w:r>
    </w:p>
    <w:p>
      <w:pPr>
        <w:numPr>
          <w:ilvl w:val="0"/>
          <w:numId w:val="1377"/>
        </w:numPr>
        <w:pStyle w:val="Compact"/>
      </w:pPr>
      <w:r>
        <w:t xml:space="preserve">2018 · Koska J ·</w:t>
      </w:r>
      <w:r>
        <w:t xml:space="preserve"> </w:t>
      </w:r>
      <w:r>
        <w:rPr>
          <w:iCs/>
          <w:i/>
        </w:rPr>
        <w:t xml:space="preserve">Diabetes Obes Metab</w:t>
      </w:r>
      <w:r>
        <w:t xml:space="preserve"> </w:t>
      </w:r>
      <w:r>
        <w:t xml:space="preserve">· Effect of liraglutide on dietary lipid-induced insulin resistance in humans. PMID 28605158</w:t>
      </w:r>
    </w:p>
    <w:p>
      <w:pPr>
        <w:numPr>
          <w:ilvl w:val="0"/>
          <w:numId w:val="1377"/>
        </w:numPr>
        <w:pStyle w:val="Compact"/>
      </w:pPr>
      <w:r>
        <w:t xml:space="preserve">2018 · Seino Y ·</w:t>
      </w:r>
      <w:r>
        <w:t xml:space="preserve"> </w:t>
      </w:r>
      <w:r>
        <w:rPr>
          <w:iCs/>
          <w:i/>
        </w:rPr>
        <w:t xml:space="preserve">J Diabetes Investig</w:t>
      </w:r>
      <w:r>
        <w:t xml:space="preserve"> </w:t>
      </w:r>
      <w:r>
        <w:t xml:space="preserve">· Sodium-glucose cotransporter-2 inhibitor luseogliflozin added to glucagon-like peptide 1 receptor agonist liraglutide improves glycemic control with bodyweight and fat mass reductions in Japanese patients with type 2 diabetes: A 52-week, open-label, single-arm study. PMID 28502112</w:t>
      </w:r>
    </w:p>
    <w:p>
      <w:pPr>
        <w:numPr>
          <w:ilvl w:val="0"/>
          <w:numId w:val="1377"/>
        </w:numPr>
        <w:pStyle w:val="Compact"/>
      </w:pPr>
      <w:r>
        <w:t xml:space="preserve">2017 · Gejl M ·</w:t>
      </w:r>
      <w:r>
        <w:t xml:space="preserve"> </w:t>
      </w:r>
      <w:r>
        <w:rPr>
          <w:iCs/>
          <w:i/>
        </w:rPr>
        <w:t xml:space="preserve">Sci Rep</w:t>
      </w:r>
      <w:r>
        <w:t xml:space="preserve"> </w:t>
      </w:r>
      <w:r>
        <w:t xml:space="preserve">· Blood-Brain Glucose Transfer in Alzheimer’s disease: Effect of GLP-1 Analog Treatment. PMID 29235507</w:t>
      </w:r>
    </w:p>
    <w:p>
      <w:pPr>
        <w:numPr>
          <w:ilvl w:val="0"/>
          <w:numId w:val="1377"/>
        </w:numPr>
        <w:pStyle w:val="Compact"/>
      </w:pPr>
      <w:r>
        <w:t xml:space="preserve">2017 · le Roux C ·</w:t>
      </w:r>
      <w:r>
        <w:t xml:space="preserve"> </w:t>
      </w:r>
      <w:r>
        <w:rPr>
          <w:iCs/>
          <w:i/>
        </w:rPr>
        <w:t xml:space="preserve">Obes Facts</w:t>
      </w:r>
      <w:r>
        <w:t xml:space="preserve"> </w:t>
      </w:r>
      <w:r>
        <w:t xml:space="preserve">· Comparison of Efficacy and Safety of Liraglutide 3.0 mg in Individuals with BMI above and below 35 kg/m²: A Post-hoc Analysis. PMID 29145215</w:t>
      </w:r>
    </w:p>
    <w:p>
      <w:pPr>
        <w:numPr>
          <w:ilvl w:val="0"/>
          <w:numId w:val="1377"/>
        </w:numPr>
        <w:pStyle w:val="Compact"/>
      </w:pPr>
      <w:r>
        <w:t xml:space="preserve">2017 · Davidson JA ·</w:t>
      </w:r>
      <w:r>
        <w:t xml:space="preserve"> </w:t>
      </w:r>
      <w:r>
        <w:rPr>
          <w:iCs/>
          <w:i/>
        </w:rPr>
        <w:t xml:space="preserve">Postgrad Med</w:t>
      </w:r>
      <w:r>
        <w:t xml:space="preserve"> </w:t>
      </w:r>
      <w:r>
        <w:t xml:space="preserve">· Albiglutide efficacy and safety in the Latino/Hispanic subpopulation for the integrated phase III program. PMID 29083275</w:t>
      </w:r>
    </w:p>
    <w:p>
      <w:pPr>
        <w:numPr>
          <w:ilvl w:val="0"/>
          <w:numId w:val="1377"/>
        </w:numPr>
        <w:pStyle w:val="Compact"/>
      </w:pPr>
      <w:r>
        <w:t xml:space="preserve">2017 · Ferjan S ·</w:t>
      </w:r>
      <w:r>
        <w:t xml:space="preserve"> </w:t>
      </w:r>
      <w:r>
        <w:rPr>
          <w:iCs/>
          <w:i/>
        </w:rPr>
        <w:t xml:space="preserve">Metab Syndr Relat Disord</w:t>
      </w:r>
      <w:r>
        <w:t xml:space="preserve"> </w:t>
      </w:r>
      <w:r>
        <w:t xml:space="preserve">· Dipeptidyl Peptidase-4 Inhibitor Sitagliptin Prevented Weight Regain in Obese Women with Polycystic Ovary Syndrome Previously Treated with Liraglutide: A Pilot Randomized Study. PMID 29064743</w:t>
      </w:r>
    </w:p>
    <w:p>
      <w:pPr>
        <w:numPr>
          <w:ilvl w:val="0"/>
          <w:numId w:val="1377"/>
        </w:numPr>
        <w:pStyle w:val="Compact"/>
      </w:pPr>
      <w:r>
        <w:t xml:space="preserve">2017 · Halawi H ·</w:t>
      </w:r>
      <w:r>
        <w:t xml:space="preserve"> </w:t>
      </w:r>
      <w:r>
        <w:rPr>
          <w:iCs/>
          <w:i/>
        </w:rPr>
        <w:t xml:space="preserve">Lancet Gastroenterol Hepatol</w:t>
      </w:r>
      <w:r>
        <w:t xml:space="preserve"> </w:t>
      </w:r>
      <w:r>
        <w:t xml:space="preserve">· Effects of liraglutide on weight, satiation, and gastric functions in obesity: a randomised, placebo-controlled pilot trial. PMID 28958851</w:t>
      </w:r>
    </w:p>
    <w:p>
      <w:pPr>
        <w:numPr>
          <w:ilvl w:val="0"/>
          <w:numId w:val="1377"/>
        </w:numPr>
        <w:pStyle w:val="Compact"/>
      </w:pPr>
      <w:r>
        <w:t xml:space="preserve">2017 · de Wit HM ·</w:t>
      </w:r>
      <w:r>
        <w:t xml:space="preserve"> </w:t>
      </w:r>
      <w:r>
        <w:rPr>
          <w:iCs/>
          <w:i/>
        </w:rPr>
        <w:t xml:space="preserve">Neth J Med</w:t>
      </w:r>
      <w:r>
        <w:t xml:space="preserve"> </w:t>
      </w:r>
      <w:r>
        <w:t xml:space="preserve">· A cost-controlling treatment strategy of adding liraglutide to insulin in type 2 diabetes. PMID 28956786</w:t>
      </w:r>
    </w:p>
    <w:p>
      <w:pPr>
        <w:numPr>
          <w:ilvl w:val="0"/>
          <w:numId w:val="1377"/>
        </w:numPr>
        <w:pStyle w:val="Compact"/>
      </w:pPr>
      <w:r>
        <w:t xml:space="preserve">2017 · Santilli F ·</w:t>
      </w:r>
      <w:r>
        <w:t xml:space="preserve"> </w:t>
      </w:r>
      <w:r>
        <w:rPr>
          <w:iCs/>
          <w:i/>
        </w:rPr>
        <w:t xml:space="preserve">Diabetes Care</w:t>
      </w:r>
      <w:r>
        <w:t xml:space="preserve"> </w:t>
      </w:r>
      <w:r>
        <w:t xml:space="preserve">· Effects of Liraglutide on Weight Loss, Fat Distribution, and β-Cell Function in Obese Subjects With Prediabetes or Early Type 2 Diabetes. PMID 28912305</w:t>
      </w:r>
    </w:p>
    <w:p>
      <w:pPr>
        <w:numPr>
          <w:ilvl w:val="0"/>
          <w:numId w:val="1377"/>
        </w:numPr>
        <w:pStyle w:val="Compact"/>
      </w:pPr>
      <w:r>
        <w:t xml:space="preserve">2017 · Mann JFE ·</w:t>
      </w:r>
      <w:r>
        <w:t xml:space="preserve"> </w:t>
      </w:r>
      <w:r>
        <w:rPr>
          <w:iCs/>
          <w:i/>
        </w:rPr>
        <w:t xml:space="preserve">N Engl J Med</w:t>
      </w:r>
      <w:r>
        <w:t xml:space="preserve"> </w:t>
      </w:r>
      <w:r>
        <w:t xml:space="preserve">· Liraglutide and Renal Outcomes in Type 2 Diabetes. PMID 28854085</w:t>
      </w:r>
    </w:p>
    <w:p>
      <w:pPr>
        <w:numPr>
          <w:ilvl w:val="0"/>
          <w:numId w:val="1377"/>
        </w:numPr>
        <w:pStyle w:val="Compact"/>
      </w:pPr>
      <w:r>
        <w:t xml:space="preserve">2017 · Frias JP ·</w:t>
      </w:r>
      <w:r>
        <w:t xml:space="preserve"> </w:t>
      </w:r>
      <w:r>
        <w:rPr>
          <w:iCs/>
          <w:i/>
        </w:rPr>
        <w:t xml:space="preserve">Cell Metab</w:t>
      </w:r>
      <w:r>
        <w:t xml:space="preserve"> </w:t>
      </w:r>
      <w:r>
        <w:t xml:space="preserve">· The Sustained Effects of a Dual GIP/GLP-1 Receptor Agonist, NNC0090-2746, in Patients with Type 2 Diabetes. PMID 28768173</w:t>
      </w:r>
    </w:p>
    <w:p>
      <w:pPr>
        <w:numPr>
          <w:ilvl w:val="0"/>
          <w:numId w:val="1377"/>
        </w:numPr>
        <w:pStyle w:val="Compact"/>
      </w:pPr>
      <w:r>
        <w:t xml:space="preserve">2017 · Hunt B ·</w:t>
      </w:r>
      <w:r>
        <w:t xml:space="preserve"> </w:t>
      </w:r>
      <w:r>
        <w:rPr>
          <w:iCs/>
          <w:i/>
        </w:rPr>
        <w:t xml:space="preserve">Clin Ther</w:t>
      </w:r>
      <w:r>
        <w:t xml:space="preserve"> </w:t>
      </w:r>
      <w:r>
        <w:t xml:space="preserve">· Long-term Cost-effectiveness of Two GLP-1 Receptor Agonists for the Treatment of Type 2 Diabetes Mellitus in the Italian Setting: Liraglutide Versus Lixisenatide. PMID 28625506</w:t>
      </w:r>
    </w:p>
    <w:p>
      <w:pPr>
        <w:numPr>
          <w:ilvl w:val="0"/>
          <w:numId w:val="1377"/>
        </w:numPr>
        <w:pStyle w:val="Compact"/>
      </w:pPr>
      <w:r>
        <w:t xml:space="preserve">2017 · Pokala N ·</w:t>
      </w:r>
      <w:r>
        <w:t xml:space="preserve"> </w:t>
      </w:r>
      <w:r>
        <w:rPr>
          <w:iCs/>
          <w:i/>
        </w:rPr>
        <w:t xml:space="preserve">Diabetes Obes Metab</w:t>
      </w:r>
      <w:r>
        <w:t xml:space="preserve"> </w:t>
      </w:r>
      <w:r>
        <w:t xml:space="preserve">· The effect of baseline characteristics on clinical efficacy of liraglutide in patients treated with high-dose insulin. PMID 28608447</w:t>
      </w:r>
    </w:p>
    <w:p>
      <w:pPr>
        <w:numPr>
          <w:ilvl w:val="0"/>
          <w:numId w:val="1377"/>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7"/>
        </w:numPr>
        <w:pStyle w:val="Compact"/>
      </w:pPr>
      <w:r>
        <w:t xml:space="preserve">2017 · Larsen JR ·</w:t>
      </w:r>
      <w:r>
        <w:t xml:space="preserve"> </w:t>
      </w:r>
      <w:r>
        <w:rPr>
          <w:iCs/>
          <w:i/>
        </w:rPr>
        <w:t xml:space="preserve">JAMA Psychiatry</w:t>
      </w:r>
      <w:r>
        <w:t xml:space="preserve"> </w:t>
      </w:r>
      <w:r>
        <w:t xml:space="preserve">· Effect of Liraglutide Treatment on Prediabetes and Overweight or Obesity in Clozapine- or Olanzapine-Treated Patients With Schizophrenia Spectrum Disorder: A Randomized Clinical Trial. PMID 28601891</w:t>
      </w:r>
    </w:p>
    <w:p>
      <w:pPr>
        <w:numPr>
          <w:ilvl w:val="0"/>
          <w:numId w:val="1377"/>
        </w:numPr>
        <w:pStyle w:val="Compact"/>
      </w:pPr>
      <w:r>
        <w:t xml:space="preserve">2017 · Khoo J ·</w:t>
      </w:r>
      <w:r>
        <w:t xml:space="preserve"> </w:t>
      </w:r>
      <w:r>
        <w:rPr>
          <w:iCs/>
          <w:i/>
        </w:rPr>
        <w:t xml:space="preserve">Diabetes Obes Metab</w:t>
      </w:r>
      <w:r>
        <w:t xml:space="preserve"> </w:t>
      </w:r>
      <w:r>
        <w:t xml:space="preserve">· Comparative effects of liraglutide 3 mg vs structured lifestyle modification on body weight, liver fat and liver function in obese patients with non-alcoholic fatty liver disease: A pilot randomized trial. PMID 28503750</w:t>
      </w:r>
    </w:p>
    <w:p>
      <w:pPr>
        <w:numPr>
          <w:ilvl w:val="0"/>
          <w:numId w:val="1377"/>
        </w:numPr>
        <w:pStyle w:val="Compact"/>
      </w:pPr>
      <w:r>
        <w:t xml:space="preserve">2017 · Nylander M ·</w:t>
      </w:r>
      <w:r>
        <w:t xml:space="preserve"> </w:t>
      </w:r>
      <w:r>
        <w:rPr>
          <w:iCs/>
          <w:i/>
        </w:rPr>
        <w:t xml:space="preserve">Reprod Biomed Online</w:t>
      </w:r>
      <w:r>
        <w:t xml:space="preserve"> </w:t>
      </w:r>
      <w:r>
        <w:t xml:space="preserve">· Effects of liraglutide on ovarian dysfunction in polycystic ovary syndrome: a randomized clinical trial. PMID 28479118</w:t>
      </w:r>
    </w:p>
    <w:p>
      <w:pPr>
        <w:numPr>
          <w:ilvl w:val="0"/>
          <w:numId w:val="1377"/>
        </w:numPr>
        <w:pStyle w:val="Compact"/>
      </w:pPr>
      <w:r>
        <w:t xml:space="preserve">2017 · Steinberg WM ·</w:t>
      </w:r>
      <w:r>
        <w:t xml:space="preserve"> </w:t>
      </w:r>
      <w:r>
        <w:rPr>
          <w:iCs/>
          <w:i/>
        </w:rPr>
        <w:t xml:space="preserve">Diabetes Care</w:t>
      </w:r>
      <w:r>
        <w:t xml:space="preserve"> </w:t>
      </w:r>
      <w:r>
        <w:t xml:space="preserve">· Amylase, Lipase, and Acute Pancreatitis in People With Type 2 Diabetes Treated With Liraglutide: Results From the LEADER Randomized Trial. PMID 28476871</w:t>
      </w:r>
    </w:p>
    <w:p>
      <w:pPr>
        <w:numPr>
          <w:ilvl w:val="0"/>
          <w:numId w:val="1377"/>
        </w:numPr>
        <w:pStyle w:val="Compact"/>
      </w:pPr>
      <w:r>
        <w:t xml:space="preserve">2017 · von Scholten BJ ·</w:t>
      </w:r>
      <w:r>
        <w:t xml:space="preserve"> </w:t>
      </w:r>
      <w:r>
        <w:rPr>
          <w:iCs/>
          <w:i/>
        </w:rPr>
        <w:t xml:space="preserve">J Diabetes Complications</w:t>
      </w:r>
      <w:r>
        <w:t xml:space="preserve"> </w:t>
      </w:r>
      <w:r>
        <w:t xml:space="preserve">· Effect of weight reductions on estimated kidney function: Post-hoc analysis of two randomized trials. PMID 28462892</w:t>
      </w:r>
    </w:p>
    <w:p>
      <w:pPr>
        <w:numPr>
          <w:ilvl w:val="0"/>
          <w:numId w:val="1377"/>
        </w:numPr>
        <w:pStyle w:val="Compact"/>
      </w:pPr>
      <w:r>
        <w:t xml:space="preserve">2017 · Sedman T ·</w:t>
      </w:r>
      <w:r>
        <w:t xml:space="preserve"> </w:t>
      </w:r>
      <w:r>
        <w:rPr>
          <w:iCs/>
          <w:i/>
        </w:rPr>
        <w:t xml:space="preserve">J Clin Endocrinol Metab</w:t>
      </w:r>
      <w:r>
        <w:t xml:space="preserve"> </w:t>
      </w:r>
      <w:r>
        <w:t xml:space="preserve">· Tolerance Does Not Develop Toward Liraglutide’s Glucose-Lowering Effect. PMID 28379427</w:t>
      </w:r>
    </w:p>
    <w:p>
      <w:pPr>
        <w:numPr>
          <w:ilvl w:val="0"/>
          <w:numId w:val="1377"/>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7"/>
        </w:numPr>
        <w:pStyle w:val="Compact"/>
      </w:pPr>
      <w:r>
        <w:t xml:space="preserve">2017 · Feng W ·</w:t>
      </w:r>
      <w:r>
        <w:t xml:space="preserve"> </w:t>
      </w:r>
      <w:r>
        <w:rPr>
          <w:iCs/>
          <w:i/>
        </w:rPr>
        <w:t xml:space="preserve">J Diabetes</w:t>
      </w:r>
      <w:r>
        <w:t xml:space="preserve"> </w:t>
      </w:r>
      <w:r>
        <w:t xml:space="preserve">· Randomized trial comparing the effects of gliclazide, liraglutide, and metformin on diabetes with non-alcoholic fatty liver disease. PMID 28332301</w:t>
      </w:r>
    </w:p>
    <w:p>
      <w:pPr>
        <w:numPr>
          <w:ilvl w:val="0"/>
          <w:numId w:val="1377"/>
        </w:numPr>
        <w:pStyle w:val="Compact"/>
      </w:pPr>
      <w:r>
        <w:t xml:space="preserve">2017 · Garg M ·</w:t>
      </w:r>
      <w:r>
        <w:t xml:space="preserve"> </w:t>
      </w:r>
      <w:r>
        <w:rPr>
          <w:iCs/>
          <w:i/>
        </w:rPr>
        <w:t xml:space="preserve">Diabetes Obes Metab</w:t>
      </w:r>
      <w:r>
        <w:t xml:space="preserve"> </w:t>
      </w:r>
      <w:r>
        <w:t xml:space="preserve">· Liraglutide acutely suppresses glucagon, lipolysis and ketogenesis in type 1 diabetes. PMID 28304146</w:t>
      </w:r>
    </w:p>
    <w:p>
      <w:pPr>
        <w:numPr>
          <w:ilvl w:val="0"/>
          <w:numId w:val="1377"/>
        </w:numPr>
        <w:pStyle w:val="Compact"/>
      </w:pPr>
      <w:r>
        <w:t xml:space="preserve">2017 · Hunt B ·</w:t>
      </w:r>
      <w:r>
        <w:t xml:space="preserve"> </w:t>
      </w:r>
      <w:r>
        <w:rPr>
          <w:iCs/>
          <w:i/>
        </w:rPr>
        <w:t xml:space="preserve">J Med Econ</w:t>
      </w:r>
      <w:r>
        <w:t xml:space="preserve"> </w:t>
      </w:r>
      <w:r>
        <w:t xml:space="preserve">· Evaluation of the long-term cost-effectiveness of IDegLira versus liraglutide added to basal insulin for patients with type 2 diabetes failing to achieve glycemic control on basal insulin in the USA. PMID 28294641</w:t>
      </w:r>
    </w:p>
    <w:p>
      <w:pPr>
        <w:numPr>
          <w:ilvl w:val="0"/>
          <w:numId w:val="1377"/>
        </w:numPr>
        <w:pStyle w:val="Compact"/>
      </w:pPr>
      <w:r>
        <w:t xml:space="preserve">2017 · King AB ·</w:t>
      </w:r>
      <w:r>
        <w:t xml:space="preserve"> </w:t>
      </w:r>
      <w:r>
        <w:rPr>
          <w:iCs/>
          <w:i/>
        </w:rPr>
        <w:t xml:space="preserve">Diabetes Technol Ther</w:t>
      </w:r>
      <w:r>
        <w:t xml:space="preserve"> </w:t>
      </w:r>
      <w:r>
        <w:t xml:space="preserve">· A Fixed Ratio Combination of Insulin Degludec and Liraglutide (IDegLira) Reduces Glycemic Fluctuation and Brings More Patients with Type 2 Diabetes Within Blood Glucose Target Ranges. PMID 28282219</w:t>
      </w:r>
    </w:p>
    <w:p>
      <w:pPr>
        <w:numPr>
          <w:ilvl w:val="0"/>
          <w:numId w:val="1377"/>
        </w:numPr>
        <w:pStyle w:val="Compact"/>
      </w:pPr>
      <w:r>
        <w:t xml:space="preserve">2017 · le Roux CW ·</w:t>
      </w:r>
      <w:r>
        <w:t xml:space="preserve"> </w:t>
      </w:r>
      <w:r>
        <w:rPr>
          <w:iCs/>
          <w:i/>
        </w:rPr>
        <w:t xml:space="preserve">Lancet</w:t>
      </w:r>
      <w:r>
        <w:t xml:space="preserve"> </w:t>
      </w:r>
      <w:r>
        <w:t xml:space="preserve">· 3 years of liraglutide versus placebo for type 2 diabetes risk reduction and weight management in individuals with prediabetes: a randomised, double-blind trial. PMID 28237263</w:t>
      </w:r>
    </w:p>
    <w:p>
      <w:pPr>
        <w:numPr>
          <w:ilvl w:val="0"/>
          <w:numId w:val="1377"/>
        </w:numPr>
        <w:pStyle w:val="Compact"/>
      </w:pPr>
      <w:r>
        <w:t xml:space="preserve">2017 · Jørgensen PG ·</w:t>
      </w:r>
      <w:r>
        <w:t xml:space="preserve"> </w:t>
      </w:r>
      <w:r>
        <w:rPr>
          <w:iCs/>
          <w:i/>
        </w:rPr>
        <w:t xml:space="preserve">Diabetes Obes Metab</w:t>
      </w:r>
      <w:r>
        <w:t xml:space="preserve"> </w:t>
      </w:r>
      <w:r>
        <w:t xml:space="preserve">· Effect of exercise combined with glucagon-like peptide-1 receptor agonist treatment on cardiac function: A randomized double-blind placebo-controlled clinical trial. PMID 28188972</w:t>
      </w:r>
    </w:p>
    <w:p>
      <w:pPr>
        <w:numPr>
          <w:ilvl w:val="0"/>
          <w:numId w:val="1377"/>
        </w:numPr>
        <w:pStyle w:val="Compact"/>
      </w:pPr>
      <w:r>
        <w:t xml:space="preserve">2017 · Kramer CK ·</w:t>
      </w:r>
      <w:r>
        <w:t xml:space="preserve"> </w:t>
      </w:r>
      <w:r>
        <w:rPr>
          <w:iCs/>
          <w:i/>
        </w:rPr>
        <w:t xml:space="preserve">Diabetes Obes Metab</w:t>
      </w:r>
      <w:r>
        <w:t xml:space="preserve"> </w:t>
      </w:r>
      <w:r>
        <w:t xml:space="preserve">· Chronic liraglutide therapy induces an enhanced endogenous glucagon-like peptide-1 secretory response in early type 2 diabetes. PMID 28181363</w:t>
      </w:r>
    </w:p>
    <w:p>
      <w:pPr>
        <w:numPr>
          <w:ilvl w:val="0"/>
          <w:numId w:val="1377"/>
        </w:numPr>
        <w:pStyle w:val="Compact"/>
      </w:pPr>
      <w:r>
        <w:t xml:space="preserve">2017 · Jensterle M ·</w:t>
      </w:r>
      <w:r>
        <w:t xml:space="preserve"> </w:t>
      </w:r>
      <w:r>
        <w:rPr>
          <w:iCs/>
          <w:i/>
        </w:rPr>
        <w:t xml:space="preserve">BMC Endocr Disord</w:t>
      </w:r>
      <w:r>
        <w:t xml:space="preserve"> </w:t>
      </w:r>
      <w:r>
        <w:t xml:space="preserve">· Short-term effectiveness of low dose liraglutide in combination with metformin versus high dose liraglutide alone in treatment of obese PCOS: randomized trial. PMID 28143456</w:t>
      </w:r>
    </w:p>
    <w:p>
      <w:pPr>
        <w:numPr>
          <w:ilvl w:val="0"/>
          <w:numId w:val="1377"/>
        </w:numPr>
        <w:pStyle w:val="Compact"/>
      </w:pPr>
      <w:r>
        <w:t xml:space="preserve">2017 · Kumarathurai P ·</w:t>
      </w:r>
      <w:r>
        <w:t xml:space="preserve"> </w:t>
      </w:r>
      <w:r>
        <w:rPr>
          <w:iCs/>
          <w:i/>
        </w:rPr>
        <w:t xml:space="preserve">J Hypertens</w:t>
      </w:r>
      <w:r>
        <w:t xml:space="preserve"> </w:t>
      </w:r>
      <w:r>
        <w:t xml:space="preserve">· Effects of the glucagon-like peptide-1 receptor agonist liraglutide on 24-h ambulatory blood pressure in patients with type 2 diabetes and stable coronary artery disease: a randomized, double-blind, placebo-controlled, crossover study. PMID 28129251</w:t>
      </w:r>
    </w:p>
    <w:p>
      <w:pPr>
        <w:numPr>
          <w:ilvl w:val="0"/>
          <w:numId w:val="1377"/>
        </w:numPr>
        <w:pStyle w:val="Compact"/>
      </w:pPr>
      <w:r>
        <w:t xml:space="preserve">2017 · Anholm C ·</w:t>
      </w:r>
      <w:r>
        <w:t xml:space="preserve"> </w:t>
      </w:r>
      <w:r>
        <w:rPr>
          <w:iCs/>
          <w:i/>
        </w:rPr>
        <w:t xml:space="preserve">Diabetes Obes Metab</w:t>
      </w:r>
      <w:r>
        <w:t xml:space="preserve"> </w:t>
      </w:r>
      <w:r>
        <w:t xml:space="preserve">· Liraglutide effects on beta-cell, insulin sensitivity and glucose effectiveness in patients with stable coronary artery disease and newly diagnosed type 2 diabetes. PMID 28124822</w:t>
      </w:r>
    </w:p>
    <w:p>
      <w:pPr>
        <w:numPr>
          <w:ilvl w:val="0"/>
          <w:numId w:val="1377"/>
        </w:numPr>
        <w:pStyle w:val="Compact"/>
      </w:pPr>
      <w:r>
        <w:t xml:space="preserve">2017 · Harris SB ·</w:t>
      </w:r>
      <w:r>
        <w:t xml:space="preserve"> </w:t>
      </w:r>
      <w:r>
        <w:rPr>
          <w:iCs/>
          <w:i/>
        </w:rPr>
        <w:t xml:space="preserve">Diabetes Obes Metab</w:t>
      </w:r>
      <w:r>
        <w:t xml:space="preserve"> </w:t>
      </w:r>
      <w:r>
        <w:t xml:space="preserve">· Safety and efficacy of IDegLira titrated once weekly versus twice weekly in patients with type 2 diabetes uncontrolled on oral antidiabetic drugs: DUAL VI randomized clinical trial. PMID 28124817</w:t>
      </w:r>
    </w:p>
    <w:p>
      <w:pPr>
        <w:numPr>
          <w:ilvl w:val="0"/>
          <w:numId w:val="1377"/>
        </w:numPr>
        <w:pStyle w:val="Compact"/>
      </w:pPr>
      <w:r>
        <w:t xml:space="preserve">2017 · Iacobellis G ·</w:t>
      </w:r>
      <w:r>
        <w:t xml:space="preserve"> </w:t>
      </w:r>
      <w:r>
        <w:rPr>
          <w:iCs/>
          <w:i/>
        </w:rPr>
        <w:t xml:space="preserve">Obesity (Silver Spring)</w:t>
      </w:r>
      <w:r>
        <w:t xml:space="preserve"> </w:t>
      </w:r>
      <w:r>
        <w:t xml:space="preserve">· Liraglutide causes large and rapid epicardial fat reduction. PMID 28124506</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Effects of liraglutide on cardiovascular risk biomarkers in patients with type 2 diabetes and albuminuria: A sub-analysis of a randomized, placebo-controlled, double-blind, crossover trial. PMID 28105731</w:t>
      </w:r>
    </w:p>
    <w:p>
      <w:pPr>
        <w:numPr>
          <w:ilvl w:val="0"/>
          <w:numId w:val="1377"/>
        </w:numPr>
        <w:pStyle w:val="Compact"/>
      </w:pPr>
      <w:r>
        <w:t xml:space="preserve">2017 · Farmer AD ·</w:t>
      </w:r>
      <w:r>
        <w:t xml:space="preserve"> </w:t>
      </w:r>
      <w:r>
        <w:rPr>
          <w:iCs/>
          <w:i/>
        </w:rPr>
        <w:t xml:space="preserve">Diabetologia</w:t>
      </w:r>
      <w:r>
        <w:t xml:space="preserve"> </w:t>
      </w:r>
      <w:r>
        <w:t xml:space="preserve">· Type 1 diabetic patients with peripheral neuropathy have pan-enteric prolongation of gastrointestinal transit times and an altered caecal pH profile. PMID 28105520</w:t>
      </w:r>
    </w:p>
    <w:p>
      <w:pPr>
        <w:numPr>
          <w:ilvl w:val="0"/>
          <w:numId w:val="1377"/>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7"/>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7"/>
        </w:numPr>
        <w:pStyle w:val="Compact"/>
      </w:pPr>
      <w:r>
        <w:t xml:space="preserve">2017 · Pastel E ·</w:t>
      </w:r>
      <w:r>
        <w:t xml:space="preserve"> </w:t>
      </w:r>
      <w:r>
        <w:rPr>
          <w:iCs/>
          <w:i/>
        </w:rPr>
        <w:t xml:space="preserve">Clin Sci (Lond)</w:t>
      </w:r>
      <w:r>
        <w:t xml:space="preserve"> </w:t>
      </w:r>
      <w:r>
        <w:t xml:space="preserve">· GLP-1 analogue-induced weight loss does not improve obesity-induced AT dysfunction. PMID 28049736</w:t>
      </w:r>
    </w:p>
    <w:p>
      <w:pPr>
        <w:numPr>
          <w:ilvl w:val="0"/>
          <w:numId w:val="1377"/>
        </w:numPr>
        <w:pStyle w:val="Compact"/>
      </w:pPr>
      <w:r>
        <w:t xml:space="preserve">2017 · Smits MM ·</w:t>
      </w:r>
      <w:r>
        <w:t xml:space="preserve"> </w:t>
      </w:r>
      <w:r>
        <w:rPr>
          <w:iCs/>
          <w:i/>
        </w:rPr>
        <w:t xml:space="preserve">Diabetes Care</w:t>
      </w:r>
      <w:r>
        <w:t xml:space="preserve"> </w:t>
      </w:r>
      <w:r>
        <w:t xml:space="preserve">· Pancreatic Effects of Liraglutide or Sitagliptin in Overweight Patients With Type 2 Diabetes: A 12-Week Randomized, Placebo-Controlled Trial. PMID 27998910</w:t>
      </w:r>
    </w:p>
    <w:p>
      <w:pPr>
        <w:numPr>
          <w:ilvl w:val="0"/>
          <w:numId w:val="1377"/>
        </w:numPr>
        <w:pStyle w:val="Compact"/>
      </w:pPr>
      <w:r>
        <w:t xml:space="preserve">2017 · Danne T ·</w:t>
      </w:r>
      <w:r>
        <w:t xml:space="preserve"> </w:t>
      </w:r>
      <w:r>
        <w:rPr>
          <w:iCs/>
          <w:i/>
        </w:rPr>
        <w:t xml:space="preserve">J Pediatr</w:t>
      </w:r>
      <w:r>
        <w:t xml:space="preserve"> </w:t>
      </w:r>
      <w:r>
        <w:t xml:space="preserve">· Liraglutide in an Adolescent Population with Obesity: A Randomized, Double-Blind, Placebo-Controlled 5-Week Trial to Assess Safety, Tolerability, and Pharmacokinetics of Liraglutide in Adolescents Aged 12-17 Years. PMID 27979579</w:t>
      </w:r>
    </w:p>
    <w:p>
      <w:pPr>
        <w:numPr>
          <w:ilvl w:val="0"/>
          <w:numId w:val="1377"/>
        </w:numPr>
        <w:pStyle w:val="Compact"/>
      </w:pPr>
      <w:r>
        <w:t xml:space="preserve">2017 · Dejgaard TF ·</w:t>
      </w:r>
      <w:r>
        <w:t xml:space="preserve"> </w:t>
      </w:r>
      <w:r>
        <w:rPr>
          <w:iCs/>
          <w:i/>
        </w:rPr>
        <w:t xml:space="preserve">Diabetes Obes Metab</w:t>
      </w:r>
      <w:r>
        <w:t xml:space="preserve"> </w:t>
      </w:r>
      <w:r>
        <w:t xml:space="preserve">· Effects of liraglutide on cardiovascular risk factors in patients with type 1 diabetes. PMID 27935240</w:t>
      </w:r>
    </w:p>
    <w:p>
      <w:pPr>
        <w:numPr>
          <w:ilvl w:val="0"/>
          <w:numId w:val="1377"/>
        </w:numPr>
        <w:pStyle w:val="Compact"/>
      </w:pPr>
      <w:r>
        <w:t xml:space="preserve">2017 · Bouchi R ·</w:t>
      </w:r>
      <w:r>
        <w:t xml:space="preserve"> </w:t>
      </w:r>
      <w:r>
        <w:rPr>
          <w:iCs/>
          <w:i/>
        </w:rPr>
        <w:t xml:space="preserve">Endocr J</w:t>
      </w:r>
      <w:r>
        <w:t xml:space="preserve"> </w:t>
      </w:r>
      <w:r>
        <w:t xml:space="preserve">· Reduction of visceral fat by liraglutide is associated with ameliorations of hepatic steatosis, albuminuria, and micro-inflammation in type 2 diabetic patients with insulin treatment: a randomized control trial. PMID 27916783</w:t>
      </w:r>
    </w:p>
    <w:p>
      <w:pPr>
        <w:numPr>
          <w:ilvl w:val="0"/>
          <w:numId w:val="1377"/>
        </w:numPr>
        <w:pStyle w:val="Compact"/>
      </w:pPr>
      <w:r>
        <w:t xml:space="preserve">2017 · Frandsen CS ·</w:t>
      </w:r>
      <w:r>
        <w:t xml:space="preserve"> </w:t>
      </w:r>
      <w:r>
        <w:rPr>
          <w:iCs/>
          <w:i/>
        </w:rPr>
        <w:t xml:space="preserve">Diabetes Obes Metab</w:t>
      </w:r>
      <w:r>
        <w:t xml:space="preserve"> </w:t>
      </w:r>
      <w:r>
        <w:t xml:space="preserve">· Liraglutide as adjunct to insulin treatment in type 1 diabetes does not interfere with glycaemic recovery or gastric emptying rate during hypoglycaemia: A randomized, placebo-controlled, double-blind, parallel-group study. PMID 27868372</w:t>
      </w:r>
    </w:p>
    <w:p>
      <w:pPr>
        <w:numPr>
          <w:ilvl w:val="0"/>
          <w:numId w:val="1377"/>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7"/>
        </w:numPr>
        <w:pStyle w:val="Compact"/>
      </w:pPr>
      <w:r>
        <w:t xml:space="preserve">2017 · Arturi F ·</w:t>
      </w:r>
      <w:r>
        <w:t xml:space="preserve"> </w:t>
      </w:r>
      <w:r>
        <w:rPr>
          <w:iCs/>
          <w:i/>
        </w:rPr>
        <w:t xml:space="preserve">Endocrine</w:t>
      </w:r>
      <w:r>
        <w:t xml:space="preserve"> </w:t>
      </w:r>
      <w:r>
        <w:t xml:space="preserve">· Liraglutide improves cardiac function in patients with type 2 diabetes and chronic heart failure. PMID 27830456</w:t>
      </w:r>
    </w:p>
    <w:p>
      <w:pPr>
        <w:numPr>
          <w:ilvl w:val="0"/>
          <w:numId w:val="1377"/>
        </w:numPr>
        <w:pStyle w:val="Compact"/>
      </w:pPr>
      <w:r>
        <w:t xml:space="preserve">2017 · Yabe D ·</w:t>
      </w:r>
      <w:r>
        <w:t xml:space="preserve"> </w:t>
      </w:r>
      <w:r>
        <w:rPr>
          <w:iCs/>
          <w:i/>
        </w:rPr>
        <w:t xml:space="preserve">Diabetes Obes Metab</w:t>
      </w:r>
      <w:r>
        <w:t xml:space="preserve"> </w:t>
      </w:r>
      <w:r>
        <w:t xml:space="preserve">· Effects of DPP-4 inhibitor linagliptin and GLP-1 receptor agonist liraglutide on physiological response to hypoglycaemia in Japanese subjects with type 2 diabetes: A randomized, open-label, 2-arm parallel comparative, exploratory trial. PMID 27800649</w:t>
      </w:r>
    </w:p>
    <w:p>
      <w:pPr>
        <w:numPr>
          <w:ilvl w:val="0"/>
          <w:numId w:val="1377"/>
        </w:numPr>
        <w:pStyle w:val="Compact"/>
      </w:pPr>
      <w:r>
        <w:t xml:space="preserve">2017 · Kumarathurai P ·</w:t>
      </w:r>
      <w:r>
        <w:t xml:space="preserve"> </w:t>
      </w:r>
      <w:r>
        <w:rPr>
          <w:iCs/>
          <w:i/>
        </w:rPr>
        <w:t xml:space="preserve">Diabetes Care</w:t>
      </w:r>
      <w:r>
        <w:t xml:space="preserve"> </w:t>
      </w:r>
      <w:r>
        <w:t xml:space="preserve">· Effects of Liraglutide on Heart Rate and Heart Rate Variability: A Randomized, Double-Blind, Placebo-Controlled Crossover Study. PMID 27797930</w:t>
      </w:r>
    </w:p>
    <w:p>
      <w:pPr>
        <w:numPr>
          <w:ilvl w:val="0"/>
          <w:numId w:val="1377"/>
        </w:numPr>
        <w:pStyle w:val="Compact"/>
      </w:pPr>
      <w:r>
        <w:t xml:space="preserve">2017 · Jorsal A ·</w:t>
      </w:r>
      <w:r>
        <w:t xml:space="preserve"> </w:t>
      </w:r>
      <w:r>
        <w:rPr>
          <w:iCs/>
          <w:i/>
        </w:rPr>
        <w:t xml:space="preserve">Eur J Heart Fail</w:t>
      </w:r>
      <w:r>
        <w:t xml:space="preserve"> </w:t>
      </w:r>
      <w:r>
        <w:t xml:space="preserve">· Effect of liraglutide, a glucagon-like peptide-1 analogue, on left ventricular function in stable chronic heart failure patients with and without diabetes (LIVE)-a multicentre, double-blind, randomised, placebo-controlled trial. PMID 27790809</w:t>
      </w:r>
    </w:p>
    <w:p>
      <w:pPr>
        <w:numPr>
          <w:ilvl w:val="0"/>
          <w:numId w:val="1377"/>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7"/>
        </w:numPr>
        <w:pStyle w:val="Compact"/>
      </w:pPr>
      <w:r>
        <w:t xml:space="preserve">2017 · Zobel EH ·</w:t>
      </w:r>
      <w:r>
        <w:t xml:space="preserve"> </w:t>
      </w:r>
      <w:r>
        <w:rPr>
          <w:iCs/>
          <w:i/>
        </w:rPr>
        <w:t xml:space="preserve">J Diabetes Complications</w:t>
      </w:r>
      <w:r>
        <w:t xml:space="preserve"> </w:t>
      </w:r>
      <w:r>
        <w:t xml:space="preserve">· Pleiotropic effects of liraglutide treatment on renal risk factors in type 2 diabetes: Individual effects of treatment. PMID 27769801</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The effect of liraglutide on renal function: A randomized clinical trial. PMID 27753201</w:t>
      </w:r>
    </w:p>
    <w:p>
      <w:pPr>
        <w:numPr>
          <w:ilvl w:val="0"/>
          <w:numId w:val="1377"/>
        </w:numPr>
        <w:pStyle w:val="Compact"/>
      </w:pPr>
      <w:r>
        <w:t xml:space="preserve">2017 · Petit JM ·</w:t>
      </w:r>
      <w:r>
        <w:t xml:space="preserve"> </w:t>
      </w:r>
      <w:r>
        <w:rPr>
          <w:iCs/>
          <w:i/>
        </w:rPr>
        <w:t xml:space="preserve">J Clin Endocrinol Metab</w:t>
      </w:r>
      <w:r>
        <w:t xml:space="preserve"> </w:t>
      </w:r>
      <w:r>
        <w:t xml:space="preserve">· Effect of Liraglutide Therapy on Liver Fat Content in Patients With Inadequately Controlled Type 2 Diabetes: The Lira-NAFLD Study. PMID 27732328</w:t>
      </w:r>
    </w:p>
    <w:p>
      <w:pPr>
        <w:numPr>
          <w:ilvl w:val="0"/>
          <w:numId w:val="1377"/>
        </w:numPr>
        <w:pStyle w:val="Compact"/>
      </w:pPr>
      <w:r>
        <w:t xml:space="preserve">2017 · Mensberg P ·</w:t>
      </w:r>
      <w:r>
        <w:t xml:space="preserve"> </w:t>
      </w:r>
      <w:r>
        <w:rPr>
          <w:iCs/>
          <w:i/>
        </w:rPr>
        <w:t xml:space="preserve">Diabetes Obes Metab</w:t>
      </w:r>
      <w:r>
        <w:t xml:space="preserve"> </w:t>
      </w:r>
      <w:r>
        <w:t xml:space="preserve">· Near-normalization of glycaemic control with glucagon-like peptide-1 receptor agonist treatment combined with exercise in patients with type 2 diabetes. PMID 27717126</w:t>
      </w:r>
    </w:p>
    <w:p>
      <w:pPr>
        <w:numPr>
          <w:ilvl w:val="0"/>
          <w:numId w:val="1377"/>
        </w:numPr>
        <w:pStyle w:val="Compact"/>
      </w:pPr>
      <w:r>
        <w:t xml:space="preserve">2017 · Nauck MA ·</w:t>
      </w:r>
      <w:r>
        <w:t xml:space="preserve"> </w:t>
      </w:r>
      <w:r>
        <w:rPr>
          <w:iCs/>
          <w:i/>
        </w:rPr>
        <w:t xml:space="preserve">Diabetes Obes Metab</w:t>
      </w:r>
      <w:r>
        <w:t xml:space="preserve"> </w:t>
      </w:r>
      <w:r>
        <w:t xml:space="preserve">· Addition of a dipeptidyl peptidase-4 inhibitor, sitagliptin, to ongoing therapy with the glucagon-like peptide-1 receptor agonist liraglutide: A randomized controlled trial in patients with type 2 diabetes. PMID 27709794</w:t>
      </w:r>
    </w:p>
    <w:p>
      <w:pPr>
        <w:numPr>
          <w:ilvl w:val="0"/>
          <w:numId w:val="1377"/>
        </w:numPr>
        <w:pStyle w:val="Compact"/>
      </w:pPr>
      <w:r>
        <w:t xml:space="preserve">2017 · Rodbard HW ·</w:t>
      </w:r>
      <w:r>
        <w:t xml:space="preserve"> </w:t>
      </w:r>
      <w:r>
        <w:rPr>
          <w:iCs/>
          <w:i/>
        </w:rPr>
        <w:t xml:space="preserve">Diabet Med</w:t>
      </w:r>
      <w:r>
        <w:t xml:space="preserve"> </w:t>
      </w:r>
      <w:r>
        <w:t xml:space="preserve">· Safety and efficacy of insulin degludec/liraglutide (IDegLira) added to sulphonylurea alone or to sulphonylurea and metformin in insulin-naïve people with Type 2 diabetes: the DUAL IV trial. PMID 27589252</w:t>
      </w:r>
    </w:p>
    <w:p>
      <w:pPr>
        <w:numPr>
          <w:ilvl w:val="0"/>
          <w:numId w:val="1377"/>
        </w:numPr>
        <w:pStyle w:val="Compact"/>
      </w:pPr>
      <w:r>
        <w:t xml:space="preserve">2017 · Sedman T ·</w:t>
      </w:r>
      <w:r>
        <w:t xml:space="preserve"> </w:t>
      </w:r>
      <w:r>
        <w:rPr>
          <w:iCs/>
          <w:i/>
        </w:rPr>
        <w:t xml:space="preserve">Horm Metab Res</w:t>
      </w:r>
      <w:r>
        <w:t xml:space="preserve"> </w:t>
      </w:r>
      <w:r>
        <w:t xml:space="preserve">· Liraglutide Treatment May Affect Renin and Aldosterone Release. PMID 27300475</w:t>
      </w:r>
    </w:p>
    <w:p>
      <w:pPr>
        <w:numPr>
          <w:ilvl w:val="0"/>
          <w:numId w:val="1377"/>
        </w:numPr>
        <w:pStyle w:val="Compact"/>
      </w:pPr>
      <w:r>
        <w:t xml:space="preserve">2016 · Jones B ·</w:t>
      </w:r>
      <w:r>
        <w:t xml:space="preserve"> </w:t>
      </w:r>
      <w:r>
        <w:rPr>
          <w:iCs/>
          <w:i/>
        </w:rPr>
        <w:t xml:space="preserve">Ann Clin Biochem</w:t>
      </w:r>
      <w:r>
        <w:t xml:space="preserve"> </w:t>
      </w:r>
      <w:r>
        <w:t xml:space="preserve">· Liraglutide and cardiovascular outcomes in type 2 diabetes. PMID 28071177</w:t>
      </w:r>
    </w:p>
    <w:p>
      <w:pPr>
        <w:numPr>
          <w:ilvl w:val="0"/>
          <w:numId w:val="1377"/>
        </w:numPr>
        <w:pStyle w:val="Compact"/>
      </w:pPr>
      <w:r>
        <w:t xml:space="preserve">2016 · Chen WR ·</w:t>
      </w:r>
      <w:r>
        <w:t xml:space="preserve"> </w:t>
      </w:r>
      <w:r>
        <w:rPr>
          <w:iCs/>
          <w:i/>
        </w:rPr>
        <w:t xml:space="preserve">Circ Cardiovasc Imaging</w:t>
      </w:r>
      <w:r>
        <w:t xml:space="preserve"> </w:t>
      </w:r>
      <w:r>
        <w:t xml:space="preserve">· Effects of Liraglutide on Reperfusion Injury in Patients With ST-Segment-Elevation Myocardial Infarction. PMID 27940956</w:t>
      </w:r>
    </w:p>
    <w:p>
      <w:pPr>
        <w:numPr>
          <w:ilvl w:val="0"/>
          <w:numId w:val="1377"/>
        </w:numPr>
        <w:pStyle w:val="Compact"/>
      </w:pPr>
      <w:r>
        <w:t xml:space="preserve">2016 · Rizzo M ·</w:t>
      </w:r>
      <w:r>
        <w:t xml:space="preserve"> </w:t>
      </w:r>
      <w:r>
        <w:rPr>
          <w:iCs/>
          <w:i/>
        </w:rPr>
        <w:t xml:space="preserve">Cardiovasc Diabetol</w:t>
      </w:r>
      <w:r>
        <w:t xml:space="preserve"> </w:t>
      </w:r>
      <w:r>
        <w:t xml:space="preserve">· Liraglutide improves metabolic parameters and carotid intima-media thickness in diabetic patients with the metabolic syndrome: an 18-month prospective study. PMID 27912784</w:t>
      </w:r>
    </w:p>
    <w:p>
      <w:pPr>
        <w:numPr>
          <w:ilvl w:val="0"/>
          <w:numId w:val="1377"/>
        </w:numPr>
        <w:pStyle w:val="Compact"/>
      </w:pPr>
      <w:r>
        <w:t xml:space="preserve">2016 · Fujioka K ·</w:t>
      </w:r>
      <w:r>
        <w:t xml:space="preserve"> </w:t>
      </w:r>
      <w:r>
        <w:rPr>
          <w:iCs/>
          <w:i/>
        </w:rPr>
        <w:t xml:space="preserve">Obesity (Silver Spring)</w:t>
      </w:r>
      <w:r>
        <w:t xml:space="preserve"> </w:t>
      </w:r>
      <w:r>
        <w:t xml:space="preserve">· Early Weight Loss with Liraglutide 3.0 mg Predicts 1-Year Weight Loss and is Associated with Improvements in Clinical Markers. PMID 27804269</w:t>
      </w:r>
    </w:p>
    <w:p>
      <w:pPr>
        <w:numPr>
          <w:ilvl w:val="0"/>
          <w:numId w:val="1377"/>
        </w:numPr>
        <w:pStyle w:val="Compact"/>
      </w:pPr>
      <w:r>
        <w:t xml:space="preserve">2016 · Smits MM ·</w:t>
      </w:r>
      <w:r>
        <w:t xml:space="preserve"> </w:t>
      </w:r>
      <w:r>
        <w:rPr>
          <w:iCs/>
          <w:i/>
        </w:rPr>
        <w:t xml:space="preserve">Diabetologia</w:t>
      </w:r>
      <w:r>
        <w:t xml:space="preserve"> </w:t>
      </w:r>
      <w:r>
        <w:t xml:space="preserve">· Twelve week liraglutide or sitagliptin does not affect hepatic fat in type 2 diabetes: a randomised placebo-controlled trial. PMID 27627981</w:t>
      </w:r>
    </w:p>
    <w:p>
      <w:pPr>
        <w:numPr>
          <w:ilvl w:val="0"/>
          <w:numId w:val="1377"/>
        </w:numPr>
        <w:pStyle w:val="Compact"/>
      </w:pPr>
      <w:r>
        <w:t xml:space="preserve">2016 · Tonneijck L ·</w:t>
      </w:r>
      <w:r>
        <w:t xml:space="preserve"> </w:t>
      </w:r>
      <w:r>
        <w:rPr>
          <w:iCs/>
          <w:i/>
        </w:rPr>
        <w:t xml:space="preserve">Diabetes Care</w:t>
      </w:r>
      <w:r>
        <w:t xml:space="preserve"> </w:t>
      </w:r>
      <w:r>
        <w:t xml:space="preserve">· Renal Effects of DPP-4 Inhibitor Sitagliptin or GLP-1 Receptor Agonist Liraglutide in Overweight Patients With Type 2 Diabetes: A 12-Week, Randomized, Double-Blind, Placebo-Controlled Trial. PMID 27585605</w:t>
      </w:r>
    </w:p>
    <w:p>
      <w:pPr>
        <w:numPr>
          <w:ilvl w:val="0"/>
          <w:numId w:val="1377"/>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7"/>
        </w:numPr>
        <w:pStyle w:val="Compact"/>
      </w:pPr>
      <w:r>
        <w:t xml:space="preserve">2016 · Mathieu C ·</w:t>
      </w:r>
      <w:r>
        <w:t xml:space="preserve"> </w:t>
      </w:r>
      <w:r>
        <w:rPr>
          <w:iCs/>
          <w:i/>
        </w:rPr>
        <w:t xml:space="preserve">Diabetes Care</w:t>
      </w:r>
      <w:r>
        <w:t xml:space="preserve"> </w:t>
      </w:r>
      <w:r>
        <w:t xml:space="preserve">· Efficacy and Safety of Liraglutide Added to Insulin Treatment in Type 1 Diabetes: The ADJUNCT ONE Treat-To-Target Randomized Trial. PMID 27506222</w:t>
      </w:r>
    </w:p>
    <w:p>
      <w:pPr>
        <w:numPr>
          <w:ilvl w:val="0"/>
          <w:numId w:val="1377"/>
        </w:numPr>
        <w:pStyle w:val="Compact"/>
      </w:pPr>
      <w:r>
        <w:t xml:space="preserve">2016 · Ahrén B ·</w:t>
      </w:r>
      <w:r>
        <w:t xml:space="preserve"> </w:t>
      </w:r>
      <w:r>
        <w:rPr>
          <w:iCs/>
          <w:i/>
        </w:rPr>
        <w:t xml:space="preserve">Diabetes Care</w:t>
      </w:r>
      <w:r>
        <w:t xml:space="preserve"> </w:t>
      </w:r>
      <w:r>
        <w:t xml:space="preserve">· Efficacy and Safety of Liraglutide Added to Capped Insulin Treatment in Subjects With Type 1 Diabetes: The ADJUNCT TWO Randomized Trial. PMID 27493132</w:t>
      </w:r>
    </w:p>
    <w:p>
      <w:pPr>
        <w:numPr>
          <w:ilvl w:val="0"/>
          <w:numId w:val="1377"/>
        </w:numPr>
        <w:pStyle w:val="Compact"/>
      </w:pPr>
      <w:r>
        <w:t xml:space="preserve">2016 · Kuhadiya ND ·</w:t>
      </w:r>
      <w:r>
        <w:t xml:space="preserve"> </w:t>
      </w:r>
      <w:r>
        <w:rPr>
          <w:iCs/>
          <w:i/>
        </w:rPr>
        <w:t xml:space="preserve">J Clin Endocrinol Metab</w:t>
      </w:r>
      <w:r>
        <w:t xml:space="preserve"> </w:t>
      </w:r>
      <w:r>
        <w:t xml:space="preserve">· Dapagliflozin as Additional Treatment to Liraglutide and Insulin in Patients With Type 1 Diabetes. PMID 27490915</w:t>
      </w:r>
    </w:p>
    <w:p>
      <w:pPr>
        <w:numPr>
          <w:ilvl w:val="0"/>
          <w:numId w:val="1377"/>
        </w:numPr>
        <w:pStyle w:val="Compact"/>
      </w:pPr>
      <w:r>
        <w:t xml:space="preserve">2016 · Margulies KB ·</w:t>
      </w:r>
      <w:r>
        <w:t xml:space="preserve"> </w:t>
      </w:r>
      <w:r>
        <w:rPr>
          <w:iCs/>
          <w:i/>
        </w:rPr>
        <w:t xml:space="preserve">JAMA</w:t>
      </w:r>
      <w:r>
        <w:t xml:space="preserve"> </w:t>
      </w:r>
      <w:r>
        <w:t xml:space="preserve">· Effects of Liraglutide on Clinical Stability Among Patients With Advanced Heart Failure and Reduced Ejection Fraction: A Randomized Clinical Trial. PMID 27483064</w:t>
      </w:r>
    </w:p>
    <w:p>
      <w:pPr>
        <w:numPr>
          <w:ilvl w:val="0"/>
          <w:numId w:val="1377"/>
        </w:numPr>
        <w:pStyle w:val="Compact"/>
      </w:pPr>
      <w:r>
        <w:t xml:space="preserve">2016 · O’Neil PM ·</w:t>
      </w:r>
      <w:r>
        <w:t xml:space="preserve"> </w:t>
      </w:r>
      <w:r>
        <w:rPr>
          <w:iCs/>
          <w:i/>
        </w:rPr>
        <w:t xml:space="preserve">Endocr Pract</w:t>
      </w:r>
      <w:r>
        <w:t xml:space="preserve"> </w:t>
      </w:r>
      <w:r>
        <w:t xml:space="preserve">· EFFECTS OF LIRAGLUTIDE 3.0 MG ON WEIGHT AND RISK FACTORS IN HISPANIC VERSUS NON-HIPANIC POPULATIONS: SUBGROUP ANALYSIS FROM SCALE RANDOMIZED TRIALS. PMID 27482610</w:t>
      </w:r>
    </w:p>
    <w:p>
      <w:pPr>
        <w:numPr>
          <w:ilvl w:val="0"/>
          <w:numId w:val="1377"/>
        </w:numPr>
        <w:pStyle w:val="Compact"/>
      </w:pPr>
      <w:r>
        <w:t xml:space="preserve">2016 · Kumarathurai P ·</w:t>
      </w:r>
      <w:r>
        <w:t xml:space="preserve"> </w:t>
      </w:r>
      <w:r>
        <w:rPr>
          <w:iCs/>
          <w:i/>
        </w:rPr>
        <w:t xml:space="preserve">Cardiovasc Diabetol</w:t>
      </w:r>
      <w:r>
        <w:t xml:space="preserve"> </w:t>
      </w:r>
      <w:r>
        <w:t xml:space="preserve">· Effects of the glucagon-like peptide-1 receptor agonist liraglutide on systolic function in patients with coronary artery disease and type 2 diabetes: a randomized double-blind placebo-controlled crossover study. PMID 27455835</w:t>
      </w:r>
    </w:p>
    <w:p>
      <w:pPr>
        <w:numPr>
          <w:ilvl w:val="0"/>
          <w:numId w:val="1377"/>
        </w:numPr>
        <w:pStyle w:val="Compact"/>
      </w:pPr>
      <w:r>
        <w:t xml:space="preserve">2016 · Smits MM ·</w:t>
      </w:r>
      <w:r>
        <w:t xml:space="preserve"> </w:t>
      </w:r>
      <w:r>
        <w:rPr>
          <w:iCs/>
          <w:i/>
        </w:rPr>
        <w:t xml:space="preserve">Diabetes Obes Metab</w:t>
      </w:r>
      <w:r>
        <w:t xml:space="preserve"> </w:t>
      </w:r>
      <w:r>
        <w:t xml:space="preserve">· Biliary effects of liraglutide and sitagliptin, a 12-week randomized placebo-controlled trial in type 2 diabetes patients. PMID 27451030</w:t>
      </w:r>
    </w:p>
    <w:p>
      <w:pPr>
        <w:numPr>
          <w:ilvl w:val="0"/>
          <w:numId w:val="1377"/>
        </w:numPr>
        <w:pStyle w:val="Compact"/>
      </w:pPr>
      <w:r>
        <w:t xml:space="preserve">2016 · Htike ZZ ·</w:t>
      </w:r>
      <w:r>
        <w:t xml:space="preserve"> </w:t>
      </w:r>
      <w:r>
        <w:rPr>
          <w:iCs/>
          <w:i/>
        </w:rPr>
        <w:t xml:space="preserve">Cardiovasc Diabetol</w:t>
      </w:r>
      <w:r>
        <w:t xml:space="preserve"> </w:t>
      </w:r>
      <w:r>
        <w:t xml:space="preserve">· Rationale and design of the randomised controlled trial to assess the impact of liraglutide on cardiac function and structure in young adults with type 2 diabetes (the LYDIA study). PMID 27440110</w:t>
      </w:r>
    </w:p>
    <w:p>
      <w:pPr>
        <w:numPr>
          <w:ilvl w:val="0"/>
          <w:numId w:val="1377"/>
        </w:numPr>
        <w:pStyle w:val="Compact"/>
      </w:pPr>
      <w:r>
        <w:t xml:space="preserve">2016 · Bailey TS ·</w:t>
      </w:r>
      <w:r>
        <w:t xml:space="preserve"> </w:t>
      </w:r>
      <w:r>
        <w:rPr>
          <w:iCs/>
          <w:i/>
        </w:rPr>
        <w:t xml:space="preserve">Diabetes Obes Metab</w:t>
      </w:r>
      <w:r>
        <w:t xml:space="preserve"> </w:t>
      </w:r>
      <w:r>
        <w:t xml:space="preserve">· Efficacy and safety of switching from sitagliptin to liraglutide in subjects with type 2 diabetes (LIRA-SWITCH): a randomized, double-blind, double-dummy, active-controlled 26-week trial. PMID 27381275</w:t>
      </w:r>
    </w:p>
    <w:p>
      <w:pPr>
        <w:numPr>
          <w:ilvl w:val="0"/>
          <w:numId w:val="1377"/>
        </w:numPr>
        <w:pStyle w:val="Compact"/>
      </w:pPr>
      <w:r>
        <w:t xml:space="preserve">2016 · Azar ST ·</w:t>
      </w:r>
      <w:r>
        <w:t xml:space="preserve"> </w:t>
      </w:r>
      <w:r>
        <w:rPr>
          <w:iCs/>
          <w:i/>
        </w:rPr>
        <w:t xml:space="preserve">Diabetes Obes Metab</w:t>
      </w:r>
      <w:r>
        <w:t xml:space="preserve"> </w:t>
      </w:r>
      <w:r>
        <w:t xml:space="preserve">· Efficacy and safety of liraglutide compared to sulphonylurea during Ramadan in patients with type 2 diabetes (LIRA-Ramadan): a randomized trial. PMID 27376711</w:t>
      </w:r>
    </w:p>
    <w:p>
      <w:pPr>
        <w:numPr>
          <w:ilvl w:val="0"/>
          <w:numId w:val="1377"/>
        </w:numPr>
        <w:pStyle w:val="Compact"/>
      </w:pPr>
      <w:r>
        <w:t xml:space="preserve">2016 · Nauck M ·</w:t>
      </w:r>
      <w:r>
        <w:t xml:space="preserve"> </w:t>
      </w:r>
      <w:r>
        <w:rPr>
          <w:iCs/>
          <w:i/>
        </w:rPr>
        <w:t xml:space="preserve">Diabetes Care</w:t>
      </w:r>
      <w:r>
        <w:t xml:space="preserve"> </w:t>
      </w:r>
      <w:r>
        <w:t xml:space="preserve">· Once-Daily Liraglutide Versus Lixisenatide as Add-on to Metformin in Type 2 Diabetes: A 26-Week Randomized Controlled Clinical Trial. PMID 27311491</w:t>
      </w:r>
    </w:p>
    <w:p>
      <w:pPr>
        <w:numPr>
          <w:ilvl w:val="0"/>
          <w:numId w:val="1377"/>
        </w:numPr>
        <w:pStyle w:val="Compact"/>
      </w:pPr>
      <w:r>
        <w:t xml:space="preserve">2016 · Marso SP ·</w:t>
      </w:r>
      <w:r>
        <w:t xml:space="preserve"> </w:t>
      </w:r>
      <w:r>
        <w:rPr>
          <w:iCs/>
          <w:i/>
        </w:rPr>
        <w:t xml:space="preserve">N Engl J Med</w:t>
      </w:r>
      <w:r>
        <w:t xml:space="preserve"> </w:t>
      </w:r>
      <w:r>
        <w:t xml:space="preserve">· Liraglutide and Cardiovascular Outcomes in Type 2 Diabetes. PMID 27295427</w:t>
      </w:r>
    </w:p>
    <w:p>
      <w:pPr>
        <w:numPr>
          <w:ilvl w:val="0"/>
          <w:numId w:val="1377"/>
        </w:numPr>
        <w:pStyle w:val="Compact"/>
      </w:pPr>
      <w:r>
        <w:t xml:space="preserve">2016 · Farr OM ·</w:t>
      </w:r>
      <w:r>
        <w:t xml:space="preserve"> </w:t>
      </w:r>
      <w:r>
        <w:rPr>
          <w:iCs/>
          <w:i/>
        </w:rPr>
        <w:t xml:space="preserve">Metabolism</w:t>
      </w:r>
      <w:r>
        <w:t xml:space="preserve"> </w:t>
      </w:r>
      <w:r>
        <w:t xml:space="preserve">· Short-term administration of the GLP-1 analog liraglutide decreases circulating leptin and increases GIP levels and these changes are associated with alterations in CNS responses to food cues: A randomized, placebo-controlled, crossover study. PMID 27282865</w:t>
      </w:r>
    </w:p>
    <w:p>
      <w:pPr>
        <w:numPr>
          <w:ilvl w:val="0"/>
          <w:numId w:val="1377"/>
        </w:numPr>
        <w:pStyle w:val="Compact"/>
      </w:pPr>
      <w:r>
        <w:t xml:space="preserve">2016 · Mader JK ·</w:t>
      </w:r>
      <w:r>
        <w:t xml:space="preserve"> </w:t>
      </w:r>
      <w:r>
        <w:rPr>
          <w:iCs/>
          <w:i/>
        </w:rPr>
        <w:t xml:space="preserve">Clin Pharmacokinet</w:t>
      </w:r>
      <w:r>
        <w:t xml:space="preserve"> </w:t>
      </w:r>
      <w:r>
        <w:t xml:space="preserve">· Pharmacokinetic Properties of Liraglutide as Adjunct to Insulin in Subjects with Type 1 Diabetes Mellitus. PMID 27282158</w:t>
      </w:r>
    </w:p>
    <w:p>
      <w:pPr>
        <w:numPr>
          <w:ilvl w:val="0"/>
          <w:numId w:val="1377"/>
        </w:numPr>
        <w:pStyle w:val="Compact"/>
      </w:pPr>
      <w:r>
        <w:t xml:space="preserve">2016 · Vanderheiden A ·</w:t>
      </w:r>
      <w:r>
        <w:t xml:space="preserve"> </w:t>
      </w:r>
      <w:r>
        <w:rPr>
          <w:iCs/>
          <w:i/>
        </w:rPr>
        <w:t xml:space="preserve">JAMA Intern Med</w:t>
      </w:r>
      <w:r>
        <w:t xml:space="preserve"> </w:t>
      </w:r>
      <w:r>
        <w:t xml:space="preserve">· Effect of Adding Liraglutide vs Placebo to a High-Dose lnsulin Regimen in Patients With Type 2 Diabetes: A Randomized Clinical Trial. PMID 27273731</w:t>
      </w:r>
    </w:p>
    <w:p>
      <w:pPr>
        <w:numPr>
          <w:ilvl w:val="0"/>
          <w:numId w:val="1377"/>
        </w:numPr>
        <w:pStyle w:val="Compact"/>
      </w:pPr>
      <w:r>
        <w:t xml:space="preserve">2016 · Kuhadiya ND ·</w:t>
      </w:r>
      <w:r>
        <w:t xml:space="preserve"> </w:t>
      </w:r>
      <w:r>
        <w:rPr>
          <w:iCs/>
          <w:i/>
        </w:rPr>
        <w:t xml:space="preserve">Diabetes Care</w:t>
      </w:r>
      <w:r>
        <w:t xml:space="preserve"> </w:t>
      </w:r>
      <w:r>
        <w:t xml:space="preserve">· Addition of Liraglutide to Insulin in Patients With Type 1 Diabetes: A Randomized Placebo-Controlled Clinical Trial of 12 Weeks. PMID 27208343</w:t>
      </w:r>
    </w:p>
    <w:p>
      <w:pPr>
        <w:numPr>
          <w:ilvl w:val="0"/>
          <w:numId w:val="137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77"/>
        </w:numPr>
        <w:pStyle w:val="Compact"/>
      </w:pPr>
      <w:r>
        <w:t xml:space="preserve">2016 · Kolotkin RL ·</w:t>
      </w:r>
      <w:r>
        <w:t xml:space="preserve"> </w:t>
      </w:r>
      <w:r>
        <w:rPr>
          <w:iCs/>
          <w:i/>
        </w:rPr>
        <w:t xml:space="preserve">Clin Obes</w:t>
      </w:r>
      <w:r>
        <w:t xml:space="preserve"> </w:t>
      </w:r>
      <w:r>
        <w:t xml:space="preserve">· Improvements in health-related quality of life with liraglutide 3.0 mg compared with placebo in weight management. PMID 27198973</w:t>
      </w:r>
    </w:p>
    <w:p>
      <w:pPr>
        <w:numPr>
          <w:ilvl w:val="0"/>
          <w:numId w:val="1377"/>
        </w:numPr>
        <w:pStyle w:val="Compact"/>
      </w:pPr>
      <w:r>
        <w:t xml:space="preserve">2016 · Overgaard RV ·</w:t>
      </w:r>
      <w:r>
        <w:t xml:space="preserve"> </w:t>
      </w:r>
      <w:r>
        <w:rPr>
          <w:iCs/>
          <w:i/>
        </w:rPr>
        <w:t xml:space="preserve">Clin Pharmacokinet</w:t>
      </w:r>
      <w:r>
        <w:t xml:space="preserve"> </w:t>
      </w:r>
      <w:r>
        <w:t xml:space="preserve">· Liraglutide 3.0 mg for Weight Management: A Population Pharmacokinetic Analysis. PMID 27193270</w:t>
      </w:r>
    </w:p>
    <w:p>
      <w:pPr>
        <w:numPr>
          <w:ilvl w:val="0"/>
          <w:numId w:val="1377"/>
        </w:numPr>
        <w:pStyle w:val="Compact"/>
      </w:pPr>
      <w:r>
        <w:t xml:space="preserve">2016 · Ilkowitz JT ·</w:t>
      </w:r>
      <w:r>
        <w:t xml:space="preserve"> </w:t>
      </w:r>
      <w:r>
        <w:rPr>
          <w:iCs/>
          <w:i/>
        </w:rPr>
        <w:t xml:space="preserve">J Diabetes Sci Technol</w:t>
      </w:r>
      <w:r>
        <w:t xml:space="preserve"> </w:t>
      </w:r>
      <w:r>
        <w:t xml:space="preserve">· Adjuvant Liraglutide and Insulin Versus Insulin Monotherapy in the Closed-Loop System in Type 1 Diabetes: A Randomized Open-Labeled Crossover Design Trial. PMID 27184690</w:t>
      </w:r>
    </w:p>
    <w:p>
      <w:pPr>
        <w:numPr>
          <w:ilvl w:val="0"/>
          <w:numId w:val="1377"/>
        </w:numPr>
        <w:pStyle w:val="Compact"/>
      </w:pPr>
      <w:r>
        <w:t xml:space="preserve">2016 · Seino Y ·</w:t>
      </w:r>
      <w:r>
        <w:t xml:space="preserve"> </w:t>
      </w:r>
      <w:r>
        <w:rPr>
          <w:iCs/>
          <w:i/>
        </w:rPr>
        <w:t xml:space="preserve">J Diabetes Investig</w:t>
      </w:r>
      <w:r>
        <w:t xml:space="preserve"> </w:t>
      </w:r>
      <w:r>
        <w:t xml:space="preserve">· Combination therapy with liraglutide and insulin in Japanese patients with type 2 diabetes: A 36-week, randomized, double-blind, parallel-group trial. PMID 27182042</w:t>
      </w:r>
    </w:p>
    <w:p>
      <w:pPr>
        <w:numPr>
          <w:ilvl w:val="0"/>
          <w:numId w:val="1377"/>
        </w:numPr>
        <w:pStyle w:val="Compact"/>
      </w:pPr>
      <w:r>
        <w:t xml:space="preserve">2016 · Chen P ·</w:t>
      </w:r>
      <w:r>
        <w:t xml:space="preserve"> </w:t>
      </w:r>
      <w:r>
        <w:rPr>
          <w:iCs/>
          <w:i/>
        </w:rPr>
        <w:t xml:space="preserve">Zhonghua Nei Ke Za Zhi</w:t>
      </w:r>
      <w:r>
        <w:t xml:space="preserve"> </w:t>
      </w:r>
      <w:r>
        <w:t xml:space="preserve">· [The effect of liraglutide in combination with human umbilical cord mesenchymal stem cells treatment on glucose metabolism and β cell function in type 2 diabetes mellitus]. PMID 27143183</w:t>
      </w:r>
    </w:p>
    <w:p>
      <w:pPr>
        <w:numPr>
          <w:ilvl w:val="0"/>
          <w:numId w:val="1377"/>
        </w:numPr>
        <w:pStyle w:val="Compact"/>
      </w:pPr>
      <w:r>
        <w:t xml:space="preserve">2016 · Hodge RJ ·</w:t>
      </w:r>
      <w:r>
        <w:t xml:space="preserve"> </w:t>
      </w:r>
      <w:r>
        <w:rPr>
          <w:iCs/>
          <w:i/>
        </w:rPr>
        <w:t xml:space="preserve">PLoS One</w:t>
      </w:r>
      <w:r>
        <w:t xml:space="preserve"> </w:t>
      </w:r>
      <w:r>
        <w:t xml:space="preserve">· Weight and Glucose Reduction Observed with a Combination of Nutritional Agents in Rodent Models Does Not Translate to Humans in a Randomized Clinical Trial with Healthy Volunteers and Subjects with Type 2 Diabetes. PMID 27093610</w:t>
      </w:r>
    </w:p>
    <w:p>
      <w:pPr>
        <w:numPr>
          <w:ilvl w:val="0"/>
          <w:numId w:val="1377"/>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7"/>
        </w:numPr>
        <w:pStyle w:val="Compact"/>
      </w:pPr>
      <w:r>
        <w:t xml:space="preserve">2016 · Zang L ·</w:t>
      </w:r>
      <w:r>
        <w:t xml:space="preserve"> </w:t>
      </w:r>
      <w:r>
        <w:rPr>
          <w:iCs/>
          <w:i/>
        </w:rPr>
        <w:t xml:space="preserve">Diabetes Obes Metab</w:t>
      </w:r>
      <w:r>
        <w:t xml:space="preserve"> </w:t>
      </w:r>
      <w:r>
        <w:t xml:space="preserve">· Efficacy and safety of liraglutide versus sitagliptin, both in combination with metformin, in Chinese patients with type 2 diabetes: a 26-week, open-label, randomized, active comparator clinical trial. PMID 27060930</w:t>
      </w:r>
    </w:p>
    <w:p>
      <w:pPr>
        <w:numPr>
          <w:ilvl w:val="0"/>
          <w:numId w:val="1377"/>
        </w:numPr>
        <w:pStyle w:val="Compact"/>
      </w:pPr>
      <w:r>
        <w:t xml:space="preserve">2016 · Blackman A ·</w:t>
      </w:r>
      <w:r>
        <w:t xml:space="preserve"> </w:t>
      </w:r>
      <w:r>
        <w:rPr>
          <w:iCs/>
          <w:i/>
        </w:rPr>
        <w:t xml:space="preserve">Int J Obes (Lond)</w:t>
      </w:r>
      <w:r>
        <w:t xml:space="preserve"> </w:t>
      </w:r>
      <w:r>
        <w:t xml:space="preserve">· Effect of liraglutide 3.0 mg in individuals with obesity and moderate or severe obstructive sleep apnea: the SCALE Sleep Apnea randomized clinical trial. PMID 27005405</w:t>
      </w:r>
    </w:p>
    <w:p>
      <w:pPr>
        <w:numPr>
          <w:ilvl w:val="0"/>
          <w:numId w:val="1377"/>
        </w:numPr>
        <w:pStyle w:val="Compact"/>
      </w:pPr>
      <w:r>
        <w:t xml:space="preserve">2016 · Aroda VR ·</w:t>
      </w:r>
      <w:r>
        <w:t xml:space="preserve"> </w:t>
      </w:r>
      <w:r>
        <w:rPr>
          <w:iCs/>
          <w:i/>
        </w:rPr>
        <w:t xml:space="preserve">Diabetes Obes Metab</w:t>
      </w:r>
      <w:r>
        <w:t xml:space="preserve"> </w:t>
      </w:r>
      <w:r>
        <w:t xml:space="preserve">· Effect of adding insulin degludec to treatment in patients with type 2 diabetes inadequately controlled with metformin and liraglutide: a double-blind randomized controlled trial (BEGIN: ADD TO GLP-1 Study). PMID 26990378</w:t>
      </w:r>
    </w:p>
    <w:p>
      <w:pPr>
        <w:numPr>
          <w:ilvl w:val="0"/>
          <w:numId w:val="1377"/>
        </w:numPr>
        <w:pStyle w:val="Compact"/>
      </w:pPr>
      <w:r>
        <w:t xml:space="preserve">2016 · Lingvay I ·</w:t>
      </w:r>
      <w:r>
        <w:t xml:space="preserve"> </w:t>
      </w:r>
      <w:r>
        <w:rPr>
          <w:iCs/>
          <w:i/>
        </w:rPr>
        <w:t xml:space="preserve">JAMA</w:t>
      </w:r>
      <w:r>
        <w:t xml:space="preserve"> </w:t>
      </w:r>
      <w:r>
        <w:t xml:space="preserve">· Effect of Insulin Glargine Up-titration vs Insulin Degludec/Liraglutide on Glycated Hemoglobin Levels in Patients With Uncontrolled Type 2 Diabetes: The DUAL V Randomized Clinical Trial. PMID 26934259</w:t>
      </w:r>
    </w:p>
    <w:p>
      <w:pPr>
        <w:numPr>
          <w:ilvl w:val="0"/>
          <w:numId w:val="1377"/>
        </w:numPr>
        <w:pStyle w:val="Compact"/>
      </w:pPr>
      <w:r>
        <w:t xml:space="preserve">2016 · Skov J ·</w:t>
      </w:r>
      <w:r>
        <w:t xml:space="preserve"> </w:t>
      </w:r>
      <w:r>
        <w:rPr>
          <w:iCs/>
          <w:i/>
        </w:rPr>
        <w:t xml:space="preserve">Diabetes Obes Metab</w:t>
      </w:r>
      <w:r>
        <w:t xml:space="preserve"> </w:t>
      </w:r>
      <w:r>
        <w:t xml:space="preserve">· Short-term effects of liraglutide on kidney function and vasoactive hormones in type 2 diabetes: a randomized clinical trial. PMID 26910107</w:t>
      </w:r>
    </w:p>
    <w:p>
      <w:pPr>
        <w:numPr>
          <w:ilvl w:val="0"/>
          <w:numId w:val="1377"/>
        </w:numPr>
        <w:pStyle w:val="Compact"/>
      </w:pPr>
      <w:r>
        <w:t xml:space="preserve">2016 · Vanderheiden A ·</w:t>
      </w:r>
      <w:r>
        <w:t xml:space="preserve"> </w:t>
      </w:r>
      <w:r>
        <w:rPr>
          <w:iCs/>
          <w:i/>
        </w:rPr>
        <w:t xml:space="preserve">J Clin Endocrinol Metab</w:t>
      </w:r>
      <w:r>
        <w:t xml:space="preserve"> </w:t>
      </w:r>
      <w:r>
        <w:t xml:space="preserve">· Mechanisms of Action of Liraglutide in Patients With Type 2 Diabetes Treated With High-Dose Insulin. PMID 26909799</w:t>
      </w:r>
    </w:p>
    <w:p>
      <w:pPr>
        <w:numPr>
          <w:ilvl w:val="0"/>
          <w:numId w:val="1377"/>
        </w:numPr>
        <w:pStyle w:val="Compact"/>
      </w:pPr>
      <w:r>
        <w:t xml:space="preserve">2016 · Masmiquel L ·</w:t>
      </w:r>
      <w:r>
        <w:t xml:space="preserve"> </w:t>
      </w:r>
      <w:r>
        <w:rPr>
          <w:iCs/>
          <w:i/>
        </w:rPr>
        <w:t xml:space="preserve">Cardiovasc Diabetol</w:t>
      </w:r>
      <w:r>
        <w:t xml:space="preserve"> </w:t>
      </w:r>
      <w:r>
        <w:t xml:space="preserve">· LEADER 5: prevalence and cardiometabolic impact of obesity in cardiovascular high-risk patients with type 2 diabetes mellitus: baseline global data from the LEADER trial. PMID 26864124</w:t>
      </w:r>
    </w:p>
    <w:p>
      <w:pPr>
        <w:numPr>
          <w:ilvl w:val="0"/>
          <w:numId w:val="1377"/>
        </w:numPr>
        <w:pStyle w:val="Compact"/>
      </w:pPr>
      <w:r>
        <w:t xml:space="preserve">2016 · Petrie JR ·</w:t>
      </w:r>
      <w:r>
        <w:t xml:space="preserve"> </w:t>
      </w:r>
      <w:r>
        <w:rPr>
          <w:iCs/>
          <w:i/>
        </w:rPr>
        <w:t xml:space="preserve">J Hypertens</w:t>
      </w:r>
      <w:r>
        <w:t xml:space="preserve"> </w:t>
      </w:r>
      <w:r>
        <w:t xml:space="preserve">· LEADER-4: blood pressure control in patients with type 2 diabetes and high cardiovascular risk: baseline data from the LEADER randomized trial. PMID 26855018</w:t>
      </w:r>
    </w:p>
    <w:p>
      <w:pPr>
        <w:numPr>
          <w:ilvl w:val="0"/>
          <w:numId w:val="1377"/>
        </w:numPr>
        <w:pStyle w:val="Compact"/>
      </w:pPr>
      <w:r>
        <w:t xml:space="preserve">2016 · Chen WR ·</w:t>
      </w:r>
      <w:r>
        <w:t xml:space="preserve"> </w:t>
      </w:r>
      <w:r>
        <w:rPr>
          <w:iCs/>
          <w:i/>
        </w:rPr>
        <w:t xml:space="preserve">Int J Cardiol</w:t>
      </w:r>
      <w:r>
        <w:t xml:space="preserve"> </w:t>
      </w:r>
      <w:r>
        <w:t xml:space="preserve">· Effects of liraglutide on no-reflow in patients with acute ST-segment elevation myocardial infarction. PMID 26849684</w:t>
      </w:r>
    </w:p>
    <w:p>
      <w:pPr>
        <w:numPr>
          <w:ilvl w:val="0"/>
          <w:numId w:val="1377"/>
        </w:numPr>
        <w:pStyle w:val="Compact"/>
      </w:pPr>
      <w:r>
        <w:t xml:space="preserve">2016 · Wilding JP ·</w:t>
      </w:r>
      <w:r>
        <w:t xml:space="preserve"> </w:t>
      </w:r>
      <w:r>
        <w:rPr>
          <w:iCs/>
          <w:i/>
        </w:rPr>
        <w:t xml:space="preserve">Diabetes Obes Metab</w:t>
      </w:r>
      <w:r>
        <w:t xml:space="preserve"> </w:t>
      </w:r>
      <w:r>
        <w:t xml:space="preserve">· Exposure-response analyses of liraglutide 3.0 mg for weight management. PMID 26833744</w:t>
      </w:r>
    </w:p>
    <w:p>
      <w:pPr>
        <w:numPr>
          <w:ilvl w:val="0"/>
          <w:numId w:val="1377"/>
        </w:numPr>
        <w:pStyle w:val="Compact"/>
      </w:pPr>
      <w:r>
        <w:t xml:space="preserve">2016 · Farr OM ·</w:t>
      </w:r>
      <w:r>
        <w:t xml:space="preserve"> </w:t>
      </w:r>
      <w:r>
        <w:rPr>
          <w:iCs/>
          <w:i/>
        </w:rPr>
        <w:t xml:space="preserve">Diabetologia</w:t>
      </w:r>
      <w:r>
        <w:t xml:space="preserve"> </w:t>
      </w:r>
      <w:r>
        <w:t xml:space="preserve">· GLP-1 receptors exist in the parietal cortex, hypothalamus and medulla of human brains and the GLP-1 analogue liraglutide alters brain activity related to highly desirable food cues in individuals with diabetes: a crossover, randomised, placebo-controlled trial. PMID 26831302</w:t>
      </w:r>
    </w:p>
    <w:p>
      <w:pPr>
        <w:numPr>
          <w:ilvl w:val="0"/>
          <w:numId w:val="1377"/>
        </w:numPr>
        <w:pStyle w:val="Compact"/>
      </w:pPr>
      <w:r>
        <w:t xml:space="preserve">2016 · Kaku K ·</w:t>
      </w:r>
      <w:r>
        <w:t xml:space="preserve"> </w:t>
      </w:r>
      <w:r>
        <w:rPr>
          <w:iCs/>
          <w:i/>
        </w:rPr>
        <w:t xml:space="preserve">J Diabetes Investig</w:t>
      </w:r>
      <w:r>
        <w:t xml:space="preserve"> </w:t>
      </w:r>
      <w:r>
        <w:t xml:space="preserve">· Liraglutide is effective and well tolerated in combination with an oral antidiabetic drug in Japanese patients with type 2 diabetes: A randomized, 52-week, open-label, parallel-group trial. PMID 26816604</w:t>
      </w:r>
    </w:p>
    <w:p>
      <w:pPr>
        <w:numPr>
          <w:ilvl w:val="0"/>
          <w:numId w:val="1377"/>
        </w:numPr>
        <w:pStyle w:val="Compact"/>
      </w:pPr>
      <w:r>
        <w:t xml:space="preserve">2016 · Ard J ·</w:t>
      </w:r>
      <w:r>
        <w:t xml:space="preserve"> </w:t>
      </w:r>
      <w:r>
        <w:rPr>
          <w:iCs/>
          <w:i/>
        </w:rPr>
        <w:t xml:space="preserve">Diabetes Obes Metab</w:t>
      </w:r>
      <w:r>
        <w:t xml:space="preserve"> </w:t>
      </w:r>
      <w:r>
        <w:t xml:space="preserve">· Efficacy and safety of liraglutide 3.0 mg for weight management are similar across races: subgroup analysis across the SCALE and phase II randomized trials. PMID 26744025</w:t>
      </w:r>
    </w:p>
    <w:p>
      <w:pPr>
        <w:numPr>
          <w:ilvl w:val="0"/>
          <w:numId w:val="1377"/>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7"/>
        </w:numPr>
        <w:pStyle w:val="Compact"/>
      </w:pPr>
      <w:r>
        <w:t xml:space="preserve">2016 · Davies MJ ·</w:t>
      </w:r>
      <w:r>
        <w:t xml:space="preserve"> </w:t>
      </w:r>
      <w:r>
        <w:rPr>
          <w:iCs/>
          <w:i/>
        </w:rPr>
        <w:t xml:space="preserve">Diabetes Care</w:t>
      </w:r>
      <w:r>
        <w:t xml:space="preserve"> </w:t>
      </w:r>
      <w:r>
        <w:t xml:space="preserve">· Efficacy and Safety of Liraglutide Versus Placebo as Add-on to Glucose-Lowering Therapy in Patients With Type 2 Diabetes and Moderate Renal Impairment (LIRA-RENAL): A Randomized Clinical Trial. PMID 26681713</w:t>
      </w:r>
    </w:p>
    <w:p>
      <w:pPr>
        <w:numPr>
          <w:ilvl w:val="0"/>
          <w:numId w:val="1377"/>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7"/>
        </w:numPr>
        <w:pStyle w:val="Compact"/>
      </w:pPr>
      <w:r>
        <w:t xml:space="preserve">2016 · Dejgaard TF ·</w:t>
      </w:r>
      <w:r>
        <w:t xml:space="preserve"> </w:t>
      </w:r>
      <w:r>
        <w:rPr>
          <w:iCs/>
          <w:i/>
        </w:rPr>
        <w:t xml:space="preserve">Lancet Diabetes Endocrinol</w:t>
      </w:r>
      <w:r>
        <w:t xml:space="preserve"> </w:t>
      </w:r>
      <w:r>
        <w:t xml:space="preserve">· Efficacy and safety of liraglutide for overweight adult patients with type 1 diabetes and insufficient glycaemic control (Lira-1): a randomised, double-blind, placebo-controlled trial. PMID 26656289</w:t>
      </w:r>
    </w:p>
    <w:p>
      <w:pPr>
        <w:numPr>
          <w:ilvl w:val="0"/>
          <w:numId w:val="1377"/>
        </w:numPr>
        <w:pStyle w:val="Compact"/>
      </w:pPr>
      <w:r>
        <w:t xml:space="preserve">2016 · Ke W ·</w:t>
      </w:r>
      <w:r>
        <w:t xml:space="preserve"> </w:t>
      </w:r>
      <w:r>
        <w:rPr>
          <w:iCs/>
          <w:i/>
        </w:rPr>
        <w:t xml:space="preserve">J Diabetes Res</w:t>
      </w:r>
      <w:r>
        <w:t xml:space="preserve"> </w:t>
      </w:r>
      <w:r>
        <w:t xml:space="preserve">· Effects of Liraglutide Combined with Short-Term Continuous Subcutaneous Insulin Infusion on Glycemic Control and Beta Cell Function in Patients with Newly Diagnosed Type 2 Diabetes Mellitus: A Pilot Study. PMID 26640805</w:t>
      </w:r>
    </w:p>
    <w:p>
      <w:pPr>
        <w:numPr>
          <w:ilvl w:val="0"/>
          <w:numId w:val="1377"/>
        </w:numPr>
        <w:pStyle w:val="Compact"/>
      </w:pPr>
      <w:r>
        <w:t xml:space="preserve">2016 · Armstrong MJ ·</w:t>
      </w:r>
      <w:r>
        <w:t xml:space="preserve"> </w:t>
      </w:r>
      <w:r>
        <w:rPr>
          <w:iCs/>
          <w:i/>
        </w:rPr>
        <w:t xml:space="preserve">Lancet</w:t>
      </w:r>
      <w:r>
        <w:t xml:space="preserve"> </w:t>
      </w:r>
      <w:r>
        <w:t xml:space="preserve">· Liraglutide safety and efficacy in patients with non-alcoholic steatohepatitis (LEAN): a multicentre, double-blind, randomised, placebo-controlled phase 2 study. PMID 26608256</w:t>
      </w:r>
    </w:p>
    <w:p>
      <w:pPr>
        <w:numPr>
          <w:ilvl w:val="0"/>
          <w:numId w:val="1377"/>
        </w:numPr>
        <w:pStyle w:val="Compact"/>
      </w:pPr>
      <w:r>
        <w:t xml:space="preserve">2016 · Gilbert MP ·</w:t>
      </w:r>
      <w:r>
        <w:t xml:space="preserve"> </w:t>
      </w:r>
      <w:r>
        <w:rPr>
          <w:iCs/>
          <w:i/>
        </w:rPr>
        <w:t xml:space="preserve">Endocr Pract</w:t>
      </w:r>
      <w:r>
        <w:t xml:space="preserve"> </w:t>
      </w:r>
      <w:r>
        <w:t xml:space="preserve">· COMPARISON OF THE LONG-TERM EFFECTS OF LIRAGLUTIDE AND GLIMEPIRIDE MONOTHERAPY ON BONE MINERAL DENSITY IN PATIENTS WITH TYPE 2 DIABETES. PMID 26574791</w:t>
      </w:r>
    </w:p>
    <w:p>
      <w:pPr>
        <w:numPr>
          <w:ilvl w:val="0"/>
          <w:numId w:val="1377"/>
        </w:numPr>
        <w:pStyle w:val="Compact"/>
      </w:pPr>
      <w:r>
        <w:t xml:space="preserve">2016 · Chen WR ·</w:t>
      </w:r>
      <w:r>
        <w:t xml:space="preserve"> </w:t>
      </w:r>
      <w:r>
        <w:rPr>
          <w:iCs/>
          <w:i/>
        </w:rPr>
        <w:t xml:space="preserve">Endocrine</w:t>
      </w:r>
      <w:r>
        <w:t xml:space="preserve"> </w:t>
      </w:r>
      <w:r>
        <w:t xml:space="preserve">· Effects of liraglutide on left ventricular function in patients with non-ST-segment elevation myocardial infarction. PMID 26573925</w:t>
      </w:r>
    </w:p>
    <w:p>
      <w:pPr>
        <w:numPr>
          <w:ilvl w:val="0"/>
          <w:numId w:val="1377"/>
        </w:numPr>
        <w:pStyle w:val="Compact"/>
      </w:pPr>
      <w:r>
        <w:t xml:space="preserve">2016 · de Wit HM ·</w:t>
      </w:r>
      <w:r>
        <w:t xml:space="preserve"> </w:t>
      </w:r>
      <w:r>
        <w:rPr>
          <w:iCs/>
          <w:i/>
        </w:rPr>
        <w:t xml:space="preserve">J Intern Med</w:t>
      </w:r>
      <w:r>
        <w:t xml:space="preserve"> </w:t>
      </w:r>
      <w:r>
        <w:t xml:space="preserve">· Durable efficacy of liraglutide in patients with type 2 diabetes and pronounced insulin-associated weight gain: 52-week results from the Effect of Liraglutide on insulin-associated wEight GAiN in patients with Type 2 diabetes’ (ELEGANT) randomized controlled trial. PMID 26553486</w:t>
      </w:r>
    </w:p>
    <w:p>
      <w:pPr>
        <w:numPr>
          <w:ilvl w:val="0"/>
          <w:numId w:val="1377"/>
        </w:numPr>
        <w:pStyle w:val="Compact"/>
      </w:pPr>
      <w:r>
        <w:t xml:space="preserve">2016 · Armstrong MJ ·</w:t>
      </w:r>
      <w:r>
        <w:t xml:space="preserve"> </w:t>
      </w:r>
      <w:r>
        <w:rPr>
          <w:iCs/>
          <w:i/>
        </w:rPr>
        <w:t xml:space="preserve">J Hepatol</w:t>
      </w:r>
      <w:r>
        <w:t xml:space="preserve"> </w:t>
      </w:r>
      <w:r>
        <w:t xml:space="preserve">· Glucagon-like peptide 1 decreases lipotoxicity in non-alcoholic steatohepatitis. PMID 26394161</w:t>
      </w:r>
    </w:p>
    <w:p>
      <w:pPr>
        <w:numPr>
          <w:ilvl w:val="0"/>
          <w:numId w:val="1377"/>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p>
      <w:pPr>
        <w:numPr>
          <w:ilvl w:val="0"/>
          <w:numId w:val="1377"/>
        </w:numPr>
        <w:pStyle w:val="Compact"/>
      </w:pPr>
      <w:r>
        <w:t xml:space="preserve">2016 · Idorn T ·</w:t>
      </w:r>
      <w:r>
        <w:t xml:space="preserve"> </w:t>
      </w:r>
      <w:r>
        <w:rPr>
          <w:iCs/>
          <w:i/>
        </w:rPr>
        <w:t xml:space="preserve">Diabetes Care</w:t>
      </w:r>
      <w:r>
        <w:t xml:space="preserve"> </w:t>
      </w:r>
      <w:r>
        <w:t xml:space="preserve">· Safety and Efficacy of Liraglutide in Patients With Type 2 Diabetes and End-Stage Renal Disease: An Investigator-Initiated, Placebo-Controlled, Double-Blind, Parallel-Group, Randomized Trial. PMID 26283739</w:t>
      </w:r>
    </w:p>
    <w:p>
      <w:pPr>
        <w:numPr>
          <w:ilvl w:val="0"/>
          <w:numId w:val="1377"/>
        </w:numPr>
        <w:pStyle w:val="Compact"/>
      </w:pPr>
      <w:r>
        <w:t xml:space="preserve">2016 · Ten Kulve JS ·</w:t>
      </w:r>
      <w:r>
        <w:t xml:space="preserve"> </w:t>
      </w:r>
      <w:r>
        <w:rPr>
          <w:iCs/>
          <w:i/>
        </w:rPr>
        <w:t xml:space="preserve">Diabetes Care</w:t>
      </w:r>
      <w:r>
        <w:t xml:space="preserve"> </w:t>
      </w:r>
      <w:r>
        <w:t xml:space="preserve">· Liraglutide Reduces CNS Activation in Response to Visual Food Cues Only After Short-term Treatment in Patients With Type 2 Diabetes. PMID 26283736</w:t>
      </w:r>
    </w:p>
    <w:p>
      <w:pPr>
        <w:numPr>
          <w:ilvl w:val="0"/>
          <w:numId w:val="1377"/>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7"/>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7"/>
        </w:numPr>
        <w:pStyle w:val="Compact"/>
      </w:pPr>
      <w:r>
        <w:t xml:space="preserve">2015 · Lind M ·</w:t>
      </w:r>
      <w:r>
        <w:t xml:space="preserve"> </w:t>
      </w:r>
      <w:r>
        <w:rPr>
          <w:iCs/>
          <w:i/>
        </w:rPr>
        <w:t xml:space="preserve">BMJ</w:t>
      </w:r>
      <w:r>
        <w:t xml:space="preserve"> </w:t>
      </w:r>
      <w:r>
        <w:t xml:space="preserve">· Liraglutide in people treated for type 2 diabetes with multiple daily insulin injections: randomised clinical trial (MDI Liraglutide trial). PMID 26512041</w:t>
      </w:r>
    </w:p>
    <w:p>
      <w:pPr>
        <w:numPr>
          <w:ilvl w:val="0"/>
          <w:numId w:val="1377"/>
        </w:numPr>
        <w:pStyle w:val="Compact"/>
      </w:pPr>
      <w:r>
        <w:t xml:space="preserve">2015 · Frandsen CS ·</w:t>
      </w:r>
      <w:r>
        <w:t xml:space="preserve"> </w:t>
      </w:r>
      <w:r>
        <w:rPr>
          <w:iCs/>
          <w:i/>
        </w:rPr>
        <w:t xml:space="preserve">Diabetes Care</w:t>
      </w:r>
      <w:r>
        <w:t xml:space="preserve"> </w:t>
      </w:r>
      <w:r>
        <w:t xml:space="preserve">· Twelve-Week Treatment With Liraglutide as Add-on to Insulin in Normal-Weight Patients With Poorly Controlled Type 1 Diabetes: A Randomized, Placebo-Controlled, Double-Blind Parallel Study. PMID 26486191</w:t>
      </w:r>
    </w:p>
    <w:p>
      <w:pPr>
        <w:numPr>
          <w:ilvl w:val="0"/>
          <w:numId w:val="1377"/>
        </w:numPr>
        <w:pStyle w:val="Compact"/>
      </w:pPr>
      <w:r>
        <w:t xml:space="preserve">2015 · Holst JJ ·</w:t>
      </w:r>
      <w:r>
        <w:t xml:space="preserve"> </w:t>
      </w:r>
      <w:r>
        <w:rPr>
          <w:iCs/>
          <w:i/>
        </w:rPr>
        <w:t xml:space="preserve">J Diabetes Sci Technol</w:t>
      </w:r>
      <w:r>
        <w:t xml:space="preserve"> </w:t>
      </w:r>
      <w:r>
        <w:t xml:space="preserve">· IDegLira Improves Both Fasting and Postprandial Glucose Control as Demonstrated Using Continuous Glucose Monitoring and a Standardized Meal Test. PMID 26443290</w:t>
      </w:r>
    </w:p>
    <w:p>
      <w:pPr>
        <w:numPr>
          <w:ilvl w:val="0"/>
          <w:numId w:val="1377"/>
        </w:numPr>
        <w:pStyle w:val="Compact"/>
      </w:pPr>
      <w:r>
        <w:t xml:space="preserve">2015 · Malm-Erjefält M ·</w:t>
      </w:r>
      <w:r>
        <w:t xml:space="preserve"> </w:t>
      </w:r>
      <w:r>
        <w:rPr>
          <w:iCs/>
          <w:i/>
        </w:rPr>
        <w:t xml:space="preserve">Mol Pharm</w:t>
      </w:r>
      <w:r>
        <w:t xml:space="preserve"> </w:t>
      </w:r>
      <w:r>
        <w:t xml:space="preserve">· Effect on the Gastrointestinal Absorption of Drugs from Different Classes in the Biopharmaceutics Classification System, When Treating with Liraglutide. PMID 26426736</w:t>
      </w:r>
    </w:p>
    <w:p>
      <w:pPr>
        <w:numPr>
          <w:ilvl w:val="0"/>
          <w:numId w:val="1377"/>
        </w:numPr>
        <w:pStyle w:val="Compact"/>
      </w:pPr>
      <w:r>
        <w:t xml:space="preserve">2015 · Li D ·</w:t>
      </w:r>
      <w:r>
        <w:t xml:space="preserve"> </w:t>
      </w:r>
      <w:r>
        <w:rPr>
          <w:iCs/>
          <w:i/>
        </w:rPr>
        <w:t xml:space="preserve">Diabetes Res Clin Pract</w:t>
      </w:r>
      <w:r>
        <w:t xml:space="preserve"> </w:t>
      </w:r>
      <w:r>
        <w:t xml:space="preserve">· Liraglutide treatment causes upregulation of adiponectin and downregulation of resistin in Chinese type 2 diabetes. PMID 26376464</w:t>
      </w:r>
    </w:p>
    <w:p>
      <w:pPr>
        <w:numPr>
          <w:ilvl w:val="0"/>
          <w:numId w:val="1377"/>
        </w:numPr>
        <w:pStyle w:val="Compact"/>
      </w:pPr>
      <w:r>
        <w:t xml:space="preserve">2015 · Tanaka K ·</w:t>
      </w:r>
      <w:r>
        <w:t xml:space="preserve"> </w:t>
      </w:r>
      <w:r>
        <w:rPr>
          <w:iCs/>
          <w:i/>
        </w:rPr>
        <w:t xml:space="preserve">Clin Drug Investig</w:t>
      </w:r>
      <w:r>
        <w:t xml:space="preserve"> </w:t>
      </w:r>
      <w:r>
        <w:t xml:space="preserve">· Effects of Liraglutide Monotherapy on Beta Cell Function and Pancreatic Enzymes Compared with Metformin in Japanese Overweight/Obese Patients with Type 2 Diabetes Mellitus: A Subpopulation Analysis of the KIND-LM Randomized Trial. PMID 26369653</w:t>
      </w:r>
    </w:p>
    <w:p>
      <w:pPr>
        <w:numPr>
          <w:ilvl w:val="0"/>
          <w:numId w:val="1377"/>
        </w:numPr>
        <w:pStyle w:val="Compact"/>
      </w:pPr>
      <w:r>
        <w:t xml:space="preserve">2015 · Ma Z ·</w:t>
      </w:r>
      <w:r>
        <w:t xml:space="preserve"> </w:t>
      </w:r>
      <w:r>
        <w:rPr>
          <w:iCs/>
          <w:i/>
        </w:rPr>
        <w:t xml:space="preserve">Int J Clin Pharmacol Ther</w:t>
      </w:r>
      <w:r>
        <w:t xml:space="preserve"> </w:t>
      </w:r>
      <w:r>
        <w:t xml:space="preserve">· Effect of liraglutide vs. NPH in combination with metformin on blood glucose fluctuations assessed using continuous glucose monitoring in patients with newly diagnosed type 2 diabetes. PMID 26365337</w:t>
      </w:r>
    </w:p>
    <w:p>
      <w:pPr>
        <w:numPr>
          <w:ilvl w:val="0"/>
          <w:numId w:val="1377"/>
        </w:numPr>
        <w:pStyle w:val="Compact"/>
      </w:pPr>
      <w:r>
        <w:t xml:space="preserve">2015 · Østoft SH ·</w:t>
      </w:r>
      <w:r>
        <w:t xml:space="preserve"> </w:t>
      </w:r>
      <w:r>
        <w:rPr>
          <w:iCs/>
          <w:i/>
        </w:rPr>
        <w:t xml:space="preserve">Dan Med J</w:t>
      </w:r>
      <w:r>
        <w:t xml:space="preserve"> </w:t>
      </w:r>
      <w:r>
        <w:t xml:space="preserve">· Incretin hormones and maturity onset diabetes of the young–pathophysiological implications and anti-diabetic treatment potential. PMID 26324089</w:t>
      </w:r>
    </w:p>
    <w:p>
      <w:pPr>
        <w:numPr>
          <w:ilvl w:val="0"/>
          <w:numId w:val="1377"/>
        </w:numPr>
        <w:pStyle w:val="Compact"/>
      </w:pPr>
      <w:r>
        <w:t xml:space="preserve">2015 · Nomoto H ·</w:t>
      </w:r>
      <w:r>
        <w:t xml:space="preserve"> </w:t>
      </w:r>
      <w:r>
        <w:rPr>
          <w:iCs/>
          <w:i/>
        </w:rPr>
        <w:t xml:space="preserve">PLoS One</w:t>
      </w:r>
      <w:r>
        <w:t xml:space="preserve"> </w:t>
      </w:r>
      <w:r>
        <w:t xml:space="preserve">· A Comparison of the Effects of the GLP-1 Analogue Liraglutide and Insulin Glargine on Endothelial Function and Metabolic Parameters: A Randomized, Controlled Trial Sapporo Athero-Incretin Study 2 (SAIS2). PMID 26284918</w:t>
      </w:r>
    </w:p>
    <w:p>
      <w:pPr>
        <w:numPr>
          <w:ilvl w:val="0"/>
          <w:numId w:val="1377"/>
        </w:numPr>
        <w:pStyle w:val="Compact"/>
      </w:pPr>
      <w:r>
        <w:t xml:space="preserve">2015 · Davies MJ ·</w:t>
      </w:r>
      <w:r>
        <w:t xml:space="preserve"> </w:t>
      </w:r>
      <w:r>
        <w:rPr>
          <w:iCs/>
          <w:i/>
        </w:rPr>
        <w:t xml:space="preserve">JAMA</w:t>
      </w:r>
      <w:r>
        <w:t xml:space="preserve"> </w:t>
      </w:r>
      <w:r>
        <w:t xml:space="preserve">· Efficacy of Liraglutide for Weight Loss Among Patients With Type 2 Diabetes: The SCALE Diabetes Randomized Clinical Trial. PMID 26284720</w:t>
      </w:r>
    </w:p>
    <w:p>
      <w:pPr>
        <w:numPr>
          <w:ilvl w:val="0"/>
          <w:numId w:val="1377"/>
        </w:numPr>
        <w:pStyle w:val="Compact"/>
      </w:pPr>
      <w:r>
        <w:t xml:space="preserve">2015 · Yan L ·</w:t>
      </w:r>
      <w:r>
        <w:t xml:space="preserve"> </w:t>
      </w:r>
      <w:r>
        <w:rPr>
          <w:iCs/>
          <w:i/>
        </w:rPr>
        <w:t xml:space="preserve">Zhonghua Nei Ke Za Zhi</w:t>
      </w:r>
      <w:r>
        <w:t xml:space="preserve"> </w:t>
      </w:r>
      <w:r>
        <w:t xml:space="preserve">· [The efficacy and safety of human glucagon-like peptide-1 analogue liraglutide in newly diagnosed type 2 diabetes with glycosylated hemoglobin A1c &gt; 9]. PMID 26268058</w:t>
      </w:r>
    </w:p>
    <w:p>
      <w:pPr>
        <w:numPr>
          <w:ilvl w:val="0"/>
          <w:numId w:val="1377"/>
        </w:numPr>
        <w:pStyle w:val="Compact"/>
      </w:pPr>
      <w:r>
        <w:t xml:space="preserve">2015 · Kramer CK ·</w:t>
      </w:r>
      <w:r>
        <w:t xml:space="preserve"> </w:t>
      </w:r>
      <w:r>
        <w:rPr>
          <w:iCs/>
          <w:i/>
        </w:rPr>
        <w:t xml:space="preserve">J Clin Endocrinol Metab</w:t>
      </w:r>
      <w:r>
        <w:t xml:space="preserve"> </w:t>
      </w:r>
      <w:r>
        <w:t xml:space="preserve">· The Impact of Chronic Liraglutide Therapy on Glucagon Secretion in Type 2 Diabetes: Insight From the LIBRA Trial. PMID 26230296</w:t>
      </w:r>
    </w:p>
    <w:p>
      <w:pPr>
        <w:numPr>
          <w:ilvl w:val="0"/>
          <w:numId w:val="1377"/>
        </w:numPr>
        <w:pStyle w:val="Compact"/>
      </w:pPr>
      <w:r>
        <w:t xml:space="preserve">2015 · Rizvi AA ·</w:t>
      </w:r>
      <w:r>
        <w:t xml:space="preserve"> </w:t>
      </w:r>
      <w:r>
        <w:rPr>
          <w:iCs/>
          <w:i/>
        </w:rPr>
        <w:t xml:space="preserve">Expert Opin Biol Ther</w:t>
      </w:r>
      <w:r>
        <w:t xml:space="preserve"> </w:t>
      </w:r>
      <w:r>
        <w:t xml:space="preserve">· Liraglutide improves carotid intima-media thickness in patients with type 2 diabetes and non-alcoholic fatty liver disease: an 8-month prospective pilot study. PMID 26195184</w:t>
      </w:r>
    </w:p>
    <w:p>
      <w:pPr>
        <w:numPr>
          <w:ilvl w:val="0"/>
          <w:numId w:val="1377"/>
        </w:numPr>
        <w:pStyle w:val="Compact"/>
      </w:pPr>
      <w:r>
        <w:t xml:space="preserve">2015 · Fujioka K ·</w:t>
      </w:r>
      <w:r>
        <w:t xml:space="preserve"> </w:t>
      </w:r>
      <w:r>
        <w:rPr>
          <w:iCs/>
          <w:i/>
        </w:rPr>
        <w:t xml:space="preserve">J Diabetes Sci Technol</w:t>
      </w:r>
      <w:r>
        <w:t xml:space="preserve"> </w:t>
      </w:r>
      <w:r>
        <w:t xml:space="preserve">· Usability of the Novel Liraglutide 3.0 mg Pen Injector Among Overweight or Obese Adult Patients With or Without Prior Injection Experience. PMID 26183599</w:t>
      </w:r>
    </w:p>
    <w:p>
      <w:pPr>
        <w:numPr>
          <w:ilvl w:val="0"/>
          <w:numId w:val="1377"/>
        </w:numPr>
        <w:pStyle w:val="Compact"/>
      </w:pPr>
      <w:r>
        <w:t xml:space="preserve">2015 · Ahmann A ·</w:t>
      </w:r>
      <w:r>
        <w:t xml:space="preserve"> </w:t>
      </w:r>
      <w:r>
        <w:rPr>
          <w:iCs/>
          <w:i/>
        </w:rPr>
        <w:t xml:space="preserve">Diabetes Obes Metab</w:t>
      </w:r>
      <w:r>
        <w:t xml:space="preserve"> </w:t>
      </w:r>
      <w:r>
        <w:t xml:space="preserve">· Efficacy and safety of liraglutide versus placebo added to basal insulin analogues (with or without metformin) in patients with type 2 diabetes: a randomized, placebo-controlled trial. PMID 26179619</w:t>
      </w:r>
    </w:p>
    <w:p>
      <w:pPr>
        <w:numPr>
          <w:ilvl w:val="0"/>
          <w:numId w:val="1377"/>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7"/>
        </w:numPr>
        <w:pStyle w:val="Compact"/>
      </w:pPr>
      <w:r>
        <w:t xml:space="preserve">2015 · Pi-Sunyer X ·</w:t>
      </w:r>
      <w:r>
        <w:t xml:space="preserve"> </w:t>
      </w:r>
      <w:r>
        <w:rPr>
          <w:iCs/>
          <w:i/>
        </w:rPr>
        <w:t xml:space="preserve">N Engl J Med</w:t>
      </w:r>
      <w:r>
        <w:t xml:space="preserve"> </w:t>
      </w:r>
      <w:r>
        <w:t xml:space="preserve">· A Randomized, Controlled Trial of 3.0 mg of Liraglutide in Weight Management. PMID 26132939</w:t>
      </w:r>
    </w:p>
    <w:p>
      <w:pPr>
        <w:numPr>
          <w:ilvl w:val="0"/>
          <w:numId w:val="1377"/>
        </w:numPr>
        <w:pStyle w:val="Compact"/>
      </w:pPr>
      <w:r>
        <w:t xml:space="preserve">2015 · Iepsen EW ·</w:t>
      </w:r>
      <w:r>
        <w:t xml:space="preserve"> </w:t>
      </w:r>
      <w:r>
        <w:rPr>
          <w:iCs/>
          <w:i/>
        </w:rPr>
        <w:t xml:space="preserve">J Clin Endocrinol Metab</w:t>
      </w:r>
      <w:r>
        <w:t xml:space="preserve"> </w:t>
      </w:r>
      <w:r>
        <w:t xml:space="preserve">· GLP-1 Receptor Agonist Treatment Increases Bone Formation and Prevents Bone Loss in Weight-Reduced Obese Women. PMID 26043228</w:t>
      </w:r>
    </w:p>
    <w:p>
      <w:pPr>
        <w:numPr>
          <w:ilvl w:val="0"/>
          <w:numId w:val="1377"/>
        </w:numPr>
        <w:pStyle w:val="Compact"/>
      </w:pPr>
      <w:r>
        <w:t xml:space="preserve">2015 · Jensterle M ·</w:t>
      </w:r>
      <w:r>
        <w:t xml:space="preserve"> </w:t>
      </w:r>
      <w:r>
        <w:rPr>
          <w:iCs/>
          <w:i/>
        </w:rPr>
        <w:t xml:space="preserve">J Ovarian Res</w:t>
      </w:r>
      <w:r>
        <w:t xml:space="preserve"> </w:t>
      </w:r>
      <w:r>
        <w:t xml:space="preserve">· Short term monotherapy with GLP-1 receptor agonist liraglutide or PDE 4 inhibitor roflumilast is superior to metformin in weight loss in obese PCOS women: a pilot randomized study. PMID 26032655</w:t>
      </w:r>
    </w:p>
    <w:p>
      <w:pPr>
        <w:numPr>
          <w:ilvl w:val="0"/>
          <w:numId w:val="1377"/>
        </w:numPr>
        <w:pStyle w:val="Compact"/>
      </w:pPr>
      <w:r>
        <w:t xml:space="preserve">2015 · Kapitza C ·</w:t>
      </w:r>
      <w:r>
        <w:t xml:space="preserve"> </w:t>
      </w:r>
      <w:r>
        <w:rPr>
          <w:iCs/>
          <w:i/>
        </w:rPr>
        <w:t xml:space="preserve">J Clin Pharmacol</w:t>
      </w:r>
      <w:r>
        <w:t xml:space="preserve"> </w:t>
      </w:r>
      <w:r>
        <w:t xml:space="preserve">· Preserved pharmacokinetic exposure and distinct glycemic effects of insulin degludec and liraglutide in IDegLira, a fixed-ratio combination therapy. PMID 25998481</w:t>
      </w:r>
    </w:p>
    <w:p>
      <w:pPr>
        <w:numPr>
          <w:ilvl w:val="0"/>
          <w:numId w:val="1377"/>
        </w:numPr>
        <w:pStyle w:val="Compact"/>
      </w:pPr>
      <w:r>
        <w:t xml:space="preserve">2015 · Jensterle M ·</w:t>
      </w:r>
      <w:r>
        <w:t xml:space="preserve"> </w:t>
      </w:r>
      <w:r>
        <w:rPr>
          <w:iCs/>
          <w:i/>
        </w:rPr>
        <w:t xml:space="preserve">Eur J Clin Pharmacol</w:t>
      </w:r>
      <w:r>
        <w:t xml:space="preserve"> </w:t>
      </w:r>
      <w:r>
        <w:t xml:space="preserve">· Genetic variability in GLP-1 receptor is associated with inter-individual differences in weight lowering potential of liraglutide in obese women with PCOS: a pilot study. PMID 25991051</w:t>
      </w:r>
    </w:p>
    <w:p>
      <w:pPr>
        <w:numPr>
          <w:ilvl w:val="0"/>
          <w:numId w:val="1377"/>
        </w:numPr>
        <w:pStyle w:val="Compact"/>
      </w:pPr>
      <w:r>
        <w:t xml:space="preserve">2015 · Gough SC ·</w:t>
      </w:r>
      <w:r>
        <w:t xml:space="preserve"> </w:t>
      </w:r>
      <w:r>
        <w:rPr>
          <w:iCs/>
          <w:i/>
        </w:rPr>
        <w:t xml:space="preserve">Diabetes Obes Metab</w:t>
      </w:r>
      <w:r>
        <w:t xml:space="preserve"> </w:t>
      </w:r>
      <w:r>
        <w:t xml:space="preserve">· One-year efficacy and safety of a fixed combination of insulin degludec and liraglutide in patients with type 2 diabetes: results of a 26-week extension to a 26-week main trial. PMID 25980900</w:t>
      </w:r>
    </w:p>
    <w:p>
      <w:pPr>
        <w:numPr>
          <w:ilvl w:val="0"/>
          <w:numId w:val="1377"/>
        </w:numPr>
        <w:pStyle w:val="Compact"/>
      </w:pPr>
      <w:r>
        <w:t xml:space="preserve">2015 · von Scholten BJ ·</w:t>
      </w:r>
      <w:r>
        <w:t xml:space="preserve"> </w:t>
      </w:r>
      <w:r>
        <w:rPr>
          <w:iCs/>
          <w:i/>
        </w:rPr>
        <w:t xml:space="preserve">J Diabetes Complications</w:t>
      </w:r>
      <w:r>
        <w:t xml:space="preserve"> </w:t>
      </w:r>
      <w:r>
        <w:t xml:space="preserve">· Glucagon-like peptide 1 receptor agonist (GLP-1 RA): long-term effect on kidney function in patients with type 2 diabetes. PMID 25935863</w:t>
      </w:r>
    </w:p>
    <w:p>
      <w:pPr>
        <w:numPr>
          <w:ilvl w:val="0"/>
          <w:numId w:val="1377"/>
        </w:numPr>
        <w:pStyle w:val="Compact"/>
      </w:pPr>
      <w:r>
        <w:t xml:space="preserve">2015 · Faber R ·</w:t>
      </w:r>
      <w:r>
        <w:t xml:space="preserve"> </w:t>
      </w:r>
      <w:r>
        <w:rPr>
          <w:iCs/>
          <w:i/>
        </w:rPr>
        <w:t xml:space="preserve">Cardiovasc Diabetol</w:t>
      </w:r>
      <w:r>
        <w:t xml:space="preserve"> </w:t>
      </w:r>
      <w:r>
        <w:t xml:space="preserve">· Effect of the glucagon-like peptide-1 analogue liraglutide on coronary microvascular function in patients with type 2 diabetes - a randomized, single-blinded, cross-over pilot study. PMID 25896352</w:t>
      </w:r>
    </w:p>
    <w:p>
      <w:pPr>
        <w:numPr>
          <w:ilvl w:val="0"/>
          <w:numId w:val="1377"/>
        </w:numPr>
        <w:pStyle w:val="Compact"/>
      </w:pPr>
      <w:r>
        <w:t xml:space="preserve">2015 · Meier JJ ·</w:t>
      </w:r>
      <w:r>
        <w:t xml:space="preserve"> </w:t>
      </w:r>
      <w:r>
        <w:rPr>
          <w:iCs/>
          <w:i/>
        </w:rPr>
        <w:t xml:space="preserve">Diabetes Care</w:t>
      </w:r>
      <w:r>
        <w:t xml:space="preserve"> </w:t>
      </w:r>
      <w:r>
        <w:t xml:space="preserve">· Contrasting Effects of Lixisenatide and Liraglutide on Postprandial Glycemic Control, Gastric Emptying, and Safety Parameters in Patients With Type 2 Diabetes on Optimized Insulin Glargine With or Without Metformin: A Randomized, Open-Label Trial. PMID 25887358</w:t>
      </w:r>
    </w:p>
    <w:p>
      <w:pPr>
        <w:numPr>
          <w:ilvl w:val="0"/>
          <w:numId w:val="1377"/>
        </w:numPr>
        <w:pStyle w:val="Compact"/>
      </w:pPr>
      <w:r>
        <w:t xml:space="preserve">2015 · Jensterle M ·</w:t>
      </w:r>
      <w:r>
        <w:t xml:space="preserve"> </w:t>
      </w:r>
      <w:r>
        <w:rPr>
          <w:iCs/>
          <w:i/>
        </w:rPr>
        <w:t xml:space="preserve">Hormones (Athens)</w:t>
      </w:r>
      <w:r>
        <w:t xml:space="preserve"> </w:t>
      </w:r>
      <w:r>
        <w:t xml:space="preserve">· A 12-week treatment with the long-acting glucagon-like peptide 1 receptor agonist liraglutide leads to significant weight loss in a subset of obese women with newly diagnosed polycystic ovary syndrome. PMID 25885106</w:t>
      </w:r>
    </w:p>
    <w:p>
      <w:pPr>
        <w:numPr>
          <w:ilvl w:val="0"/>
          <w:numId w:val="1377"/>
        </w:numPr>
        <w:pStyle w:val="Compact"/>
      </w:pPr>
      <w:r>
        <w:t xml:space="preserve">2015 · Kahal H ·</w:t>
      </w:r>
      <w:r>
        <w:t xml:space="preserve"> </w:t>
      </w:r>
      <w:r>
        <w:rPr>
          <w:iCs/>
          <w:i/>
        </w:rPr>
        <w:t xml:space="preserve">BMC Endocr Disord</w:t>
      </w:r>
      <w:r>
        <w:t xml:space="preserve"> </w:t>
      </w:r>
      <w:r>
        <w:t xml:space="preserve">· The effects of treatment with liraglutide on atherothrombotic risk in obese young women with polycystic ovary syndrome and controls. PMID 25880805</w:t>
      </w:r>
    </w:p>
    <w:p>
      <w:pPr>
        <w:numPr>
          <w:ilvl w:val="0"/>
          <w:numId w:val="1377"/>
        </w:numPr>
        <w:pStyle w:val="Compact"/>
      </w:pPr>
      <w:r>
        <w:t xml:space="preserve">2015 · Robert SA ·</w:t>
      </w:r>
      <w:r>
        <w:t xml:space="preserve"> </w:t>
      </w:r>
      <w:r>
        <w:rPr>
          <w:iCs/>
          <w:i/>
        </w:rPr>
        <w:t xml:space="preserve">Obes Res Clin Pract</w:t>
      </w:r>
      <w:r>
        <w:t xml:space="preserve"> </w:t>
      </w:r>
      <w:r>
        <w:t xml:space="preserve">· Improvement in binge eating in non-diabetic obese individuals after 3 months of treatment with liraglutide - A pilot study. PMID 25870084</w:t>
      </w:r>
    </w:p>
    <w:p>
      <w:pPr>
        <w:numPr>
          <w:ilvl w:val="0"/>
          <w:numId w:val="1377"/>
        </w:numPr>
        <w:pStyle w:val="Compact"/>
      </w:pPr>
      <w:r>
        <w:t xml:space="preserve">2015 · Pieber TR ·</w:t>
      </w:r>
      <w:r>
        <w:t xml:space="preserve"> </w:t>
      </w:r>
      <w:r>
        <w:rPr>
          <w:iCs/>
          <w:i/>
        </w:rPr>
        <w:t xml:space="preserve">Diabetes Obes Metab</w:t>
      </w:r>
      <w:r>
        <w:t xml:space="preserve"> </w:t>
      </w:r>
      <w:r>
        <w:t xml:space="preserve">· Counter-regulatory hormone responses to hypoglycaemia in people with type 1 diabetes after 4 weeks of treatment with liraglutide adjunct to insulin: a randomized, placebo-controlled, double-blind, crossover trial. PMID 25855340</w:t>
      </w:r>
    </w:p>
    <w:p>
      <w:pPr>
        <w:numPr>
          <w:ilvl w:val="0"/>
          <w:numId w:val="1377"/>
        </w:numPr>
        <w:pStyle w:val="Compact"/>
      </w:pPr>
      <w:r>
        <w:t xml:space="preserve">2015 · Myat A ·</w:t>
      </w:r>
      <w:r>
        <w:t xml:space="preserve"> </w:t>
      </w:r>
      <w:r>
        <w:rPr>
          <w:iCs/>
          <w:i/>
        </w:rPr>
        <w:t xml:space="preserve">Cardiovasc Diabetol</w:t>
      </w:r>
      <w:r>
        <w:t xml:space="preserve"> </w:t>
      </w:r>
      <w:r>
        <w:t xml:space="preserve">· Design and rationale for the randomised, double-blinded, placebo-controlled Liraglutide to Improve corONary haemodynamics during Exercise streSS (LIONESS) crossover study. PMID 25848859</w:t>
      </w:r>
    </w:p>
    <w:p>
      <w:pPr>
        <w:numPr>
          <w:ilvl w:val="0"/>
          <w:numId w:val="1377"/>
        </w:numPr>
        <w:pStyle w:val="Compact"/>
      </w:pPr>
      <w:r>
        <w:t xml:space="preserve">2015 · Dejgaard TF ·</w:t>
      </w:r>
      <w:r>
        <w:t xml:space="preserve"> </w:t>
      </w:r>
      <w:r>
        <w:rPr>
          <w:iCs/>
          <w:i/>
        </w:rPr>
        <w:t xml:space="preserve">BMJ Open</w:t>
      </w:r>
      <w:r>
        <w:t xml:space="preserve"> </w:t>
      </w:r>
      <w:r>
        <w:t xml:space="preserve">· Efficacy and safety of the glucagon-like peptide-1 receptor agonist liraglutide added to insulin therapy in poorly regulated patients with type 1 diabetes–a protocol for a randomised, double-blind, placebo-controlled study: the Lira-1 study. PMID 25838513</w:t>
      </w:r>
    </w:p>
    <w:p>
      <w:pPr>
        <w:numPr>
          <w:ilvl w:val="0"/>
          <w:numId w:val="1377"/>
        </w:numPr>
        <w:pStyle w:val="Compact"/>
      </w:pPr>
      <w:r>
        <w:t xml:space="preserve">2015 · de Luis DA ·</w:t>
      </w:r>
      <w:r>
        <w:t xml:space="preserve"> </w:t>
      </w:r>
      <w:r>
        <w:rPr>
          <w:iCs/>
          <w:i/>
        </w:rPr>
        <w:t xml:space="preserve">J Diabetes Complications</w:t>
      </w:r>
      <w:r>
        <w:t xml:space="preserve"> </w:t>
      </w:r>
      <w:r>
        <w:t xml:space="preserve">· Evaluation of weight loss and metabolic changes in diabetic patients treated with liraglutide, effect of RS 6923761 gene variant of glucagon-like peptide 1 receptor. PMID 25825013</w:t>
      </w:r>
    </w:p>
    <w:p>
      <w:pPr>
        <w:numPr>
          <w:ilvl w:val="0"/>
          <w:numId w:val="1377"/>
        </w:numPr>
        <w:pStyle w:val="Compact"/>
      </w:pPr>
      <w:r>
        <w:t xml:space="preserve">2015 · Tang A ·</w:t>
      </w:r>
      <w:r>
        <w:t xml:space="preserve"> </w:t>
      </w:r>
      <w:r>
        <w:rPr>
          <w:iCs/>
          <w:i/>
        </w:rPr>
        <w:t xml:space="preserve">Diabetes Care</w:t>
      </w:r>
      <w:r>
        <w:t xml:space="preserve"> </w:t>
      </w:r>
      <w:r>
        <w:t xml:space="preserve">· Effects of Insulin Glargine and Liraglutide Therapy on Liver Fat as Measured by Magnetic Resonance in Patients With Type 2 Diabetes: A Randomized Trial. PMID 25813773</w:t>
      </w:r>
    </w:p>
    <w:p>
      <w:pPr>
        <w:numPr>
          <w:ilvl w:val="0"/>
          <w:numId w:val="1377"/>
        </w:numPr>
        <w:pStyle w:val="Compact"/>
      </w:pPr>
      <w:r>
        <w:t xml:space="preserve">2015 · Tanaka K ·</w:t>
      </w:r>
      <w:r>
        <w:t xml:space="preserve"> </w:t>
      </w:r>
      <w:r>
        <w:rPr>
          <w:iCs/>
          <w:i/>
        </w:rPr>
        <w:t xml:space="preserve">Endocr J</w:t>
      </w:r>
      <w:r>
        <w:t xml:space="preserve"> </w:t>
      </w:r>
      <w:r>
        <w:t xml:space="preserve">· Efficacy and safety of liraglutide monotherapy compared with metformin in Japanese overweight/obese patients with type 2 diabetes. PMID 25739726</w:t>
      </w:r>
    </w:p>
    <w:p>
      <w:pPr>
        <w:numPr>
          <w:ilvl w:val="0"/>
          <w:numId w:val="1377"/>
        </w:numPr>
        <w:pStyle w:val="Compact"/>
      </w:pPr>
      <w:r>
        <w:t xml:space="preserve">2015 · Ingwersen SH ·</w:t>
      </w:r>
      <w:r>
        <w:t xml:space="preserve"> </w:t>
      </w:r>
      <w:r>
        <w:rPr>
          <w:iCs/>
          <w:i/>
        </w:rPr>
        <w:t xml:space="preserve">Diabetes Res Clin Pract</w:t>
      </w:r>
      <w:r>
        <w:t xml:space="preserve"> </w:t>
      </w:r>
      <w:r>
        <w:t xml:space="preserve">· Liraglutide pharmacokinetics and dose-exposure response in Asian subjects with Type 2 diabetes from China, India and South Korea. PMID 25684604</w:t>
      </w:r>
    </w:p>
    <w:p>
      <w:pPr>
        <w:numPr>
          <w:ilvl w:val="0"/>
          <w:numId w:val="1377"/>
        </w:numPr>
        <w:pStyle w:val="Compact"/>
      </w:pPr>
      <w:r>
        <w:t xml:space="preserve">2015 · Inoue Y ·</w:t>
      </w:r>
      <w:r>
        <w:t xml:space="preserve"> </w:t>
      </w:r>
      <w:r>
        <w:rPr>
          <w:iCs/>
          <w:i/>
        </w:rPr>
        <w:t xml:space="preserve">J Clin Pharmacol</w:t>
      </w:r>
      <w:r>
        <w:t xml:space="preserve"> </w:t>
      </w:r>
      <w:r>
        <w:t xml:space="preserve">· A randomized controlled trial of liraglutide versus insulin detemir plus sitagliptin: Effective switch from intensive insulin therapy to the once-daily injection in patients with well-controlled type 2 diabetes. PMID 25677642</w:t>
      </w:r>
    </w:p>
    <w:p>
      <w:pPr>
        <w:numPr>
          <w:ilvl w:val="0"/>
          <w:numId w:val="1377"/>
        </w:numPr>
        <w:pStyle w:val="Compact"/>
      </w:pPr>
      <w:r>
        <w:t xml:space="preserve">2015 · Daniels GH ·</w:t>
      </w:r>
      <w:r>
        <w:t xml:space="preserve"> </w:t>
      </w:r>
      <w:r>
        <w:rPr>
          <w:iCs/>
          <w:i/>
        </w:rPr>
        <w:t xml:space="preserve">Diabetes Obes Metab</w:t>
      </w:r>
      <w:r>
        <w:t xml:space="preserve"> </w:t>
      </w:r>
      <w:r>
        <w:t xml:space="preserve">· LEADER 2: baseline calcitonin in 9340 people with type 2 diabetes enrolled in the Liraglutide Effect and Action in Diabetes: Evaluation of cardiovascular outcome Results (LEADER) trial: preliminary observations. PMID 25656058</w:t>
      </w:r>
    </w:p>
    <w:p>
      <w:pPr>
        <w:numPr>
          <w:ilvl w:val="0"/>
          <w:numId w:val="1377"/>
        </w:numPr>
        <w:pStyle w:val="Compact"/>
      </w:pPr>
      <w:r>
        <w:t xml:space="preserve">2015 · Feng P ·</w:t>
      </w:r>
      <w:r>
        <w:t xml:space="preserve"> </w:t>
      </w:r>
      <w:r>
        <w:rPr>
          <w:iCs/>
          <w:i/>
        </w:rPr>
        <w:t xml:space="preserve">Acta Pharmacol Sin</w:t>
      </w:r>
      <w:r>
        <w:t xml:space="preserve"> </w:t>
      </w:r>
      <w:r>
        <w:t xml:space="preserve">· Liraglutide reduces the body weight and waist circumference in Chinese overweight and obese type 2 diabetic patients. PMID 25619391</w:t>
      </w:r>
    </w:p>
    <w:p>
      <w:pPr>
        <w:numPr>
          <w:ilvl w:val="0"/>
          <w:numId w:val="1377"/>
        </w:numPr>
        <w:pStyle w:val="Compact"/>
      </w:pPr>
      <w:r>
        <w:t xml:space="preserve">2015 · Petri KC ·</w:t>
      </w:r>
      <w:r>
        <w:t xml:space="preserve"> </w:t>
      </w:r>
      <w:r>
        <w:rPr>
          <w:iCs/>
          <w:i/>
        </w:rPr>
        <w:t xml:space="preserve">Clin Pharmacokinet</w:t>
      </w:r>
      <w:r>
        <w:t xml:space="preserve"> </w:t>
      </w:r>
      <w:r>
        <w:t xml:space="preserve">· Comparable liraglutide pharmacokinetics in pediatric and adult populations with type 2 diabetes: a population pharmacokinetic analysis. PMID 25603819</w:t>
      </w:r>
    </w:p>
    <w:p>
      <w:pPr>
        <w:numPr>
          <w:ilvl w:val="0"/>
          <w:numId w:val="1377"/>
        </w:numPr>
        <w:pStyle w:val="Compact"/>
      </w:pPr>
      <w:r>
        <w:t xml:space="preserve">2015 · Lovshin JA ·</w:t>
      </w:r>
      <w:r>
        <w:t xml:space="preserve"> </w:t>
      </w:r>
      <w:r>
        <w:rPr>
          <w:iCs/>
          <w:i/>
        </w:rPr>
        <w:t xml:space="preserve">Diabetes Care</w:t>
      </w:r>
      <w:r>
        <w:t xml:space="preserve"> </w:t>
      </w:r>
      <w:r>
        <w:t xml:space="preserve">· Liraglutide promotes natriuresis but does not increase circulating levels of atrial natriuretic peptide in hypertensive subjects with type 2 diabetes. PMID 25414155</w:t>
      </w:r>
    </w:p>
    <w:p>
      <w:pPr>
        <w:numPr>
          <w:ilvl w:val="0"/>
          <w:numId w:val="1377"/>
        </w:numPr>
        <w:pStyle w:val="Compact"/>
      </w:pPr>
      <w:r>
        <w:t xml:space="preserve">2015 · Rizzo M ·</w:t>
      </w:r>
      <w:r>
        <w:t xml:space="preserve"> </w:t>
      </w:r>
      <w:r>
        <w:rPr>
          <w:iCs/>
          <w:i/>
        </w:rPr>
        <w:t xml:space="preserve">J Clin Endocrinol Metab</w:t>
      </w:r>
      <w:r>
        <w:t xml:space="preserve"> </w:t>
      </w:r>
      <w:r>
        <w:t xml:space="preserve">· Liraglutide reduces oxidative stress and restores heme oxygenase-1 and ghrelin levels in patients with type 2 diabetes: a prospective pilot study. PMID 25393640</w:t>
      </w:r>
    </w:p>
    <w:p>
      <w:pPr>
        <w:numPr>
          <w:ilvl w:val="0"/>
          <w:numId w:val="1377"/>
        </w:numPr>
        <w:pStyle w:val="Compact"/>
      </w:pPr>
      <w:r>
        <w:t xml:space="preserve">2015 · D’Alessio D ·</w:t>
      </w:r>
      <w:r>
        <w:t xml:space="preserve"> </w:t>
      </w:r>
      <w:r>
        <w:rPr>
          <w:iCs/>
          <w:i/>
        </w:rPr>
        <w:t xml:space="preserve">Diabetes Obes Metab</w:t>
      </w:r>
      <w:r>
        <w:t xml:space="preserve"> </w:t>
      </w:r>
      <w:r>
        <w:t xml:space="preserve">· Comparison of insulin glargine and liraglutide added to oral agents in patients with poorly controlled type 2 diabetes. PMID 25359159</w:t>
      </w:r>
    </w:p>
    <w:p>
      <w:pPr>
        <w:numPr>
          <w:ilvl w:val="0"/>
          <w:numId w:val="1377"/>
        </w:numPr>
        <w:pStyle w:val="Compact"/>
      </w:pPr>
      <w:r>
        <w:t xml:space="preserve">2015 · Jensterle M ·</w:t>
      </w:r>
      <w:r>
        <w:t xml:space="preserve"> </w:t>
      </w:r>
      <w:r>
        <w:rPr>
          <w:iCs/>
          <w:i/>
        </w:rPr>
        <w:t xml:space="preserve">Endocr Res</w:t>
      </w:r>
      <w:r>
        <w:t xml:space="preserve"> </w:t>
      </w:r>
      <w:r>
        <w:t xml:space="preserve">· Short-term intervention with liraglutide improved eating behavior in obese women with polycystic ovary syndrome. PMID 25330463</w:t>
      </w:r>
    </w:p>
    <w:p>
      <w:pPr>
        <w:numPr>
          <w:ilvl w:val="0"/>
          <w:numId w:val="1377"/>
        </w:numPr>
        <w:pStyle w:val="Compact"/>
      </w:pPr>
      <w:r>
        <w:t xml:space="preserve">2015 · Iepsen EW ·</w:t>
      </w:r>
      <w:r>
        <w:t xml:space="preserve"> </w:t>
      </w:r>
      <w:r>
        <w:rPr>
          <w:iCs/>
          <w:i/>
        </w:rPr>
        <w:t xml:space="preserve">Int J Obes (Lond)</w:t>
      </w:r>
      <w:r>
        <w:t xml:space="preserve"> </w:t>
      </w:r>
      <w:r>
        <w:t xml:space="preserve">· Treatment with a GLP-1 receptor agonist diminishes the decrease in free plasma leptin during maintenance of weight loss. PMID 25287751</w:t>
      </w:r>
    </w:p>
    <w:p>
      <w:pPr>
        <w:numPr>
          <w:ilvl w:val="0"/>
          <w:numId w:val="1377"/>
        </w:numPr>
        <w:pStyle w:val="Compact"/>
      </w:pPr>
      <w:r>
        <w:t xml:space="preserve">2015 · von Scholten BJ ·</w:t>
      </w:r>
      <w:r>
        <w:t xml:space="preserve"> </w:t>
      </w:r>
      <w:r>
        <w:rPr>
          <w:iCs/>
          <w:i/>
        </w:rPr>
        <w:t xml:space="preserve">Diabet Med</w:t>
      </w:r>
      <w:r>
        <w:t xml:space="preserve"> </w:t>
      </w:r>
      <w:r>
        <w:t xml:space="preserve">· Time course and mechanisms of the anti-hypertensive and renal effects of liraglutide treatment. PMID 25251901</w:t>
      </w:r>
    </w:p>
    <w:p>
      <w:pPr>
        <w:numPr>
          <w:ilvl w:val="0"/>
          <w:numId w:val="1377"/>
        </w:numPr>
        <w:pStyle w:val="Compact"/>
      </w:pPr>
      <w:r>
        <w:t xml:space="preserve">2015 · Lind M ·</w:t>
      </w:r>
      <w:r>
        <w:t xml:space="preserve"> </w:t>
      </w:r>
      <w:r>
        <w:rPr>
          <w:iCs/>
          <w:i/>
        </w:rPr>
        <w:t xml:space="preserve">Prim Care Diabetes</w:t>
      </w:r>
      <w:r>
        <w:t xml:space="preserve"> </w:t>
      </w:r>
      <w:r>
        <w:t xml:space="preserve">· Design and methods of a randomised double-blind trial of adding liraglutide to control HbA1c in patients with type 2 diabetes with impaired glycaemic control treated with multiple daily insulin injections (MDI-Liraglutide trial). PMID 25175385</w:t>
      </w:r>
    </w:p>
    <w:p>
      <w:pPr>
        <w:numPr>
          <w:ilvl w:val="0"/>
          <w:numId w:val="1377"/>
        </w:numPr>
        <w:pStyle w:val="Compact"/>
      </w:pPr>
      <w:r>
        <w:t xml:space="preserve">2015 · Faurschou A ·</w:t>
      </w:r>
      <w:r>
        <w:t xml:space="preserve"> </w:t>
      </w:r>
      <w:r>
        <w:rPr>
          <w:iCs/>
          <w:i/>
        </w:rPr>
        <w:t xml:space="preserve">J Eur Acad Dermatol Venereol</w:t>
      </w:r>
      <w:r>
        <w:t xml:space="preserve"> </w:t>
      </w:r>
      <w:r>
        <w:t xml:space="preserve">· Lack of effect of the glucagon-like peptide-1 receptor agonist liraglutide on psoriasis in glucose-tolerant patients–a randomized placebo-controlled trial. PMID 25139195</w:t>
      </w:r>
    </w:p>
    <w:p>
      <w:pPr>
        <w:numPr>
          <w:ilvl w:val="0"/>
          <w:numId w:val="1377"/>
        </w:numPr>
        <w:pStyle w:val="Compact"/>
      </w:pPr>
      <w:r>
        <w:t xml:space="preserve">2014 · Osonoi T ·</w:t>
      </w:r>
      <w:r>
        <w:t xml:space="preserve"> </w:t>
      </w:r>
      <w:r>
        <w:rPr>
          <w:iCs/>
          <w:i/>
        </w:rPr>
        <w:t xml:space="preserve">PLoS One</w:t>
      </w:r>
      <w:r>
        <w:t xml:space="preserve"> </w:t>
      </w:r>
      <w:r>
        <w:t xml:space="preserve">· Effect of hemodialysis on plasma glucose profile and plasma level of liraglutide in patients with type 2 diabetes mellitus and end-stage renal disease: a pilot study. PMID 25526642</w:t>
      </w:r>
    </w:p>
    <w:p>
      <w:pPr>
        <w:numPr>
          <w:ilvl w:val="0"/>
          <w:numId w:val="1377"/>
        </w:numPr>
        <w:pStyle w:val="Compact"/>
      </w:pPr>
      <w:r>
        <w:t xml:space="preserve">2014 · Polderman JA ·</w:t>
      </w:r>
      <w:r>
        <w:t xml:space="preserve"> </w:t>
      </w:r>
      <w:r>
        <w:rPr>
          <w:iCs/>
          <w:i/>
        </w:rPr>
        <w:t xml:space="preserve">BMC Anesthesiol</w:t>
      </w:r>
      <w:r>
        <w:t xml:space="preserve"> </w:t>
      </w:r>
      <w:r>
        <w:t xml:space="preserve">· Study protocol of a randomised controlled trial comparing perioperative intravenous insulin, GIK or GLP-1 treatment in diabetes-PILGRIM trial. PMID 25419179</w:t>
      </w:r>
    </w:p>
    <w:p>
      <w:pPr>
        <w:numPr>
          <w:ilvl w:val="0"/>
          <w:numId w:val="1377"/>
        </w:numPr>
        <w:pStyle w:val="Compact"/>
      </w:pPr>
      <w:r>
        <w:t xml:space="preserve">2014 · Steinberg WM ·</w:t>
      </w:r>
      <w:r>
        <w:t xml:space="preserve"> </w:t>
      </w:r>
      <w:r>
        <w:rPr>
          <w:iCs/>
          <w:i/>
        </w:rPr>
        <w:t xml:space="preserve">Pancreas</w:t>
      </w:r>
      <w:r>
        <w:t xml:space="preserve"> </w:t>
      </w:r>
      <w:r>
        <w:t xml:space="preserve">· LEADER 3–lipase and amylase activity in subjects with type 2 diabetes: baseline data from over 9000 subjects in the LEADER Trial. PMID 25275271</w:t>
      </w:r>
    </w:p>
    <w:p>
      <w:pPr>
        <w:numPr>
          <w:ilvl w:val="0"/>
          <w:numId w:val="1377"/>
        </w:numPr>
        <w:pStyle w:val="Compact"/>
      </w:pPr>
      <w:r>
        <w:t xml:space="preserve">2014 · Retnakaran R ·</w:t>
      </w:r>
      <w:r>
        <w:t xml:space="preserve"> </w:t>
      </w:r>
      <w:r>
        <w:rPr>
          <w:iCs/>
          <w:i/>
        </w:rPr>
        <w:t xml:space="preserve">Diabetes Care</w:t>
      </w:r>
      <w:r>
        <w:t xml:space="preserve"> </w:t>
      </w:r>
      <w:r>
        <w:t xml:space="preserve">· Liraglutide and the preservation of pancreatic β-cell function in early type 2 diabetes: the LIBRA trial. PMID 25249651</w:t>
      </w:r>
    </w:p>
    <w:p>
      <w:pPr>
        <w:numPr>
          <w:ilvl w:val="0"/>
          <w:numId w:val="1377"/>
        </w:numPr>
        <w:pStyle w:val="Compact"/>
      </w:pPr>
      <w:r>
        <w:t xml:space="preserve">2014 · Nandy D ·</w:t>
      </w:r>
      <w:r>
        <w:t xml:space="preserve"> </w:t>
      </w:r>
      <w:r>
        <w:rPr>
          <w:iCs/>
          <w:i/>
        </w:rPr>
        <w:t xml:space="preserve">Diab Vasc Dis Res</w:t>
      </w:r>
      <w:r>
        <w:t xml:space="preserve"> </w:t>
      </w:r>
      <w:r>
        <w:t xml:space="preserve">· The effect of liraglutide on endothelial function in patients with type 2 diabetes. PMID 25212693</w:t>
      </w:r>
    </w:p>
    <w:p>
      <w:pPr>
        <w:numPr>
          <w:ilvl w:val="0"/>
          <w:numId w:val="1377"/>
        </w:numPr>
        <w:pStyle w:val="Compact"/>
      </w:pPr>
      <w:r>
        <w:t xml:space="preserve">2014 · Gough SC ·</w:t>
      </w:r>
      <w:r>
        <w:t xml:space="preserve"> </w:t>
      </w:r>
      <w:r>
        <w:rPr>
          <w:iCs/>
          <w:i/>
        </w:rPr>
        <w:t xml:space="preserve">Lancet Diabetes Endocrinol</w:t>
      </w:r>
      <w:r>
        <w:t xml:space="preserve"> </w:t>
      </w:r>
      <w:r>
        <w:t xml:space="preserve">· Efficacy and safety of a fixed-ratio combination of insulin degludec and liraglutide (IDegLira) compared with its components given alone: results of a phase 3, open-label, randomised, 26-week, treat-to-target trial in insulin-naive patients with type 2 diabetes. PMID 25190523</w:t>
      </w:r>
    </w:p>
    <w:p>
      <w:pPr>
        <w:numPr>
          <w:ilvl w:val="0"/>
          <w:numId w:val="1377"/>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7"/>
        </w:numPr>
        <w:pStyle w:val="Compact"/>
      </w:pPr>
      <w:r>
        <w:t xml:space="preserve">2014 · Buse JB ·</w:t>
      </w:r>
      <w:r>
        <w:t xml:space="preserve"> </w:t>
      </w:r>
      <w:r>
        <w:rPr>
          <w:iCs/>
          <w:i/>
        </w:rPr>
        <w:t xml:space="preserve">Diabetes Care</w:t>
      </w:r>
      <w:r>
        <w:t xml:space="preserve"> </w:t>
      </w:r>
      <w:r>
        <w:t xml:space="preserve">· Contribution of liraglutide in the fixed-ratio combination of insulin degludec and liraglutide (IDegLira). PMID 25114296</w:t>
      </w:r>
    </w:p>
    <w:p>
      <w:pPr>
        <w:numPr>
          <w:ilvl w:val="0"/>
          <w:numId w:val="1377"/>
        </w:numPr>
        <w:pStyle w:val="Compact"/>
      </w:pPr>
      <w:r>
        <w:t xml:space="preserve">2014 · Klein DJ ·</w:t>
      </w:r>
      <w:r>
        <w:t xml:space="preserve"> </w:t>
      </w:r>
      <w:r>
        <w:rPr>
          <w:iCs/>
          <w:i/>
        </w:rPr>
        <w:t xml:space="preserve">Diabetes Technol Ther</w:t>
      </w:r>
      <w:r>
        <w:t xml:space="preserve"> </w:t>
      </w:r>
      <w:r>
        <w:t xml:space="preserve">· Liraglutide’s safety, tolerability, pharmacokinetics, and pharmacodynamics in pediatric type 2 diabetes: a randomized, double-blind, placebo-controlled trial. PMID 25036533</w:t>
      </w:r>
    </w:p>
    <w:p>
      <w:pPr>
        <w:numPr>
          <w:ilvl w:val="0"/>
          <w:numId w:val="1377"/>
        </w:numPr>
        <w:pStyle w:val="Compact"/>
      </w:pPr>
      <w:r>
        <w:t xml:space="preserve">2014 · Anholm C ·</w:t>
      </w:r>
      <w:r>
        <w:t xml:space="preserve"> </w:t>
      </w:r>
      <w:r>
        <w:rPr>
          <w:iCs/>
          <w:i/>
        </w:rPr>
        <w:t xml:space="preserve">BMJ Open</w:t>
      </w:r>
      <w:r>
        <w:t xml:space="preserve"> </w:t>
      </w:r>
      <w:r>
        <w:t xml:space="preserve">· Adding liraglutide to the backbone therapy of biguanide in patients with coronary artery disease and newly diagnosed type-2 diabetes (the AddHope2 study): a randomised controlled study protocol. PMID 25031198</w:t>
      </w:r>
    </w:p>
    <w:p>
      <w:pPr>
        <w:numPr>
          <w:ilvl w:val="0"/>
          <w:numId w:val="1377"/>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7"/>
        </w:numPr>
        <w:pStyle w:val="Compact"/>
      </w:pPr>
      <w:r>
        <w:t xml:space="preserve">2014 · de Wit HM ·</w:t>
      </w:r>
      <w:r>
        <w:t xml:space="preserve"> </w:t>
      </w:r>
      <w:r>
        <w:rPr>
          <w:iCs/>
          <w:i/>
        </w:rPr>
        <w:t xml:space="preserve">Diabetologia</w:t>
      </w:r>
      <w:r>
        <w:t xml:space="preserve"> </w:t>
      </w:r>
      <w:r>
        <w:t xml:space="preserve">· Liraglutide reverses pronounced insulin-associated weight gain, improves glycaemic control and decreases insulin dose in patients with type 2 diabetes: a 26 week, randomised clinical trial (ELEGANT). PMID 24947583</w:t>
      </w:r>
    </w:p>
    <w:p>
      <w:pPr>
        <w:numPr>
          <w:ilvl w:val="0"/>
          <w:numId w:val="1377"/>
        </w:numPr>
        <w:pStyle w:val="Compact"/>
      </w:pPr>
      <w:r>
        <w:t xml:space="preserve">2014 · Østoft SH ·</w:t>
      </w:r>
      <w:r>
        <w:t xml:space="preserve"> </w:t>
      </w:r>
      <w:r>
        <w:rPr>
          <w:iCs/>
          <w:i/>
        </w:rPr>
        <w:t xml:space="preserve">Diabetes Care</w:t>
      </w:r>
      <w:r>
        <w:t xml:space="preserve"> </w:t>
      </w:r>
      <w:r>
        <w:t xml:space="preserve">· Glucose-lowering effects and low risk of hypoglycemia in patients with maturity-onset diabetes of the young when treated with a GLP-1 receptor agonist: a double-blind, randomized, crossover trial. PMID 24929431</w:t>
      </w:r>
    </w:p>
    <w:p>
      <w:pPr>
        <w:numPr>
          <w:ilvl w:val="0"/>
          <w:numId w:val="1377"/>
        </w:numPr>
        <w:pStyle w:val="Compact"/>
      </w:pPr>
      <w:r>
        <w:t xml:space="preserve">2014 · Jorsal A ·</w:t>
      </w:r>
      <w:r>
        <w:t xml:space="preserve"> </w:t>
      </w:r>
      <w:r>
        <w:rPr>
          <w:iCs/>
          <w:i/>
        </w:rPr>
        <w:t xml:space="preserve">BMJ Open</w:t>
      </w:r>
      <w:r>
        <w:t xml:space="preserve"> </w:t>
      </w:r>
      <w:r>
        <w:t xml:space="preserve">· A protocol for a randomised, double-blind, placebo-controlled study of the effect of LIraglutide on left VEntricular function in chronic heart failure patients with and without type 2 diabetes (The LIVE Study). PMID 24844271</w:t>
      </w:r>
    </w:p>
    <w:p>
      <w:pPr>
        <w:numPr>
          <w:ilvl w:val="0"/>
          <w:numId w:val="1377"/>
        </w:numPr>
        <w:pStyle w:val="Compact"/>
      </w:pPr>
      <w:r>
        <w:t xml:space="preserve">2014 · Li CJ ·</w:t>
      </w:r>
      <w:r>
        <w:t xml:space="preserve"> </w:t>
      </w:r>
      <w:r>
        <w:rPr>
          <w:iCs/>
          <w:i/>
        </w:rPr>
        <w:t xml:space="preserve">Exp Clin Endocrinol Diabetes</w:t>
      </w:r>
      <w:r>
        <w:t xml:space="preserve"> </w:t>
      </w:r>
      <w:r>
        <w:t xml:space="preserve">· Efficacy and safety comparison of add-on therapy with liraglutide, saxagliptin and vildagliptin, all in combination with current conventional oral hypoglycemic agents therapy in poorly controlled Chinese type 2 diabetes. PMID 24838155</w:t>
      </w:r>
    </w:p>
    <w:p>
      <w:pPr>
        <w:numPr>
          <w:ilvl w:val="0"/>
          <w:numId w:val="1377"/>
        </w:numPr>
        <w:pStyle w:val="Compact"/>
      </w:pPr>
      <w:r>
        <w:t xml:space="preserve">2014 · Pratley RE ·</w:t>
      </w:r>
      <w:r>
        <w:t xml:space="preserve"> </w:t>
      </w:r>
      <w:r>
        <w:rPr>
          <w:iCs/>
          <w:i/>
        </w:rPr>
        <w:t xml:space="preserve">Lancet Diabetes Endocrinol</w:t>
      </w:r>
      <w:r>
        <w:t xml:space="preserve"> </w:t>
      </w:r>
      <w:r>
        <w:t xml:space="preserve">· Once-weekly albiglutide versus once-daily liraglutide in patients with type 2 diabetes inadequately controlled on oral drugs (HARMONY 7): a randomised, open-label, multicentre, non-inferiority phase 3 study. PMID 24703047</w:t>
      </w:r>
    </w:p>
    <w:p>
      <w:pPr>
        <w:numPr>
          <w:ilvl w:val="0"/>
          <w:numId w:val="1377"/>
        </w:numPr>
        <w:pStyle w:val="Compact"/>
      </w:pPr>
      <w:r>
        <w:t xml:space="preserve">2014 · Larsen JR ·</w:t>
      </w:r>
      <w:r>
        <w:t xml:space="preserve"> </w:t>
      </w:r>
      <w:r>
        <w:rPr>
          <w:iCs/>
          <w:i/>
        </w:rPr>
        <w:t xml:space="preserve">BMJ Open</w:t>
      </w:r>
      <w:r>
        <w:t xml:space="preserve"> </w:t>
      </w:r>
      <w:r>
        <w:t xml:space="preserve">· Does a GLP-1 receptor agonist change glucose tolerance in patients treated with antipsychotic medications? Design of a randomised, double-blinded, placebo-controlled clinical trial. PMID 24667381</w:t>
      </w:r>
    </w:p>
    <w:p>
      <w:pPr>
        <w:numPr>
          <w:ilvl w:val="0"/>
          <w:numId w:val="1377"/>
        </w:numPr>
        <w:pStyle w:val="Compact"/>
      </w:pPr>
      <w:r>
        <w:t xml:space="preserve">2014 · Lane W ·</w:t>
      </w:r>
      <w:r>
        <w:t xml:space="preserve"> </w:t>
      </w:r>
      <w:r>
        <w:rPr>
          <w:iCs/>
          <w:i/>
        </w:rPr>
        <w:t xml:space="preserve">Diabetes Obes Metab</w:t>
      </w:r>
      <w:r>
        <w:t xml:space="preserve"> </w:t>
      </w:r>
      <w:r>
        <w:t xml:space="preserve">· The effect of addition of liraglutide to high-dose intensive insulin therapy: a randomized prospective trial. PMID 24589127</w:t>
      </w:r>
    </w:p>
    <w:p>
      <w:pPr>
        <w:numPr>
          <w:ilvl w:val="0"/>
          <w:numId w:val="1377"/>
        </w:numPr>
        <w:pStyle w:val="Compact"/>
      </w:pPr>
      <w:r>
        <w:t xml:space="preserve">2014 · Rizzo M ·</w:t>
      </w:r>
      <w:r>
        <w:t xml:space="preserve"> </w:t>
      </w:r>
      <w:r>
        <w:rPr>
          <w:iCs/>
          <w:i/>
        </w:rPr>
        <w:t xml:space="preserve">Cardiovasc Diabetol</w:t>
      </w:r>
      <w:r>
        <w:t xml:space="preserve"> </w:t>
      </w:r>
      <w:r>
        <w:t xml:space="preserve">· Liraglutide decreases carotid intima-media thickness in patients with type 2 diabetes: 8-month prospective pilot study. PMID 24559258</w:t>
      </w:r>
    </w:p>
    <w:p>
      <w:pPr>
        <w:numPr>
          <w:ilvl w:val="0"/>
          <w:numId w:val="1377"/>
        </w:numPr>
        <w:pStyle w:val="Compact"/>
      </w:pPr>
      <w:r>
        <w:t xml:space="preserve">2014 · Breitschaft A ·</w:t>
      </w:r>
      <w:r>
        <w:t xml:space="preserve"> </w:t>
      </w:r>
      <w:r>
        <w:rPr>
          <w:iCs/>
          <w:i/>
        </w:rPr>
        <w:t xml:space="preserve">Diabetes Res Clin Pract</w:t>
      </w:r>
      <w:r>
        <w:t xml:space="preserve"> </w:t>
      </w:r>
      <w:r>
        <w:t xml:space="preserve">· Management of hyperglycemia associated with pasireotide (SOM230): healthy volunteer study. PMID 24461109</w:t>
      </w:r>
    </w:p>
    <w:p>
      <w:pPr>
        <w:numPr>
          <w:ilvl w:val="0"/>
          <w:numId w:val="1377"/>
        </w:numPr>
        <w:pStyle w:val="Compact"/>
      </w:pPr>
      <w:r>
        <w:t xml:space="preserve">2014 · Mathieu C ·</w:t>
      </w:r>
      <w:r>
        <w:t xml:space="preserve"> </w:t>
      </w:r>
      <w:r>
        <w:rPr>
          <w:iCs/>
          <w:i/>
        </w:rPr>
        <w:t xml:space="preserve">Diabetes Obes Metab</w:t>
      </w:r>
      <w:r>
        <w:t xml:space="preserve"> </w:t>
      </w:r>
      <w:r>
        <w:t xml:space="preserve">· A comparison of adding liraglutide versus a single daily dose of insulin aspart to insulin degludec in subjects with type 2 diabetes (BEGIN: VICTOZA ADD-ON). PMID 24443830</w:t>
      </w:r>
    </w:p>
    <w:p>
      <w:pPr>
        <w:numPr>
          <w:ilvl w:val="0"/>
          <w:numId w:val="1377"/>
        </w:numPr>
        <w:pStyle w:val="Compact"/>
      </w:pPr>
      <w:r>
        <w:t xml:space="preserve">2014 · Brady EM ·</w:t>
      </w:r>
      <w:r>
        <w:t xml:space="preserve"> </w:t>
      </w:r>
      <w:r>
        <w:rPr>
          <w:iCs/>
          <w:i/>
        </w:rPr>
        <w:t xml:space="preserve">Diabetes Obes Metab</w:t>
      </w:r>
      <w:r>
        <w:t xml:space="preserve"> </w:t>
      </w:r>
      <w:r>
        <w:t xml:space="preserve">· A randomized controlled trial comparing the GLP-1 receptor agonist liraglutide to a sulphonylurea as add on to metformin in patients with established type 2 diabetes during Ramadan: the Treat 4 Ramadan Trial. PMID 24373063</w:t>
      </w:r>
    </w:p>
    <w:p>
      <w:pPr>
        <w:numPr>
          <w:ilvl w:val="0"/>
          <w:numId w:val="1377"/>
        </w:numPr>
        <w:pStyle w:val="Compact"/>
      </w:pPr>
      <w:r>
        <w:t xml:space="preserve">2014 · Jensterle Sever M ·</w:t>
      </w:r>
      <w:r>
        <w:t xml:space="preserve"> </w:t>
      </w:r>
      <w:r>
        <w:rPr>
          <w:iCs/>
          <w:i/>
        </w:rPr>
        <w:t xml:space="preserve">Eur J Endocrinol</w:t>
      </w:r>
      <w:r>
        <w:t xml:space="preserve"> </w:t>
      </w:r>
      <w:r>
        <w:t xml:space="preserve">· Short-term combined treatment with liraglutide and metformin leads to significant weight loss in obese women with polycystic ovary syndrome and previous poor response to metformin. PMID 24362411</w:t>
      </w:r>
    </w:p>
    <w:p>
      <w:pPr>
        <w:numPr>
          <w:ilvl w:val="0"/>
          <w:numId w:val="1377"/>
        </w:numPr>
        <w:pStyle w:val="Compact"/>
      </w:pPr>
      <w:r>
        <w:t xml:space="preserve">2014 · Kim SH ·</w:t>
      </w:r>
      <w:r>
        <w:t xml:space="preserve"> </w:t>
      </w:r>
      <w:r>
        <w:rPr>
          <w:iCs/>
          <w:i/>
        </w:rPr>
        <w:t xml:space="preserve">Diabetologia</w:t>
      </w:r>
      <w:r>
        <w:t xml:space="preserve"> </w:t>
      </w:r>
      <w:r>
        <w:t xml:space="preserve">· Pancreatic beta cell function following liraglutide-augmented weight loss in individuals with prediabetes: analysis of a randomised, placebo-controlled study. PMID 24326527</w:t>
      </w:r>
    </w:p>
    <w:p>
      <w:pPr>
        <w:numPr>
          <w:ilvl w:val="0"/>
          <w:numId w:val="1377"/>
        </w:numPr>
        <w:pStyle w:val="Compact"/>
      </w:pPr>
      <w:r>
        <w:t xml:space="preserve">2014 · Nagai Y ·</w:t>
      </w:r>
      <w:r>
        <w:t xml:space="preserve"> </w:t>
      </w:r>
      <w:r>
        <w:rPr>
          <w:iCs/>
          <w:i/>
        </w:rPr>
        <w:t xml:space="preserve">Diabetes Obes Metab</w:t>
      </w:r>
      <w:r>
        <w:t xml:space="preserve"> </w:t>
      </w:r>
      <w:r>
        <w:t xml:space="preserve">· Differing effects of liraglutide on gastric emptying in Japanese patients with type 2 diabetes. PMID 24320758</w:t>
      </w:r>
    </w:p>
    <w:p>
      <w:pPr>
        <w:numPr>
          <w:ilvl w:val="0"/>
          <w:numId w:val="1377"/>
        </w:numPr>
        <w:pStyle w:val="Compact"/>
      </w:pPr>
      <w:r>
        <w:t xml:space="preserve">2014 · RISE Consortium ·</w:t>
      </w:r>
      <w:r>
        <w:t xml:space="preserve"> </w:t>
      </w:r>
      <w:r>
        <w:rPr>
          <w:iCs/>
          <w:i/>
        </w:rPr>
        <w:t xml:space="preserve">Diabetes Care</w:t>
      </w:r>
      <w:r>
        <w:t xml:space="preserve"> </w:t>
      </w:r>
      <w:r>
        <w:t xml:space="preserve">· Restoring Insulin Secretion (RISE): design of studies of β-cell preservation in prediabetes and early type 2 diabetes across the life span. PMID 24194506</w:t>
      </w:r>
    </w:p>
    <w:p>
      <w:pPr>
        <w:numPr>
          <w:ilvl w:val="0"/>
          <w:numId w:val="1377"/>
        </w:numPr>
        <w:pStyle w:val="Compact"/>
      </w:pPr>
      <w:r>
        <w:t xml:space="preserve">2014 · van Can J ·</w:t>
      </w:r>
      <w:r>
        <w:t xml:space="preserve"> </w:t>
      </w:r>
      <w:r>
        <w:rPr>
          <w:iCs/>
          <w:i/>
        </w:rPr>
        <w:t xml:space="preserve">Int J Obes (Lond)</w:t>
      </w:r>
      <w:r>
        <w:t xml:space="preserve"> </w:t>
      </w:r>
      <w:r>
        <w:t xml:space="preserve">· Effects of the once-daily GLP-1 analog liraglutide on gastric emptying, glycemic parameters, appetite and energy metabolism in obese, non-diabetic adults. PMID 23999198</w:t>
      </w:r>
    </w:p>
    <w:p>
      <w:pPr>
        <w:numPr>
          <w:ilvl w:val="0"/>
          <w:numId w:val="1377"/>
        </w:numPr>
        <w:pStyle w:val="Compact"/>
      </w:pPr>
      <w:r>
        <w:t xml:space="preserve">2014 · Lean ME ·</w:t>
      </w:r>
      <w:r>
        <w:t xml:space="preserve"> </w:t>
      </w:r>
      <w:r>
        <w:rPr>
          <w:iCs/>
          <w:i/>
        </w:rPr>
        <w:t xml:space="preserve">Int J Obes (Lond)</w:t>
      </w:r>
      <w:r>
        <w:t xml:space="preserve"> </w:t>
      </w:r>
      <w:r>
        <w:t xml:space="preserve">· Tolerability of nausea and vomiting and associations with weight loss in a randomized trial of liraglutide in obese, non-diabetic adults. PMID 23942319</w:t>
      </w:r>
    </w:p>
    <w:p>
      <w:pPr>
        <w:numPr>
          <w:ilvl w:val="0"/>
          <w:numId w:val="1377"/>
        </w:numPr>
        <w:pStyle w:val="Compact"/>
      </w:pPr>
      <w:r>
        <w:t xml:space="preserve">2013 · Marso SP ·</w:t>
      </w:r>
      <w:r>
        <w:t xml:space="preserve"> </w:t>
      </w:r>
      <w:r>
        <w:rPr>
          <w:iCs/>
          <w:i/>
        </w:rPr>
        <w:t xml:space="preserve">Am Heart J</w:t>
      </w:r>
      <w:r>
        <w:t xml:space="preserve"> </w:t>
      </w:r>
      <w:r>
        <w:t xml:space="preserve">· Design of the liraglutide effect and action in diabetes: evaluation of cardiovascular outcome results (LEADER) trial. PMID 24176437</w:t>
      </w:r>
    </w:p>
    <w:p>
      <w:pPr>
        <w:numPr>
          <w:ilvl w:val="0"/>
          <w:numId w:val="1377"/>
        </w:numPr>
        <w:pStyle w:val="Compact"/>
      </w:pPr>
      <w:r>
        <w:t xml:space="preserve">2013 · Imamura S ·</w:t>
      </w:r>
      <w:r>
        <w:t xml:space="preserve"> </w:t>
      </w:r>
      <w:r>
        <w:rPr>
          <w:iCs/>
          <w:i/>
        </w:rPr>
        <w:t xml:space="preserve">Tohoku J Exp Med</w:t>
      </w:r>
      <w:r>
        <w:t xml:space="preserve"> </w:t>
      </w:r>
      <w:r>
        <w:t xml:space="preserve">· The glucagon-like peptide-1 receptor agonist, liraglutide, attenuates the progression of overt diabetic nephropathy in type 2 diabetic patients. PMID 24064677</w:t>
      </w:r>
    </w:p>
    <w:p>
      <w:pPr>
        <w:numPr>
          <w:ilvl w:val="0"/>
          <w:numId w:val="1377"/>
        </w:numPr>
        <w:pStyle w:val="Compact"/>
      </w:pPr>
      <w:r>
        <w:t xml:space="preserve">2013 · Kim SH ·</w:t>
      </w:r>
      <w:r>
        <w:t xml:space="preserve"> </w:t>
      </w:r>
      <w:r>
        <w:rPr>
          <w:iCs/>
          <w:i/>
        </w:rPr>
        <w:t xml:space="preserve">Diabetes Care</w:t>
      </w:r>
      <w:r>
        <w:t xml:space="preserve"> </w:t>
      </w:r>
      <w:r>
        <w:t xml:space="preserve">· Benefits of liraglutide treatment in overweight and obese older individuals with prediabetes. PMID 23835684</w:t>
      </w:r>
    </w:p>
    <w:p>
      <w:pPr>
        <w:numPr>
          <w:ilvl w:val="0"/>
          <w:numId w:val="1377"/>
        </w:numPr>
        <w:pStyle w:val="Compact"/>
      </w:pPr>
      <w:r>
        <w:t xml:space="preserve">2013 · Wadden TA ·</w:t>
      </w:r>
      <w:r>
        <w:t xml:space="preserve"> </w:t>
      </w:r>
      <w:r>
        <w:rPr>
          <w:iCs/>
          <w:i/>
        </w:rPr>
        <w:t xml:space="preserve">Int J Obes (Lond)</w:t>
      </w:r>
      <w:r>
        <w:t xml:space="preserve"> </w:t>
      </w:r>
      <w:r>
        <w:t xml:space="preserve">· Weight maintenance and additional weight loss with liraglutide after low-calorie-diet-induced weight loss: the SCALE Maintenance randomized study. PMID 23812094</w:t>
      </w:r>
    </w:p>
    <w:p>
      <w:pPr>
        <w:numPr>
          <w:ilvl w:val="0"/>
          <w:numId w:val="1377"/>
        </w:numPr>
        <w:pStyle w:val="Compact"/>
      </w:pPr>
      <w:r>
        <w:t xml:space="preserve">2013 · Fadini GP ·</w:t>
      </w:r>
      <w:r>
        <w:t xml:space="preserve"> </w:t>
      </w:r>
      <w:r>
        <w:rPr>
          <w:iCs/>
          <w:i/>
        </w:rPr>
        <w:t xml:space="preserve">Acta Diabetol</w:t>
      </w:r>
      <w:r>
        <w:t xml:space="preserve"> </w:t>
      </w:r>
      <w:r>
        <w:t xml:space="preserve">· Independent glucose and weight-reducing effects of Liraglutide in a real-world population of type 2 diabetic outpatients. PMID 23754673</w:t>
      </w:r>
    </w:p>
    <w:p>
      <w:pPr>
        <w:numPr>
          <w:ilvl w:val="0"/>
          <w:numId w:val="1377"/>
        </w:numPr>
        <w:pStyle w:val="Compact"/>
      </w:pPr>
      <w:r>
        <w:t xml:space="preserve">2013 · Rosenstock J ·</w:t>
      </w:r>
      <w:r>
        <w:t xml:space="preserve"> </w:t>
      </w:r>
      <w:r>
        <w:rPr>
          <w:iCs/>
          <w:i/>
        </w:rPr>
        <w:t xml:space="preserve">J Diabetes Complications</w:t>
      </w:r>
      <w:r>
        <w:t xml:space="preserve"> </w:t>
      </w:r>
      <w:r>
        <w:t xml:space="preserve">· One-year sustained glycemic control and weight reduction in type 2 diabetes after addition of liraglutide to metformin followed by insulin detemir according to HbA1c target. PMID 23746555</w:t>
      </w:r>
    </w:p>
    <w:p>
      <w:pPr>
        <w:numPr>
          <w:ilvl w:val="0"/>
          <w:numId w:val="1377"/>
        </w:numPr>
        <w:pStyle w:val="Compact"/>
      </w:pPr>
      <w:r>
        <w:t xml:space="preserve">2013 · Hermansen K ·</w:t>
      </w:r>
      <w:r>
        <w:t xml:space="preserve"> </w:t>
      </w:r>
      <w:r>
        <w:rPr>
          <w:iCs/>
          <w:i/>
        </w:rPr>
        <w:t xml:space="preserve">Diabetes Obes Metab</w:t>
      </w:r>
      <w:r>
        <w:t xml:space="preserve"> </w:t>
      </w:r>
      <w:r>
        <w:t xml:space="preserve">· Liraglutide suppresses postprandial triglyceride and apolipoprotein B48 elevations after a fat-rich meal in patients with type 2 diabetes: a randomized, double-blind, placebo-controlled, cross-over trial. PMID 23683069</w:t>
      </w:r>
    </w:p>
    <w:p>
      <w:pPr>
        <w:numPr>
          <w:ilvl w:val="0"/>
          <w:numId w:val="1377"/>
        </w:numPr>
        <w:pStyle w:val="Compact"/>
      </w:pPr>
      <w:r>
        <w:t xml:space="preserve">2013 · Suzuki D ·</w:t>
      </w:r>
      <w:r>
        <w:t xml:space="preserve"> </w:t>
      </w:r>
      <w:r>
        <w:rPr>
          <w:iCs/>
          <w:i/>
        </w:rPr>
        <w:t xml:space="preserve">Intern Med</w:t>
      </w:r>
      <w:r>
        <w:t xml:space="preserve"> </w:t>
      </w:r>
      <w:r>
        <w:t xml:space="preserve">· Effects of liraglutide, a human glucagon-like peptide-1 analogue, on body weight, body fat area and body fat-related markers in patients with type 2 diabetes mellitus. PMID 23676586</w:t>
      </w:r>
    </w:p>
    <w:p>
      <w:pPr>
        <w:numPr>
          <w:ilvl w:val="0"/>
          <w:numId w:val="1377"/>
        </w:numPr>
        <w:pStyle w:val="Compact"/>
      </w:pPr>
      <w:r>
        <w:t xml:space="preserve">2013 · Charbonnel B ·</w:t>
      </w:r>
      <w:r>
        <w:t xml:space="preserve"> </w:t>
      </w:r>
      <w:r>
        <w:rPr>
          <w:iCs/>
          <w:i/>
        </w:rPr>
        <w:t xml:space="preserve">Diabetologia</w:t>
      </w:r>
      <w:r>
        <w:t xml:space="preserve"> </w:t>
      </w:r>
      <w:r>
        <w:t xml:space="preserve">· Efficacy and safety over 26 weeks of an oral treatment strategy including sitagliptin compared with an injectable treatment strategy with liraglutide in patients with type 2 diabetes mellitus inadequately controlled on metformin: a randomised clinical trial. PMID 23604551</w:t>
      </w:r>
    </w:p>
    <w:p>
      <w:pPr>
        <w:numPr>
          <w:ilvl w:val="0"/>
          <w:numId w:val="1377"/>
        </w:numPr>
        <w:pStyle w:val="Compact"/>
      </w:pPr>
      <w:r>
        <w:t xml:space="preserve">2013 · Flint A ·</w:t>
      </w:r>
      <w:r>
        <w:t xml:space="preserve"> </w:t>
      </w:r>
      <w:r>
        <w:rPr>
          <w:iCs/>
          <w:i/>
        </w:rPr>
        <w:t xml:space="preserve">Diabetes Obes Metab</w:t>
      </w:r>
      <w:r>
        <w:t xml:space="preserve"> </w:t>
      </w:r>
      <w:r>
        <w:t xml:space="preserve">· The once-daily human GLP-1 analogue liraglutide impacts appetite and energy intake in patients with type 2 diabetes after short-term treatment. PMID 23551925</w:t>
      </w:r>
    </w:p>
    <w:p>
      <w:pPr>
        <w:numPr>
          <w:ilvl w:val="0"/>
          <w:numId w:val="1377"/>
        </w:numPr>
        <w:pStyle w:val="Compact"/>
      </w:pPr>
      <w:r>
        <w:t xml:space="preserve">2013 · Kapitza C ·</w:t>
      </w:r>
      <w:r>
        <w:t xml:space="preserve"> </w:t>
      </w:r>
      <w:r>
        <w:rPr>
          <w:iCs/>
          <w:i/>
        </w:rPr>
        <w:t xml:space="preserve">Diabetes Obes Metab</w:t>
      </w:r>
      <w:r>
        <w:t xml:space="preserve"> </w:t>
      </w:r>
      <w:r>
        <w:t xml:space="preserve">· Pharmacodynamic characteristics of lixisenatide once daily versus liraglutide once daily in patients with type 2 diabetes insufficiently controlled on metformin. PMID 23368510</w:t>
      </w:r>
    </w:p>
    <w:p>
      <w:pPr>
        <w:numPr>
          <w:ilvl w:val="0"/>
          <w:numId w:val="1377"/>
        </w:numPr>
        <w:pStyle w:val="Compact"/>
      </w:pPr>
      <w:r>
        <w:t xml:space="preserve">2013 · Yang M ·</w:t>
      </w:r>
      <w:r>
        <w:t xml:space="preserve"> </w:t>
      </w:r>
      <w:r>
        <w:rPr>
          <w:iCs/>
          <w:i/>
        </w:rPr>
        <w:t xml:space="preserve">Diabetes Care</w:t>
      </w:r>
      <w:r>
        <w:t xml:space="preserve"> </w:t>
      </w:r>
      <w:r>
        <w:t xml:space="preserve">· Zinc-α2-glycoprotein is associated with insulin resistance in humans and is regulated by hyperglycemia, hyperinsulinemia, or liraglutide administration: cross-sectional and interventional studies in normal subjects, insulin-resistant subjects, and subjects with newly diagnosed diabetes. PMID 23275352</w:t>
      </w:r>
    </w:p>
    <w:p>
      <w:pPr>
        <w:numPr>
          <w:ilvl w:val="0"/>
          <w:numId w:val="1377"/>
        </w:numPr>
        <w:pStyle w:val="Compact"/>
      </w:pPr>
      <w:r>
        <w:t xml:space="preserve">2013 · Hu W ·</w:t>
      </w:r>
      <w:r>
        <w:t xml:space="preserve"> </w:t>
      </w:r>
      <w:r>
        <w:rPr>
          <w:iCs/>
          <w:i/>
        </w:rPr>
        <w:t xml:space="preserve">J Clin Endocrinol Metab</w:t>
      </w:r>
      <w:r>
        <w:t xml:space="preserve"> </w:t>
      </w:r>
      <w:r>
        <w:t xml:space="preserve">· Circulating Sfrp5 is a signature of obesity-related metabolic disorders and is regulated by glucose and liraglutide in humans. PMID 23185036</w:t>
      </w:r>
    </w:p>
    <w:p>
      <w:pPr>
        <w:numPr>
          <w:ilvl w:val="0"/>
          <w:numId w:val="1377"/>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7"/>
        </w:numPr>
        <w:pStyle w:val="Compact"/>
      </w:pPr>
      <w:r>
        <w:t xml:space="preserve">2013 · Iwao T ·</w:t>
      </w:r>
      <w:r>
        <w:t xml:space="preserve"> </w:t>
      </w:r>
      <w:r>
        <w:rPr>
          <w:iCs/>
          <w:i/>
        </w:rPr>
        <w:t xml:space="preserve">J Diabetes Complications</w:t>
      </w:r>
      <w:r>
        <w:t xml:space="preserve"> </w:t>
      </w:r>
      <w:r>
        <w:t xml:space="preserve">· Postprandial serum C-peptide is a useful parameter in the prediction of successful switching to liraglutide monotherapy from complex insulin therapy in Japanese patients with type 2 diabetes. PMID 22863615</w:t>
      </w:r>
    </w:p>
    <w:p>
      <w:pPr>
        <w:numPr>
          <w:ilvl w:val="0"/>
          <w:numId w:val="1377"/>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7"/>
        </w:numPr>
        <w:pStyle w:val="Compact"/>
      </w:pPr>
      <w:r>
        <w:t xml:space="preserve">2013 · Rotondo A ·</w:t>
      </w:r>
      <w:r>
        <w:t xml:space="preserve"> </w:t>
      </w:r>
      <w:r>
        <w:rPr>
          <w:iCs/>
          <w:i/>
        </w:rPr>
        <w:t xml:space="preserve">Int J Obes (Lond)</w:t>
      </w:r>
      <w:r>
        <w:t xml:space="preserve"> </w:t>
      </w:r>
      <w:r>
        <w:t xml:space="preserve">· Effect of the GLP-1 analog liraglutide on satiation and gastric sensorimotor function during nutrient-drink ingestion. PMID 22846777</w:t>
      </w:r>
    </w:p>
    <w:p>
      <w:pPr>
        <w:numPr>
          <w:ilvl w:val="0"/>
          <w:numId w:val="1377"/>
        </w:numPr>
        <w:pStyle w:val="Compact"/>
      </w:pPr>
      <w:r>
        <w:t xml:space="preserve">2012 · Egefjord L ·</w:t>
      </w:r>
      <w:r>
        <w:t xml:space="preserve"> </w:t>
      </w:r>
      <w:r>
        <w:rPr>
          <w:iCs/>
          <w:i/>
        </w:rPr>
        <w:t xml:space="preserve">Dan Med J</w:t>
      </w:r>
      <w:r>
        <w:t xml:space="preserve"> </w:t>
      </w:r>
      <w:r>
        <w:t xml:space="preserve">· Effects of liraglutide on neurodegeneration, blood flow and cognition in Alzheimer´s disease - protocol for a controlled, randomized double-blinded trial. PMID 23158895</w:t>
      </w:r>
    </w:p>
    <w:p>
      <w:pPr>
        <w:numPr>
          <w:ilvl w:val="0"/>
          <w:numId w:val="1377"/>
        </w:numPr>
        <w:pStyle w:val="Compact"/>
      </w:pPr>
      <w:r>
        <w:t xml:space="preserve">2012 · Li CJ ·</w:t>
      </w:r>
      <w:r>
        <w:t xml:space="preserve"> </w:t>
      </w:r>
      <w:r>
        <w:rPr>
          <w:iCs/>
          <w:i/>
        </w:rPr>
        <w:t xml:space="preserve">Cardiovasc Diabetol</w:t>
      </w:r>
      <w:r>
        <w:t xml:space="preserve"> </w:t>
      </w:r>
      <w:r>
        <w:t xml:space="preserve">· Efficacy and safety comparison between liraglutide as add-on therapy to insulin and insulin dose-increase in Chinese subjects with poorly controlled type 2 diabetes and abdominal obesity. PMID 23153177</w:t>
      </w:r>
    </w:p>
    <w:p>
      <w:pPr>
        <w:numPr>
          <w:ilvl w:val="0"/>
          <w:numId w:val="1377"/>
        </w:numPr>
        <w:pStyle w:val="Compact"/>
      </w:pPr>
      <w:r>
        <w:t xml:space="preserve">2012 · Pratley RE ·</w:t>
      </w:r>
      <w:r>
        <w:t xml:space="preserve"> </w:t>
      </w:r>
      <w:r>
        <w:rPr>
          <w:iCs/>
          <w:i/>
        </w:rPr>
        <w:t xml:space="preserve">Diabetes Care</w:t>
      </w:r>
      <w:r>
        <w:t xml:space="preserve"> </w:t>
      </w:r>
      <w:r>
        <w:t xml:space="preserve">· Efficacy and safety of switching from the DPP-4 inhibitor sitagliptin to the human GLP-1 analog liraglutide after 52 weeks in metformin-treated patients with type 2 diabetes: a randomized, open-label trial. PMID 22851600</w:t>
      </w:r>
    </w:p>
    <w:p>
      <w:pPr>
        <w:numPr>
          <w:ilvl w:val="0"/>
          <w:numId w:val="1377"/>
        </w:numPr>
        <w:pStyle w:val="Compact"/>
      </w:pPr>
      <w:r>
        <w:t xml:space="preserve">2012 · DeVries JH ·</w:t>
      </w:r>
      <w:r>
        <w:t xml:space="preserve"> </w:t>
      </w:r>
      <w:r>
        <w:rPr>
          <w:iCs/>
          <w:i/>
        </w:rPr>
        <w:t xml:space="preserve">Diabetes Care</w:t>
      </w:r>
      <w:r>
        <w:t xml:space="preserve"> </w:t>
      </w:r>
      <w:r>
        <w:t xml:space="preserve">· Sequential intensification of metformin treatment in type 2 diabetes with liraglutide followed by randomized addition of basal insulin prompted by A1C targets. PMID 22584132</w:t>
      </w:r>
    </w:p>
    <w:p>
      <w:pPr>
        <w:numPr>
          <w:ilvl w:val="0"/>
          <w:numId w:val="1377"/>
        </w:numPr>
        <w:pStyle w:val="Compact"/>
      </w:pPr>
      <w:r>
        <w:t xml:space="preserve">2012 · Horowitz M ·</w:t>
      </w:r>
      <w:r>
        <w:t xml:space="preserve"> </w:t>
      </w:r>
      <w:r>
        <w:rPr>
          <w:iCs/>
          <w:i/>
        </w:rPr>
        <w:t xml:space="preserve">Diabetes Res Clin Pract</w:t>
      </w:r>
      <w:r>
        <w:t xml:space="preserve"> </w:t>
      </w:r>
      <w:r>
        <w:t xml:space="preserve">· Effect of the once-daily human GLP-1 analogue liraglutide on appetite, energy intake, energy expenditure and gastric emptying in type 2 diabetes. PMID 22446097</w:t>
      </w:r>
    </w:p>
    <w:p>
      <w:pPr>
        <w:numPr>
          <w:ilvl w:val="0"/>
          <w:numId w:val="1377"/>
        </w:numPr>
        <w:pStyle w:val="Compact"/>
      </w:pPr>
      <w:r>
        <w:t xml:space="preserve">2012 · Forst T ·</w:t>
      </w:r>
      <w:r>
        <w:t xml:space="preserve"> </w:t>
      </w:r>
      <w:r>
        <w:rPr>
          <w:iCs/>
          <w:i/>
        </w:rPr>
        <w:t xml:space="preserve">Diabet Med</w:t>
      </w:r>
      <w:r>
        <w:t xml:space="preserve"> </w:t>
      </w:r>
      <w:r>
        <w:t xml:space="preserve">· Addition of liraglutide in patients with Type 2 diabetes well controlled on metformin monotherapy improves several markers of vascular function. PMID 22288732</w:t>
      </w:r>
    </w:p>
    <w:p>
      <w:pPr>
        <w:numPr>
          <w:ilvl w:val="0"/>
          <w:numId w:val="1377"/>
        </w:numPr>
        <w:pStyle w:val="Compact"/>
      </w:pPr>
      <w:r>
        <w:t xml:space="preserve">2012 · Ingwersen SH ·</w:t>
      </w:r>
      <w:r>
        <w:t xml:space="preserve"> </w:t>
      </w:r>
      <w:r>
        <w:rPr>
          <w:iCs/>
          <w:i/>
        </w:rPr>
        <w:t xml:space="preserve">J Clin Pharmacol</w:t>
      </w:r>
      <w:r>
        <w:t xml:space="preserve"> </w:t>
      </w:r>
      <w:r>
        <w:t xml:space="preserve">· Dosing rationale for liraglutide in type 2 diabetes mellitus: a pharmacometric assessment. PMID 22174428</w:t>
      </w:r>
    </w:p>
    <w:p>
      <w:pPr>
        <w:numPr>
          <w:ilvl w:val="0"/>
          <w:numId w:val="1377"/>
        </w:numPr>
        <w:pStyle w:val="Compact"/>
      </w:pPr>
      <w:r>
        <w:t xml:space="preserve">2012 · Astrup A ·</w:t>
      </w:r>
      <w:r>
        <w:t xml:space="preserve"> </w:t>
      </w:r>
      <w:r>
        <w:rPr>
          <w:iCs/>
          <w:i/>
        </w:rPr>
        <w:t xml:space="preserve">Int J Obes (Lond)</w:t>
      </w:r>
      <w:r>
        <w:t xml:space="preserve"> </w:t>
      </w:r>
      <w:r>
        <w:t xml:space="preserve">· Safety, tolerability and sustained weight loss over 2 years with the once-daily human GLP-1 analog, liraglutide. PMID 21844879</w:t>
      </w:r>
    </w:p>
    <w:p>
      <w:pPr>
        <w:numPr>
          <w:ilvl w:val="0"/>
          <w:numId w:val="1377"/>
        </w:numPr>
        <w:pStyle w:val="Compact"/>
      </w:pPr>
      <w:r>
        <w:t xml:space="preserve">2011 · Mori Y ·</w:t>
      </w:r>
      <w:r>
        <w:t xml:space="preserve"> </w:t>
      </w:r>
      <w:r>
        <w:rPr>
          <w:iCs/>
          <w:i/>
        </w:rPr>
        <w:t xml:space="preserve">Diabetes Technol Ther</w:t>
      </w:r>
      <w:r>
        <w:t xml:space="preserve"> </w:t>
      </w:r>
      <w:r>
        <w:t xml:space="preserve">· Liraglutide narrows the range of circadian glycemic variations in Japanese type 2 diabetes patients and nearly flattens these variations in drug-naive type 2 diabetes patients: a continuous glucose monitoring-based study. PMID 21877924</w:t>
      </w:r>
    </w:p>
    <w:p>
      <w:pPr>
        <w:numPr>
          <w:ilvl w:val="0"/>
          <w:numId w:val="1377"/>
        </w:numPr>
        <w:pStyle w:val="Compact"/>
      </w:pPr>
      <w:r>
        <w:t xml:space="preserve">2011 · Kapitza C ·</w:t>
      </w:r>
      <w:r>
        <w:t xml:space="preserve"> </w:t>
      </w:r>
      <w:r>
        <w:rPr>
          <w:iCs/>
          <w:i/>
        </w:rPr>
        <w:t xml:space="preserve">Adv Ther</w:t>
      </w:r>
      <w:r>
        <w:t xml:space="preserve"> </w:t>
      </w:r>
      <w:r>
        <w:t xml:space="preserve">· The effect of the once-daily human glucagon-like peptide 1 analog liraglutide on the pharmacokinetics of acetaminophen. PMID 21792552</w:t>
      </w:r>
    </w:p>
    <w:p>
      <w:pPr>
        <w:numPr>
          <w:ilvl w:val="0"/>
          <w:numId w:val="1377"/>
        </w:numPr>
        <w:pStyle w:val="Compact"/>
      </w:pPr>
      <w:r>
        <w:t xml:space="preserve">2011 · Kielgast U ·</w:t>
      </w:r>
      <w:r>
        <w:t xml:space="preserve"> </w:t>
      </w:r>
      <w:r>
        <w:rPr>
          <w:iCs/>
          <w:i/>
        </w:rPr>
        <w:t xml:space="preserve">Diabetes Care</w:t>
      </w:r>
      <w:r>
        <w:t xml:space="preserve"> </w:t>
      </w:r>
      <w:r>
        <w:t xml:space="preserve">· Four weeks of treatment with liraglutide reduces insulin dose without loss of glycemic control in type 1 diabetic patients with and without residual beta-cell function. PMID 21593296</w:t>
      </w:r>
    </w:p>
    <w:p>
      <w:pPr>
        <w:numPr>
          <w:ilvl w:val="0"/>
          <w:numId w:val="1377"/>
        </w:numPr>
        <w:pStyle w:val="Compact"/>
      </w:pPr>
      <w:r>
        <w:t xml:space="preserve">2011 · Yan P ·</w:t>
      </w:r>
      <w:r>
        <w:t xml:space="preserve"> </w:t>
      </w:r>
      <w:r>
        <w:rPr>
          <w:iCs/>
          <w:i/>
        </w:rPr>
        <w:t xml:space="preserve">Diabetes Res Clin Pract</w:t>
      </w:r>
      <w:r>
        <w:t xml:space="preserve"> </w:t>
      </w:r>
      <w:r>
        <w:t xml:space="preserve">· Effects of the long-acting human glucagon-like peptide-1 analog liraglutide on plasma omentin-1 levels in patients with type 2 diabetes mellitus. PMID 21458097</w:t>
      </w:r>
    </w:p>
    <w:p>
      <w:pPr>
        <w:numPr>
          <w:ilvl w:val="0"/>
          <w:numId w:val="1377"/>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7"/>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7"/>
        </w:numPr>
        <w:pStyle w:val="Compact"/>
      </w:pPr>
      <w:r>
        <w:t xml:space="preserve">2011 · Pratley R ·</w:t>
      </w:r>
      <w:r>
        <w:t xml:space="preserve"> </w:t>
      </w:r>
      <w:r>
        <w:rPr>
          <w:iCs/>
          <w:i/>
        </w:rPr>
        <w:t xml:space="preserve">Int J Clin Pract</w:t>
      </w:r>
      <w:r>
        <w:t xml:space="preserve"> </w:t>
      </w:r>
      <w:r>
        <w:t xml:space="preserve">· One year of liraglutide treatment offers sustained and more effective glycaemic control and weight reduction compared with sitagliptin, both in combination with metformin, in patients with type 2 diabetes: a randomised, parallel-group, open-label trial. PMID 21355967</w:t>
      </w:r>
    </w:p>
    <w:p>
      <w:pPr>
        <w:numPr>
          <w:ilvl w:val="0"/>
          <w:numId w:val="1377"/>
        </w:numPr>
        <w:pStyle w:val="Compact"/>
      </w:pPr>
      <w:r>
        <w:t xml:space="preserve">2011 · Lee WC ·</w:t>
      </w:r>
      <w:r>
        <w:t xml:space="preserve"> </w:t>
      </w:r>
      <w:r>
        <w:rPr>
          <w:iCs/>
          <w:i/>
        </w:rPr>
        <w:t xml:space="preserve">Curr Med Res Opin</w:t>
      </w:r>
      <w:r>
        <w:t xml:space="preserve"> </w:t>
      </w:r>
      <w:r>
        <w:t xml:space="preserve">· Cost-effectiveness of liraglutide versus rosiglitazone, both in combination with glimepiride in treatment of type 2 diabetes in the US. PMID 21348806</w:t>
      </w:r>
    </w:p>
    <w:p>
      <w:pPr>
        <w:numPr>
          <w:ilvl w:val="0"/>
          <w:numId w:val="1377"/>
        </w:numPr>
        <w:pStyle w:val="Compact"/>
      </w:pPr>
      <w:r>
        <w:t xml:space="preserve">2011 · Flint A ·</w:t>
      </w:r>
      <w:r>
        <w:t xml:space="preserve"> </w:t>
      </w:r>
      <w:r>
        <w:rPr>
          <w:iCs/>
          <w:i/>
        </w:rPr>
        <w:t xml:space="preserve">Adv Ther</w:t>
      </w:r>
      <w:r>
        <w:t xml:space="preserve"> </w:t>
      </w:r>
      <w:r>
        <w:t xml:space="preserve">· The once-daily human glucagon-like peptide-1 (GLP-1) analog liraglutide improves postprandial glucose levels in type 2 diabetes patients. PMID 21340616</w:t>
      </w:r>
    </w:p>
    <w:p>
      <w:pPr>
        <w:numPr>
          <w:ilvl w:val="0"/>
          <w:numId w:val="1377"/>
        </w:numPr>
        <w:pStyle w:val="Compact"/>
      </w:pPr>
      <w:r>
        <w:t xml:space="preserve">2011 · Davies M ·</w:t>
      </w:r>
      <w:r>
        <w:t xml:space="preserve"> </w:t>
      </w:r>
      <w:r>
        <w:rPr>
          <w:iCs/>
          <w:i/>
        </w:rPr>
        <w:t xml:space="preserve">Diabet Med</w:t>
      </w:r>
      <w:r>
        <w:t xml:space="preserve"> </w:t>
      </w:r>
      <w:r>
        <w:t xml:space="preserve">· Liraglutide improves treatment satisfaction in people with Type 2 diabetes compared with sitagliptin, each as an add on to metformin. PMID 21309842</w:t>
      </w:r>
    </w:p>
    <w:p>
      <w:pPr>
        <w:numPr>
          <w:ilvl w:val="0"/>
          <w:numId w:val="1377"/>
        </w:numPr>
        <w:pStyle w:val="Compact"/>
      </w:pPr>
      <w:r>
        <w:t xml:space="preserve">2011 · Jiang J ·</w:t>
      </w:r>
      <w:r>
        <w:t xml:space="preserve"> </w:t>
      </w:r>
      <w:r>
        <w:rPr>
          <w:iCs/>
          <w:i/>
        </w:rPr>
        <w:t xml:space="preserve">J Clin Pharmacol</w:t>
      </w:r>
      <w:r>
        <w:t xml:space="preserve"> </w:t>
      </w:r>
      <w:r>
        <w:t xml:space="preserve">· The pharmacokinetics, pharmacodynamics, and tolerability of liraglutide, a once-daily human GLP-1 analogue, after multiple subcutaneous administration in healthy Chinese male subjects. PMID 21273395</w:t>
      </w:r>
    </w:p>
    <w:p>
      <w:pPr>
        <w:numPr>
          <w:ilvl w:val="0"/>
          <w:numId w:val="1377"/>
        </w:numPr>
        <w:pStyle w:val="Compact"/>
      </w:pPr>
      <w:r>
        <w:t xml:space="preserve">2011 · Jacobsen LV ·</w:t>
      </w:r>
      <w:r>
        <w:t xml:space="preserve"> </w:t>
      </w:r>
      <w:r>
        <w:rPr>
          <w:iCs/>
          <w:i/>
        </w:rPr>
        <w:t xml:space="preserve">J Clin Pharmacol</w:t>
      </w:r>
      <w:r>
        <w:t xml:space="preserve"> </w:t>
      </w:r>
      <w:r>
        <w:t xml:space="preserve">· Treatment with liraglutide–a once-daily GLP-1 analog–does not reduce the bioavailability of ethinyl estradiol/levonorgestrel taken as an oral combination contraceptive drug. PMID 21228406</w:t>
      </w:r>
    </w:p>
    <w:p>
      <w:pPr>
        <w:numPr>
          <w:ilvl w:val="0"/>
          <w:numId w:val="1377"/>
        </w:numPr>
        <w:pStyle w:val="Compact"/>
      </w:pPr>
      <w:r>
        <w:t xml:space="preserve">2011 · Hegedüs L ·</w:t>
      </w:r>
      <w:r>
        <w:t xml:space="preserve"> </w:t>
      </w:r>
      <w:r>
        <w:rPr>
          <w:iCs/>
          <w:i/>
        </w:rPr>
        <w:t xml:space="preserve">J Clin Endocrinol Metab</w:t>
      </w:r>
      <w:r>
        <w:t xml:space="preserve"> </w:t>
      </w:r>
      <w:r>
        <w:t xml:space="preserve">· GLP-1 and calcitonin concentration in humans: lack of evidence of calcitonin release from sequential screening in over 5000 subjects with type 2 diabetes or nondiabetic obese subjects treated with the human GLP-1 analog, liraglutide. PMID 21209033</w:t>
      </w:r>
    </w:p>
    <w:p>
      <w:pPr>
        <w:numPr>
          <w:ilvl w:val="0"/>
          <w:numId w:val="1377"/>
        </w:numPr>
        <w:pStyle w:val="Compact"/>
      </w:pPr>
      <w:r>
        <w:t xml:space="preserve">2011 · Garber A ·</w:t>
      </w:r>
      <w:r>
        <w:t xml:space="preserve"> </w:t>
      </w:r>
      <w:r>
        <w:rPr>
          <w:iCs/>
          <w:i/>
        </w:rPr>
        <w:t xml:space="preserve">Diabetes Obes Metab</w:t>
      </w:r>
      <w:r>
        <w:t xml:space="preserve"> </w:t>
      </w:r>
      <w:r>
        <w:t xml:space="preserve">· Liraglutide, a once-daily human glucagon-like peptide 1 analogue, provides sustained improvements in glycaemic control and weight for 2 years as monotherapy compared with glimepiride in patients with type 2 diabetes. PMID 21205128</w:t>
      </w:r>
    </w:p>
    <w:p>
      <w:pPr>
        <w:numPr>
          <w:ilvl w:val="0"/>
          <w:numId w:val="1377"/>
        </w:numPr>
        <w:pStyle w:val="Compact"/>
      </w:pPr>
      <w:r>
        <w:t xml:space="preserve">2011 · Yang W ·</w:t>
      </w:r>
      <w:r>
        <w:t xml:space="preserve"> </w:t>
      </w:r>
      <w:r>
        <w:rPr>
          <w:iCs/>
          <w:i/>
        </w:rPr>
        <w:t xml:space="preserve">Diabetes Obes Metab</w:t>
      </w:r>
      <w:r>
        <w:t xml:space="preserve"> </w:t>
      </w:r>
      <w:r>
        <w:t xml:space="preserve">· Liraglutide provides similar glycaemic control as glimepiride (both in combination with metformin) and reduces body weight and systolic blood pressure in Asian population with type 2 diabetes from China, South Korea and India: a 16-week, randomized, double-blind, active control trial(*). PMID 21114607</w:t>
      </w:r>
    </w:p>
    <w:p>
      <w:pPr>
        <w:numPr>
          <w:ilvl w:val="0"/>
          <w:numId w:val="1377"/>
        </w:numPr>
        <w:pStyle w:val="Compact"/>
      </w:pPr>
      <w:r>
        <w:t xml:space="preserve">2011 · Kapitza C ·</w:t>
      </w:r>
      <w:r>
        <w:t xml:space="preserve"> </w:t>
      </w:r>
      <w:r>
        <w:rPr>
          <w:iCs/>
          <w:i/>
        </w:rPr>
        <w:t xml:space="preserve">J Clin Pharmacol</w:t>
      </w:r>
      <w:r>
        <w:t xml:space="preserve"> </w:t>
      </w:r>
      <w:r>
        <w:t xml:space="preserve">· Effect of three different injection sites on the pharmacokinetics of the once-daily human GLP-1 analogue liraglutide. PMID 20671294</w:t>
      </w:r>
    </w:p>
    <w:p>
      <w:pPr>
        <w:numPr>
          <w:ilvl w:val="0"/>
          <w:numId w:val="1377"/>
        </w:numPr>
        <w:pStyle w:val="Compact"/>
      </w:pPr>
      <w:r>
        <w:t xml:space="preserve">2010 · García-Hernández P ·</w:t>
      </w:r>
      <w:r>
        <w:t xml:space="preserve"> </w:t>
      </w:r>
      <w:r>
        <w:rPr>
          <w:iCs/>
          <w:i/>
        </w:rPr>
        <w:t xml:space="preserve">Rev Med Inst Mex Seguro Soc</w:t>
      </w:r>
      <w:r>
        <w:t xml:space="preserve"> </w:t>
      </w:r>
      <w:r>
        <w:t xml:space="preserve">· [Liraglutide and glimepiride on glycaemic control in type 2 diabetes in the Mexican cohort (LEAD 3)]. PMID 21205505</w:t>
      </w:r>
    </w:p>
    <w:p>
      <w:pPr>
        <w:numPr>
          <w:ilvl w:val="0"/>
          <w:numId w:val="1377"/>
        </w:numPr>
        <w:pStyle w:val="Compact"/>
      </w:pPr>
      <w:r>
        <w:t xml:space="preserve">2010 · Flint A ·</w:t>
      </w:r>
      <w:r>
        <w:t xml:space="preserve"> </w:t>
      </w:r>
      <w:r>
        <w:rPr>
          <w:iCs/>
          <w:i/>
        </w:rPr>
        <w:t xml:space="preserve">Br J Clin Pharmacol</w:t>
      </w:r>
      <w:r>
        <w:t xml:space="preserve"> </w:t>
      </w:r>
      <w:r>
        <w:t xml:space="preserve">· Influence of hepatic impairment on pharmacokinetics of the human GLP-1 analogue, liraglutide. PMID 21175436</w:t>
      </w:r>
    </w:p>
    <w:p>
      <w:pPr>
        <w:numPr>
          <w:ilvl w:val="0"/>
          <w:numId w:val="1377"/>
        </w:numPr>
        <w:pStyle w:val="Compact"/>
      </w:pPr>
      <w:r>
        <w:t xml:space="preserve">2010 · Malm-Erjefält M ·</w:t>
      </w:r>
      <w:r>
        <w:t xml:space="preserve"> </w:t>
      </w:r>
      <w:r>
        <w:rPr>
          <w:iCs/>
          <w:i/>
        </w:rPr>
        <w:t xml:space="preserve">Drug Metab Dispos</w:t>
      </w:r>
      <w:r>
        <w:t xml:space="preserve"> </w:t>
      </w:r>
      <w:r>
        <w:t xml:space="preserve">· Metabolism and excretion of the once-daily human glucagon-like peptide-1 analog liraglutide in healthy male subjects and its in vitro degradation by dipeptidyl peptidase IV and neutral endopeptidase. PMID 20709939</w:t>
      </w:r>
    </w:p>
    <w:p>
      <w:pPr>
        <w:numPr>
          <w:ilvl w:val="0"/>
          <w:numId w:val="1377"/>
        </w:numPr>
        <w:pStyle w:val="Compact"/>
      </w:pPr>
      <w:r>
        <w:t xml:space="preserve">2010 · Bode BW ·</w:t>
      </w:r>
      <w:r>
        <w:t xml:space="preserve"> </w:t>
      </w:r>
      <w:r>
        <w:rPr>
          <w:iCs/>
          <w:i/>
        </w:rPr>
        <w:t xml:space="preserve">Diabetes Obes Metab</w:t>
      </w:r>
      <w:r>
        <w:t xml:space="preserve"> </w:t>
      </w:r>
      <w:r>
        <w:t xml:space="preserve">· Patient-reported outcomes following treatment with the human GLP-1 analogue liraglutide or glimepiride in monotherapy: results from a randomized controlled trial in patients with type 2 diabetes. PMID 20590735</w:t>
      </w:r>
    </w:p>
    <w:p>
      <w:pPr>
        <w:numPr>
          <w:ilvl w:val="0"/>
          <w:numId w:val="1377"/>
        </w:numPr>
        <w:pStyle w:val="Compact"/>
      </w:pPr>
      <w:r>
        <w:t xml:space="preserve">2010 · Hermansen K ·</w:t>
      </w:r>
      <w:r>
        <w:t xml:space="preserve"> </w:t>
      </w:r>
      <w:r>
        <w:rPr>
          <w:iCs/>
          <w:i/>
        </w:rPr>
        <w:t xml:space="preserve">Prim Care Diabetes</w:t>
      </w:r>
      <w:r>
        <w:t xml:space="preserve"> </w:t>
      </w:r>
      <w:r>
        <w:t xml:space="preserve">· Patient-reported outcomes in patients with type 2 diabetes treated with liraglutide or glimepiride, both as add-on to metformin. PMID 20444662</w:t>
      </w:r>
    </w:p>
    <w:p>
      <w:pPr>
        <w:numPr>
          <w:ilvl w:val="0"/>
          <w:numId w:val="1377"/>
        </w:numPr>
        <w:pStyle w:val="Compact"/>
      </w:pPr>
      <w:r>
        <w:t xml:space="preserve">2010 · Pratley RE ·</w:t>
      </w:r>
      <w:r>
        <w:t xml:space="preserve"> </w:t>
      </w:r>
      <w:r>
        <w:rPr>
          <w:iCs/>
          <w:i/>
        </w:rPr>
        <w:t xml:space="preserve">Lancet</w:t>
      </w:r>
      <w:r>
        <w:t xml:space="preserve"> </w:t>
      </w:r>
      <w:r>
        <w:t xml:space="preserve">· Liraglutide versus sitagliptin for patients with type 2 diabetes who did not have adequate glycaemic control with metformin: a 26-week, randomised, parallel-group, open-label trial. PMID 20417856</w:t>
      </w:r>
    </w:p>
    <w:p>
      <w:pPr>
        <w:numPr>
          <w:ilvl w:val="0"/>
          <w:numId w:val="1377"/>
        </w:numPr>
        <w:pStyle w:val="Compact"/>
      </w:pPr>
      <w:r>
        <w:t xml:space="preserve">2010 · Kaku K ·</w:t>
      </w:r>
      <w:r>
        <w:t xml:space="preserve"> </w:t>
      </w:r>
      <w:r>
        <w:rPr>
          <w:iCs/>
          <w:i/>
        </w:rPr>
        <w:t xml:space="preserve">Diabetes Obes Metab</w:t>
      </w:r>
      <w:r>
        <w:t xml:space="preserve"> </w:t>
      </w:r>
      <w:r>
        <w:t xml:space="preserve">· Improved glycaemic control with minimal hypoglycaemia and no weight change with the once-daily human glucagon-like peptide-1 analogue liraglutide as add-on to sulphonylurea in Japanese patients with type 2 diabetes. PMID 20380655</w:t>
      </w:r>
    </w:p>
    <w:p>
      <w:pPr>
        <w:numPr>
          <w:ilvl w:val="0"/>
          <w:numId w:val="1377"/>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7"/>
        </w:numPr>
        <w:pStyle w:val="Compact"/>
      </w:pPr>
      <w:r>
        <w:t xml:space="preserve">2010 · Bjerre Knudsen L ·</w:t>
      </w:r>
      <w:r>
        <w:t xml:space="preserve"> </w:t>
      </w:r>
      <w:r>
        <w:rPr>
          <w:iCs/>
          <w:i/>
        </w:rPr>
        <w:t xml:space="preserve">Endocrinology</w:t>
      </w:r>
      <w:r>
        <w:t xml:space="preserve"> </w:t>
      </w:r>
      <w:r>
        <w:t xml:space="preserve">· Glucagon-like Peptide-1 receptor agonists activate rodent thyroid C-cells causing calcitonin release and C-cell proliferation. PMID 20203154</w:t>
      </w:r>
    </w:p>
    <w:p>
      <w:pPr>
        <w:numPr>
          <w:ilvl w:val="0"/>
          <w:numId w:val="1377"/>
        </w:numPr>
        <w:pStyle w:val="Compact"/>
      </w:pPr>
      <w:r>
        <w:t xml:space="preserve">2010 · Seino Y ·</w:t>
      </w:r>
      <w:r>
        <w:t xml:space="preserve"> </w:t>
      </w:r>
      <w:r>
        <w:rPr>
          <w:iCs/>
          <w:i/>
        </w:rPr>
        <w:t xml:space="preserve">Curr Med Res Opin</w:t>
      </w:r>
      <w:r>
        <w:t xml:space="preserve"> </w:t>
      </w:r>
      <w:r>
        <w:t xml:space="preserve">· Efficacy and safety of the once-daily human GLP-1 analogue, liraglutide, vs glibenclamide monotherapy in Japanese patients with type 2 diabetes. PMID 20199137</w:t>
      </w:r>
    </w:p>
    <w:p>
      <w:pPr>
        <w:numPr>
          <w:ilvl w:val="0"/>
          <w:numId w:val="1377"/>
        </w:numPr>
        <w:pStyle w:val="Compact"/>
      </w:pPr>
      <w:r>
        <w:t xml:space="preserve">2010 · Gallwitz B ·</w:t>
      </w:r>
      <w:r>
        <w:t xml:space="preserve"> </w:t>
      </w:r>
      <w:r>
        <w:rPr>
          <w:iCs/>
          <w:i/>
        </w:rPr>
        <w:t xml:space="preserve">Int J Clin Pract</w:t>
      </w:r>
      <w:r>
        <w:t xml:space="preserve"> </w:t>
      </w:r>
      <w:r>
        <w:t xml:space="preserve">· Adding liraglutide to oral antidiabetic drug therapy: onset of treatment effects over time. PMID 19925617</w:t>
      </w:r>
    </w:p>
    <w:p>
      <w:pPr>
        <w:numPr>
          <w:ilvl w:val="0"/>
          <w:numId w:val="1377"/>
        </w:numPr>
        <w:pStyle w:val="Compact"/>
      </w:pPr>
      <w:r>
        <w:t xml:space="preserve">2009 · Jacobsen LV ·</w:t>
      </w:r>
      <w:r>
        <w:t xml:space="preserve"> </w:t>
      </w:r>
      <w:r>
        <w:rPr>
          <w:iCs/>
          <w:i/>
        </w:rPr>
        <w:t xml:space="preserve">Br J Clin Pharmacol</w:t>
      </w:r>
      <w:r>
        <w:t xml:space="preserve"> </w:t>
      </w:r>
      <w:r>
        <w:t xml:space="preserve">· Effect of renal impairment on the pharmacokinetics of the GLP-1 analogue liraglutide. PMID 20002084</w:t>
      </w:r>
    </w:p>
    <w:p>
      <w:pPr>
        <w:numPr>
          <w:ilvl w:val="0"/>
          <w:numId w:val="1377"/>
        </w:numPr>
        <w:pStyle w:val="Compact"/>
      </w:pPr>
      <w:r>
        <w:t xml:space="preserve">2009 · Jendle J ·</w:t>
      </w:r>
      <w:r>
        <w:t xml:space="preserve"> </w:t>
      </w:r>
      <w:r>
        <w:rPr>
          <w:iCs/>
          <w:i/>
        </w:rPr>
        <w:t xml:space="preserve">Diabetes Obes Metab</w:t>
      </w:r>
      <w:r>
        <w:t xml:space="preserve"> </w:t>
      </w:r>
      <w:r>
        <w:t xml:space="preserve">· Weight loss with liraglutide, a once-daily human glucagon-like peptide-1 analogue for type 2 diabetes treatment as monotherapy or added to metformin, is primarily as a result of a reduction in fat tissue. PMID 19930006</w:t>
      </w:r>
    </w:p>
    <w:p>
      <w:pPr>
        <w:numPr>
          <w:ilvl w:val="0"/>
          <w:numId w:val="1377"/>
        </w:numPr>
        <w:pStyle w:val="Compact"/>
      </w:pPr>
      <w:r>
        <w:t xml:space="preserve">2009 · Sullivan SD ·</w:t>
      </w:r>
      <w:r>
        <w:t xml:space="preserve"> </w:t>
      </w:r>
      <w:r>
        <w:rPr>
          <w:iCs/>
          <w:i/>
        </w:rPr>
        <w:t xml:space="preserve">Pharmacotherapy</w:t>
      </w:r>
      <w:r>
        <w:t xml:space="preserve"> </w:t>
      </w:r>
      <w:r>
        <w:t xml:space="preserve">· A simulation of the comparative long-term effectiveness of liraglutide and glimepiride monotherapies in patients with type 2 diabetes mellitus. PMID 19873688</w:t>
      </w:r>
    </w:p>
    <w:p>
      <w:pPr>
        <w:numPr>
          <w:ilvl w:val="0"/>
          <w:numId w:val="1377"/>
        </w:numPr>
        <w:pStyle w:val="Compact"/>
      </w:pPr>
      <w:r>
        <w:t xml:space="preserve">2009 · Astrup A ·</w:t>
      </w:r>
      <w:r>
        <w:t xml:space="preserve"> </w:t>
      </w:r>
      <w:r>
        <w:rPr>
          <w:iCs/>
          <w:i/>
        </w:rPr>
        <w:t xml:space="preserve">Lancet</w:t>
      </w:r>
      <w:r>
        <w:t xml:space="preserve"> </w:t>
      </w:r>
      <w:r>
        <w:t xml:space="preserve">· Effects of liraglutide in the treatment of obesity: a randomised, double-blind, placebo-controlled study. PMID 19853906</w:t>
      </w:r>
    </w:p>
    <w:p>
      <w:pPr>
        <w:numPr>
          <w:ilvl w:val="0"/>
          <w:numId w:val="1377"/>
        </w:numPr>
        <w:pStyle w:val="Compact"/>
      </w:pPr>
      <w:r>
        <w:t xml:space="preserve">2009 · Chatterjee DJ ·</w:t>
      </w:r>
      <w:r>
        <w:t xml:space="preserve"> </w:t>
      </w:r>
      <w:r>
        <w:rPr>
          <w:iCs/>
          <w:i/>
        </w:rPr>
        <w:t xml:space="preserve">J Clin Pharmacol</w:t>
      </w:r>
      <w:r>
        <w:t xml:space="preserve"> </w:t>
      </w:r>
      <w:r>
        <w:t xml:space="preserve">· Absence of QTc prolongation in a thorough QT study with subcutaneous liraglutide, a once-daily human GLP-1 analog for treatment of type 2 diabetes. PMID 19737980</w:t>
      </w:r>
    </w:p>
    <w:p>
      <w:pPr>
        <w:numPr>
          <w:ilvl w:val="0"/>
          <w:numId w:val="1377"/>
        </w:numPr>
        <w:pStyle w:val="Compact"/>
      </w:pPr>
      <w:r>
        <w:t xml:space="preserve">2009 · Russell-Jones D ·</w:t>
      </w:r>
      <w:r>
        <w:t xml:space="preserve"> </w:t>
      </w:r>
      <w:r>
        <w:rPr>
          <w:iCs/>
          <w:i/>
        </w:rPr>
        <w:t xml:space="preserve">Diabetologia</w:t>
      </w:r>
      <w:r>
        <w:t xml:space="preserve"> </w:t>
      </w:r>
      <w:r>
        <w:t xml:space="preserve">· Liraglutide vs insulin glargine and placebo in combination with metformin and sulfonylurea therapy in type 2 diabetes mellitus (LEAD-5 met+SU): a randomised controlled trial. PMID 19688338</w:t>
      </w:r>
    </w:p>
    <w:p>
      <w:pPr>
        <w:numPr>
          <w:ilvl w:val="0"/>
          <w:numId w:val="1377"/>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7"/>
        </w:numPr>
        <w:pStyle w:val="Compact"/>
      </w:pPr>
      <w:r>
        <w:t xml:space="preserve">2009 · Nauck M ·</w:t>
      </w:r>
      <w:r>
        <w:t xml:space="preserve"> </w:t>
      </w:r>
      <w:r>
        <w:rPr>
          <w:iCs/>
          <w:i/>
        </w:rPr>
        <w:t xml:space="preserve">Postgrad Med</w:t>
      </w:r>
      <w:r>
        <w:t xml:space="preserve"> </w:t>
      </w:r>
      <w:r>
        <w:t xml:space="preserve">· Adding liraglutide to oral antidiabetic drug monotherapy: efficacy and weight benefits. PMID 19491535</w:t>
      </w:r>
    </w:p>
    <w:p>
      <w:pPr>
        <w:numPr>
          <w:ilvl w:val="0"/>
          <w:numId w:val="1377"/>
        </w:numPr>
        <w:pStyle w:val="Compact"/>
      </w:pPr>
      <w:r>
        <w:t xml:space="preserve">2009 · Marre M ·</w:t>
      </w:r>
      <w:r>
        <w:t xml:space="preserve"> </w:t>
      </w:r>
      <w:r>
        <w:rPr>
          <w:iCs/>
          <w:i/>
        </w:rPr>
        <w:t xml:space="preserve">Diabet Med</w:t>
      </w:r>
      <w:r>
        <w:t xml:space="preserve"> </w:t>
      </w:r>
      <w:r>
        <w:t xml:space="preserve">· Liraglutide, a once-daily human GLP-1 analogue, added to a sulphonylurea over 26 weeks produces greater improvements in glycaemic and weight control compared with adding rosiglitazone or placebo in subjects with Type 2 diabetes (LEAD-1 SU). PMID 19317822</w:t>
      </w:r>
    </w:p>
    <w:p>
      <w:pPr>
        <w:numPr>
          <w:ilvl w:val="0"/>
          <w:numId w:val="1377"/>
        </w:numPr>
        <w:pStyle w:val="Compact"/>
      </w:pPr>
      <w:r>
        <w:t xml:space="preserve">2009 · Zinman B ·</w:t>
      </w:r>
      <w:r>
        <w:t xml:space="preserve"> </w:t>
      </w:r>
      <w:r>
        <w:rPr>
          <w:iCs/>
          <w:i/>
        </w:rPr>
        <w:t xml:space="preserve">Diabetes Care</w:t>
      </w:r>
      <w:r>
        <w:t xml:space="preserve"> </w:t>
      </w:r>
      <w:r>
        <w:t xml:space="preserve">· Efficacy and safety of the human glucagon-like peptide-1 analog liraglutide in combination with metformin and thiazolidinedione in patients with type 2 diabetes (LEAD-4 Met+TZD). PMID 19289857</w:t>
      </w:r>
    </w:p>
    <w:p>
      <w:pPr>
        <w:numPr>
          <w:ilvl w:val="0"/>
          <w:numId w:val="1377"/>
        </w:numPr>
        <w:pStyle w:val="Compact"/>
      </w:pPr>
      <w:r>
        <w:t xml:space="preserve">2009 · Sullivan SD ·</w:t>
      </w:r>
      <w:r>
        <w:t xml:space="preserve"> </w:t>
      </w:r>
      <w:r>
        <w:rPr>
          <w:iCs/>
          <w:i/>
        </w:rPr>
        <w:t xml:space="preserve">Cardiovasc Diabetol</w:t>
      </w:r>
      <w:r>
        <w:t xml:space="preserve"> </w:t>
      </w:r>
      <w:r>
        <w:t xml:space="preserve">· Long-term outcomes in patients with type 2 diabetes receiving glimepiride combined with liraglutide or rosiglitazone. PMID 19245711</w:t>
      </w:r>
    </w:p>
    <w:p>
      <w:pPr>
        <w:numPr>
          <w:ilvl w:val="0"/>
          <w:numId w:val="1377"/>
        </w:numPr>
        <w:pStyle w:val="Compact"/>
      </w:pPr>
      <w:r>
        <w:t xml:space="preserve">2009 · Nauck M ·</w:t>
      </w:r>
      <w:r>
        <w:t xml:space="preserve"> </w:t>
      </w:r>
      <w:r>
        <w:rPr>
          <w:iCs/>
          <w:i/>
        </w:rPr>
        <w:t xml:space="preserve">Diabetes Care</w:t>
      </w:r>
      <w:r>
        <w:t xml:space="preserve"> </w:t>
      </w:r>
      <w:r>
        <w:t xml:space="preserve">· Efficacy and safety comparison of liraglutide, glimepiride, and placebo, all in combination with metformin, in type 2 diabetes: the LEAD (liraglutide effect and action in diabetes)-2 study. PMID 18931095</w:t>
      </w:r>
    </w:p>
    <w:p>
      <w:pPr>
        <w:numPr>
          <w:ilvl w:val="0"/>
          <w:numId w:val="1377"/>
        </w:numPr>
        <w:pStyle w:val="Compact"/>
      </w:pPr>
      <w:r>
        <w:t xml:space="preserve">2009 · Garber A ·</w:t>
      </w:r>
      <w:r>
        <w:t xml:space="preserve"> </w:t>
      </w:r>
      <w:r>
        <w:rPr>
          <w:iCs/>
          <w:i/>
        </w:rPr>
        <w:t xml:space="preserve">Lancet</w:t>
      </w:r>
      <w:r>
        <w:t xml:space="preserve"> </w:t>
      </w:r>
      <w:r>
        <w:t xml:space="preserve">· Liraglutide versus glimepiride monotherapy for type 2 diabetes (LEAD-3 Mono): a randomised, 52-week, phase III, double-blind, parallel-treatment trial. PMID 18819705</w:t>
      </w:r>
    </w:p>
    <w:p>
      <w:pPr>
        <w:numPr>
          <w:ilvl w:val="0"/>
          <w:numId w:val="1377"/>
        </w:numPr>
        <w:pStyle w:val="Compact"/>
      </w:pPr>
      <w:r>
        <w:t xml:space="preserve">2008 · Courrèges JP ·</w:t>
      </w:r>
      <w:r>
        <w:t xml:space="preserve"> </w:t>
      </w:r>
      <w:r>
        <w:rPr>
          <w:iCs/>
          <w:i/>
        </w:rPr>
        <w:t xml:space="preserve">Diabet Med</w:t>
      </w:r>
      <w:r>
        <w:t xml:space="preserve"> </w:t>
      </w:r>
      <w:r>
        <w:t xml:space="preserve">· Beneficial effects of once-daily liraglutide, a human glucagon-like peptide-1 analogue, on cardiovascular risk biomarkers in patients with Type 2 diabetes. PMID 19183322</w:t>
      </w:r>
    </w:p>
    <w:p>
      <w:pPr>
        <w:numPr>
          <w:ilvl w:val="0"/>
          <w:numId w:val="1377"/>
        </w:numPr>
        <w:pStyle w:val="Compact"/>
      </w:pPr>
      <w:r>
        <w:t xml:space="preserve">2008 · Irie S ·</w:t>
      </w:r>
      <w:r>
        <w:t xml:space="preserve"> </w:t>
      </w:r>
      <w:r>
        <w:rPr>
          <w:iCs/>
          <w:i/>
        </w:rPr>
        <w:t xml:space="preserve">Int J Clin Pharmacol Ther</w:t>
      </w:r>
      <w:r>
        <w:t xml:space="preserve"> </w:t>
      </w:r>
      <w:r>
        <w:t xml:space="preserve">· Tolerability, pharmacokinetics and pharmacodynamics of the once-daily human GLP-1 analog liraglutide in Japanese healthy subjects: a randomized, double-blind, placebo-controlled dose-escalation study. PMID 18541123</w:t>
      </w:r>
    </w:p>
    <w:p>
      <w:pPr>
        <w:numPr>
          <w:ilvl w:val="0"/>
          <w:numId w:val="1377"/>
        </w:numPr>
        <w:pStyle w:val="Compact"/>
      </w:pPr>
      <w:r>
        <w:t xml:space="preserve">2008 · Seino Y ·</w:t>
      </w:r>
      <w:r>
        <w:t xml:space="preserve"> </w:t>
      </w:r>
      <w:r>
        <w:rPr>
          <w:iCs/>
          <w:i/>
        </w:rPr>
        <w:t xml:space="preserve">Diabetes Res Clin Pract</w:t>
      </w:r>
      <w:r>
        <w:t xml:space="preserve"> </w:t>
      </w:r>
      <w:r>
        <w:t xml:space="preserve">· Dose-dependent improvement in glycemia with once-daily liraglutide without hypoglycemia or weight gain: A double-blind, randomized, controlled trial in Japanese patients with type 2 diabetes. PMID 18495285</w:t>
      </w:r>
    </w:p>
    <w:p>
      <w:pPr>
        <w:numPr>
          <w:ilvl w:val="0"/>
          <w:numId w:val="1377"/>
        </w:numPr>
        <w:pStyle w:val="Compact"/>
      </w:pPr>
      <w:r>
        <w:t xml:space="preserve">2008 · Horowitz M ·</w:t>
      </w:r>
      <w:r>
        <w:t xml:space="preserve"> </w:t>
      </w:r>
      <w:r>
        <w:rPr>
          <w:iCs/>
          <w:i/>
        </w:rPr>
        <w:t xml:space="preserve">Diabetes Obes Metab</w:t>
      </w:r>
      <w:r>
        <w:t xml:space="preserve"> </w:t>
      </w:r>
      <w:r>
        <w:t xml:space="preserve">· Patient-reported rating of gastrointestinal adverse effects during treatment of type 2 diabetes with the once-daily human GLP-1 analogue, liraglutide. PMID 18435773</w:t>
      </w:r>
    </w:p>
    <w:p>
      <w:pPr>
        <w:numPr>
          <w:ilvl w:val="0"/>
          <w:numId w:val="1377"/>
        </w:numPr>
        <w:pStyle w:val="Compact"/>
      </w:pPr>
      <w:r>
        <w:t xml:space="preserve">2008 · Vilsbøll T ·</w:t>
      </w:r>
      <w:r>
        <w:t xml:space="preserve"> </w:t>
      </w:r>
      <w:r>
        <w:rPr>
          <w:iCs/>
          <w:i/>
        </w:rPr>
        <w:t xml:space="preserve">Diabet Med</w:t>
      </w:r>
      <w:r>
        <w:t xml:space="preserve"> </w:t>
      </w:r>
      <w:r>
        <w:t xml:space="preserve">· Liraglutide, a once-daily human GLP-1 analogue, improves pancreatic B-cell function and arginine-stimulated insulin secretion during hyperglycaemia in patients with Type 2 diabetes mellitus. PMID 18201212</w:t>
      </w:r>
    </w:p>
    <w:p>
      <w:pPr>
        <w:numPr>
          <w:ilvl w:val="0"/>
          <w:numId w:val="1377"/>
        </w:numPr>
        <w:pStyle w:val="Compact"/>
      </w:pPr>
      <w:r>
        <w:t xml:space="preserve">2007 · Mari A ·</w:t>
      </w:r>
      <w:r>
        <w:t xml:space="preserve"> </w:t>
      </w:r>
      <w:r>
        <w:rPr>
          <w:iCs/>
          <w:i/>
        </w:rPr>
        <w:t xml:space="preserve">Diabetes Care</w:t>
      </w:r>
      <w:r>
        <w:t xml:space="preserve"> </w:t>
      </w:r>
      <w:r>
        <w:t xml:space="preserve">· Effects of the long-acting human glucagon-like peptide-1 analog liraglutide on beta-cell function in normal living conditions. PMID 17468345</w:t>
      </w:r>
    </w:p>
    <w:p>
      <w:pPr>
        <w:numPr>
          <w:ilvl w:val="0"/>
          <w:numId w:val="1377"/>
        </w:numPr>
        <w:pStyle w:val="Compact"/>
      </w:pPr>
      <w:r>
        <w:t xml:space="preserve">2007 · Vilsbøll T ·</w:t>
      </w:r>
      <w:r>
        <w:t xml:space="preserve"> </w:t>
      </w:r>
      <w:r>
        <w:rPr>
          <w:iCs/>
          <w:i/>
        </w:rPr>
        <w:t xml:space="preserve">Diabetes Care</w:t>
      </w:r>
      <w:r>
        <w:t xml:space="preserve"> </w:t>
      </w:r>
      <w:r>
        <w:t xml:space="preserve">· Liraglutide, a long-acting human glucagon-like peptide-1 analog, given as monotherapy significantly improves glycemic control and lowers body weight without risk of hypoglycemia in patients with type 2 diabetes. PMID 17372153</w:t>
      </w:r>
    </w:p>
    <w:p>
      <w:pPr>
        <w:numPr>
          <w:ilvl w:val="0"/>
          <w:numId w:val="1377"/>
        </w:numPr>
        <w:pStyle w:val="Compact"/>
      </w:pPr>
      <w:r>
        <w:t xml:space="preserve">2006 · Nauck MA ·</w:t>
      </w:r>
      <w:r>
        <w:t xml:space="preserve"> </w:t>
      </w:r>
      <w:r>
        <w:rPr>
          <w:iCs/>
          <w:i/>
        </w:rPr>
        <w:t xml:space="preserve">Exp Clin Endocrinol Diabetes</w:t>
      </w:r>
      <w:r>
        <w:t xml:space="preserve"> </w:t>
      </w:r>
      <w:r>
        <w:t xml:space="preserve">· Five weeks of treatment with the GLP-1 analogue liraglutide improves glycaemic control and lowers body weight in subjects with type 2 diabetes. PMID 17039422</w:t>
      </w:r>
    </w:p>
    <w:p>
      <w:pPr>
        <w:numPr>
          <w:ilvl w:val="0"/>
          <w:numId w:val="1377"/>
        </w:numPr>
        <w:pStyle w:val="Compact"/>
      </w:pPr>
      <w:r>
        <w:t xml:space="preserve">2006 · Damholt B ·</w:t>
      </w:r>
      <w:r>
        <w:t xml:space="preserve"> </w:t>
      </w:r>
      <w:r>
        <w:rPr>
          <w:iCs/>
          <w:i/>
        </w:rPr>
        <w:t xml:space="preserve">J Clin Pharmacol</w:t>
      </w:r>
      <w:r>
        <w:t xml:space="preserve"> </w:t>
      </w:r>
      <w:r>
        <w:t xml:space="preserve">· An open-label, parallel group study investigating the effects of age and gender on the pharmacokinetics of the once-daily glucagon-like peptide-1 analogue liraglutide. PMID 16707410</w:t>
      </w:r>
    </w:p>
    <w:p>
      <w:pPr>
        <w:numPr>
          <w:ilvl w:val="0"/>
          <w:numId w:val="1377"/>
        </w:numPr>
        <w:pStyle w:val="Compact"/>
      </w:pPr>
      <w:r>
        <w:t xml:space="preserve">2005 · Feinglos MN ·</w:t>
      </w:r>
      <w:r>
        <w:t xml:space="preserve"> </w:t>
      </w:r>
      <w:r>
        <w:rPr>
          <w:iCs/>
          <w:i/>
        </w:rPr>
        <w:t xml:space="preserve">Diabet Med</w:t>
      </w:r>
      <w:r>
        <w:t xml:space="preserve"> </w:t>
      </w:r>
      <w:r>
        <w:t xml:space="preserve">· Effects of liraglutide (NN2211), a long-acting GLP-1 analogue, on glycaemic control and bodyweight in subjects with Type 2 diabetes. PMID 16026367</w:t>
      </w:r>
    </w:p>
    <w:p>
      <w:pPr>
        <w:numPr>
          <w:ilvl w:val="0"/>
          <w:numId w:val="1377"/>
        </w:numPr>
        <w:pStyle w:val="Compact"/>
      </w:pPr>
      <w:r>
        <w:t xml:space="preserve">2004 · Harder H ·</w:t>
      </w:r>
      <w:r>
        <w:t xml:space="preserve"> </w:t>
      </w:r>
      <w:r>
        <w:rPr>
          <w:iCs/>
          <w:i/>
        </w:rPr>
        <w:t xml:space="preserve">Diabetes Care</w:t>
      </w:r>
      <w:r>
        <w:t xml:space="preserve"> </w:t>
      </w:r>
      <w:r>
        <w:t xml:space="preserve">· The effect of liraglutide, a long-acting glucagon-like peptide 1 derivative, on glycemic control, body composition, and 24-h energy expenditure in patients with type 2 diabetes. PMID 15277417</w:t>
      </w:r>
    </w:p>
    <w:p>
      <w:pPr>
        <w:numPr>
          <w:ilvl w:val="0"/>
          <w:numId w:val="1377"/>
        </w:numPr>
        <w:pStyle w:val="Compact"/>
      </w:pPr>
      <w:r>
        <w:t xml:space="preserve">2004 · Madsbad S ·</w:t>
      </w:r>
      <w:r>
        <w:t xml:space="preserve"> </w:t>
      </w:r>
      <w:r>
        <w:rPr>
          <w:iCs/>
          <w:i/>
        </w:rPr>
        <w:t xml:space="preserve">Diabetes Care</w:t>
      </w:r>
      <w:r>
        <w:t xml:space="preserve"> </w:t>
      </w:r>
      <w:r>
        <w:t xml:space="preserve">· Improved glycemic control with no weight increase in patients with type 2 diabetes after once-daily treatment with the long-acting glucagon-like peptide 1 analog liraglutide (NN2211): a 12-week, double-blind, randomized, controlled trial. PMID 15161785</w:t>
      </w:r>
    </w:p>
    <w:p>
      <w:pPr>
        <w:numPr>
          <w:ilvl w:val="0"/>
          <w:numId w:val="1377"/>
        </w:numPr>
        <w:pStyle w:val="Compact"/>
      </w:pPr>
      <w:r>
        <w:t xml:space="preserve">2004 · Degn KB ·</w:t>
      </w:r>
      <w:r>
        <w:t xml:space="preserve"> </w:t>
      </w:r>
      <w:r>
        <w:rPr>
          <w:iCs/>
          <w:i/>
        </w:rPr>
        <w:t xml:space="preserve">Diabetes</w:t>
      </w:r>
      <w:r>
        <w:t xml:space="preserve"> </w:t>
      </w:r>
      <w:r>
        <w:t xml:space="preserve">· One week’s treatment with the long-acting glucagon-like peptide 1 derivative liraglutide (NN2211) markedly improves 24-h glycemia and alpha- and beta-cell function and reduces endogenous glucose release in patients with type 2 diabetes. PMID 15111485</w:t>
      </w:r>
    </w:p>
    <w:bookmarkEnd w:id="1117"/>
    <w:bookmarkStart w:id="1118" w:name="dulaglutida-158"/>
    <w:p>
      <w:pPr>
        <w:pStyle w:val="Heading2"/>
      </w:pPr>
      <w:r>
        <w:t xml:space="preserve">Dulaglutida (158)</w:t>
      </w:r>
    </w:p>
    <w:p>
      <w:pPr>
        <w:numPr>
          <w:ilvl w:val="0"/>
          <w:numId w:val="1378"/>
        </w:numPr>
        <w:pStyle w:val="Compact"/>
      </w:pPr>
      <w:r>
        <w:t xml:space="preserve">2026 · Adly AAM ·</w:t>
      </w:r>
      <w:r>
        <w:t xml:space="preserve"> </w:t>
      </w:r>
      <w:r>
        <w:rPr>
          <w:iCs/>
          <w:i/>
        </w:rPr>
        <w:t xml:space="preserve">Diabetologia</w:t>
      </w:r>
      <w:r>
        <w:t xml:space="preserve"> </w:t>
      </w:r>
      <w:r>
        <w:t xml:space="preserve">· Dulaglutide vs insulin in adolescents with thalassaemia-induced diabetes: effect on metabolism and atherogenesis (DIADEMA). PMID 42618811</w:t>
      </w:r>
    </w:p>
    <w:p>
      <w:pPr>
        <w:numPr>
          <w:ilvl w:val="0"/>
          <w:numId w:val="1378"/>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78"/>
        </w:numPr>
        <w:pStyle w:val="Compact"/>
      </w:pPr>
      <w:r>
        <w:t xml:space="preserve">2026 · Jun JE ·</w:t>
      </w:r>
      <w:r>
        <w:t xml:space="preserve"> </w:t>
      </w:r>
      <w:r>
        <w:rPr>
          <w:iCs/>
          <w:i/>
        </w:rPr>
        <w:t xml:space="preserve">Front Endocrinol (Lausanne)</w:t>
      </w:r>
      <w:r>
        <w:t xml:space="preserve"> </w:t>
      </w:r>
      <w:r>
        <w:t xml:space="preserve">· Dulaglutide versus empagliflozin as add-on therapy to metformin and sulfonylurea in type 2 diabetes: a randomized pilot study with exploratory metabolomic and microbiome analyses. PMID 42388875</w:t>
      </w:r>
    </w:p>
    <w:p>
      <w:pPr>
        <w:numPr>
          <w:ilvl w:val="0"/>
          <w:numId w:val="1378"/>
        </w:numPr>
        <w:pStyle w:val="Compact"/>
      </w:pPr>
      <w:r>
        <w:t xml:space="preserve">2026 · Heise T ·</w:t>
      </w:r>
      <w:r>
        <w:t xml:space="preserve"> </w:t>
      </w:r>
      <w:r>
        <w:rPr>
          <w:iCs/>
          <w:i/>
        </w:rPr>
        <w:t xml:space="preserve">Diabetes Obes Metab</w:t>
      </w:r>
      <w:r>
        <w:t xml:space="preserve"> </w:t>
      </w:r>
      <w:r>
        <w:t xml:space="preserve">· Insulin Sensitivity and Beta Cell Function With Macupatide Alone or With Dulaglutide in Type 2 Diabetes: A Phase 1b, Randomised Controlled Trial. PMID 42229460</w:t>
      </w:r>
    </w:p>
    <w:p>
      <w:pPr>
        <w:numPr>
          <w:ilvl w:val="0"/>
          <w:numId w:val="1378"/>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78"/>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78"/>
        </w:numPr>
        <w:pStyle w:val="Compact"/>
      </w:pPr>
      <w:r>
        <w:t xml:space="preserve">2026 · Wilson JM ·</w:t>
      </w:r>
      <w:r>
        <w:t xml:space="preserve"> </w:t>
      </w:r>
      <w:r>
        <w:rPr>
          <w:iCs/>
          <w:i/>
        </w:rPr>
        <w:t xml:space="preserve">Alzheimers Dement</w:t>
      </w:r>
      <w:r>
        <w:t xml:space="preserve"> </w:t>
      </w:r>
      <w:r>
        <w:t xml:space="preserve">· Dulaglutide and neurodegeneration biomarkers: REWIND post hoc analysis. PMID 41988866</w:t>
      </w:r>
    </w:p>
    <w:p>
      <w:pPr>
        <w:numPr>
          <w:ilvl w:val="0"/>
          <w:numId w:val="1378"/>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78"/>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78"/>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78"/>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8"/>
        </w:numPr>
        <w:pStyle w:val="Compact"/>
      </w:pPr>
      <w:r>
        <w:t xml:space="preserve">2026 · Leibnitz S ·</w:t>
      </w:r>
      <w:r>
        <w:t xml:space="preserve"> </w:t>
      </w:r>
      <w:r>
        <w:rPr>
          <w:iCs/>
          <w:i/>
        </w:rPr>
        <w:t xml:space="preserve">Eur J Endocrinol</w:t>
      </w:r>
      <w:r>
        <w:t xml:space="preserve"> </w:t>
      </w:r>
      <w:r>
        <w:t xml:space="preserve">· Effects of GLP-1 receptor agonists on copeptin in euvolemic participants. PMID 41525326</w:t>
      </w:r>
    </w:p>
    <w:p>
      <w:pPr>
        <w:numPr>
          <w:ilvl w:val="0"/>
          <w:numId w:val="1378"/>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78"/>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78"/>
        </w:numPr>
        <w:pStyle w:val="Compact"/>
      </w:pPr>
      <w:r>
        <w:t xml:space="preserve">2025 · Gao R ·</w:t>
      </w:r>
      <w:r>
        <w:t xml:space="preserve"> </w:t>
      </w:r>
      <w:r>
        <w:rPr>
          <w:iCs/>
          <w:i/>
        </w:rPr>
        <w:t xml:space="preserve">Pak J Pharm Sci</w:t>
      </w:r>
      <w:r>
        <w:t xml:space="preserve"> </w:t>
      </w:r>
      <w:r>
        <w:t xml:space="preserve">· Effect of ketogenic diet plus dulaglutide on glucose and lipid metabolism in diabetes mellitus. PMID 41241797</w:t>
      </w:r>
    </w:p>
    <w:p>
      <w:pPr>
        <w:numPr>
          <w:ilvl w:val="0"/>
          <w:numId w:val="1378"/>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78"/>
        </w:numPr>
        <w:pStyle w:val="Compact"/>
      </w:pPr>
      <w:r>
        <w:t xml:space="preserve">2025 · He Y ·</w:t>
      </w:r>
      <w:r>
        <w:t xml:space="preserve"> </w:t>
      </w:r>
      <w:r>
        <w:rPr>
          <w:iCs/>
          <w:i/>
        </w:rPr>
        <w:t xml:space="preserve">Lancet Diabetes Endocrinol</w:t>
      </w:r>
      <w:r>
        <w:t xml:space="preserve"> </w:t>
      </w:r>
      <w:r>
        <w:t xml:space="preserve">· Efficacy and safety of cAMP-biased GLP-1 receptor agonist ecnoglutide versus dulaglutide in patients with type 2 diabetes and elevated glucose concentrations on metformin monotherapy (EECOH-2): a 52-week, multicentre, open-label, non-inferiority, randomised, phase 3 trial. PMID 40854315</w:t>
      </w:r>
    </w:p>
    <w:p>
      <w:pPr>
        <w:numPr>
          <w:ilvl w:val="0"/>
          <w:numId w:val="1378"/>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78"/>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78"/>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78"/>
        </w:numPr>
        <w:pStyle w:val="Compact"/>
      </w:pPr>
      <w:r>
        <w:t xml:space="preserve">2025 · Tian J ·</w:t>
      </w:r>
      <w:r>
        <w:t xml:space="preserve"> </w:t>
      </w:r>
      <w:r>
        <w:rPr>
          <w:iCs/>
          <w:i/>
        </w:rPr>
        <w:t xml:space="preserve">Hormones (Athens)</w:t>
      </w:r>
      <w:r>
        <w:t xml:space="preserve"> </w:t>
      </w:r>
      <w:r>
        <w:t xml:space="preserve">· Comparative evaluation of dulaglutide alone vs. dulaglutide combined with probiotics on cardiovascular risk factors in T2DM. PMID 40214965</w:t>
      </w:r>
    </w:p>
    <w:p>
      <w:pPr>
        <w:numPr>
          <w:ilvl w:val="0"/>
          <w:numId w:val="1378"/>
        </w:numPr>
        <w:pStyle w:val="Compact"/>
      </w:pPr>
      <w:r>
        <w:t xml:space="preserve">2025 · Liu L ·</w:t>
      </w:r>
      <w:r>
        <w:t xml:space="preserve"> </w:t>
      </w:r>
      <w:r>
        <w:rPr>
          <w:iCs/>
          <w:i/>
        </w:rPr>
        <w:t xml:space="preserve">J Diabetes</w:t>
      </w:r>
      <w:r>
        <w:t xml:space="preserve"> </w:t>
      </w:r>
      <w:r>
        <w:t xml:space="preserve">· Efficacy and Safety of Dulaglutide Biosimilar LY05008 Versus the Reference Product Dulaglutide (Trulicity) in Chinese Adults With Type 2 Diabetes Mellitus: A Randomized, Open-Label, Active Comparator Study. PMID 40214296</w:t>
      </w:r>
    </w:p>
    <w:p>
      <w:pPr>
        <w:numPr>
          <w:ilvl w:val="0"/>
          <w:numId w:val="1378"/>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78"/>
        </w:numPr>
        <w:pStyle w:val="Compact"/>
      </w:pPr>
      <w:r>
        <w:t xml:space="preserve">2025 · Beck J ·</w:t>
      </w:r>
      <w:r>
        <w:t xml:space="preserve"> </w:t>
      </w:r>
      <w:r>
        <w:rPr>
          <w:iCs/>
          <w:i/>
        </w:rPr>
        <w:t xml:space="preserve">Eur J Prev Cardiol</w:t>
      </w:r>
      <w:r>
        <w:t xml:space="preserve"> </w:t>
      </w:r>
      <w:r>
        <w:t xml:space="preserve">· Blood pressure changes during smoking cessation in a randomized, double-blind, placebo-controlled trial of dulaglutide treatment. PMID 40037282</w:t>
      </w:r>
    </w:p>
    <w:p>
      <w:pPr>
        <w:numPr>
          <w:ilvl w:val="0"/>
          <w:numId w:val="1378"/>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78"/>
        </w:numPr>
        <w:pStyle w:val="Compact"/>
      </w:pPr>
      <w:r>
        <w:t xml:space="preserve">2025 · Liu C ·</w:t>
      </w:r>
      <w:r>
        <w:t xml:space="preserve"> </w:t>
      </w:r>
      <w:r>
        <w:rPr>
          <w:iCs/>
          <w:i/>
        </w:rPr>
        <w:t xml:space="preserve">Endocrinol Diabetes Metab</w:t>
      </w:r>
      <w:r>
        <w:t xml:space="preserve"> </w:t>
      </w:r>
      <w:r>
        <w:t xml:space="preserve">· Reduction of Hepatic Fat Content by Dulaglutide for the Treatment of Diabetes Mellitus: A Two-Centre Open, Single-Arm Trial. PMID 39718468</w:t>
      </w:r>
    </w:p>
    <w:p>
      <w:pPr>
        <w:numPr>
          <w:ilvl w:val="0"/>
          <w:numId w:val="1378"/>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8"/>
        </w:numPr>
        <w:pStyle w:val="Compact"/>
      </w:pPr>
      <w:r>
        <w:t xml:space="preserve">2024 · Lengsfeld S ·</w:t>
      </w:r>
      <w:r>
        <w:t xml:space="preserve"> </w:t>
      </w:r>
      <w:r>
        <w:rPr>
          <w:iCs/>
          <w:i/>
        </w:rPr>
        <w:t xml:space="preserve">EBioMedicine</w:t>
      </w:r>
      <w:r>
        <w:t xml:space="preserve"> </w:t>
      </w:r>
      <w:r>
        <w:t xml:space="preserve">· Effects of the glucagon-like peptide-1 receptor agonist dulaglutide on sexuality in healthy men: a randomised, double-blind, placebo-controlled crossover study. PMID 39232425</w:t>
      </w:r>
    </w:p>
    <w:p>
      <w:pPr>
        <w:numPr>
          <w:ilvl w:val="0"/>
          <w:numId w:val="1378"/>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78"/>
        </w:numPr>
        <w:pStyle w:val="Compact"/>
      </w:pPr>
      <w:r>
        <w:t xml:space="preserve">2024 · Bjornstad P ·</w:t>
      </w:r>
      <w:r>
        <w:t xml:space="preserve"> </w:t>
      </w:r>
      <w:r>
        <w:rPr>
          <w:iCs/>
          <w:i/>
        </w:rPr>
        <w:t xml:space="preserve">Diabetes Care</w:t>
      </w:r>
      <w:r>
        <w:t xml:space="preserve"> </w:t>
      </w:r>
      <w:r>
        <w:t xml:space="preserve">· Dulaglutide and Glomerular Hyperfiltration, Proteinuria, and Albuminuria in Youth With Type 2 Diabetes: Post Hoc Analysis of the AWARD-PEDS Study. PMID 38954432</w:t>
      </w:r>
    </w:p>
    <w:p>
      <w:pPr>
        <w:numPr>
          <w:ilvl w:val="0"/>
          <w:numId w:val="1378"/>
        </w:numPr>
        <w:pStyle w:val="Compact"/>
      </w:pPr>
      <w:r>
        <w:t xml:space="preserve">2024 · Morioka T ·</w:t>
      </w:r>
      <w:r>
        <w:t xml:space="preserve"> </w:t>
      </w:r>
      <w:r>
        <w:rPr>
          <w:iCs/>
          <w:i/>
        </w:rPr>
        <w:t xml:space="preserve">Diabetes Obes Metab</w:t>
      </w:r>
      <w:r>
        <w:t xml:space="preserve"> </w:t>
      </w:r>
      <w:r>
        <w:t xml:space="preserve">· A randomized, double-blind trial assessing the efficacy and safety of two doses of dulaglutide in Japanese participants with type 2 diabetes (AWARD-JPN). PMID 38715179</w:t>
      </w:r>
    </w:p>
    <w:p>
      <w:pPr>
        <w:numPr>
          <w:ilvl w:val="0"/>
          <w:numId w:val="1378"/>
        </w:numPr>
        <w:pStyle w:val="Compact"/>
      </w:pPr>
      <w:r>
        <w:t xml:space="preserve">2024 · Gao X ·</w:t>
      </w:r>
      <w:r>
        <w:t xml:space="preserve"> </w:t>
      </w:r>
      <w:r>
        <w:rPr>
          <w:iCs/>
          <w:i/>
        </w:rPr>
        <w:t xml:space="preserve">Clin Transl Sci</w:t>
      </w:r>
      <w:r>
        <w:t xml:space="preserve"> </w:t>
      </w:r>
      <w:r>
        <w:t xml:space="preserve">· A pharmacokinetic study comparing the biosimilar HEC14028 and Dulaglutide (Trulicity®) in healthy Chinese subjects. PMID 38651744</w:t>
      </w:r>
    </w:p>
    <w:p>
      <w:pPr>
        <w:numPr>
          <w:ilvl w:val="0"/>
          <w:numId w:val="1378"/>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78"/>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78"/>
        </w:numPr>
        <w:pStyle w:val="Compact"/>
      </w:pPr>
      <w:r>
        <w:t xml:space="preserve">2023 · Probst L ·</w:t>
      </w:r>
      <w:r>
        <w:t xml:space="preserve"> </w:t>
      </w:r>
      <w:r>
        <w:rPr>
          <w:iCs/>
          <w:i/>
        </w:rPr>
        <w:t xml:space="preserve">JCI Insight</w:t>
      </w:r>
      <w:r>
        <w:t xml:space="preserve"> </w:t>
      </w:r>
      <w:r>
        <w:t xml:space="preserve">· Effects of dulaglutide on alcohol consumption during smoking cessation. PMID 37991022</w:t>
      </w:r>
    </w:p>
    <w:p>
      <w:pPr>
        <w:numPr>
          <w:ilvl w:val="0"/>
          <w:numId w:val="1378"/>
        </w:numPr>
        <w:pStyle w:val="Compact"/>
      </w:pPr>
      <w:r>
        <w:t xml:space="preserve">2023 · Wang W ·</w:t>
      </w:r>
      <w:r>
        <w:t xml:space="preserve"> </w:t>
      </w:r>
      <w:r>
        <w:rPr>
          <w:iCs/>
          <w:i/>
        </w:rPr>
        <w:t xml:space="preserve">Diabetes Obes Metab</w:t>
      </w:r>
      <w:r>
        <w:t xml:space="preserve"> </w:t>
      </w:r>
      <w:r>
        <w:t xml:space="preserve">· Efficacy and safety of adding once-weekly dulaglutide to basal insulin for inadequately controlled type 2 diabetes in Chinese patients (AWARD-CHN3): A randomized, double-blind, placebo-controlled, phase III trial. PMID 37732487</w:t>
      </w:r>
    </w:p>
    <w:p>
      <w:pPr>
        <w:numPr>
          <w:ilvl w:val="0"/>
          <w:numId w:val="1378"/>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8"/>
        </w:numPr>
        <w:pStyle w:val="Compact"/>
      </w:pPr>
      <w:r>
        <w:t xml:space="preserve">2023 · Lee EY ·</w:t>
      </w:r>
      <w:r>
        <w:t xml:space="preserve"> </w:t>
      </w:r>
      <w:r>
        <w:rPr>
          <w:iCs/>
          <w:i/>
        </w:rPr>
        <w:t xml:space="preserve">Diabetes Res Clin Pract</w:t>
      </w:r>
      <w:r>
        <w:t xml:space="preserve"> </w:t>
      </w:r>
      <w:r>
        <w:t xml:space="preserve">· Glucometabolic control of once-weekly dulaglutide switched from DPP4 inhibitor versus daily empagliflozin add-on in patients with type 2 diabetes inadequately controlled with metformin, sulfonylurea, and DPP4 inhibitor: A randomised trial. PMID 37595844</w:t>
      </w:r>
    </w:p>
    <w:p>
      <w:pPr>
        <w:numPr>
          <w:ilvl w:val="0"/>
          <w:numId w:val="1378"/>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78"/>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8"/>
        </w:numPr>
        <w:pStyle w:val="Compact"/>
      </w:pPr>
      <w:r>
        <w:t xml:space="preserve">2023 · Gerstein HC ·</w:t>
      </w:r>
      <w:r>
        <w:t xml:space="preserve"> </w:t>
      </w:r>
      <w:r>
        <w:rPr>
          <w:iCs/>
          <w:i/>
        </w:rPr>
        <w:t xml:space="preserve">Diabetes Care</w:t>
      </w:r>
      <w:r>
        <w:t xml:space="preserve"> </w:t>
      </w:r>
      <w:r>
        <w:t xml:space="preserve">· Biomarker Changes Associated With Both Dulaglutide and Cardiovascular Events in the REWIND Randomized Controlled Trial: A Nested Case-Control Post Hoc Analysis. PMID 36897834</w:t>
      </w:r>
    </w:p>
    <w:p>
      <w:pPr>
        <w:numPr>
          <w:ilvl w:val="0"/>
          <w:numId w:val="1378"/>
        </w:numPr>
        <w:pStyle w:val="Compact"/>
      </w:pPr>
      <w:r>
        <w:t xml:space="preserve">2023 · Zhang Q ·</w:t>
      </w:r>
      <w:r>
        <w:t xml:space="preserve"> </w:t>
      </w:r>
      <w:r>
        <w:rPr>
          <w:iCs/>
          <w:i/>
        </w:rPr>
        <w:t xml:space="preserve">Expert Opin Biol Ther</w:t>
      </w:r>
      <w:r>
        <w:t xml:space="preserve"> </w:t>
      </w:r>
      <w:r>
        <w:t xml:space="preserve">· Pharmacokinetic similarity study comparing the biosimilar candidate, LY05008, with its reference product dulaglutide in healthy Chinese male subjects. PMID 36880118</w:t>
      </w:r>
    </w:p>
    <w:p>
      <w:pPr>
        <w:numPr>
          <w:ilvl w:val="0"/>
          <w:numId w:val="1378"/>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8"/>
        </w:numPr>
        <w:pStyle w:val="Compact"/>
      </w:pPr>
      <w:r>
        <w:t xml:space="preserve">2023 · Thivolet C ·</w:t>
      </w:r>
      <w:r>
        <w:t xml:space="preserve"> </w:t>
      </w:r>
      <w:r>
        <w:rPr>
          <w:iCs/>
          <w:i/>
        </w:rPr>
        <w:t xml:space="preserve">Diabetes Metab</w:t>
      </w:r>
      <w:r>
        <w:t xml:space="preserve"> </w:t>
      </w:r>
      <w:r>
        <w:t xml:space="preserve">· Dulaglutide and insulin microsecretion in people with type 1 diabetes (DIAMOND-GLP-1): A randomized double-blind placebo-controlled trial. PMID 36781064</w:t>
      </w:r>
    </w:p>
    <w:p>
      <w:pPr>
        <w:numPr>
          <w:ilvl w:val="0"/>
          <w:numId w:val="1378"/>
        </w:numPr>
        <w:pStyle w:val="Compact"/>
      </w:pPr>
      <w:r>
        <w:t xml:space="preserve">2023 · Zhang Y ·</w:t>
      </w:r>
      <w:r>
        <w:t xml:space="preserve"> </w:t>
      </w:r>
      <w:r>
        <w:rPr>
          <w:iCs/>
          <w:i/>
        </w:rPr>
        <w:t xml:space="preserve">Nutrients</w:t>
      </w:r>
      <w:r>
        <w:t xml:space="preserve"> </w:t>
      </w:r>
      <w:r>
        <w:t xml:space="preserve">· Effects of a Dulaglutide plus Calorie-Restricted Diet versus a Calorie-Restricted Diet on Visceral Fat and Metabolic Profiles in Women with Polycystic Ovary Syndrome: A Randomized Controlled Trial. PMID 36771262</w:t>
      </w:r>
    </w:p>
    <w:p>
      <w:pPr>
        <w:numPr>
          <w:ilvl w:val="0"/>
          <w:numId w:val="1378"/>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8"/>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8"/>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78"/>
        </w:numPr>
        <w:pStyle w:val="Compact"/>
      </w:pPr>
      <w:r>
        <w:t xml:space="preserve">2022 · Urva S ·</w:t>
      </w:r>
      <w:r>
        <w:t xml:space="preserve"> </w:t>
      </w:r>
      <w:r>
        <w:rPr>
          <w:iCs/>
          <w:i/>
        </w:rPr>
        <w:t xml:space="preserve">Lancet</w:t>
      </w:r>
      <w:r>
        <w:t xml:space="preserve"> </w:t>
      </w:r>
      <w:r>
        <w:t xml:space="preserve">· LY3437943, a novel triple GIP, GLP-1, and glucagon receptor agonist in people with type 2 diabetes: a phase 1b, multicentre, double-blind, placebo-controlled, randomised, multiple-ascending dose trial. PMID 36354040</w:t>
      </w:r>
    </w:p>
    <w:p>
      <w:pPr>
        <w:numPr>
          <w:ilvl w:val="0"/>
          <w:numId w:val="1378"/>
        </w:numPr>
        <w:pStyle w:val="Compact"/>
      </w:pPr>
      <w:r>
        <w:t xml:space="preserve">2022 · Branch KRH ·</w:t>
      </w:r>
      <w:r>
        <w:t xml:space="preserve"> </w:t>
      </w:r>
      <w:r>
        <w:rPr>
          <w:iCs/>
          <w:i/>
        </w:rPr>
        <w:t xml:space="preserve">Eur J Heart Fail</w:t>
      </w:r>
      <w:r>
        <w:t xml:space="preserve"> </w:t>
      </w:r>
      <w:r>
        <w:t xml:space="preserve">· Dulaglutide and cardiovascular and heart failure outcomes in patients with and without heart failure: a post-hoc analysis from the REWIND randomized trial. PMID 36073143</w:t>
      </w:r>
    </w:p>
    <w:p>
      <w:pPr>
        <w:numPr>
          <w:ilvl w:val="0"/>
          <w:numId w:val="1378"/>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8"/>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78"/>
        </w:numPr>
        <w:pStyle w:val="Compact"/>
      </w:pPr>
      <w:r>
        <w:t xml:space="preserve">2022 · Jiang H ·</w:t>
      </w:r>
      <w:r>
        <w:t xml:space="preserve"> </w:t>
      </w:r>
      <w:r>
        <w:rPr>
          <w:iCs/>
          <w:i/>
        </w:rPr>
        <w:t xml:space="preserve">Nat Commun</w:t>
      </w:r>
      <w:r>
        <w:t xml:space="preserve"> </w:t>
      </w:r>
      <w:r>
        <w:t xml:space="preserve">· A phase 1b randomised controlled trial of a glucagon-like peptide-1 and glucagon receptor dual agonist IBI362 (LY3305677) in Chinese patients with type 2 diabetes. PMID 35750681</w:t>
      </w:r>
    </w:p>
    <w:p>
      <w:pPr>
        <w:numPr>
          <w:ilvl w:val="0"/>
          <w:numId w:val="1378"/>
        </w:numPr>
        <w:pStyle w:val="Compact"/>
      </w:pPr>
      <w:r>
        <w:t xml:space="preserve">2022 · Arslanian SA ·</w:t>
      </w:r>
      <w:r>
        <w:t xml:space="preserve"> </w:t>
      </w:r>
      <w:r>
        <w:rPr>
          <w:iCs/>
          <w:i/>
        </w:rPr>
        <w:t xml:space="preserve">N Engl J Med</w:t>
      </w:r>
      <w:r>
        <w:t xml:space="preserve"> </w:t>
      </w:r>
      <w:r>
        <w:t xml:space="preserve">· Once-Weekly Dulaglutide for the Treatment of Youths with Type 2 Diabetes. PMID 35658022</w:t>
      </w:r>
    </w:p>
    <w:p>
      <w:pPr>
        <w:numPr>
          <w:ilvl w:val="0"/>
          <w:numId w:val="1378"/>
        </w:numPr>
        <w:pStyle w:val="Compact"/>
      </w:pPr>
      <w:r>
        <w:t xml:space="preserve">2022 · Cox DA ·</w:t>
      </w:r>
      <w:r>
        <w:t xml:space="preserve"> </w:t>
      </w:r>
      <w:r>
        <w:rPr>
          <w:iCs/>
          <w:i/>
        </w:rPr>
        <w:t xml:space="preserve">Diabetes Obes Metab</w:t>
      </w:r>
      <w:r>
        <w:t xml:space="preserve"> </w:t>
      </w:r>
      <w:r>
        <w:t xml:space="preserve">· Effect of expanded dulaglutide weekly doses (3.0 mg and 4.5 mg) on cardiovascular disease risk factors in participants with type 2 diabetes at increased cardiovascular disease risk: a post hoc analysis of the AWARD-11 study. PMID 35546790</w:t>
      </w:r>
    </w:p>
    <w:p>
      <w:pPr>
        <w:numPr>
          <w:ilvl w:val="0"/>
          <w:numId w:val="1378"/>
        </w:numPr>
        <w:pStyle w:val="Compact"/>
      </w:pPr>
      <w:r>
        <w:t xml:space="preserve">2022 · Vukajlovic T ·</w:t>
      </w:r>
      <w:r>
        <w:t xml:space="preserve"> </w:t>
      </w:r>
      <w:r>
        <w:rPr>
          <w:iCs/>
          <w:i/>
        </w:rPr>
        <w:t xml:space="preserve">J Clin Endocrinol Metab</w:t>
      </w:r>
      <w:r>
        <w:t xml:space="preserve"> </w:t>
      </w:r>
      <w:r>
        <w:t xml:space="preserve">· Effect of a 3-Week Treatment with GLP-1 Receptor Agonists on Vasoactive Hormones in Euvolemic Participants. PMID 35134170</w:t>
      </w:r>
    </w:p>
    <w:p>
      <w:pPr>
        <w:numPr>
          <w:ilvl w:val="0"/>
          <w:numId w:val="1378"/>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8"/>
        </w:numPr>
        <w:pStyle w:val="Compact"/>
      </w:pPr>
      <w:r>
        <w:t xml:space="preserve">2022 · Kwan AYM ·</w:t>
      </w:r>
      <w:r>
        <w:t xml:space="preserve"> </w:t>
      </w:r>
      <w:r>
        <w:rPr>
          <w:iCs/>
          <w:i/>
        </w:rPr>
        <w:t xml:space="preserve">Diabetes Care</w:t>
      </w:r>
      <w:r>
        <w:t xml:space="preserve"> </w:t>
      </w:r>
      <w:r>
        <w:t xml:space="preserve">· HbA1c Reduction in Dulaglutide-Treated Patients Irrespective of Duration of Diabetes, Microvascular Disease, and BMI: A Post Hoc Analysis From the REWIND Trial. PMID 35043140</w:t>
      </w:r>
    </w:p>
    <w:p>
      <w:pPr>
        <w:numPr>
          <w:ilvl w:val="0"/>
          <w:numId w:val="1378"/>
        </w:numPr>
        <w:pStyle w:val="Compact"/>
      </w:pPr>
      <w:r>
        <w:t xml:space="preserve">2022 · Raubenheimer PJ ·</w:t>
      </w:r>
      <w:r>
        <w:t xml:space="preserve"> </w:t>
      </w:r>
      <w:r>
        <w:rPr>
          <w:iCs/>
          <w:i/>
        </w:rPr>
        <w:t xml:space="preserve">Diabetes Obes Metab</w:t>
      </w:r>
      <w:r>
        <w:t xml:space="preserve"> </w:t>
      </w:r>
      <w:r>
        <w:t xml:space="preserve">· Dulaglutide and incident atrial fibrillation or flutter in patients with type 2 diabetes: A post hoc analysis from the REWIND randomized trial. PMID 34984808</w:t>
      </w:r>
    </w:p>
    <w:p>
      <w:pPr>
        <w:numPr>
          <w:ilvl w:val="0"/>
          <w:numId w:val="1378"/>
        </w:numPr>
        <w:pStyle w:val="Compact"/>
      </w:pPr>
      <w:r>
        <w:t xml:space="preserve">2022 · Xu J ·</w:t>
      </w:r>
      <w:r>
        <w:t xml:space="preserve"> </w:t>
      </w:r>
      <w:r>
        <w:rPr>
          <w:iCs/>
          <w:i/>
        </w:rPr>
        <w:t xml:space="preserve">Adv Ther</w:t>
      </w:r>
      <w:r>
        <w:t xml:space="preserve"> </w:t>
      </w:r>
      <w:r>
        <w:t xml:space="preserve">· Pharmacokinetics, Pharmacodynamics, and Safety of Dulaglutide After Single or Multiple Doses in Chinese Healthy Subjects and Patients with T2DM: A Randomized, Placebo-Controlled, Phase I Study. PMID 34787823</w:t>
      </w:r>
    </w:p>
    <w:p>
      <w:pPr>
        <w:numPr>
          <w:ilvl w:val="0"/>
          <w:numId w:val="1378"/>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8"/>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78"/>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78"/>
        </w:numPr>
        <w:pStyle w:val="Compact"/>
      </w:pPr>
      <w:r>
        <w:t xml:space="preserve">2021 · Tuttle KR ·</w:t>
      </w:r>
      <w:r>
        <w:t xml:space="preserve"> </w:t>
      </w:r>
      <w:r>
        <w:rPr>
          <w:iCs/>
          <w:i/>
        </w:rPr>
        <w:t xml:space="preserve">Kidney360</w:t>
      </w:r>
      <w:r>
        <w:t xml:space="preserve"> </w:t>
      </w:r>
      <w:r>
        <w:t xml:space="preserve">· Clinical Outcomes by Albuminuria Status with Dulaglutide versus Insulin Glargine in Participants with Diabetes and CKD: AWARD-7 Exploratory Analysis. PMID 35373017</w:t>
      </w:r>
    </w:p>
    <w:p>
      <w:pPr>
        <w:numPr>
          <w:ilvl w:val="0"/>
          <w:numId w:val="1378"/>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8"/>
        </w:numPr>
        <w:pStyle w:val="Compact"/>
      </w:pPr>
      <w:r>
        <w:t xml:space="preserve">2021 · Konig M ·</w:t>
      </w:r>
      <w:r>
        <w:t xml:space="preserve"> </w:t>
      </w:r>
      <w:r>
        <w:rPr>
          <w:iCs/>
          <w:i/>
        </w:rPr>
        <w:t xml:space="preserve">Cardiovasc Diabetol</w:t>
      </w:r>
      <w:r>
        <w:t xml:space="preserve"> </w:t>
      </w:r>
      <w:r>
        <w:t xml:space="preserve">· Exploring potential mediators of the cardiovascular benefit of dulaglutide in type 2 diabetes patients in REWIND. PMID 34563178</w:t>
      </w:r>
    </w:p>
    <w:p>
      <w:pPr>
        <w:numPr>
          <w:ilvl w:val="0"/>
          <w:numId w:val="1378"/>
        </w:numPr>
        <w:pStyle w:val="Compact"/>
      </w:pPr>
      <w:r>
        <w:t xml:space="preserve">2021 · Winzeler B ·</w:t>
      </w:r>
      <w:r>
        <w:t xml:space="preserve"> </w:t>
      </w:r>
      <w:r>
        <w:rPr>
          <w:iCs/>
          <w:i/>
        </w:rPr>
        <w:t xml:space="preserve">J Clin Invest</w:t>
      </w:r>
      <w:r>
        <w:t xml:space="preserve"> </w:t>
      </w:r>
      <w:r>
        <w:t xml:space="preserve">· A randomized controlled trial of the GLP-1 receptor agonist dulaglutide in primary polydipsia. PMID 34473645</w:t>
      </w:r>
    </w:p>
    <w:p>
      <w:pPr>
        <w:numPr>
          <w:ilvl w:val="0"/>
          <w:numId w:val="1378"/>
        </w:numPr>
        <w:pStyle w:val="Compact"/>
      </w:pPr>
      <w:r>
        <w:t xml:space="preserve">2021 · Frias JP ·</w:t>
      </w:r>
      <w:r>
        <w:t xml:space="preserve"> </w:t>
      </w:r>
      <w:r>
        <w:rPr>
          <w:iCs/>
          <w:i/>
        </w:rPr>
        <w:t xml:space="preserve">Diabetes Obes Metab</w:t>
      </w:r>
      <w:r>
        <w:t xml:space="preserve"> </w:t>
      </w:r>
      <w:r>
        <w:t xml:space="preserve">· Glycaemic efficacy of an expanded dose range of dulaglutide according to baseline glycated haemoglobin (HbA1c) subgroup: Post hoc analysis of AWARD-11. PMID 34463420</w:t>
      </w:r>
    </w:p>
    <w:p>
      <w:pPr>
        <w:numPr>
          <w:ilvl w:val="0"/>
          <w:numId w:val="1378"/>
        </w:numPr>
        <w:pStyle w:val="Compact"/>
      </w:pPr>
      <w:r>
        <w:t xml:space="preserve">2021 · Bonora E ·</w:t>
      </w:r>
      <w:r>
        <w:t xml:space="preserve"> </w:t>
      </w:r>
      <w:r>
        <w:rPr>
          <w:iCs/>
          <w:i/>
        </w:rPr>
        <w:t xml:space="preserve">Diabetes Obes Metab</w:t>
      </w:r>
      <w:r>
        <w:t xml:space="preserve"> </w:t>
      </w:r>
      <w:r>
        <w:t xml:space="preserve">· Effect of dulaglutide 3.0 and 4.5 mg on weight in patients with type 2 diabetes: Exploratory analyses of AWARD-11. PMID 34189841</w:t>
      </w:r>
    </w:p>
    <w:p>
      <w:pPr>
        <w:numPr>
          <w:ilvl w:val="0"/>
          <w:numId w:val="1378"/>
        </w:numPr>
        <w:pStyle w:val="Compact"/>
      </w:pPr>
      <w:r>
        <w:t xml:space="preserve">2021 · Frias JP ·</w:t>
      </w:r>
      <w:r>
        <w:t xml:space="preserve"> </w:t>
      </w:r>
      <w:r>
        <w:rPr>
          <w:iCs/>
          <w:i/>
        </w:rPr>
        <w:t xml:space="preserve">Diabetes Obes Metab</w:t>
      </w:r>
      <w:r>
        <w:t xml:space="preserve"> </w:t>
      </w:r>
      <w:r>
        <w:t xml:space="preserve">· Efficacy and safety of dulaglutide 3.0 and 4.5 mg in patients aged younger than 65 and 65 years or older: Post hoc analysis of the AWARD-11 trial. PMID 34159708</w:t>
      </w:r>
    </w:p>
    <w:p>
      <w:pPr>
        <w:numPr>
          <w:ilvl w:val="0"/>
          <w:numId w:val="1378"/>
        </w:numPr>
        <w:pStyle w:val="Compact"/>
      </w:pPr>
      <w:r>
        <w:t xml:space="preserve">2021 · Bajaj HS ·</w:t>
      </w:r>
      <w:r>
        <w:t xml:space="preserve"> </w:t>
      </w:r>
      <w:r>
        <w:rPr>
          <w:iCs/>
          <w:i/>
        </w:rPr>
        <w:t xml:space="preserve">Lancet Diabetes Endocrinol</w:t>
      </w:r>
      <w:r>
        <w:t xml:space="preserve"> </w:t>
      </w:r>
      <w:r>
        <w:t xml:space="preserve">· Erectile function in men with type 2 diabetes treated with dulaglutide: an exploratory analysis of the REWIND placebo-controlled randomised trial. PMID 34153269</w:t>
      </w:r>
    </w:p>
    <w:p>
      <w:pPr>
        <w:numPr>
          <w:ilvl w:val="0"/>
          <w:numId w:val="1378"/>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8"/>
        </w:numPr>
        <w:pStyle w:val="Compact"/>
      </w:pPr>
      <w:r>
        <w:t xml:space="preserve">2021 · Riddle MC ·</w:t>
      </w:r>
      <w:r>
        <w:t xml:space="preserve"> </w:t>
      </w:r>
      <w:r>
        <w:rPr>
          <w:iCs/>
          <w:i/>
        </w:rPr>
        <w:t xml:space="preserve">J Clin Endocrinol Metab</w:t>
      </w:r>
      <w:r>
        <w:t xml:space="preserve"> </w:t>
      </w:r>
      <w:r>
        <w:t xml:space="preserve">· Efficacy and Safety of Dulaglutide in Older Patients: A post hoc Analysis of the REWIND trial. PMID 33537745</w:t>
      </w:r>
    </w:p>
    <w:p>
      <w:pPr>
        <w:numPr>
          <w:ilvl w:val="0"/>
          <w:numId w:val="1378"/>
        </w:numPr>
        <w:pStyle w:val="Compact"/>
      </w:pPr>
      <w:r>
        <w:t xml:space="preserve">2021 · Frias JP ·</w:t>
      </w:r>
      <w:r>
        <w:t xml:space="preserve"> </w:t>
      </w:r>
      <w:r>
        <w:rPr>
          <w:iCs/>
          <w:i/>
        </w:rPr>
        <w:t xml:space="preserve">Diabetes Care</w:t>
      </w:r>
      <w:r>
        <w:t xml:space="preserve"> </w:t>
      </w:r>
      <w:r>
        <w:t xml:space="preserve">· Efficacy and Safety of Dulaglutide 3.0 mg and 4.5 mg Versus Dulaglutide 1.5 mg in Metformin-Treated Patients With Type 2 Diabetes in a Randomized Controlled Trial (AWARD-11). PMID 33397768</w:t>
      </w:r>
    </w:p>
    <w:p>
      <w:pPr>
        <w:numPr>
          <w:ilvl w:val="0"/>
          <w:numId w:val="1378"/>
        </w:numPr>
        <w:pStyle w:val="Compact"/>
      </w:pPr>
      <w:r>
        <w:t xml:space="preserve">2021 · Tuttolomondo A ·</w:t>
      </w:r>
      <w:r>
        <w:t xml:space="preserve"> </w:t>
      </w:r>
      <w:r>
        <w:rPr>
          <w:iCs/>
          <w:i/>
        </w:rPr>
        <w:t xml:space="preserve">Cardiovasc Diabetol</w:t>
      </w:r>
      <w:r>
        <w:t xml:space="preserve"> </w:t>
      </w:r>
      <w:r>
        <w:t xml:space="preserve">· Efficacy of dulaglutide on vascular health indexes in subjects with type 2 diabetes: a randomized trial. PMID 33397395</w:t>
      </w:r>
    </w:p>
    <w:p>
      <w:pPr>
        <w:numPr>
          <w:ilvl w:val="0"/>
          <w:numId w:val="1378"/>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78"/>
        </w:numPr>
        <w:pStyle w:val="Compact"/>
      </w:pPr>
      <w:r>
        <w:t xml:space="preserve">2021 · Ferrannini G ·</w:t>
      </w:r>
      <w:r>
        <w:t xml:space="preserve"> </w:t>
      </w:r>
      <w:r>
        <w:rPr>
          <w:iCs/>
          <w:i/>
        </w:rPr>
        <w:t xml:space="preserve">Eur Heart J</w:t>
      </w:r>
      <w:r>
        <w:t xml:space="preserve"> </w:t>
      </w:r>
      <w:r>
        <w:t xml:space="preserve">· Similar cardiovascular outcomes in patients with diabetes and established or high risk for coronary vascular disease treated with dulaglutide with and without baseline metformin. PMID 33197271</w:t>
      </w:r>
    </w:p>
    <w:p>
      <w:pPr>
        <w:numPr>
          <w:ilvl w:val="0"/>
          <w:numId w:val="1378"/>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78"/>
        </w:numPr>
        <w:pStyle w:val="Compact"/>
      </w:pPr>
      <w:r>
        <w:t xml:space="preserve">2020 · Dagenais GR ·</w:t>
      </w:r>
      <w:r>
        <w:t xml:space="preserve"> </w:t>
      </w:r>
      <w:r>
        <w:rPr>
          <w:iCs/>
          <w:i/>
        </w:rPr>
        <w:t xml:space="preserve">Cardiovasc Diabetol</w:t>
      </w:r>
      <w:r>
        <w:t xml:space="preserve"> </w:t>
      </w:r>
      <w:r>
        <w:t xml:space="preserve">· Total cardiovascular or fatal events in people with type 2 diabetes and cardiovascular risk factors treated with dulaglutide in the REWIND trail: a post hoc analysis. PMID 33239067</w:t>
      </w:r>
    </w:p>
    <w:p>
      <w:pPr>
        <w:numPr>
          <w:ilvl w:val="0"/>
          <w:numId w:val="1378"/>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8"/>
        </w:numPr>
        <w:pStyle w:val="Compact"/>
      </w:pPr>
      <w:r>
        <w:t xml:space="preserve">2020 · Winzeler B ·</w:t>
      </w:r>
      <w:r>
        <w:t xml:space="preserve"> </w:t>
      </w:r>
      <w:r>
        <w:rPr>
          <w:iCs/>
          <w:i/>
        </w:rPr>
        <w:t xml:space="preserve">Endocrine</w:t>
      </w:r>
      <w:r>
        <w:t xml:space="preserve"> </w:t>
      </w:r>
      <w:r>
        <w:t xml:space="preserve">· Effects of glucagon-like peptide-1 receptor agonists on fluid intake in healthy volunteers. PMID 32623637</w:t>
      </w:r>
    </w:p>
    <w:p>
      <w:pPr>
        <w:numPr>
          <w:ilvl w:val="0"/>
          <w:numId w:val="1378"/>
        </w:numPr>
        <w:pStyle w:val="Compact"/>
      </w:pPr>
      <w:r>
        <w:t xml:space="preserve">2020 · Cukierman-Yaffe T ·</w:t>
      </w:r>
      <w:r>
        <w:t xml:space="preserve"> </w:t>
      </w:r>
      <w:r>
        <w:rPr>
          <w:iCs/>
          <w:i/>
        </w:rPr>
        <w:t xml:space="preserve">Lancet Neurol</w:t>
      </w:r>
      <w:r>
        <w:t xml:space="preserve"> </w:t>
      </w:r>
      <w:r>
        <w:t xml:space="preserve">· Effect of dulaglutide on cognitive impairment in type 2 diabetes: an exploratory analysis of the REWIND trial. PMID 32562683</w:t>
      </w:r>
    </w:p>
    <w:p>
      <w:pPr>
        <w:numPr>
          <w:ilvl w:val="0"/>
          <w:numId w:val="1378"/>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8"/>
        </w:numPr>
        <w:pStyle w:val="Compact"/>
      </w:pPr>
      <w:r>
        <w:t xml:space="preserve">2020 · An IB ·</w:t>
      </w:r>
      <w:r>
        <w:t xml:space="preserve"> </w:t>
      </w:r>
      <w:r>
        <w:rPr>
          <w:iCs/>
          <w:i/>
        </w:rPr>
        <w:t xml:space="preserve">Diabetes Obes Metab</w:t>
      </w:r>
      <w:r>
        <w:t xml:space="preserve"> </w:t>
      </w:r>
      <w:r>
        <w:t xml:space="preserve">· A glycosylated Fc-fused glucagon-like peptide-1 receptor agonist exhibits equivalent glucose lowering to but fewer gastrointestinal side effects than dulaglutide. PMID 32314505</w:t>
      </w:r>
    </w:p>
    <w:p>
      <w:pPr>
        <w:numPr>
          <w:ilvl w:val="0"/>
          <w:numId w:val="1378"/>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78"/>
        </w:numPr>
        <w:pStyle w:val="Compact"/>
      </w:pPr>
      <w:r>
        <w:t xml:space="preserve">2020 · Romera I ·</w:t>
      </w:r>
      <w:r>
        <w:t xml:space="preserve"> </w:t>
      </w:r>
      <w:r>
        <w:rPr>
          <w:iCs/>
          <w:i/>
        </w:rPr>
        <w:t xml:space="preserve">J Diabetes Complications</w:t>
      </w:r>
      <w:r>
        <w:t xml:space="preserve"> </w:t>
      </w:r>
      <w:r>
        <w:t xml:space="preserve">· Once-weekly dulaglutide versus insulin glargine in the early control of fasting serum glucose and HbA1c. PMID 32220551</w:t>
      </w:r>
    </w:p>
    <w:p>
      <w:pPr>
        <w:numPr>
          <w:ilvl w:val="0"/>
          <w:numId w:val="1378"/>
        </w:numPr>
        <w:pStyle w:val="Compact"/>
      </w:pPr>
      <w:r>
        <w:t xml:space="preserve">2020 · Asakura T ·</w:t>
      </w:r>
      <w:r>
        <w:t xml:space="preserve"> </w:t>
      </w:r>
      <w:r>
        <w:rPr>
          <w:iCs/>
          <w:i/>
        </w:rPr>
        <w:t xml:space="preserve">Curr Med Res Opin</w:t>
      </w:r>
      <w:r>
        <w:t xml:space="preserve"> </w:t>
      </w:r>
      <w:r>
        <w:t xml:space="preserve">· Comparative study of dulaglutide single-use pen Ateos versus insulin degludec FlexTouch on learning and mock administration time in Japanese patients with type 2 diabetes mellitus - a post-hoc analysis. PMID 32141343</w:t>
      </w:r>
    </w:p>
    <w:p>
      <w:pPr>
        <w:numPr>
          <w:ilvl w:val="0"/>
          <w:numId w:val="1378"/>
        </w:numPr>
        <w:pStyle w:val="Compact"/>
      </w:pPr>
      <w:r>
        <w:t xml:space="preserve">2020 · Gerstein HC ·</w:t>
      </w:r>
      <w:r>
        <w:t xml:space="preserve"> </w:t>
      </w:r>
      <w:r>
        <w:rPr>
          <w:iCs/>
          <w:i/>
        </w:rPr>
        <w:t xml:space="preserve">Lancet Diabetes Endocrinol</w:t>
      </w:r>
      <w:r>
        <w:t xml:space="preserve"> </w:t>
      </w:r>
      <w:r>
        <w:t xml:space="preserve">· The effect of dulaglutide on stroke: an exploratory analysis of the REWIND trial. PMID 31924562</w:t>
      </w:r>
    </w:p>
    <w:p>
      <w:pPr>
        <w:numPr>
          <w:ilvl w:val="0"/>
          <w:numId w:val="1378"/>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8"/>
        </w:numPr>
        <w:pStyle w:val="Compact"/>
      </w:pPr>
      <w:r>
        <w:t xml:space="preserve">2020 · Xiao X ·</w:t>
      </w:r>
      <w:r>
        <w:t xml:space="preserve"> </w:t>
      </w:r>
      <w:r>
        <w:rPr>
          <w:iCs/>
          <w:i/>
        </w:rPr>
        <w:t xml:space="preserve">J Diabetes Investig</w:t>
      </w:r>
      <w:r>
        <w:t xml:space="preserve"> </w:t>
      </w:r>
      <w:r>
        <w:t xml:space="preserve">· Achieving the composite end-point of glycated hemoglobin &lt;7.0% without weight gain or hypoglycemia with once-weekly dulaglutide in Chinese patients with type 2 diabetes: A post-hoc analysis. PMID 31758850</w:t>
      </w:r>
    </w:p>
    <w:p>
      <w:pPr>
        <w:numPr>
          <w:ilvl w:val="0"/>
          <w:numId w:val="1378"/>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8"/>
        </w:numPr>
        <w:pStyle w:val="Compact"/>
      </w:pPr>
      <w:r>
        <w:t xml:space="preserve">2020 · Fushimi N ·</w:t>
      </w:r>
      <w:r>
        <w:t xml:space="preserve"> </w:t>
      </w:r>
      <w:r>
        <w:rPr>
          <w:iCs/>
          <w:i/>
        </w:rPr>
        <w:t xml:space="preserve">J Diabetes Investig</w:t>
      </w:r>
      <w:r>
        <w:t xml:space="preserve"> </w:t>
      </w:r>
      <w:r>
        <w:t xml:space="preserve">· Dulaglutide-combined basal plus correction insulin therapy contributes to ideal glycemic control in non-critical hospitalized patients. PMID 31168938</w:t>
      </w:r>
    </w:p>
    <w:p>
      <w:pPr>
        <w:numPr>
          <w:ilvl w:val="0"/>
          <w:numId w:val="1378"/>
        </w:numPr>
        <w:pStyle w:val="Compact"/>
      </w:pPr>
      <w:r>
        <w:t xml:space="preserve">2020 · Shi LX ·</w:t>
      </w:r>
      <w:r>
        <w:t xml:space="preserve"> </w:t>
      </w:r>
      <w:r>
        <w:rPr>
          <w:iCs/>
          <w:i/>
        </w:rPr>
        <w:t xml:space="preserve">J Diabetes Investig</w:t>
      </w:r>
      <w:r>
        <w:t xml:space="preserve"> </w:t>
      </w:r>
      <w:r>
        <w:t xml:space="preserve">· Efficacy and safety of dulaglutide monotherapy compared with glimepiride in Chinese patients with type 2 diabetes: Post-hoc analyses of a randomized, double-blind, phase III study. PMID 31102326</w:t>
      </w:r>
    </w:p>
    <w:p>
      <w:pPr>
        <w:numPr>
          <w:ilvl w:val="0"/>
          <w:numId w:val="1378"/>
        </w:numPr>
        <w:pStyle w:val="Compact"/>
      </w:pPr>
      <w:r>
        <w:t xml:space="preserve">2019 · Wang J ·</w:t>
      </w:r>
      <w:r>
        <w:t xml:space="preserve"> </w:t>
      </w:r>
      <w:r>
        <w:rPr>
          <w:iCs/>
          <w:i/>
        </w:rPr>
        <w:t xml:space="preserve">Biomed Res Int</w:t>
      </w:r>
      <w:r>
        <w:t xml:space="preserve"> </w:t>
      </w:r>
      <w:r>
        <w:t xml:space="preserve">· The Effects of Once-Weekly Dulaglutide and Insulin Glargine on Glucose Fluctuation in Poorly Oral-Antidiabetic Controlled Patients with Type 2 Diabetes Mellitus. PMID 31950036</w:t>
      </w:r>
    </w:p>
    <w:p>
      <w:pPr>
        <w:numPr>
          <w:ilvl w:val="0"/>
          <w:numId w:val="1378"/>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8"/>
        </w:numPr>
        <w:pStyle w:val="Compact"/>
      </w:pPr>
      <w:r>
        <w:t xml:space="preserve">2019 · Kutoh E ·</w:t>
      </w:r>
      <w:r>
        <w:t xml:space="preserve"> </w:t>
      </w:r>
      <w:r>
        <w:rPr>
          <w:iCs/>
          <w:i/>
        </w:rPr>
        <w:t xml:space="preserve">Endocr Regul</w:t>
      </w:r>
      <w:r>
        <w:t xml:space="preserve"> </w:t>
      </w:r>
      <w:r>
        <w:t xml:space="preserve">· Efficacy and safety of dulaglutide in patients with absolute insulin deficiency. PMID 31517629</w:t>
      </w:r>
    </w:p>
    <w:p>
      <w:pPr>
        <w:numPr>
          <w:ilvl w:val="0"/>
          <w:numId w:val="1378"/>
        </w:numPr>
        <w:pStyle w:val="Compact"/>
      </w:pPr>
      <w:r>
        <w:t xml:space="preserve">2019 · Gentilella R ·</w:t>
      </w:r>
      <w:r>
        <w:t xml:space="preserve"> </w:t>
      </w:r>
      <w:r>
        <w:rPr>
          <w:iCs/>
          <w:i/>
        </w:rPr>
        <w:t xml:space="preserve">Diabetes Obes Metab</w:t>
      </w:r>
      <w:r>
        <w:t xml:space="preserve"> </w:t>
      </w:r>
      <w:r>
        <w:t xml:space="preserve">· Dulaglutide is an effective treatment for lowering HbA1c in patients with type 2 diabetes regardless of body mass index. PMID 31392822</w:t>
      </w:r>
    </w:p>
    <w:p>
      <w:pPr>
        <w:numPr>
          <w:ilvl w:val="0"/>
          <w:numId w:val="1378"/>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8"/>
        </w:numPr>
        <w:pStyle w:val="Compact"/>
      </w:pPr>
      <w:r>
        <w:t xml:space="preserve">2019 · Gerstein HC ·</w:t>
      </w:r>
      <w:r>
        <w:t xml:space="preserve"> </w:t>
      </w:r>
      <w:r>
        <w:rPr>
          <w:iCs/>
          <w:i/>
        </w:rPr>
        <w:t xml:space="preserve">Lancet</w:t>
      </w:r>
      <w:r>
        <w:t xml:space="preserve"> </w:t>
      </w:r>
      <w:r>
        <w:t xml:space="preserve">· Dulaglutide and cardiovascular outcomes in type 2 diabetes (REWIND): a double-blind, randomised placebo-controlled trial. PMID 31189511</w:t>
      </w:r>
    </w:p>
    <w:p>
      <w:pPr>
        <w:numPr>
          <w:ilvl w:val="0"/>
          <w:numId w:val="1378"/>
        </w:numPr>
        <w:pStyle w:val="Compact"/>
      </w:pPr>
      <w:r>
        <w:t xml:space="preserve">2019 · Gerstein HC ·</w:t>
      </w:r>
      <w:r>
        <w:t xml:space="preserve"> </w:t>
      </w:r>
      <w:r>
        <w:rPr>
          <w:iCs/>
          <w:i/>
        </w:rPr>
        <w:t xml:space="preserve">Lancet</w:t>
      </w:r>
      <w:r>
        <w:t xml:space="preserve"> </w:t>
      </w:r>
      <w:r>
        <w:t xml:space="preserve">· Dulaglutide and renal outcomes in type 2 diabetes: an exploratory analysis of the REWIND randomised, placebo-controlled trial. PMID 31189509</w:t>
      </w:r>
    </w:p>
    <w:p>
      <w:pPr>
        <w:numPr>
          <w:ilvl w:val="0"/>
          <w:numId w:val="1378"/>
        </w:numPr>
        <w:pStyle w:val="Compact"/>
      </w:pPr>
      <w:r>
        <w:t xml:space="preserve">2019 · Li H ·</w:t>
      </w:r>
      <w:r>
        <w:t xml:space="preserve"> </w:t>
      </w:r>
      <w:r>
        <w:rPr>
          <w:iCs/>
          <w:i/>
        </w:rPr>
        <w:t xml:space="preserve">J Diabetes Res</w:t>
      </w:r>
      <w:r>
        <w:t xml:space="preserve"> </w:t>
      </w:r>
      <w:r>
        <w:t xml:space="preserve">· A Randomized Study to Compare the Effects of Once-Weekly Dulaglutide Injection and Once-Daily Glimepiride on Glucose Fluctuation of Type 2 Diabetes Mellitus Patients: A 26-Week Follow-Up. PMID 31183384</w:t>
      </w:r>
    </w:p>
    <w:p>
      <w:pPr>
        <w:numPr>
          <w:ilvl w:val="0"/>
          <w:numId w:val="1378"/>
        </w:numPr>
        <w:pStyle w:val="Compact"/>
      </w:pPr>
      <w:r>
        <w:t xml:space="preserve">2019 · Frias JP ·</w:t>
      </w:r>
      <w:r>
        <w:t xml:space="preserve"> </w:t>
      </w:r>
      <w:r>
        <w:rPr>
          <w:iCs/>
          <w:i/>
        </w:rPr>
        <w:t xml:space="preserve">Diabetes Obes Metab</w:t>
      </w:r>
      <w:r>
        <w:t xml:space="preserve"> </w:t>
      </w:r>
      <w:r>
        <w:t xml:space="preserve">· Efficacy and safety of an expanded dulaglutide dose range: A phase 2, placebo-controlled trial in patients with type 2 diabetes using metformin. PMID 31050143</w:t>
      </w:r>
    </w:p>
    <w:p>
      <w:pPr>
        <w:numPr>
          <w:ilvl w:val="0"/>
          <w:numId w:val="1378"/>
        </w:numPr>
        <w:pStyle w:val="Compact"/>
      </w:pPr>
      <w:r>
        <w:t xml:space="preserve">2019 · Tuttle KR ·</w:t>
      </w:r>
      <w:r>
        <w:t xml:space="preserve"> </w:t>
      </w:r>
      <w:r>
        <w:rPr>
          <w:iCs/>
          <w:i/>
        </w:rPr>
        <w:t xml:space="preserve">Diabetes Obes Metab</w:t>
      </w:r>
      <w:r>
        <w:t xml:space="preserve"> </w:t>
      </w:r>
      <w:r>
        <w:t xml:space="preserve">· Body weight and eGFR during dulaglutide treatment in type 2 diabetes and moderate-to-severe chronic kidney disease (AWARD-7). PMID 30762290</w:t>
      </w:r>
    </w:p>
    <w:p>
      <w:pPr>
        <w:numPr>
          <w:ilvl w:val="0"/>
          <w:numId w:val="1378"/>
        </w:numPr>
        <w:pStyle w:val="Compact"/>
      </w:pPr>
      <w:r>
        <w:t xml:space="preserve">2019 · Fuechtenbusch M ·</w:t>
      </w:r>
      <w:r>
        <w:t xml:space="preserve"> </w:t>
      </w:r>
      <w:r>
        <w:rPr>
          <w:iCs/>
          <w:i/>
        </w:rPr>
        <w:t xml:space="preserve">Diabetes Obes Metab</w:t>
      </w:r>
      <w:r>
        <w:t xml:space="preserve"> </w:t>
      </w:r>
      <w:r>
        <w:t xml:space="preserve">· Weight loss in patients with type 2 diabetes receiving once-weekly dulaglutide plus insulin lispro or insulin glargine plus insulin lispro: A post-hoc analysis of the AWARD-4 study across baseline body mass index subgroups. PMID 30737891</w:t>
      </w:r>
    </w:p>
    <w:p>
      <w:pPr>
        <w:numPr>
          <w:ilvl w:val="0"/>
          <w:numId w:val="1378"/>
        </w:numPr>
        <w:pStyle w:val="Compact"/>
      </w:pPr>
      <w:r>
        <w:t xml:space="preserve">2019 · Wang W ·</w:t>
      </w:r>
      <w:r>
        <w:t xml:space="preserve"> </w:t>
      </w:r>
      <w:r>
        <w:rPr>
          <w:iCs/>
          <w:i/>
        </w:rPr>
        <w:t xml:space="preserve">Diabetes Obes Metab</w:t>
      </w:r>
      <w:r>
        <w:t xml:space="preserve"> </w:t>
      </w:r>
      <w:r>
        <w:t xml:space="preserve">· Efficacy and safety of once-weekly dulaglutide versus insulin glargine in mainly Asian patients with type 2 diabetes mellitus on metformin and/or a sulphonylurea: A 52-week open-label, randomized phase III trial. PMID 30129089</w:t>
      </w:r>
    </w:p>
    <w:p>
      <w:pPr>
        <w:numPr>
          <w:ilvl w:val="0"/>
          <w:numId w:val="1378"/>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8"/>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8"/>
        </w:numPr>
        <w:pStyle w:val="Compact"/>
      </w:pPr>
      <w:r>
        <w:t xml:space="preserve">2018 · Coskun T ·</w:t>
      </w:r>
      <w:r>
        <w:t xml:space="preserve"> </w:t>
      </w:r>
      <w:r>
        <w:rPr>
          <w:iCs/>
          <w:i/>
        </w:rPr>
        <w:t xml:space="preserve">Mol Metab</w:t>
      </w:r>
      <w:r>
        <w:t xml:space="preserve"> </w:t>
      </w:r>
      <w:r>
        <w:t xml:space="preserve">· LY3298176, a novel dual GIP and GLP-1 receptor agonist for the treatment of type 2 diabetes mellitus: From discovery to clinical proof of concept. PMID 30473097</w:t>
      </w:r>
    </w:p>
    <w:p>
      <w:pPr>
        <w:numPr>
          <w:ilvl w:val="0"/>
          <w:numId w:val="1378"/>
        </w:numPr>
        <w:pStyle w:val="Compact"/>
      </w:pPr>
      <w:r>
        <w:t xml:space="preserve">2018 · Frias JP ·</w:t>
      </w:r>
      <w:r>
        <w:t xml:space="preserve"> </w:t>
      </w:r>
      <w:r>
        <w:rPr>
          <w:iCs/>
          <w:i/>
        </w:rPr>
        <w:t xml:space="preserve">Lancet</w:t>
      </w:r>
      <w:r>
        <w:t xml:space="preserve"> </w:t>
      </w:r>
      <w:r>
        <w:t xml:space="preserve">· Efficacy and safety of LY3298176, a novel dual GIP and GLP-1 receptor agonist, in patients with type 2 diabetes: a randomised, placebo-controlled and active comparator-controlled phase 2 trial. PMID 30293770</w:t>
      </w:r>
    </w:p>
    <w:p>
      <w:pPr>
        <w:numPr>
          <w:ilvl w:val="0"/>
          <w:numId w:val="1378"/>
        </w:numPr>
        <w:pStyle w:val="Compact"/>
      </w:pPr>
      <w:r>
        <w:t xml:space="preserve">2018 · Tuttle KR ·</w:t>
      </w:r>
      <w:r>
        <w:t xml:space="preserve"> </w:t>
      </w:r>
      <w:r>
        <w:rPr>
          <w:iCs/>
          <w:i/>
        </w:rPr>
        <w:t xml:space="preserve">Lancet Diabetes Endocrinol</w:t>
      </w:r>
      <w:r>
        <w:t xml:space="preserve"> </w:t>
      </w:r>
      <w:r>
        <w:t xml:space="preserve">· Dulaglutide versus insulin glargine in patients with type 2 diabetes and moderate-to-severe chronic kidney disease (AWARD-7): a multicentre, open-label, randomised trial. PMID 29910024</w:t>
      </w:r>
    </w:p>
    <w:p>
      <w:pPr>
        <w:numPr>
          <w:ilvl w:val="0"/>
          <w:numId w:val="1378"/>
        </w:numPr>
        <w:pStyle w:val="Compact"/>
      </w:pPr>
      <w:r>
        <w:t xml:space="preserve">2018 · Chen YH ·</w:t>
      </w:r>
      <w:r>
        <w:t xml:space="preserve"> </w:t>
      </w:r>
      <w:r>
        <w:rPr>
          <w:iCs/>
          <w:i/>
        </w:rPr>
        <w:t xml:space="preserve">Diabetes Obes Metab</w:t>
      </w:r>
      <w:r>
        <w:t xml:space="preserve"> </w:t>
      </w:r>
      <w:r>
        <w:t xml:space="preserve">· Efficacy and safety of dulaglutide monotherapy compared with glimepiride in East-Asian patients with type 2 diabetes in a multicentre, double-blind, randomized, parallel-arm, active comparator, phase III trial. PMID 29708650</w:t>
      </w:r>
    </w:p>
    <w:p>
      <w:pPr>
        <w:numPr>
          <w:ilvl w:val="0"/>
          <w:numId w:val="1378"/>
        </w:numPr>
        <w:pStyle w:val="Compact"/>
      </w:pPr>
      <w:r>
        <w:t xml:space="preserve">2018 · Mathieu C ·</w:t>
      </w:r>
      <w:r>
        <w:t xml:space="preserve"> </w:t>
      </w:r>
      <w:r>
        <w:rPr>
          <w:iCs/>
          <w:i/>
        </w:rPr>
        <w:t xml:space="preserve">Diabetes Obes Metab</w:t>
      </w:r>
      <w:r>
        <w:t xml:space="preserve"> </w:t>
      </w:r>
      <w:r>
        <w:t xml:space="preserve">· Effect of once weekly dulaglutide by baseline beta-cell function in people with type 2 diabetes in the AWARD programme. PMID 29603872</w:t>
      </w:r>
    </w:p>
    <w:p>
      <w:pPr>
        <w:numPr>
          <w:ilvl w:val="0"/>
          <w:numId w:val="1378"/>
        </w:numPr>
        <w:pStyle w:val="Compact"/>
      </w:pPr>
      <w:r>
        <w:t xml:space="preserve">2018 · Asakura T ·</w:t>
      </w:r>
      <w:r>
        <w:t xml:space="preserve"> </w:t>
      </w:r>
      <w:r>
        <w:rPr>
          <w:iCs/>
          <w:i/>
        </w:rPr>
        <w:t xml:space="preserve">Curr Med Res Opin</w:t>
      </w:r>
      <w:r>
        <w:t xml:space="preserve"> </w:t>
      </w:r>
      <w:r>
        <w:t xml:space="preserve">· Comparative usability study of the dulaglutide single-use pen versus the insulin degludec FlexTouch(®) among self-injection-naïve patients with type 2 diabetes mellitus in Japan. PMID 29504812</w:t>
      </w:r>
    </w:p>
    <w:p>
      <w:pPr>
        <w:numPr>
          <w:ilvl w:val="0"/>
          <w:numId w:val="1378"/>
        </w:numPr>
        <w:pStyle w:val="Compact"/>
      </w:pPr>
      <w:r>
        <w:t xml:space="preserve">2018 · Ludvik B ·</w:t>
      </w:r>
      <w:r>
        <w:t xml:space="preserve"> </w:t>
      </w:r>
      <w:r>
        <w:rPr>
          <w:iCs/>
          <w:i/>
        </w:rPr>
        <w:t xml:space="preserve">Lancet Diabetes Endocrinol</w:t>
      </w:r>
      <w:r>
        <w:t xml:space="preserve"> </w:t>
      </w:r>
      <w:r>
        <w:t xml:space="preserve">· Dulaglutide as add-on therapy to SGLT2 inhibitors in patients with inadequately controlled type 2 diabetes (AWARD-10): a 24-week, randomised, double-blind, placebo-controlled trial. PMID 29483060</w:t>
      </w:r>
    </w:p>
    <w:p>
      <w:pPr>
        <w:numPr>
          <w:ilvl w:val="0"/>
          <w:numId w:val="1378"/>
        </w:numPr>
        <w:pStyle w:val="Compact"/>
      </w:pPr>
      <w:r>
        <w:t xml:space="preserve">2018 · Pantalone KM ·</w:t>
      </w:r>
      <w:r>
        <w:t xml:space="preserve"> </w:t>
      </w:r>
      <w:r>
        <w:rPr>
          <w:iCs/>
          <w:i/>
        </w:rPr>
        <w:t xml:space="preserve">Diabetes Obes Metab</w:t>
      </w:r>
      <w:r>
        <w:t xml:space="preserve"> </w:t>
      </w:r>
      <w:r>
        <w:t xml:space="preserve">· Dulaglutide 1.5 mg as an add-on option for patients uncontrolled on insulin: Subgroup analysis by age, duration of diabetes and baseline glycated haemoglobin concentration. PMID 29430801</w:t>
      </w:r>
    </w:p>
    <w:p>
      <w:pPr>
        <w:numPr>
          <w:ilvl w:val="0"/>
          <w:numId w:val="1378"/>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8"/>
        </w:numPr>
        <w:pStyle w:val="Compact"/>
      </w:pPr>
      <w:r>
        <w:t xml:space="preserve">2018 · Pozzilli P ·</w:t>
      </w:r>
      <w:r>
        <w:t xml:space="preserve"> </w:t>
      </w:r>
      <w:r>
        <w:rPr>
          <w:iCs/>
          <w:i/>
        </w:rPr>
        <w:t xml:space="preserve">Diabetes Obes Metab</w:t>
      </w:r>
      <w:r>
        <w:t xml:space="preserve"> </w:t>
      </w:r>
      <w:r>
        <w:t xml:space="preserve">· Dulaglutide treatment results in effective glycaemic control in latent autoimmune diabetes in adults (LADA): A post-hoc analysis of the AWARD-2, -4 and -5 Trials. PMID 29377522</w:t>
      </w:r>
    </w:p>
    <w:p>
      <w:pPr>
        <w:numPr>
          <w:ilvl w:val="0"/>
          <w:numId w:val="1378"/>
        </w:numPr>
        <w:pStyle w:val="Compact"/>
      </w:pPr>
      <w:r>
        <w:t xml:space="preserve">2018 · Gallwitz B ·</w:t>
      </w:r>
      <w:r>
        <w:t xml:space="preserve"> </w:t>
      </w:r>
      <w:r>
        <w:rPr>
          <w:iCs/>
          <w:i/>
        </w:rPr>
        <w:t xml:space="preserve">Diabetes Obes Metab</w:t>
      </w:r>
      <w:r>
        <w:t xml:space="preserve"> </w:t>
      </w:r>
      <w:r>
        <w:t xml:space="preserve">· Effect of once-weekly dulaglutide on glycated haemoglobin (HbA1c) and fasting blood glucose in patient subpopulations by gender, duration of diabetes and baseline HbA1c. PMID 28817231</w:t>
      </w:r>
    </w:p>
    <w:p>
      <w:pPr>
        <w:numPr>
          <w:ilvl w:val="0"/>
          <w:numId w:val="1378"/>
        </w:numPr>
        <w:pStyle w:val="Compact"/>
      </w:pPr>
      <w:r>
        <w:t xml:space="preserve">2017 · Yu M ·</w:t>
      </w:r>
      <w:r>
        <w:t xml:space="preserve"> </w:t>
      </w:r>
      <w:r>
        <w:rPr>
          <w:iCs/>
          <w:i/>
        </w:rPr>
        <w:t xml:space="preserve">Clin Ther</w:t>
      </w:r>
      <w:r>
        <w:t xml:space="preserve"> </w:t>
      </w:r>
      <w:r>
        <w:t xml:space="preserve">· Patient-reported Outcomes in Patients with Type 2 Diabetes Treated with Dulaglutide Added to Titrated Insulin Glargine (AWARD-9). PMID 29110972</w:t>
      </w:r>
    </w:p>
    <w:p>
      <w:pPr>
        <w:numPr>
          <w:ilvl w:val="0"/>
          <w:numId w:val="1378"/>
        </w:numPr>
        <w:pStyle w:val="Compact"/>
      </w:pPr>
      <w:r>
        <w:t xml:space="preserve">2017 · Kaneko S ·</w:t>
      </w:r>
      <w:r>
        <w:t xml:space="preserve"> </w:t>
      </w:r>
      <w:r>
        <w:rPr>
          <w:iCs/>
          <w:i/>
        </w:rPr>
        <w:t xml:space="preserve">Endocr J</w:t>
      </w:r>
      <w:r>
        <w:t xml:space="preserve"> </w:t>
      </w:r>
      <w:r>
        <w:t xml:space="preserve">· Efficacy and safety of subgroup analysis stratified by baseline HbA1c in a Japanese phase 3 study of dulaglutide 0.75 mg compared with insulin glargine in patients with type 2 diabetes. PMID 28904247</w:t>
      </w:r>
    </w:p>
    <w:p>
      <w:pPr>
        <w:numPr>
          <w:ilvl w:val="0"/>
          <w:numId w:val="1378"/>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8"/>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8"/>
        </w:numPr>
        <w:pStyle w:val="Compact"/>
      </w:pPr>
      <w:r>
        <w:t xml:space="preserve">2017 · de la Peña A ·</w:t>
      </w:r>
      <w:r>
        <w:t xml:space="preserve"> </w:t>
      </w:r>
      <w:r>
        <w:rPr>
          <w:iCs/>
          <w:i/>
        </w:rPr>
        <w:t xml:space="preserve">Clin Pharmacokinet</w:t>
      </w:r>
      <w:r>
        <w:t xml:space="preserve"> </w:t>
      </w:r>
      <w:r>
        <w:t xml:space="preserve">· No Dose Adjustment is Recommended for Digoxin, Warfarin, Atorvastatin or a Combination Oral Contraceptive When Coadministered with Dulaglutide. PMID 28357715</w:t>
      </w:r>
    </w:p>
    <w:p>
      <w:pPr>
        <w:numPr>
          <w:ilvl w:val="0"/>
          <w:numId w:val="1378"/>
        </w:numPr>
        <w:pStyle w:val="Compact"/>
      </w:pPr>
      <w:r>
        <w:t xml:space="preserve">2017 · Hamano K ·</w:t>
      </w:r>
      <w:r>
        <w:t xml:space="preserve"> </w:t>
      </w:r>
      <w:r>
        <w:rPr>
          <w:iCs/>
          <w:i/>
        </w:rPr>
        <w:t xml:space="preserve">Endocr J</w:t>
      </w:r>
      <w:r>
        <w:t xml:space="preserve"> </w:t>
      </w:r>
      <w:r>
        <w:t xml:space="preserve">· Efficacy and safety analyses across 4 subgroups combining low and high age and body mass index groups in Japanese phase 3 studies of dulaglutide 0.75 mg after 26 weeks of treatment. PMID 28302958</w:t>
      </w:r>
    </w:p>
    <w:p>
      <w:pPr>
        <w:numPr>
          <w:ilvl w:val="0"/>
          <w:numId w:val="1378"/>
        </w:numPr>
        <w:pStyle w:val="Compact"/>
      </w:pPr>
      <w:r>
        <w:t xml:space="preserve">2017 · Pozzilli P ·</w:t>
      </w:r>
      <w:r>
        <w:t xml:space="preserve"> </w:t>
      </w:r>
      <w:r>
        <w:rPr>
          <w:iCs/>
          <w:i/>
        </w:rPr>
        <w:t xml:space="preserve">Diabetes Obes Metab</w:t>
      </w:r>
      <w:r>
        <w:t xml:space="preserve"> </w:t>
      </w:r>
      <w:r>
        <w:t xml:space="preserve">· Placebo-controlled, randomized trial of the addition of once-weekly glucagon-like peptide-1 receptor agonist dulaglutide to titrated daily insulin glargine in patients with type 2 diabetes (AWARD-9). PMID 28294499</w:t>
      </w:r>
    </w:p>
    <w:p>
      <w:pPr>
        <w:numPr>
          <w:ilvl w:val="0"/>
          <w:numId w:val="1378"/>
        </w:numPr>
        <w:pStyle w:val="Compact"/>
      </w:pPr>
      <w:r>
        <w:t xml:space="preserve">2017 · de la Peña A ·</w:t>
      </w:r>
      <w:r>
        <w:t xml:space="preserve"> </w:t>
      </w:r>
      <w:r>
        <w:rPr>
          <w:iCs/>
          <w:i/>
        </w:rPr>
        <w:t xml:space="preserve">Diabetes Obes Metab</w:t>
      </w:r>
      <w:r>
        <w:t xml:space="preserve"> </w:t>
      </w:r>
      <w:r>
        <w:t xml:space="preserve">· Once-weekly dulaglutide 1.5 mg restores insulin secretion in response to intravenous glucose infusion. PMID 27976833</w:t>
      </w:r>
    </w:p>
    <w:p>
      <w:pPr>
        <w:numPr>
          <w:ilvl w:val="0"/>
          <w:numId w:val="1378"/>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8"/>
        </w:numPr>
        <w:pStyle w:val="Compact"/>
      </w:pPr>
      <w:r>
        <w:t xml:space="preserve">2016 · Davidson JA ·</w:t>
      </w:r>
      <w:r>
        <w:t xml:space="preserve"> </w:t>
      </w:r>
      <w:r>
        <w:rPr>
          <w:iCs/>
          <w:i/>
        </w:rPr>
        <w:t xml:space="preserve">Endocr Pract</w:t>
      </w:r>
      <w:r>
        <w:t xml:space="preserve"> </w:t>
      </w:r>
      <w:r>
        <w:t xml:space="preserve">· EFFICACY AND SAFETY OF DULAGLUTIDE IN HISPANIC/LATINO PATIENTS WITH TYPE 2 DIABETES IN THE AWARD CLINICAL PROGRAM. PMID 27540883</w:t>
      </w:r>
    </w:p>
    <w:p>
      <w:pPr>
        <w:numPr>
          <w:ilvl w:val="0"/>
          <w:numId w:val="1378"/>
        </w:numPr>
        <w:pStyle w:val="Compact"/>
      </w:pPr>
      <w:r>
        <w:t xml:space="preserve">2016 · Inagaki N ·</w:t>
      </w:r>
      <w:r>
        <w:t xml:space="preserve"> </w:t>
      </w:r>
      <w:r>
        <w:rPr>
          <w:iCs/>
          <w:i/>
        </w:rPr>
        <w:t xml:space="preserve">Diabetes Obes Metab</w:t>
      </w:r>
      <w:r>
        <w:t xml:space="preserve"> </w:t>
      </w:r>
      <w:r>
        <w:t xml:space="preserve">· The combination of dulaglutide and biguanide reduced bodyweight in Japanese patients with type 2 diabetes. PMID 27488246</w:t>
      </w:r>
    </w:p>
    <w:p>
      <w:pPr>
        <w:numPr>
          <w:ilvl w:val="0"/>
          <w:numId w:val="1378"/>
        </w:numPr>
        <w:pStyle w:val="Compact"/>
      </w:pPr>
      <w:r>
        <w:t xml:space="preserve">2016 · Jendle J ·</w:t>
      </w:r>
      <w:r>
        <w:t xml:space="preserve"> </w:t>
      </w:r>
      <w:r>
        <w:rPr>
          <w:iCs/>
          <w:i/>
        </w:rPr>
        <w:t xml:space="preserve">Diabetes Obes Metab</w:t>
      </w:r>
      <w:r>
        <w:t xml:space="preserve"> </w:t>
      </w:r>
      <w:r>
        <w:t xml:space="preserve">· Continuous glucose monitoring in patients with type 2 diabetes treated with glucagon-like peptide-1 receptor agonist dulaglutide in combination with prandial insulin lispro: an AWARD-4 substudy. PMID 27279266</w:t>
      </w:r>
    </w:p>
    <w:p>
      <w:pPr>
        <w:numPr>
          <w:ilvl w:val="0"/>
          <w:numId w:val="1378"/>
        </w:numPr>
        <w:pStyle w:val="Compact"/>
      </w:pPr>
      <w:r>
        <w:t xml:space="preserve">2016 · Wysham C ·</w:t>
      </w:r>
      <w:r>
        <w:t xml:space="preserve"> </w:t>
      </w:r>
      <w:r>
        <w:rPr>
          <w:iCs/>
          <w:i/>
        </w:rPr>
        <w:t xml:space="preserve">Diabetes Obes Metab</w:t>
      </w:r>
      <w:r>
        <w:t xml:space="preserve"> </w:t>
      </w:r>
      <w:r>
        <w:t xml:space="preserve">· Baseline factors associated with glycaemic response to treatment with once-weekly dulaglutide in patients with type 2 diabetes. PMID 27265893</w:t>
      </w:r>
    </w:p>
    <w:p>
      <w:pPr>
        <w:numPr>
          <w:ilvl w:val="0"/>
          <w:numId w:val="1378"/>
        </w:numPr>
        <w:pStyle w:val="Compact"/>
      </w:pPr>
      <w:r>
        <w:t xml:space="preserve">2016 · Umpierrez GE ·</w:t>
      </w:r>
      <w:r>
        <w:t xml:space="preserve"> </w:t>
      </w:r>
      <w:r>
        <w:rPr>
          <w:iCs/>
          <w:i/>
        </w:rPr>
        <w:t xml:space="preserve">Diabetes Obes Metab</w:t>
      </w:r>
      <w:r>
        <w:t xml:space="preserve"> </w:t>
      </w:r>
      <w:r>
        <w:t xml:space="preserve">· Relationship between weight change and glycaemic control in patients with type 2 diabetes receiving once-weekly dulaglutide treatment. PMID 26969812</w:t>
      </w:r>
    </w:p>
    <w:p>
      <w:pPr>
        <w:numPr>
          <w:ilvl w:val="0"/>
          <w:numId w:val="1378"/>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8"/>
        </w:numPr>
        <w:pStyle w:val="Compact"/>
      </w:pPr>
      <w:r>
        <w:t xml:space="preserve">2016 · Dungan KM ·</w:t>
      </w:r>
      <w:r>
        <w:t xml:space="preserve"> </w:t>
      </w:r>
      <w:r>
        <w:rPr>
          <w:iCs/>
          <w:i/>
        </w:rPr>
        <w:t xml:space="preserve">Diabetes Obes Metab</w:t>
      </w:r>
      <w:r>
        <w:t xml:space="preserve"> </w:t>
      </w:r>
      <w:r>
        <w:t xml:space="preserve">· A 24-week study to evaluate the efficacy and safety of once-weekly dulaglutide added on to glimepiride in type 2 diabetes (AWARD-8). PMID 26799540</w:t>
      </w:r>
    </w:p>
    <w:p>
      <w:pPr>
        <w:numPr>
          <w:ilvl w:val="0"/>
          <w:numId w:val="1378"/>
        </w:numPr>
        <w:pStyle w:val="Compact"/>
      </w:pPr>
      <w:r>
        <w:t xml:space="preserve">2016 · Onishi Y ·</w:t>
      </w:r>
      <w:r>
        <w:t xml:space="preserve"> </w:t>
      </w:r>
      <w:r>
        <w:rPr>
          <w:iCs/>
          <w:i/>
        </w:rPr>
        <w:t xml:space="preserve">Endocr J</w:t>
      </w:r>
      <w:r>
        <w:t xml:space="preserve"> </w:t>
      </w:r>
      <w:r>
        <w:t xml:space="preserve">· Subgroup analysis of phase 3 studies of dulaglutide in Japanese patients with type 2 diabetes. PMID 26698689</w:t>
      </w:r>
    </w:p>
    <w:p>
      <w:pPr>
        <w:numPr>
          <w:ilvl w:val="0"/>
          <w:numId w:val="1378"/>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8"/>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8"/>
        </w:numPr>
        <w:pStyle w:val="Compact"/>
      </w:pPr>
      <w:r>
        <w:t xml:space="preserve">2016 · Geiser JS ·</w:t>
      </w:r>
      <w:r>
        <w:t xml:space="preserve"> </w:t>
      </w:r>
      <w:r>
        <w:rPr>
          <w:iCs/>
          <w:i/>
        </w:rPr>
        <w:t xml:space="preserve">Clin Pharmacokinet</w:t>
      </w:r>
      <w:r>
        <w:t xml:space="preserve"> </w:t>
      </w:r>
      <w:r>
        <w:t xml:space="preserve">· Clinical Pharmacokinetics of Dulaglutide in Patients with Type 2 Diabetes: Analyses of Data from Clinical Trials. PMID 26507721</w:t>
      </w:r>
    </w:p>
    <w:p>
      <w:pPr>
        <w:numPr>
          <w:ilvl w:val="0"/>
          <w:numId w:val="1378"/>
        </w:numPr>
        <w:pStyle w:val="Compact"/>
      </w:pPr>
      <w:r>
        <w:t xml:space="preserve">2016 · Grunberger G ·</w:t>
      </w:r>
      <w:r>
        <w:t xml:space="preserve"> </w:t>
      </w:r>
      <w:r>
        <w:rPr>
          <w:iCs/>
          <w:i/>
        </w:rPr>
        <w:t xml:space="preserve">Diabet Med</w:t>
      </w:r>
      <w:r>
        <w:t xml:space="preserve"> </w:t>
      </w:r>
      <w:r>
        <w:t xml:space="preserve">· Early fasting glucose measurements can predict later glycaemic response to once weekly dulaglutide. PMID 26179454</w:t>
      </w:r>
    </w:p>
    <w:p>
      <w:pPr>
        <w:numPr>
          <w:ilvl w:val="0"/>
          <w:numId w:val="1378"/>
        </w:numPr>
        <w:pStyle w:val="Compact"/>
      </w:pPr>
      <w:r>
        <w:t xml:space="preserve">2015 · Emoto M ·</w:t>
      </w:r>
      <w:r>
        <w:t xml:space="preserve"> </w:t>
      </w:r>
      <w:r>
        <w:rPr>
          <w:iCs/>
          <w:i/>
        </w:rPr>
        <w:t xml:space="preserve">Endocr J</w:t>
      </w:r>
      <w:r>
        <w:t xml:space="preserve"> </w:t>
      </w:r>
      <w:r>
        <w:t xml:space="preserve">· A 1-year safety study of dulaglutide in Japanese patients with type 2 diabetes on a single oral hypoglycemic agent: an open-label, nonrandomized, phase 3 trial. PMID 26477324</w:t>
      </w:r>
    </w:p>
    <w:p>
      <w:pPr>
        <w:numPr>
          <w:ilvl w:val="0"/>
          <w:numId w:val="1378"/>
        </w:numPr>
        <w:pStyle w:val="Compact"/>
      </w:pPr>
      <w:r>
        <w:t xml:space="preserve">2015 · Usborne A ·</w:t>
      </w:r>
      <w:r>
        <w:t xml:space="preserve"> </w:t>
      </w:r>
      <w:r>
        <w:rPr>
          <w:iCs/>
          <w:i/>
        </w:rPr>
        <w:t xml:space="preserve">Toxicol Pathol</w:t>
      </w:r>
      <w:r>
        <w:t xml:space="preserve"> </w:t>
      </w:r>
      <w:r>
        <w:t xml:space="preserve">· An Investigative Study of Pancreatic Exocrine Biomarkers, Histology, and Histomorphometry in Male Zucker Diabetic Fatty (ZDF) Rats Given Dulaglutide by Subcutaneous Injection Twice Weekly for 13 Weeks. PMID 26269615</w:t>
      </w:r>
    </w:p>
    <w:p>
      <w:pPr>
        <w:numPr>
          <w:ilvl w:val="0"/>
          <w:numId w:val="1378"/>
        </w:numPr>
        <w:pStyle w:val="Compact"/>
      </w:pPr>
      <w:r>
        <w:t xml:space="preserve">2015 · Araki E ·</w:t>
      </w:r>
      <w:r>
        <w:t xml:space="preserve"> </w:t>
      </w:r>
      <w:r>
        <w:rPr>
          <w:iCs/>
          <w:i/>
        </w:rPr>
        <w:t xml:space="preserve">Diabetes Obes Metab</w:t>
      </w:r>
      <w:r>
        <w:t xml:space="preserve"> </w:t>
      </w:r>
      <w:r>
        <w:t xml:space="preserve">· Efficacy and safety of once-weekly dulaglutide in combination with sulphonylurea and/or biguanide compared with once-daily insulin glargine in Japanese patients with type 2 diabetes: a randomized, open-label, phase III, non-inferiority study. PMID 26179754</w:t>
      </w:r>
    </w:p>
    <w:p>
      <w:pPr>
        <w:numPr>
          <w:ilvl w:val="0"/>
          <w:numId w:val="1378"/>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8"/>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8"/>
        </w:numPr>
        <w:pStyle w:val="Compact"/>
      </w:pPr>
      <w:r>
        <w:t xml:space="preserve">2015 · Giorgino F ·</w:t>
      </w:r>
      <w:r>
        <w:t xml:space="preserve"> </w:t>
      </w:r>
      <w:r>
        <w:rPr>
          <w:iCs/>
          <w:i/>
        </w:rPr>
        <w:t xml:space="preserve">Diabetes Care</w:t>
      </w:r>
      <w:r>
        <w:t xml:space="preserve"> </w:t>
      </w:r>
      <w:r>
        <w:t xml:space="preserve">· Efficacy and Safety of Once-Weekly Dulaglutide Versus Insulin Glargine in Patients With Type 2 Diabetes on Metformin and Glimepiride (AWARD-2). PMID 26089386</w:t>
      </w:r>
    </w:p>
    <w:p>
      <w:pPr>
        <w:numPr>
          <w:ilvl w:val="0"/>
          <w:numId w:val="1378"/>
        </w:numPr>
        <w:pStyle w:val="Compact"/>
      </w:pPr>
      <w:r>
        <w:t xml:space="preserve">2015 · Blonde L ·</w:t>
      </w:r>
      <w:r>
        <w:t xml:space="preserve"> </w:t>
      </w:r>
      <w:r>
        <w:rPr>
          <w:iCs/>
          <w:i/>
        </w:rPr>
        <w:t xml:space="preserve">Lancet</w:t>
      </w:r>
      <w:r>
        <w:t xml:space="preserve"> </w:t>
      </w:r>
      <w:r>
        <w:t xml:space="preserve">· Once-weekly dulaglutide versus bedtime insulin glargine, both in combination with prandial insulin lispro, in patients with type 2 diabetes (AWARD-4): a randomised, open-label, phase 3, non-inferiority study. PMID 26009229</w:t>
      </w:r>
    </w:p>
    <w:p>
      <w:pPr>
        <w:numPr>
          <w:ilvl w:val="0"/>
          <w:numId w:val="1378"/>
        </w:numPr>
        <w:pStyle w:val="Compact"/>
      </w:pPr>
      <w:r>
        <w:t xml:space="preserve">2015 · Weinstock RS ·</w:t>
      </w:r>
      <w:r>
        <w:t xml:space="preserve"> </w:t>
      </w:r>
      <w:r>
        <w:rPr>
          <w:iCs/>
          <w:i/>
        </w:rPr>
        <w:t xml:space="preserve">Diabetes Obes Metab</w:t>
      </w:r>
      <w:r>
        <w:t xml:space="preserve"> </w:t>
      </w:r>
      <w:r>
        <w:t xml:space="preserve">· Safety and efficacy of once-weekly dulaglutide versus sitagliptin after 2 years in metformin-treated patients with type 2 diabetes (AWARD-5): a randomized, phase III study. PMID 25912221</w:t>
      </w:r>
    </w:p>
    <w:p>
      <w:pPr>
        <w:numPr>
          <w:ilvl w:val="0"/>
          <w:numId w:val="1378"/>
        </w:numPr>
        <w:pStyle w:val="Compact"/>
      </w:pPr>
      <w:r>
        <w:t xml:space="preserve">2015 · Matfin G ·</w:t>
      </w:r>
      <w:r>
        <w:t xml:space="preserve"> </w:t>
      </w:r>
      <w:r>
        <w:rPr>
          <w:iCs/>
          <w:i/>
        </w:rPr>
        <w:t xml:space="preserve">J Diabetes Sci Technol</w:t>
      </w:r>
      <w:r>
        <w:t xml:space="preserve"> </w:t>
      </w:r>
      <w:r>
        <w:t xml:space="preserve">· Safe and Effective Use of the Once Weekly Dulaglutide Single-Dose Pen in Injection-Naïve Patients With Type 2 Diabetes. PMID 25901022</w:t>
      </w:r>
    </w:p>
    <w:p>
      <w:pPr>
        <w:numPr>
          <w:ilvl w:val="0"/>
          <w:numId w:val="1378"/>
        </w:numPr>
        <w:pStyle w:val="Compact"/>
      </w:pPr>
      <w:r>
        <w:t xml:space="preserve">2014 · Terauchi Y ·</w:t>
      </w:r>
      <w:r>
        <w:t xml:space="preserve"> </w:t>
      </w:r>
      <w:r>
        <w:rPr>
          <w:iCs/>
          <w:i/>
        </w:rPr>
        <w:t xml:space="preserve">Endocr J</w:t>
      </w:r>
      <w:r>
        <w:t xml:space="preserve"> </w:t>
      </w:r>
      <w:r>
        <w:t xml:space="preserve">· Monotherapy with the once weekly GLP-1 receptor agonist dulaglutide for 12 weeks in Japanese patients with type 2 diabetes: dose-dependent effects on glycaemic control in a randomised, double-blind, placebo-controlled study. PMID 25029955</w:t>
      </w:r>
    </w:p>
    <w:p>
      <w:pPr>
        <w:numPr>
          <w:ilvl w:val="0"/>
          <w:numId w:val="1378"/>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8"/>
        </w:numPr>
        <w:pStyle w:val="Compact"/>
      </w:pPr>
      <w:r>
        <w:t xml:space="preserve">2014 · Ferdinand KC ·</w:t>
      </w:r>
      <w:r>
        <w:t xml:space="preserve"> </w:t>
      </w:r>
      <w:r>
        <w:rPr>
          <w:iCs/>
          <w:i/>
        </w:rPr>
        <w:t xml:space="preserve">Hypertension</w:t>
      </w:r>
      <w:r>
        <w:t xml:space="preserve"> </w:t>
      </w:r>
      <w:r>
        <w:t xml:space="preserve">· Effects of the once-weekly glucagon-like peptide-1 receptor agonist dulaglutide on ambulatory blood pressure and heart rate in patients with type 2 diabetes mellitus. PMID 24980665</w:t>
      </w:r>
    </w:p>
    <w:p>
      <w:pPr>
        <w:numPr>
          <w:ilvl w:val="0"/>
          <w:numId w:val="1378"/>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8"/>
        </w:numPr>
        <w:pStyle w:val="Compact"/>
      </w:pPr>
      <w:r>
        <w:t xml:space="preserve">2014 · Umpierrez G ·</w:t>
      </w:r>
      <w:r>
        <w:t xml:space="preserve"> </w:t>
      </w:r>
      <w:r>
        <w:rPr>
          <w:iCs/>
          <w:i/>
        </w:rPr>
        <w:t xml:space="preserve">Diabetes Care</w:t>
      </w:r>
      <w:r>
        <w:t xml:space="preserve"> </w:t>
      </w:r>
      <w:r>
        <w:t xml:space="preserve">· Efficacy and safety of dulaglutide monotherapy versus metformin in type 2 diabetes in a randomized controlled trial (AWARD-3). PMID 24842985</w:t>
      </w:r>
    </w:p>
    <w:p>
      <w:pPr>
        <w:numPr>
          <w:ilvl w:val="0"/>
          <w:numId w:val="1378"/>
        </w:numPr>
        <w:pStyle w:val="Compact"/>
      </w:pPr>
      <w:r>
        <w:t xml:space="preserve">2014 · Skrivanek Z ·</w:t>
      </w:r>
      <w:r>
        <w:t xml:space="preserve"> </w:t>
      </w:r>
      <w:r>
        <w:rPr>
          <w:iCs/>
          <w:i/>
        </w:rPr>
        <w:t xml:space="preserve">Diabetes Obes Metab</w:t>
      </w:r>
      <w:r>
        <w:t xml:space="preserve"> </w:t>
      </w:r>
      <w:r>
        <w:t xml:space="preserve">· Dose-finding results in an adaptive, seamless, randomized trial of once-weekly dulaglutide combined with metformin in type 2 diabetes patients (AWARD-5). PMID 24762094</w:t>
      </w:r>
    </w:p>
    <w:p>
      <w:pPr>
        <w:numPr>
          <w:ilvl w:val="0"/>
          <w:numId w:val="1378"/>
        </w:numPr>
        <w:pStyle w:val="Compact"/>
      </w:pPr>
      <w:r>
        <w:t xml:space="preserve">2014 · Nauck M ·</w:t>
      </w:r>
      <w:r>
        <w:t xml:space="preserve"> </w:t>
      </w:r>
      <w:r>
        <w:rPr>
          <w:iCs/>
          <w:i/>
        </w:rPr>
        <w:t xml:space="preserve">Diabetes Care</w:t>
      </w:r>
      <w:r>
        <w:t xml:space="preserve"> </w:t>
      </w:r>
      <w:r>
        <w:t xml:space="preserve">· Efficacy and safety of dulaglutide versus sitagliptin after 52 weeks in type 2 diabetes in a randomized controlled trial (AWARD-5). PMID 24742660</w:t>
      </w:r>
    </w:p>
    <w:p>
      <w:pPr>
        <w:numPr>
          <w:ilvl w:val="0"/>
          <w:numId w:val="1378"/>
        </w:numPr>
        <w:pStyle w:val="Compact"/>
      </w:pPr>
      <w:r>
        <w:t xml:space="preserve">2012 · Geiger MJ ·</w:t>
      </w:r>
      <w:r>
        <w:t xml:space="preserve"> </w:t>
      </w:r>
      <w:r>
        <w:rPr>
          <w:iCs/>
          <w:i/>
        </w:rPr>
        <w:t xml:space="preserve">J Diabetes Sci Technol</w:t>
      </w:r>
      <w:r>
        <w:t xml:space="preserve"> </w:t>
      </w:r>
      <w:r>
        <w:t xml:space="preserve">· An adaptive, dose-finding, seamless phase 2/3 study of a long-acting glucagon-like peptide-1 analog (dulaglutide): trial design and baseline characteristics. PMID 23294776</w:t>
      </w:r>
    </w:p>
    <w:p>
      <w:pPr>
        <w:numPr>
          <w:ilvl w:val="0"/>
          <w:numId w:val="1378"/>
        </w:numPr>
        <w:pStyle w:val="Compact"/>
      </w:pPr>
      <w:r>
        <w:t xml:space="preserve">2012 · Skrivanek Z ·</w:t>
      </w:r>
      <w:r>
        <w:t xml:space="preserve"> </w:t>
      </w:r>
      <w:r>
        <w:rPr>
          <w:iCs/>
          <w:i/>
        </w:rPr>
        <w:t xml:space="preserve">J Diabetes Sci Technol</w:t>
      </w:r>
      <w:r>
        <w:t xml:space="preserve"> </w:t>
      </w:r>
      <w:r>
        <w:t xml:space="preserve">· Application of adaptive design methodology in development of a long-acting glucagon-like peptide-1 analog (dulaglutide): statistical design and simulations. PMID 23294775</w:t>
      </w:r>
    </w:p>
    <w:p>
      <w:pPr>
        <w:numPr>
          <w:ilvl w:val="0"/>
          <w:numId w:val="1378"/>
        </w:numPr>
        <w:pStyle w:val="Compact"/>
      </w:pPr>
      <w:r>
        <w:t xml:space="preserve">2012 · Grunberger G ·</w:t>
      </w:r>
      <w:r>
        <w:t xml:space="preserve"> </w:t>
      </w:r>
      <w:r>
        <w:rPr>
          <w:iCs/>
          <w:i/>
        </w:rPr>
        <w:t xml:space="preserve">Diabet Med</w:t>
      </w:r>
      <w:r>
        <w:t xml:space="preserve"> </w:t>
      </w:r>
      <w:r>
        <w:t xml:space="preserve">· Monotherapy with the once-weekly GLP-1 analogue dulaglutide for 12 weeks in patients with Type 2 diabetes: dose-dependent effects on glycaemic control in a randomized, double-blind, placebo-controlled study. PMID 22804250</w:t>
      </w:r>
    </w:p>
    <w:bookmarkEnd w:id="1118"/>
    <w:bookmarkStart w:id="1119" w:name="semaglutida-342"/>
    <w:p>
      <w:pPr>
        <w:pStyle w:val="Heading2"/>
      </w:pPr>
      <w:r>
        <w:t xml:space="preserve">Semaglutida (342)</w:t>
      </w:r>
    </w:p>
    <w:p>
      <w:pPr>
        <w:numPr>
          <w:ilvl w:val="0"/>
          <w:numId w:val="1379"/>
        </w:numPr>
        <w:pStyle w:val="Compact"/>
      </w:pPr>
      <w:r>
        <w:t xml:space="preserve">2026 · Zhang Z ·</w:t>
      </w:r>
      <w:r>
        <w:t xml:space="preserve"> </w:t>
      </w:r>
      <w:r>
        <w:rPr>
          <w:iCs/>
          <w:i/>
        </w:rPr>
        <w:t xml:space="preserve">Psychol Med</w:t>
      </w:r>
      <w:r>
        <w:t xml:space="preserve"> </w:t>
      </w:r>
      <w:r>
        <w:t xml:space="preserve">· Semaglutide modulates explore/exploit decision-making in major depressive disorder: A randomized clinical trial. PMID 42904347</w:t>
      </w:r>
    </w:p>
    <w:p>
      <w:pPr>
        <w:numPr>
          <w:ilvl w:val="0"/>
          <w:numId w:val="1379"/>
        </w:numPr>
        <w:pStyle w:val="Compact"/>
      </w:pPr>
      <w:r>
        <w:t xml:space="preserve">2026 · Estica M ·</w:t>
      </w:r>
      <w:r>
        <w:t xml:space="preserve"> </w:t>
      </w:r>
      <w:r>
        <w:rPr>
          <w:iCs/>
          <w:i/>
        </w:rPr>
        <w:t xml:space="preserve">Rev Med Chil</w:t>
      </w:r>
      <w:r>
        <w:t xml:space="preserve"> </w:t>
      </w:r>
      <w:r>
        <w:t xml:space="preserve">· Effectiveness of Weekly Semaglutide Treatment (0.5 or 1 mg) in Chilean Patients with Type 2 Diabetes Mellitus. PMID 42899606</w:t>
      </w:r>
    </w:p>
    <w:p>
      <w:pPr>
        <w:numPr>
          <w:ilvl w:val="0"/>
          <w:numId w:val="1379"/>
        </w:numPr>
        <w:pStyle w:val="Compact"/>
      </w:pPr>
      <w:r>
        <w:t xml:space="preserve">2026 · Gullaksen S ·</w:t>
      </w:r>
      <w:r>
        <w:t xml:space="preserve"> </w:t>
      </w:r>
      <w:r>
        <w:rPr>
          <w:iCs/>
          <w:i/>
        </w:rPr>
        <w:t xml:space="preserve">J Diabetes Complications</w:t>
      </w:r>
      <w:r>
        <w:t xml:space="preserve"> </w:t>
      </w:r>
      <w:r>
        <w:t xml:space="preserve">· Effects of semaglutide and empagliflozin on markers of endothelial function in persons with type 2 diabetes: A post hoc analysis of a randomized clinical trial. PMID 42679726</w:t>
      </w:r>
    </w:p>
    <w:p>
      <w:pPr>
        <w:numPr>
          <w:ilvl w:val="0"/>
          <w:numId w:val="1379"/>
        </w:numPr>
        <w:pStyle w:val="Compact"/>
      </w:pPr>
      <w:r>
        <w:t xml:space="preserve">2026 · Montaser E ·</w:t>
      </w:r>
      <w:r>
        <w:t xml:space="preserve"> </w:t>
      </w:r>
      <w:r>
        <w:rPr>
          <w:iCs/>
          <w:i/>
        </w:rPr>
        <w:t xml:space="preserve">Diabetes Obes Metab</w:t>
      </w:r>
      <w:r>
        <w:t xml:space="preserve"> </w:t>
      </w:r>
      <w:r>
        <w:t xml:space="preserve">· Glycaemic Changes After Semaglutide Discontinuation in Adults With Type 1 Diabetes Using Automated Insulin Delivery: Analysis of the ADJUST-T1D Extension Study. PMID 42675550</w:t>
      </w:r>
    </w:p>
    <w:p>
      <w:pPr>
        <w:numPr>
          <w:ilvl w:val="0"/>
          <w:numId w:val="1379"/>
        </w:numPr>
        <w:pStyle w:val="Compact"/>
      </w:pPr>
      <w:r>
        <w:t xml:space="preserve">2026 · Plutzky J ·</w:t>
      </w:r>
      <w:r>
        <w:t xml:space="preserve"> </w:t>
      </w:r>
      <w:r>
        <w:rPr>
          <w:iCs/>
          <w:i/>
        </w:rPr>
        <w:t xml:space="preserve">Circulation</w:t>
      </w:r>
      <w:r>
        <w:t xml:space="preserve"> </w:t>
      </w:r>
      <w:r>
        <w:t xml:space="preserve">· Effect of Semaglutide on the Inflammatory Biomarker High-Sensitivity CRP in Patients With Established Cardiovascular Disease and Overweight or Obesity in SELECT: A Prespecified Secondary Analysis. PMID 42610271</w:t>
      </w:r>
    </w:p>
    <w:p>
      <w:pPr>
        <w:numPr>
          <w:ilvl w:val="0"/>
          <w:numId w:val="1379"/>
        </w:numPr>
        <w:pStyle w:val="Compact"/>
      </w:pPr>
      <w:r>
        <w:t xml:space="preserve">2026 · Miyake T ·</w:t>
      </w:r>
      <w:r>
        <w:t xml:space="preserve"> </w:t>
      </w:r>
      <w:r>
        <w:rPr>
          <w:iCs/>
          <w:i/>
        </w:rPr>
        <w:t xml:space="preserve">Diabetes Obes Metab</w:t>
      </w:r>
      <w:r>
        <w:t xml:space="preserve"> </w:t>
      </w:r>
      <w:r>
        <w:t xml:space="preserve">· Efficacy of Luseogliflozin Added to Semaglutide in Patients With Metabolic Dysfunction-Associated Steatohepatitis and Type 2 Diabetes Mellitus: A Randomised, Open-Label Trial. PMID 42605535</w:t>
      </w:r>
    </w:p>
    <w:p>
      <w:pPr>
        <w:numPr>
          <w:ilvl w:val="0"/>
          <w:numId w:val="1379"/>
        </w:numPr>
        <w:pStyle w:val="Compact"/>
      </w:pPr>
      <w:r>
        <w:t xml:space="preserve">2026 · Ji L ·</w:t>
      </w:r>
      <w:r>
        <w:t xml:space="preserve"> </w:t>
      </w:r>
      <w:r>
        <w:rPr>
          <w:iCs/>
          <w:i/>
        </w:rPr>
        <w:t xml:space="preserve">Lancet Diabetes Endocrinol</w:t>
      </w:r>
      <w:r>
        <w:t xml:space="preserve"> </w:t>
      </w:r>
      <w:r>
        <w:t xml:space="preserve">· Once-weekly IcoSema versus once-daily insulin glargine U100 in type 2 diabetes management (COMBINE 4): an open-label, multicentre, treat-to-target, randomised, phase 3b trial. PMID 42594928</w:t>
      </w:r>
    </w:p>
    <w:p>
      <w:pPr>
        <w:numPr>
          <w:ilvl w:val="0"/>
          <w:numId w:val="1379"/>
        </w:numPr>
        <w:pStyle w:val="Compact"/>
      </w:pPr>
      <w:r>
        <w:t xml:space="preserve">2026 · Guo L ·</w:t>
      </w:r>
      <w:r>
        <w:t xml:space="preserve"> </w:t>
      </w:r>
      <w:r>
        <w:rPr>
          <w:iCs/>
          <w:i/>
        </w:rPr>
        <w:t xml:space="preserve">Lancet Diabetes Endocrinol</w:t>
      </w:r>
      <w:r>
        <w:t xml:space="preserve"> </w:t>
      </w:r>
      <w:r>
        <w:t xml:space="preserve">· Efficacy and safety of once-weekly semaglutide 2·4 mg in Chinese adults with overweight or obesity (STEP 12): a randomised, double-blind, placebo-controlled, multicentre, phase 3b trial. PMID 42575111</w:t>
      </w:r>
    </w:p>
    <w:p>
      <w:pPr>
        <w:numPr>
          <w:ilvl w:val="0"/>
          <w:numId w:val="1379"/>
        </w:numPr>
        <w:pStyle w:val="Compact"/>
      </w:pPr>
      <w:r>
        <w:t xml:space="preserve">2026 · Mann JFE ·</w:t>
      </w:r>
      <w:r>
        <w:t xml:space="preserve"> </w:t>
      </w:r>
      <w:r>
        <w:rPr>
          <w:iCs/>
          <w:i/>
        </w:rPr>
        <w:t xml:space="preserve">Lancet Diabetes Endocrinol</w:t>
      </w:r>
      <w:r>
        <w:t xml:space="preserve"> </w:t>
      </w:r>
      <w:r>
        <w:t xml:space="preserve">· Effect of semaglutide on kidney outcomes in the SELECT, FLOW, and SOUL trials: a prespecified pooled analysis. PMID 42567173</w:t>
      </w:r>
    </w:p>
    <w:p>
      <w:pPr>
        <w:numPr>
          <w:ilvl w:val="0"/>
          <w:numId w:val="1379"/>
        </w:numPr>
        <w:pStyle w:val="Compact"/>
      </w:pPr>
      <w:r>
        <w:t xml:space="preserve">2026 · Ji L ·</w:t>
      </w:r>
      <w:r>
        <w:t xml:space="preserve"> </w:t>
      </w:r>
      <w:r>
        <w:rPr>
          <w:iCs/>
          <w:i/>
        </w:rPr>
        <w:t xml:space="preserve">Diabetes Obes Metab</w:t>
      </w:r>
      <w:r>
        <w:t xml:space="preserve"> </w:t>
      </w:r>
      <w:r>
        <w:t xml:space="preserve">· Efficacy and Hypoglycaemia Outcomes With Once-Weekly IcoSema Versus Comparators in Individuals With Type 2 Diabetes by Kidney and Liver Function: A Post Hoc Analysis of the COMBINE 1-3 Trials. PMID 42557064</w:t>
      </w:r>
    </w:p>
    <w:p>
      <w:pPr>
        <w:numPr>
          <w:ilvl w:val="0"/>
          <w:numId w:val="1379"/>
        </w:numPr>
        <w:pStyle w:val="Compact"/>
      </w:pPr>
      <w:r>
        <w:t xml:space="preserve">2026 · Schacht JP ·</w:t>
      </w:r>
      <w:r>
        <w:t xml:space="preserve"> </w:t>
      </w:r>
      <w:r>
        <w:rPr>
          <w:iCs/>
          <w:i/>
        </w:rPr>
        <w:t xml:space="preserve">Am J Psychiatry</w:t>
      </w:r>
      <w:r>
        <w:t xml:space="preserve"> </w:t>
      </w:r>
      <w:r>
        <w:t xml:space="preserve">· Oral Semaglutide for Alcohol Use Disorder: A Randomized Clinical Trial. PMID 42522065</w:t>
      </w:r>
    </w:p>
    <w:p>
      <w:pPr>
        <w:numPr>
          <w:ilvl w:val="0"/>
          <w:numId w:val="1379"/>
        </w:numPr>
        <w:pStyle w:val="Compact"/>
      </w:pPr>
      <w:r>
        <w:t xml:space="preserve">2026 · Lake JE ·</w:t>
      </w:r>
      <w:r>
        <w:t xml:space="preserve"> </w:t>
      </w:r>
      <w:r>
        <w:rPr>
          <w:iCs/>
          <w:i/>
        </w:rPr>
        <w:t xml:space="preserve">HIV Med</w:t>
      </w:r>
      <w:r>
        <w:t xml:space="preserve"> </w:t>
      </w:r>
      <w:r>
        <w:t xml:space="preserve">· Semaglutide improves MASLD and MASH in people with HIV: The SLIM LIVER study. PMID 42517548</w:t>
      </w:r>
    </w:p>
    <w:p>
      <w:pPr>
        <w:numPr>
          <w:ilvl w:val="0"/>
          <w:numId w:val="1379"/>
        </w:numPr>
        <w:pStyle w:val="Compact"/>
      </w:pPr>
      <w:r>
        <w:t xml:space="preserve">2026 · Rodbard HW ·</w:t>
      </w:r>
      <w:r>
        <w:t xml:space="preserve"> </w:t>
      </w:r>
      <w:r>
        <w:rPr>
          <w:iCs/>
          <w:i/>
        </w:rPr>
        <w:t xml:space="preserve">Diabetes Obes Metab</w:t>
      </w:r>
      <w:r>
        <w:t xml:space="preserve"> </w:t>
      </w:r>
      <w:r>
        <w:t xml:space="preserve">· Efficacy and Safety of Once-Weekly Semaglutide 2.0 mg as an Add-On to Dose-Reduced Insulin Glargine versus Dose-Titrated Insulin Glargine in People With Type 2 Diabetes and Overweight (SUSTAIN OPTIMIZE). PMID 42504064</w:t>
      </w:r>
    </w:p>
    <w:p>
      <w:pPr>
        <w:numPr>
          <w:ilvl w:val="0"/>
          <w:numId w:val="1379"/>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79"/>
        </w:numPr>
        <w:pStyle w:val="Compact"/>
      </w:pPr>
      <w:r>
        <w:t xml:space="preserve">2026 · Timmons JG ·</w:t>
      </w:r>
      <w:r>
        <w:t xml:space="preserve"> </w:t>
      </w:r>
      <w:r>
        <w:rPr>
          <w:iCs/>
          <w:i/>
        </w:rPr>
        <w:t xml:space="preserve">Diabetes Obes Metab</w:t>
      </w:r>
      <w:r>
        <w:t xml:space="preserve"> </w:t>
      </w:r>
      <w:r>
        <w:t xml:space="preserve">· Insulin, Semaglutide and Dapagliflozin in Adults With Type 1 Diabetes: Design and Methods of Triple Therapy for Type 1 Diabetes (TTT1)-An International Phase 3 Clinical Trial. PMID 42473259</w:t>
      </w:r>
    </w:p>
    <w:p>
      <w:pPr>
        <w:numPr>
          <w:ilvl w:val="0"/>
          <w:numId w:val="1379"/>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79"/>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79"/>
        </w:numPr>
        <w:pStyle w:val="Compact"/>
      </w:pPr>
      <w:r>
        <w:t xml:space="preserve">2026 · Rahman E ·</w:t>
      </w:r>
      <w:r>
        <w:t xml:space="preserve"> </w:t>
      </w:r>
      <w:r>
        <w:rPr>
          <w:iCs/>
          <w:i/>
        </w:rPr>
        <w:t xml:space="preserve">Aesthetic Plast Surg</w:t>
      </w:r>
      <w:r>
        <w:t xml:space="preserve"> </w:t>
      </w:r>
      <w:r>
        <w:t xml:space="preserve">· Computational Trial of Prophylactic Biostimulator Interventions to Mitigate Facial Sagging Associated With GLP-1 Receptor Agonist Induced Weight Loss. PMID 42414642</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Once-Weekly for Weight Management in Adults: Results From A Randomized Phase III, Active-Controlled Study. PMID 42403263</w:t>
      </w:r>
    </w:p>
    <w:p>
      <w:pPr>
        <w:numPr>
          <w:ilvl w:val="0"/>
          <w:numId w:val="1379"/>
        </w:numPr>
        <w:pStyle w:val="Compact"/>
      </w:pPr>
      <w:r>
        <w:t xml:space="preserve">2026 · Strojek K ·</w:t>
      </w:r>
      <w:r>
        <w:t xml:space="preserve"> </w:t>
      </w:r>
      <w:r>
        <w:rPr>
          <w:iCs/>
          <w:i/>
        </w:rPr>
        <w:t xml:space="preserve">Diabetes Obes Metab</w:t>
      </w:r>
      <w:r>
        <w:t xml:space="preserve"> </w:t>
      </w:r>
      <w:r>
        <w:t xml:space="preserve">· Efficacy and Safety of Intensifying Once-Weekly Insulin Icodec Treatment With Once-Weekly Semaglutide in Adults With Type 2 Diabetes: A Single-Arm, Open-Label, Treat-to-Target, Phase 3b Trial (ONWARDS 8). PMID 42387310</w:t>
      </w:r>
    </w:p>
    <w:p>
      <w:pPr>
        <w:numPr>
          <w:ilvl w:val="0"/>
          <w:numId w:val="1379"/>
        </w:numPr>
        <w:pStyle w:val="Compact"/>
      </w:pPr>
      <w:r>
        <w:t xml:space="preserve">2026 · Liu M ·</w:t>
      </w:r>
      <w:r>
        <w:t xml:space="preserve"> </w:t>
      </w:r>
      <w:r>
        <w:rPr>
          <w:iCs/>
          <w:i/>
        </w:rPr>
        <w:t xml:space="preserve">Ann Intern Med</w:t>
      </w:r>
      <w:r>
        <w:t xml:space="preserve"> </w:t>
      </w:r>
      <w:r>
        <w:t xml:space="preserve">· Weekly and Biweekly Treatment With Bofanglutide Versus Semaglutide in Chinese Patients With Type 2 Diabetes : A Phase 2b Randomized Clinical Trial. PMID 42372276</w:t>
      </w:r>
    </w:p>
    <w:p>
      <w:pPr>
        <w:numPr>
          <w:ilvl w:val="0"/>
          <w:numId w:val="137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79"/>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79"/>
        </w:numPr>
        <w:pStyle w:val="Compact"/>
      </w:pPr>
      <w:r>
        <w:t xml:space="preserve">2026 · Tronieri JS ·</w:t>
      </w:r>
      <w:r>
        <w:t xml:space="preserve"> </w:t>
      </w:r>
      <w:r>
        <w:rPr>
          <w:iCs/>
          <w:i/>
        </w:rPr>
        <w:t xml:space="preserve">Am J Clin Nutr</w:t>
      </w:r>
      <w:r>
        <w:t xml:space="preserve"> </w:t>
      </w:r>
      <w:r>
        <w:t xml:space="preserve">· Short- and long-term effects of semaglutide 2.4 mg on energy intake, appetite, and food reward: a 60-week, double-blind randomized controlled trial. PMID 42323166</w:t>
      </w:r>
    </w:p>
    <w:p>
      <w:pPr>
        <w:numPr>
          <w:ilvl w:val="0"/>
          <w:numId w:val="1379"/>
        </w:numPr>
        <w:pStyle w:val="Compact"/>
      </w:pPr>
      <w:r>
        <w:t xml:space="preserve">2026 · Rahman E ·</w:t>
      </w:r>
      <w:r>
        <w:t xml:space="preserve"> </w:t>
      </w:r>
      <w:r>
        <w:rPr>
          <w:iCs/>
          <w:i/>
        </w:rPr>
        <w:t xml:space="preserve">Aesthetic Plast Surg</w:t>
      </w:r>
      <w:r>
        <w:t xml:space="preserve"> </w:t>
      </w:r>
      <w:r>
        <w:t xml:space="preserve">· A Computational Trial of Dermal Mechanotransduction in GLP-1 Receptor Agonist-Associated Premature Facial Ageing. PMID 42310090</w:t>
      </w:r>
    </w:p>
    <w:p>
      <w:pPr>
        <w:numPr>
          <w:ilvl w:val="0"/>
          <w:numId w:val="1379"/>
        </w:numPr>
        <w:pStyle w:val="Compact"/>
      </w:pPr>
      <w:r>
        <w:t xml:space="preserve">2026 · Heerspink HJL ·</w:t>
      </w:r>
      <w:r>
        <w:t xml:space="preserve"> </w:t>
      </w:r>
      <w:r>
        <w:rPr>
          <w:iCs/>
          <w:i/>
        </w:rPr>
        <w:t xml:space="preserve">Clin J Am Soc Nephrol</w:t>
      </w:r>
      <w:r>
        <w:t xml:space="preserve"> </w:t>
      </w:r>
      <w:r>
        <w:t xml:space="preserve">· Effects of Semaglutide on Body Composition and GFR: A Prespecified Analysis of the SMART Trial. PMID 42308057</w:t>
      </w:r>
    </w:p>
    <w:p>
      <w:pPr>
        <w:numPr>
          <w:ilvl w:val="0"/>
          <w:numId w:val="1379"/>
        </w:numPr>
        <w:pStyle w:val="Compact"/>
      </w:pPr>
      <w:r>
        <w:t xml:space="preserve">2026 · Aroda VR ·</w:t>
      </w:r>
      <w:r>
        <w:t xml:space="preserve"> </w:t>
      </w:r>
      <w:r>
        <w:rPr>
          <w:iCs/>
          <w:i/>
        </w:rPr>
        <w:t xml:space="preserve">Lancet</w:t>
      </w:r>
      <w:r>
        <w:t xml:space="preserve"> </w:t>
      </w:r>
      <w:r>
        <w:t xml:space="preserve">· Elecoglipron, an oral small molecule GLP-1 receptor agonist in adults with type 2 diabetes (SOLSTICE): a multicentre, phase 2b, randomised, placebo-controlled trial. PMID 42259343</w:t>
      </w:r>
    </w:p>
    <w:p>
      <w:pPr>
        <w:numPr>
          <w:ilvl w:val="0"/>
          <w:numId w:val="1379"/>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79"/>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79"/>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79"/>
        </w:numPr>
        <w:pStyle w:val="Compact"/>
      </w:pPr>
      <w:r>
        <w:t xml:space="preserve">2026 · Tuttle KR ·</w:t>
      </w:r>
      <w:r>
        <w:t xml:space="preserve"> </w:t>
      </w:r>
      <w:r>
        <w:rPr>
          <w:iCs/>
          <w:i/>
        </w:rPr>
        <w:t xml:space="preserve">J Am Coll Cardiol</w:t>
      </w:r>
      <w:r>
        <w:t xml:space="preserve"> </w:t>
      </w:r>
      <w:r>
        <w:t xml:space="preserve">· Kidney and Survival Benefits of Semaglutide in Diabetes With Chronic Kidney Disease: FLOW Trial Cardiovascular Subgroup Analyses. PMID 42233552</w:t>
      </w:r>
    </w:p>
    <w:p>
      <w:pPr>
        <w:numPr>
          <w:ilvl w:val="0"/>
          <w:numId w:val="1379"/>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79"/>
        </w:numPr>
        <w:pStyle w:val="Compact"/>
      </w:pPr>
      <w:r>
        <w:t xml:space="preserve">2026 · Plotkin M ·</w:t>
      </w:r>
      <w:r>
        <w:t xml:space="preserve"> </w:t>
      </w:r>
      <w:r>
        <w:rPr>
          <w:iCs/>
          <w:i/>
        </w:rPr>
        <w:t xml:space="preserve">Diabetes Obes Metab</w:t>
      </w:r>
      <w:r>
        <w:t xml:space="preserve"> </w:t>
      </w:r>
      <w:r>
        <w:t xml:space="preserve">· Semaglutide 25 mg Oral Versus Semaglutide 2.4 mg Injectable: An Indirect Treatment Comparison of Weight Loss Outcomes. PMID 42225300</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in Indian Patients With Type 2 Diabetes Mellitus: A Randomised, Phase III, Active-Controlled Study. PMID 42219226</w:t>
      </w:r>
    </w:p>
    <w:p>
      <w:pPr>
        <w:numPr>
          <w:ilvl w:val="0"/>
          <w:numId w:val="1379"/>
        </w:numPr>
        <w:pStyle w:val="Compact"/>
      </w:pPr>
      <w:r>
        <w:t xml:space="preserve">2026 · Jin P ·</w:t>
      </w:r>
      <w:r>
        <w:t xml:space="preserve"> </w:t>
      </w:r>
      <w:r>
        <w:rPr>
          <w:iCs/>
          <w:i/>
        </w:rPr>
        <w:t xml:space="preserve">Diabetes Obes Metab</w:t>
      </w:r>
      <w:r>
        <w:t xml:space="preserve"> </w:t>
      </w:r>
      <w:r>
        <w:t xml:space="preserve">· Evaluation of the Safety, Efficacy and Pharmacokinetics of BGM0504 in Chinese Adults With Type 2 Diabetes: A Multicentre, Randomised, Controlled and Double-Blind Phase II Trial. PMID 42219225</w:t>
      </w:r>
    </w:p>
    <w:p>
      <w:pPr>
        <w:numPr>
          <w:ilvl w:val="0"/>
          <w:numId w:val="1379"/>
        </w:numPr>
        <w:pStyle w:val="Compact"/>
      </w:pPr>
      <w:r>
        <w:t xml:space="preserve">2026 · Hendershot CS ·</w:t>
      </w:r>
      <w:r>
        <w:t xml:space="preserve"> </w:t>
      </w:r>
      <w:r>
        <w:rPr>
          <w:iCs/>
          <w:i/>
        </w:rPr>
        <w:t xml:space="preserve">JAMA Netw Open</w:t>
      </w:r>
      <w:r>
        <w:t xml:space="preserve"> </w:t>
      </w:r>
      <w:r>
        <w:t xml:space="preserve">· Once-Weekly Semaglutide in Adults With Daily Cigarette Use: A Randomized Clinical Trial. PMID 42189538</w:t>
      </w:r>
    </w:p>
    <w:p>
      <w:pPr>
        <w:numPr>
          <w:ilvl w:val="0"/>
          <w:numId w:val="1379"/>
        </w:numPr>
        <w:pStyle w:val="Compact"/>
      </w:pPr>
      <w:r>
        <w:t xml:space="preserve">2026 · Stanley C ·</w:t>
      </w:r>
      <w:r>
        <w:t xml:space="preserve"> </w:t>
      </w:r>
      <w:r>
        <w:rPr>
          <w:iCs/>
          <w:i/>
        </w:rPr>
        <w:t xml:space="preserve">Nat Med</w:t>
      </w:r>
      <w:r>
        <w:t xml:space="preserve"> </w:t>
      </w:r>
      <w:r>
        <w:t xml:space="preserve">· Semaglutide versus placebo in individuals with poor weight loss after bariatric surgery: a double-blinded, randomized, placebo-controlled trial. PMID 42174253</w:t>
      </w:r>
    </w:p>
    <w:p>
      <w:pPr>
        <w:numPr>
          <w:ilvl w:val="0"/>
          <w:numId w:val="1379"/>
        </w:numPr>
        <w:pStyle w:val="Compact"/>
      </w:pPr>
      <w:r>
        <w:t xml:space="preserve">2026 · Huang YS ·</w:t>
      </w:r>
      <w:r>
        <w:t xml:space="preserve"> </w:t>
      </w:r>
      <w:r>
        <w:rPr>
          <w:iCs/>
          <w:i/>
        </w:rPr>
        <w:t xml:space="preserve">Obes Surg</w:t>
      </w:r>
      <w:r>
        <w:t xml:space="preserve"> </w:t>
      </w:r>
      <w:r>
        <w:t xml:space="preserve">· Early Adjuvant Treatment with Semaglutide After Sleeve Gastrectomy in Patients with Class II-III Obesity: A Prospective Non-Randomized Controlled Study. PMID 42174244</w:t>
      </w:r>
    </w:p>
    <w:p>
      <w:pPr>
        <w:numPr>
          <w:ilvl w:val="0"/>
          <w:numId w:val="1379"/>
        </w:numPr>
        <w:pStyle w:val="Compact"/>
      </w:pPr>
      <w:r>
        <w:t xml:space="preserve">2026 · Helsted MM ·</w:t>
      </w:r>
      <w:r>
        <w:t xml:space="preserve"> </w:t>
      </w:r>
      <w:r>
        <w:rPr>
          <w:iCs/>
          <w:i/>
        </w:rPr>
        <w:t xml:space="preserve">Lancet Diabetes Endocrinol</w:t>
      </w:r>
      <w:r>
        <w:t xml:space="preserve"> </w:t>
      </w:r>
      <w:r>
        <w:t xml:space="preserve">· Effects of a 6-week subcutaneous infusion of native GIP alone or as add-on to semaglutide in people with type 2 diabetes: a single-centre, double-blind, parallel-group, randomised, placebo-controlled trial. PMID 42173109</w:t>
      </w:r>
    </w:p>
    <w:p>
      <w:pPr>
        <w:numPr>
          <w:ilvl w:val="0"/>
          <w:numId w:val="1379"/>
        </w:numPr>
        <w:pStyle w:val="Compact"/>
      </w:pPr>
      <w:r>
        <w:t xml:space="preserve">2026 · Long W ·</w:t>
      </w:r>
      <w:r>
        <w:t xml:space="preserve"> </w:t>
      </w:r>
      <w:r>
        <w:rPr>
          <w:iCs/>
          <w:i/>
        </w:rPr>
        <w:t xml:space="preserve">Pak J Pharm Sci</w:t>
      </w:r>
      <w:r>
        <w:t xml:space="preserve"> </w:t>
      </w:r>
      <w:r>
        <w:t xml:space="preserve">· Short-term comparative effects of semaglutide, either alone or in conjunction with canagliflozin, on early diabetic kidney disease. PMID 42170981</w:t>
      </w:r>
    </w:p>
    <w:p>
      <w:pPr>
        <w:numPr>
          <w:ilvl w:val="0"/>
          <w:numId w:val="1379"/>
        </w:numPr>
        <w:pStyle w:val="Compact"/>
      </w:pPr>
      <w:r>
        <w:t xml:space="preserve">2026 · Corley MJ ·</w:t>
      </w:r>
      <w:r>
        <w:t xml:space="preserve"> </w:t>
      </w:r>
      <w:r>
        <w:rPr>
          <w:iCs/>
          <w:i/>
        </w:rPr>
        <w:t xml:space="preserve">Nat Commun</w:t>
      </w:r>
      <w:r>
        <w:t xml:space="preserve"> </w:t>
      </w:r>
      <w:r>
        <w:t xml:space="preserve">· Semaglutide slows epigenetic aging in a randomized trial of HIV-associated lipohypertrophy. PMID 42156721</w:t>
      </w:r>
    </w:p>
    <w:p>
      <w:pPr>
        <w:numPr>
          <w:ilvl w:val="0"/>
          <w:numId w:val="137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79"/>
        </w:numPr>
        <w:pStyle w:val="Compact"/>
      </w:pPr>
      <w:r>
        <w:t xml:space="preserve">2026 · Lake JE ·</w:t>
      </w:r>
      <w:r>
        <w:t xml:space="preserve"> </w:t>
      </w:r>
      <w:r>
        <w:rPr>
          <w:iCs/>
          <w:i/>
        </w:rPr>
        <w:t xml:space="preserve">AIDS</w:t>
      </w:r>
      <w:r>
        <w:t xml:space="preserve"> </w:t>
      </w:r>
      <w:r>
        <w:t xml:space="preserve">· Semaglutide improves markers of cardiovascular risk in people with HIV. PMID 42084141</w:t>
      </w:r>
    </w:p>
    <w:p>
      <w:pPr>
        <w:numPr>
          <w:ilvl w:val="0"/>
          <w:numId w:val="1379"/>
        </w:numPr>
        <w:pStyle w:val="Compact"/>
      </w:pPr>
      <w:r>
        <w:t xml:space="preserve">2026 · Klausen MK ·</w:t>
      </w:r>
      <w:r>
        <w:t xml:space="preserve"> </w:t>
      </w:r>
      <w:r>
        <w:rPr>
          <w:iCs/>
          <w:i/>
        </w:rPr>
        <w:t xml:space="preserve">Lancet</w:t>
      </w:r>
      <w:r>
        <w:t xml:space="preserve"> </w:t>
      </w:r>
      <w:r>
        <w:t xml:space="preserve">· Once-weekly semaglutide versus placebo in patients with alcohol use disorder and comorbid obesity: a randomised, double-blind, placebo-controlled trial. PMID 42070571</w:t>
      </w:r>
    </w:p>
    <w:p>
      <w:pPr>
        <w:numPr>
          <w:ilvl w:val="0"/>
          <w:numId w:val="1379"/>
        </w:numPr>
        <w:pStyle w:val="Compact"/>
      </w:pPr>
      <w:r>
        <w:t xml:space="preserve">2026 · Gill H ·</w:t>
      </w:r>
      <w:r>
        <w:t xml:space="preserve"> </w:t>
      </w:r>
      <w:r>
        <w:rPr>
          <w:iCs/>
          <w:i/>
        </w:rPr>
        <w:t xml:space="preserve">JAMA Psychiatry</w:t>
      </w:r>
      <w:r>
        <w:t xml:space="preserve"> </w:t>
      </w:r>
      <w:r>
        <w:t xml:space="preserve">· Semaglutide and Effort-Based Decision-Making in Major Depressive Disorder: A Randomized Clinical Trial. PMID 42054055</w:t>
      </w:r>
    </w:p>
    <w:p>
      <w:pPr>
        <w:numPr>
          <w:ilvl w:val="0"/>
          <w:numId w:val="1379"/>
        </w:numPr>
        <w:pStyle w:val="Compact"/>
      </w:pPr>
      <w:r>
        <w:t xml:space="preserve">2026 · Cronenberger C ·</w:t>
      </w:r>
      <w:r>
        <w:t xml:space="preserve"> </w:t>
      </w:r>
      <w:r>
        <w:rPr>
          <w:iCs/>
          <w:i/>
        </w:rPr>
        <w:t xml:space="preserve">J Clin Pharmacol</w:t>
      </w:r>
      <w:r>
        <w:t xml:space="preserve"> </w:t>
      </w:r>
      <w:r>
        <w:t xml:space="preserve">· Assessment of the Drug-Drug Interaction Potential of Lotiglipron (PF-07081532) with Midazolam, Omeprazole, Dabigatran, Rosuvastatin, and the Oral Contraceptives Levonorgestrel and Ethinyl Estradiol. PMID 42053447</w:t>
      </w:r>
    </w:p>
    <w:p>
      <w:pPr>
        <w:numPr>
          <w:ilvl w:val="0"/>
          <w:numId w:val="1379"/>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79"/>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79"/>
        </w:numPr>
        <w:pStyle w:val="Compact"/>
      </w:pPr>
      <w:r>
        <w:t xml:space="preserve">2026 · Zaccardi F ·</w:t>
      </w:r>
      <w:r>
        <w:t xml:space="preserve"> </w:t>
      </w:r>
      <w:r>
        <w:rPr>
          <w:iCs/>
          <w:i/>
        </w:rPr>
        <w:t xml:space="preserve">Diabetes Obes Metab</w:t>
      </w:r>
      <w:r>
        <w:t xml:space="preserve"> </w:t>
      </w:r>
      <w:r>
        <w:t xml:space="preserve">· Semaglutide Treatment in Young Adults Living With Type 2 Diabetes: A Post Hoc Analysis From the SUSTAIN and PIONEER Clinical Trials. PMID 41994903</w:t>
      </w:r>
    </w:p>
    <w:p>
      <w:pPr>
        <w:numPr>
          <w:ilvl w:val="0"/>
          <w:numId w:val="1379"/>
        </w:numPr>
        <w:pStyle w:val="Compact"/>
      </w:pPr>
      <w:r>
        <w:t xml:space="preserve">2026 · Meyhöfer SM ·</w:t>
      </w:r>
      <w:r>
        <w:t xml:space="preserve"> </w:t>
      </w:r>
      <w:r>
        <w:rPr>
          <w:iCs/>
          <w:i/>
        </w:rPr>
        <w:t xml:space="preserve">Nat Med</w:t>
      </w:r>
      <w:r>
        <w:t xml:space="preserve"> </w:t>
      </w:r>
      <w:r>
        <w:t xml:space="preserve">· Semaglutide on liver fibrosis and heart outcomes in patients at high risk of liver fibrosis: a prespecified analysis of the SELECT randomized trial. PMID 41928037</w:t>
      </w:r>
    </w:p>
    <w:p>
      <w:pPr>
        <w:numPr>
          <w:ilvl w:val="0"/>
          <w:numId w:val="1379"/>
        </w:numPr>
        <w:pStyle w:val="Compact"/>
      </w:pPr>
      <w:r>
        <w:t xml:space="preserve">2026 · Moreno-Pérez Ó ·</w:t>
      </w:r>
      <w:r>
        <w:t xml:space="preserve"> </w:t>
      </w:r>
      <w:r>
        <w:rPr>
          <w:iCs/>
          <w:i/>
        </w:rPr>
        <w:t xml:space="preserve">Cardiovasc Diabetol</w:t>
      </w:r>
      <w:r>
        <w:t xml:space="preserve"> </w:t>
      </w:r>
      <w:r>
        <w:t xml:space="preserve">· Inpatient safety, effectiveness of SGLT2 inhibitors and GLP-1 RAs in type 2 diabetes: ENDOCARE, a pragmatic prospective cohort study. PMID 41913157</w:t>
      </w:r>
    </w:p>
    <w:p>
      <w:pPr>
        <w:numPr>
          <w:ilvl w:val="0"/>
          <w:numId w:val="1379"/>
        </w:numPr>
        <w:pStyle w:val="Compact"/>
      </w:pPr>
      <w:r>
        <w:t xml:space="preserve">2026 · Mulvagh SL ·</w:t>
      </w:r>
      <w:r>
        <w:t xml:space="preserve"> </w:t>
      </w:r>
      <w:r>
        <w:rPr>
          <w:iCs/>
          <w:i/>
        </w:rPr>
        <w:t xml:space="preserve">JAMA Cardiol</w:t>
      </w:r>
      <w:r>
        <w:t xml:space="preserve"> </w:t>
      </w:r>
      <w:r>
        <w:t xml:space="preserve">· Oral Semaglutide and Change in Cardiovascular Risk Factors in High-Risk Type 2 Diabetes: A Post Hoc Secondary Analysis of the SOUL Randomized Clinical Trial. PMID 41879791</w:t>
      </w:r>
    </w:p>
    <w:p>
      <w:pPr>
        <w:numPr>
          <w:ilvl w:val="0"/>
          <w:numId w:val="1379"/>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79"/>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79"/>
        </w:numPr>
        <w:pStyle w:val="Compact"/>
      </w:pPr>
      <w:r>
        <w:t xml:space="preserve">2026 · Cummings JL ·</w:t>
      </w:r>
      <w:r>
        <w:t xml:space="preserve"> </w:t>
      </w:r>
      <w:r>
        <w:rPr>
          <w:iCs/>
          <w:i/>
        </w:rPr>
        <w:t xml:space="preserve">Lancet</w:t>
      </w:r>
      <w:r>
        <w:t xml:space="preserve"> </w:t>
      </w:r>
      <w:r>
        <w:t xml:space="preserve">· Efficacy and safety of oral semaglutide 14 mg (flexible dose) in early-stage symptomatic Alzheimer’s disease (evoke and evoke+): two phase 3, randomised, placebo-controlled trials. PMID 41865758</w:t>
      </w:r>
    </w:p>
    <w:p>
      <w:pPr>
        <w:numPr>
          <w:ilvl w:val="0"/>
          <w:numId w:val="1379"/>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9"/>
        </w:numPr>
        <w:pStyle w:val="Compact"/>
      </w:pPr>
      <w:r>
        <w:t xml:space="preserve">2026 · Schrage B ·</w:t>
      </w:r>
      <w:r>
        <w:t xml:space="preserve"> </w:t>
      </w:r>
      <w:r>
        <w:rPr>
          <w:iCs/>
          <w:i/>
        </w:rPr>
        <w:t xml:space="preserve">J Am Coll Cardiol</w:t>
      </w:r>
      <w:r>
        <w:t xml:space="preserve"> </w:t>
      </w:r>
      <w:r>
        <w:t xml:space="preserve">· Emulated Effects of Glucagon-Like Peptide 1 Receptor Agonist Therapy in the General Population. PMID 41811277</w:t>
      </w:r>
    </w:p>
    <w:p>
      <w:pPr>
        <w:numPr>
          <w:ilvl w:val="0"/>
          <w:numId w:val="1379"/>
        </w:numPr>
        <w:pStyle w:val="Compact"/>
      </w:pPr>
      <w:r>
        <w:t xml:space="preserve">2026 · Ganeshalingam AA ·</w:t>
      </w:r>
      <w:r>
        <w:t xml:space="preserve"> </w:t>
      </w:r>
      <w:r>
        <w:rPr>
          <w:iCs/>
          <w:i/>
        </w:rPr>
        <w:t xml:space="preserve">Diabetes Care</w:t>
      </w:r>
      <w:r>
        <w:t xml:space="preserve"> </w:t>
      </w:r>
      <w:r>
        <w:t xml:space="preserve">· Semaglutide Effects on Insulin Sensitivity and β-Cell Function in Patients With Schizophrenia, Prediabetes, and Obesity Treated With Second-Generation Antipsychotics: Findings From the HISTORI Trial, a 30-Week Randomized, Placebo-Controlled Trial With Semaglutide 1.0 mg Weekly. PMID 41778920</w:t>
      </w:r>
    </w:p>
    <w:p>
      <w:pPr>
        <w:numPr>
          <w:ilvl w:val="0"/>
          <w:numId w:val="1379"/>
        </w:numPr>
        <w:pStyle w:val="Compact"/>
      </w:pPr>
      <w:r>
        <w:t xml:space="preserve">2026 · Heymsfield SB ·</w:t>
      </w:r>
      <w:r>
        <w:t xml:space="preserve"> </w:t>
      </w:r>
      <w:r>
        <w:rPr>
          <w:iCs/>
          <w:i/>
        </w:rPr>
        <w:t xml:space="preserve">Nat Med</w:t>
      </w:r>
      <w:r>
        <w:t xml:space="preserve"> </w:t>
      </w:r>
      <w:r>
        <w:t xml:space="preserve">· Bimagrumab plus semaglutide alone or in combination for the treatment of obesity: a randomized phase 2 trial. PMID 41772149</w:t>
      </w:r>
    </w:p>
    <w:p>
      <w:pPr>
        <w:numPr>
          <w:ilvl w:val="0"/>
          <w:numId w:val="137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79"/>
        </w:numPr>
        <w:pStyle w:val="Compact"/>
      </w:pPr>
      <w:r>
        <w:t xml:space="preserve">2026 · Rayner B ·</w:t>
      </w:r>
      <w:r>
        <w:t xml:space="preserve"> </w:t>
      </w:r>
      <w:r>
        <w:rPr>
          <w:iCs/>
          <w:i/>
        </w:rPr>
        <w:t xml:space="preserve">Nephrol Dial Transplant</w:t>
      </w:r>
      <w:r>
        <w:t xml:space="preserve"> </w:t>
      </w:r>
      <w:r>
        <w:t xml:space="preserve">· Effect of semaglutide on COVID-19 and other infections: an analysis from the FLOW randomized clinical trial. PMID 41728915</w:t>
      </w:r>
    </w:p>
    <w:p>
      <w:pPr>
        <w:numPr>
          <w:ilvl w:val="0"/>
          <w:numId w:val="1379"/>
        </w:numPr>
        <w:pStyle w:val="Compact"/>
      </w:pPr>
      <w:r>
        <w:t xml:space="preserve">2026 · Uhrenholt N ·</w:t>
      </w:r>
      <w:r>
        <w:t xml:space="preserve"> </w:t>
      </w:r>
      <w:r>
        <w:rPr>
          <w:iCs/>
          <w:i/>
        </w:rPr>
        <w:t xml:space="preserve">Schizophr Res</w:t>
      </w:r>
      <w:r>
        <w:t xml:space="preserve"> </w:t>
      </w:r>
      <w:r>
        <w:t xml:space="preserve">· Improved quality of life with semaglutide in schizophrenia: Secondary analyses from a randomized controlled trial. PMID 41702353</w:t>
      </w:r>
    </w:p>
    <w:p>
      <w:pPr>
        <w:numPr>
          <w:ilvl w:val="0"/>
          <w:numId w:val="1379"/>
        </w:numPr>
        <w:pStyle w:val="Compact"/>
      </w:pPr>
      <w:r>
        <w:t xml:space="preserve">2026 · Pop-Busui R ·</w:t>
      </w:r>
      <w:r>
        <w:t xml:space="preserve"> </w:t>
      </w:r>
      <w:r>
        <w:rPr>
          <w:iCs/>
          <w:i/>
        </w:rPr>
        <w:t xml:space="preserve">JAMA Intern Med</w:t>
      </w:r>
      <w:r>
        <w:t xml:space="preserve"> </w:t>
      </w:r>
      <w:r>
        <w:t xml:space="preserve">· Oral Semaglutide and Heart Failure Outcomes in Persons With Type 2 Diabetes: A Secondary Analysis of the SOUL Randomized Clinical Trial. PMID 41627802</w:t>
      </w:r>
    </w:p>
    <w:p>
      <w:pPr>
        <w:numPr>
          <w:ilvl w:val="0"/>
          <w:numId w:val="1379"/>
        </w:numPr>
        <w:pStyle w:val="Compact"/>
      </w:pPr>
      <w:r>
        <w:t xml:space="preserve">2026 · Yen Y ·</w:t>
      </w:r>
      <w:r>
        <w:t xml:space="preserve"> </w:t>
      </w:r>
      <w:r>
        <w:rPr>
          <w:iCs/>
          <w:i/>
        </w:rPr>
        <w:t xml:space="preserve">BMC Med</w:t>
      </w:r>
      <w:r>
        <w:t xml:space="preserve"> </w:t>
      </w:r>
      <w:r>
        <w:t xml:space="preserve">· Comparative effectiveness of sleeve gastrectomy and semaglutide for weight loss and metabolic outcomes: a prospective non-randomized study. PMID 41572274</w:t>
      </w:r>
    </w:p>
    <w:p>
      <w:pPr>
        <w:numPr>
          <w:ilvl w:val="0"/>
          <w:numId w:val="1379"/>
        </w:numPr>
        <w:pStyle w:val="Compact"/>
      </w:pPr>
      <w:r>
        <w:t xml:space="preserve">2026 · Bøg M ·</w:t>
      </w:r>
      <w:r>
        <w:t xml:space="preserve"> </w:t>
      </w:r>
      <w:r>
        <w:rPr>
          <w:iCs/>
          <w:i/>
        </w:rPr>
        <w:t xml:space="preserve">Pharmacoeconomics</w:t>
      </w:r>
      <w:r>
        <w:t xml:space="preserve"> </w:t>
      </w:r>
      <w:r>
        <w:t xml:space="preserve">· Development of Cardiovascular Risk Equations in People with Overweight or Obesity and Established Cardiovascular Disease Without Diabetes Based on the SELECT Trial. PMID 41553702</w:t>
      </w:r>
    </w:p>
    <w:p>
      <w:pPr>
        <w:numPr>
          <w:ilvl w:val="0"/>
          <w:numId w:val="1379"/>
        </w:numPr>
        <w:pStyle w:val="Compact"/>
      </w:pPr>
      <w:r>
        <w:t xml:space="preserve">2026 · Ajmera V ·</w:t>
      </w:r>
      <w:r>
        <w:t xml:space="preserve"> </w:t>
      </w:r>
      <w:r>
        <w:rPr>
          <w:iCs/>
          <w:i/>
        </w:rPr>
        <w:t xml:space="preserve">Aliment Pharmacol Ther</w:t>
      </w:r>
      <w:r>
        <w:t xml:space="preserve"> </w:t>
      </w:r>
      <w:r>
        <w:t xml:space="preserve">· Clinical Trial: Semaglutide Versus Placebo in NIT-Assessed MASH-A Multicenter Randomised Placebo-Controlled Trial (SAMARA). PMID 41527269</w:t>
      </w:r>
    </w:p>
    <w:p>
      <w:pPr>
        <w:numPr>
          <w:ilvl w:val="0"/>
          <w:numId w:val="1379"/>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9"/>
        </w:numPr>
        <w:pStyle w:val="Compact"/>
      </w:pPr>
      <w:r>
        <w:t xml:space="preserve">2026 · Ferrulli A ·</w:t>
      </w:r>
      <w:r>
        <w:t xml:space="preserve"> </w:t>
      </w:r>
      <w:r>
        <w:rPr>
          <w:iCs/>
          <w:i/>
        </w:rPr>
        <w:t xml:space="preserve">Obesity (Silver Spring)</w:t>
      </w:r>
      <w:r>
        <w:t xml:space="preserve"> </w:t>
      </w:r>
      <w:r>
        <w:t xml:space="preserve">· Weight Loss With SGLT2 Inhibitors, Semaglutide, and Transcranial Magnetic Stimulation in Type 2 Diabetes and Obesity. PMID 41451880</w:t>
      </w:r>
    </w:p>
    <w:p>
      <w:pPr>
        <w:numPr>
          <w:ilvl w:val="0"/>
          <w:numId w:val="1379"/>
        </w:numPr>
        <w:pStyle w:val="Compact"/>
      </w:pPr>
      <w:r>
        <w:t xml:space="preserve">2026 · Nicholls SJ ·</w:t>
      </w:r>
      <w:r>
        <w:t xml:space="preserve"> </w:t>
      </w:r>
      <w:r>
        <w:rPr>
          <w:iCs/>
          <w:i/>
        </w:rPr>
        <w:t xml:space="preserve">JAMA Cardiol</w:t>
      </w:r>
      <w:r>
        <w:t xml:space="preserve"> </w:t>
      </w:r>
      <w:r>
        <w:t xml:space="preserve">· Semaglutide and Hospitalizations in Patients With Obesity and Established Cardiovascular Disease: An Exploratory Analysis of the SELECT Randomized Clinical Trial. PMID 41433034</w:t>
      </w:r>
    </w:p>
    <w:p>
      <w:pPr>
        <w:numPr>
          <w:ilvl w:val="0"/>
          <w:numId w:val="1379"/>
        </w:numPr>
        <w:pStyle w:val="Compact"/>
      </w:pPr>
      <w:r>
        <w:t xml:space="preserve">2026 · Karakus KE ·</w:t>
      </w:r>
      <w:r>
        <w:t xml:space="preserve"> </w:t>
      </w:r>
      <w:r>
        <w:rPr>
          <w:iCs/>
          <w:i/>
        </w:rPr>
        <w:t xml:space="preserve">Diabetes Care</w:t>
      </w:r>
      <w:r>
        <w:t xml:space="preserve"> </w:t>
      </w:r>
      <w:r>
        <w:t xml:space="preserve">· Effect of Semaglutide on Insulin Dose Reduction in Adults With Type 1 Diabetes and Obesity Using Automated Insulin Delivery Systems: ADJUST-T1D Post Hoc Analysis. PMID 41429002</w:t>
      </w:r>
    </w:p>
    <w:p>
      <w:pPr>
        <w:numPr>
          <w:ilvl w:val="0"/>
          <w:numId w:val="1379"/>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79"/>
        </w:numPr>
        <w:pStyle w:val="Compact"/>
      </w:pPr>
      <w:r>
        <w:t xml:space="preserve">2026 · Mann JFE ·</w:t>
      </w:r>
      <w:r>
        <w:t xml:space="preserve"> </w:t>
      </w:r>
      <w:r>
        <w:rPr>
          <w:iCs/>
          <w:i/>
        </w:rPr>
        <w:t xml:space="preserve">Diabetes Care</w:t>
      </w:r>
      <w:r>
        <w:t xml:space="preserve"> </w:t>
      </w:r>
      <w:r>
        <w:t xml:space="preserve">· Impact of Oral Semaglutide on Kidney Outcomes in People With Type 2 Diabetes: Results From the SOUL Randomized Trial. PMID 41380027</w:t>
      </w:r>
    </w:p>
    <w:p>
      <w:pPr>
        <w:numPr>
          <w:ilvl w:val="0"/>
          <w:numId w:val="1379"/>
        </w:numPr>
        <w:pStyle w:val="Compact"/>
      </w:pPr>
      <w:r>
        <w:t xml:space="preserve">2026 · Sass MR ·</w:t>
      </w:r>
      <w:r>
        <w:t xml:space="preserve"> </w:t>
      </w:r>
      <w:r>
        <w:rPr>
          <w:iCs/>
          <w:i/>
        </w:rPr>
        <w:t xml:space="preserve">JAMA Psychiatry</w:t>
      </w:r>
      <w:r>
        <w:t xml:space="preserve"> </w:t>
      </w:r>
      <w:r>
        <w:t xml:space="preserve">· Semaglutide and Early-Stage Metabolic Abnormalities in Individuals With Schizophrenia Spectrum Disorders: A Randomized Clinical Trial. PMID 41335431</w:t>
      </w:r>
    </w:p>
    <w:p>
      <w:pPr>
        <w:numPr>
          <w:ilvl w:val="0"/>
          <w:numId w:val="1379"/>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79"/>
        </w:numPr>
        <w:pStyle w:val="Compact"/>
      </w:pPr>
      <w:r>
        <w:t xml:space="preserve">2026 · Arslanian S ·</w:t>
      </w:r>
      <w:r>
        <w:t xml:space="preserve"> </w:t>
      </w:r>
      <w:r>
        <w:rPr>
          <w:iCs/>
          <w:i/>
        </w:rPr>
        <w:t xml:space="preserve">Diabetes Care</w:t>
      </w:r>
      <w:r>
        <w:t xml:space="preserve"> </w:t>
      </w:r>
      <w:r>
        <w:t xml:space="preserve">· Effect of Semaglutide on Insulin Sensitivity and Cardiometabolic Risk Factors in Adolescents With Obesity: The STEP TEENS Study. PMID 41296499</w:t>
      </w:r>
    </w:p>
    <w:p>
      <w:pPr>
        <w:numPr>
          <w:ilvl w:val="0"/>
          <w:numId w:val="1379"/>
        </w:numPr>
        <w:pStyle w:val="Compact"/>
      </w:pPr>
      <w:r>
        <w:t xml:space="preserve">2026 · Badulescu S ·</w:t>
      </w:r>
      <w:r>
        <w:t xml:space="preserve"> </w:t>
      </w:r>
      <w:r>
        <w:rPr>
          <w:iCs/>
          <w:i/>
        </w:rPr>
        <w:t xml:space="preserve">Med</w:t>
      </w:r>
      <w:r>
        <w:t xml:space="preserve"> </w:t>
      </w:r>
      <w:r>
        <w:t xml:space="preserve">· Semaglutide for the treatment of cognitive dysfunction in major depressive disorder: A randomized clinical trial. PMID 41218611</w:t>
      </w:r>
    </w:p>
    <w:p>
      <w:pPr>
        <w:numPr>
          <w:ilvl w:val="0"/>
          <w:numId w:val="1379"/>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79"/>
        </w:numPr>
        <w:pStyle w:val="Compact"/>
      </w:pPr>
      <w:r>
        <w:t xml:space="preserve">2026 · Pasqua MR ·</w:t>
      </w:r>
      <w:r>
        <w:t xml:space="preserve"> </w:t>
      </w:r>
      <w:r>
        <w:rPr>
          <w:iCs/>
          <w:i/>
        </w:rPr>
        <w:t xml:space="preserve">Can J Diabetes</w:t>
      </w:r>
      <w:r>
        <w:t xml:space="preserve"> </w:t>
      </w:r>
      <w:r>
        <w:t xml:space="preserve">· Semaglutide Use With Automated Insulin Delivery in Adults With Type 1 Diabetes: Qualitative Analyses and Patient-reported Outcomes From a Randomized Controlled Trial. PMID 41175929</w:t>
      </w:r>
    </w:p>
    <w:p>
      <w:pPr>
        <w:numPr>
          <w:ilvl w:val="0"/>
          <w:numId w:val="1379"/>
        </w:numPr>
        <w:pStyle w:val="Compact"/>
      </w:pPr>
      <w:r>
        <w:t xml:space="preserve">2026 · Pasqua MR ·</w:t>
      </w:r>
      <w:r>
        <w:t xml:space="preserve"> </w:t>
      </w:r>
      <w:r>
        <w:rPr>
          <w:iCs/>
          <w:i/>
        </w:rPr>
        <w:t xml:space="preserve">Diabetes Obes Metab</w:t>
      </w:r>
      <w:r>
        <w:t xml:space="preserve"> </w:t>
      </w:r>
      <w:r>
        <w:t xml:space="preserve">· Changes to insulin requirements over time with semaglutide in adults with type 1 diabetes on insulin pump therapy: A post-hoc analysis of a double-blinded, randomised, crossover trial. PMID 41144928</w:t>
      </w:r>
    </w:p>
    <w:p>
      <w:pPr>
        <w:numPr>
          <w:ilvl w:val="0"/>
          <w:numId w:val="1379"/>
        </w:numPr>
        <w:pStyle w:val="Compact"/>
      </w:pPr>
      <w:r>
        <w:t xml:space="preserve">2026 · Atieh O ·</w:t>
      </w:r>
      <w:r>
        <w:t xml:space="preserve"> </w:t>
      </w:r>
      <w:r>
        <w:rPr>
          <w:iCs/>
          <w:i/>
        </w:rPr>
        <w:t xml:space="preserve">Clin Infect Dis</w:t>
      </w:r>
      <w:r>
        <w:t xml:space="preserve"> </w:t>
      </w:r>
      <w:r>
        <w:t xml:space="preserve">· Effects of Semaglutide on Cognitive Function in People With HIV: A Randomized, Controlled Trial. PMID 41098140</w:t>
      </w:r>
    </w:p>
    <w:p>
      <w:pPr>
        <w:numPr>
          <w:ilvl w:val="0"/>
          <w:numId w:val="1379"/>
        </w:numPr>
        <w:pStyle w:val="Compact"/>
      </w:pPr>
      <w:r>
        <w:t xml:space="preserve">2026 · Katrevula A ·</w:t>
      </w:r>
      <w:r>
        <w:t xml:space="preserve"> </w:t>
      </w:r>
      <w:r>
        <w:rPr>
          <w:iCs/>
          <w:i/>
        </w:rPr>
        <w:t xml:space="preserve">Indian J Gastroenterol</w:t>
      </w:r>
      <w:r>
        <w:t xml:space="preserve"> </w:t>
      </w:r>
      <w:r>
        <w:t xml:space="preserve">· Oral semaglutide for weight loss and liver fibrosis in overweight and obesity: A randomized controlled trial. PMID 41066034</w:t>
      </w:r>
    </w:p>
    <w:p>
      <w:pPr>
        <w:numPr>
          <w:ilvl w:val="0"/>
          <w:numId w:val="1379"/>
        </w:numPr>
        <w:pStyle w:val="Compact"/>
      </w:pPr>
      <w:r>
        <w:t xml:space="preserve">2026 · Nitze LM ·</w:t>
      </w:r>
      <w:r>
        <w:t xml:space="preserve"> </w:t>
      </w:r>
      <w:r>
        <w:rPr>
          <w:iCs/>
          <w:i/>
        </w:rPr>
        <w:t xml:space="preserve">Aliment Pharmacol Ther</w:t>
      </w:r>
      <w:r>
        <w:t xml:space="preserve"> </w:t>
      </w:r>
      <w:r>
        <w:t xml:space="preserve">· Exploration of Multiple Non-Invasive Tests for Assessing Response to Treatment in a Semaglutide Phase 2b Trial in Patients with MASH. PMID 40985232</w:t>
      </w:r>
    </w:p>
    <w:p>
      <w:pPr>
        <w:numPr>
          <w:ilvl w:val="0"/>
          <w:numId w:val="1379"/>
        </w:numPr>
        <w:pStyle w:val="Compact"/>
      </w:pPr>
      <w:r>
        <w:t xml:space="preserve">2026 · Park B ·</w:t>
      </w:r>
      <w:r>
        <w:t xml:space="preserve"> </w:t>
      </w:r>
      <w:r>
        <w:rPr>
          <w:iCs/>
          <w:i/>
        </w:rPr>
        <w:t xml:space="preserve">Eur Heart J</w:t>
      </w:r>
      <w:r>
        <w:t xml:space="preserve"> </w:t>
      </w:r>
      <w:r>
        <w:t xml:space="preserve">· Semaglutide promotes bone marrow-derived progenitor cell flux towards an anti-inflammatory and pro-regenerative profile in high-risk patients: the SEMA-VR CardioLink-15 trial. PMID 40886061</w:t>
      </w:r>
    </w:p>
    <w:p>
      <w:pPr>
        <w:numPr>
          <w:ilvl w:val="0"/>
          <w:numId w:val="1379"/>
        </w:numPr>
        <w:pStyle w:val="Compact"/>
      </w:pPr>
      <w:r>
        <w:t xml:space="preserve">2025 · Youovop J ·</w:t>
      </w:r>
      <w:r>
        <w:t xml:space="preserve"> </w:t>
      </w:r>
      <w:r>
        <w:rPr>
          <w:iCs/>
          <w:i/>
        </w:rPr>
        <w:t xml:space="preserve">Medicina (Kaunas)</w:t>
      </w:r>
      <w:r>
        <w:t xml:space="preserve"> </w:t>
      </w:r>
      <w:r>
        <w:t xml:space="preserve">· Effects of Dichrostachys glomerata and Cissus quadrangularis Extracts on GLP-1 Secretion and DPP-4 Activity in Overweight and Obese Individuals: A Randomized Controlled Trial. PMID 41597327</w:t>
      </w:r>
    </w:p>
    <w:p>
      <w:pPr>
        <w:numPr>
          <w:ilvl w:val="0"/>
          <w:numId w:val="1379"/>
        </w:numPr>
        <w:pStyle w:val="Compact"/>
      </w:pPr>
      <w:r>
        <w:t xml:space="preserve">2025 · Rossing P ·</w:t>
      </w:r>
      <w:r>
        <w:t xml:space="preserve"> </w:t>
      </w:r>
      <w:r>
        <w:rPr>
          <w:iCs/>
          <w:i/>
        </w:rPr>
        <w:t xml:space="preserve">Cardiovasc Diabetol</w:t>
      </w:r>
      <w:r>
        <w:t xml:space="preserve"> </w:t>
      </w:r>
      <w:r>
        <w:t xml:space="preserve">· Once-weekly semaglutide versus placebo for the treatment of type 2 diabetes and chronic kidney disease in Denmark: A long-term cost-effectiveness analysis based on FLOW. PMID 41422027</w:t>
      </w:r>
    </w:p>
    <w:p>
      <w:pPr>
        <w:numPr>
          <w:ilvl w:val="0"/>
          <w:numId w:val="1379"/>
        </w:numPr>
        <w:pStyle w:val="Compact"/>
      </w:pPr>
      <w:r>
        <w:t xml:space="preserve">2025 · Wang H ·</w:t>
      </w:r>
      <w:r>
        <w:t xml:space="preserve"> </w:t>
      </w:r>
      <w:r>
        <w:rPr>
          <w:iCs/>
          <w:i/>
        </w:rPr>
        <w:t xml:space="preserve">Nat Commun</w:t>
      </w:r>
      <w:r>
        <w:t xml:space="preserve"> </w:t>
      </w:r>
      <w:r>
        <w:t xml:space="preserve">· Glucagon-like peptide-1 receptor agonist in large vessel occlusion treated by reperfusion therapy-a phase 2 randomized trial. PMID 41392086</w:t>
      </w:r>
    </w:p>
    <w:p>
      <w:pPr>
        <w:numPr>
          <w:ilvl w:val="0"/>
          <w:numId w:val="1379"/>
        </w:numPr>
        <w:pStyle w:val="Compact"/>
      </w:pPr>
      <w:r>
        <w:t xml:space="preserve">2025 · Pandey A ·</w:t>
      </w:r>
      <w:r>
        <w:t xml:space="preserve"> </w:t>
      </w:r>
      <w:r>
        <w:rPr>
          <w:iCs/>
          <w:i/>
        </w:rPr>
        <w:t xml:space="preserve">Eur J Heart Fail</w:t>
      </w:r>
      <w:r>
        <w:t xml:space="preserve"> </w:t>
      </w:r>
      <w:r>
        <w:t xml:space="preserve">· Effects of semaglutide in obesity-related heart failure with preserved ejection fraction across the age spectrum: Findings from the STEP-HFpEF programme. PMID 41290376</w:t>
      </w:r>
    </w:p>
    <w:p>
      <w:pPr>
        <w:numPr>
          <w:ilvl w:val="0"/>
          <w:numId w:val="1379"/>
        </w:numPr>
        <w:pStyle w:val="Compact"/>
      </w:pPr>
      <w:r>
        <w:t xml:space="preserve">2025 · Barakat KE ·</w:t>
      </w:r>
      <w:r>
        <w:t xml:space="preserve"> </w:t>
      </w:r>
      <w:r>
        <w:rPr>
          <w:iCs/>
          <w:i/>
        </w:rPr>
        <w:t xml:space="preserve">Obes Surg</w:t>
      </w:r>
      <w:r>
        <w:t xml:space="preserve"> </w:t>
      </w:r>
      <w:r>
        <w:t xml:space="preserve">· Adjunctive Semaglutide in Patients Undergoing Intragastric Balloon for Weight Loss: 12-Month Prospective Comparative Study. PMID 41212463</w:t>
      </w:r>
    </w:p>
    <w:p>
      <w:pPr>
        <w:numPr>
          <w:ilvl w:val="0"/>
          <w:numId w:val="1379"/>
        </w:numPr>
        <w:pStyle w:val="Compact"/>
      </w:pPr>
      <w:r>
        <w:t xml:space="preserve">2025 · Kattinakere Sreedhara S ·</w:t>
      </w:r>
      <w:r>
        <w:t xml:space="preserve"> </w:t>
      </w:r>
      <w:r>
        <w:rPr>
          <w:iCs/>
          <w:i/>
        </w:rPr>
        <w:t xml:space="preserve">BMJ Open Diabetes Res Care</w:t>
      </w:r>
      <w:r>
        <w:t xml:space="preserve"> </w:t>
      </w:r>
      <w:r>
        <w:t xml:space="preserve">· Using real-world data to predict findings of an ongoing phase IV trial: glycemic control of semaglutide versus standard of care. PMID 41161770</w:t>
      </w:r>
    </w:p>
    <w:p>
      <w:pPr>
        <w:numPr>
          <w:ilvl w:val="0"/>
          <w:numId w:val="1379"/>
        </w:numPr>
        <w:pStyle w:val="Compact"/>
      </w:pPr>
      <w:r>
        <w:t xml:space="preserve">2025 · Deanfield J ·</w:t>
      </w:r>
      <w:r>
        <w:t xml:space="preserve"> </w:t>
      </w:r>
      <w:r>
        <w:rPr>
          <w:iCs/>
          <w:i/>
        </w:rPr>
        <w:t xml:space="preserve">Lancet</w:t>
      </w:r>
      <w:r>
        <w:t xml:space="preserve"> </w:t>
      </w:r>
      <w:r>
        <w:t xml:space="preserve">· Semaglutide and cardiovascular outcomes by baseline and changes in adiposity measurements: a prespecified analysis of the SELECT trial. PMID 41138739</w:t>
      </w:r>
    </w:p>
    <w:p>
      <w:pPr>
        <w:numPr>
          <w:ilvl w:val="0"/>
          <w:numId w:val="1379"/>
        </w:numPr>
        <w:pStyle w:val="Compact"/>
      </w:pPr>
      <w:r>
        <w:t xml:space="preserve">2025 · Buse JB ·</w:t>
      </w:r>
      <w:r>
        <w:t xml:space="preserve"> </w:t>
      </w:r>
      <w:r>
        <w:rPr>
          <w:iCs/>
          <w:i/>
        </w:rPr>
        <w:t xml:space="preserve">BMJ Open Diabetes Res Care</w:t>
      </w:r>
      <w:r>
        <w:t xml:space="preserve"> </w:t>
      </w:r>
      <w:r>
        <w:t xml:space="preserve">· Long-term comparative effectiveness of once-weekly semaglutide versus alternative treatments in a real-world US adult population with type 2 diabetes: a randomized pragmatic clinical trial. PMID 41093600</w:t>
      </w:r>
    </w:p>
    <w:p>
      <w:pPr>
        <w:numPr>
          <w:ilvl w:val="0"/>
          <w:numId w:val="1379"/>
        </w:numPr>
        <w:pStyle w:val="Compact"/>
      </w:pPr>
      <w:r>
        <w:t xml:space="preserve">2025 · Borlaug BA ·</w:t>
      </w:r>
      <w:r>
        <w:t xml:space="preserve"> </w:t>
      </w:r>
      <w:r>
        <w:rPr>
          <w:iCs/>
          <w:i/>
        </w:rPr>
        <w:t xml:space="preserve">JACC Heart Fail</w:t>
      </w:r>
      <w:r>
        <w:t xml:space="preserve"> </w:t>
      </w:r>
      <w:r>
        <w:t xml:space="preserve">· Semaglutide and Exercise Function in Obesity-Related HFpEF: Insights From the STEP-HFpEF Program. PMID 41045908</w:t>
      </w:r>
    </w:p>
    <w:p>
      <w:pPr>
        <w:numPr>
          <w:ilvl w:val="0"/>
          <w:numId w:val="1379"/>
        </w:numPr>
        <w:pStyle w:val="Compact"/>
      </w:pPr>
      <w:r>
        <w:t xml:space="preserve">2025 · Lingvay I ·</w:t>
      </w:r>
      <w:r>
        <w:t xml:space="preserve"> </w:t>
      </w:r>
      <w:r>
        <w:rPr>
          <w:iCs/>
          <w:i/>
        </w:rPr>
        <w:t xml:space="preserve">Lancet Diabetes Endocrinol</w:t>
      </w:r>
      <w:r>
        <w:t xml:space="preserve"> </w:t>
      </w:r>
      <w:r>
        <w:t xml:space="preserve">· Once-weekly semaglutide 7·2 mg in adults with obesity and type 2 diabetes (STEP UP T2D): a randomised, controlled, phase 3b trial. PMID 40961953</w:t>
      </w:r>
    </w:p>
    <w:p>
      <w:pPr>
        <w:numPr>
          <w:ilvl w:val="0"/>
          <w:numId w:val="1379"/>
        </w:numPr>
        <w:pStyle w:val="Compact"/>
      </w:pPr>
      <w:r>
        <w:t xml:space="preserve">2025 · Wharton S ·</w:t>
      </w:r>
      <w:r>
        <w:t xml:space="preserve"> </w:t>
      </w:r>
      <w:r>
        <w:rPr>
          <w:iCs/>
          <w:i/>
        </w:rPr>
        <w:t xml:space="preserve">Lancet Diabetes Endocrinol</w:t>
      </w:r>
      <w:r>
        <w:t xml:space="preserve"> </w:t>
      </w:r>
      <w:r>
        <w:t xml:space="preserve">· Once-weekly semaglutide 7·2 mg in adults with obesity (STEP UP): a randomised, controlled, phase 3b trial. PMID 40961952</w:t>
      </w:r>
    </w:p>
    <w:p>
      <w:pPr>
        <w:numPr>
          <w:ilvl w:val="0"/>
          <w:numId w:val="1379"/>
        </w:numPr>
        <w:pStyle w:val="Compact"/>
      </w:pPr>
      <w:r>
        <w:t xml:space="preserve">2025 · Pandey A ·</w:t>
      </w:r>
      <w:r>
        <w:t xml:space="preserve"> </w:t>
      </w:r>
      <w:r>
        <w:rPr>
          <w:iCs/>
          <w:i/>
        </w:rPr>
        <w:t xml:space="preserve">JACC Heart Fail</w:t>
      </w:r>
      <w:r>
        <w:t xml:space="preserve"> </w:t>
      </w:r>
      <w:r>
        <w:t xml:space="preserve">· Frailty and Effects of Semaglutide in Obesity-Related HFpEF: Findings From the STEP-HFpEF Program. PMID 40956259</w:t>
      </w:r>
    </w:p>
    <w:p>
      <w:pPr>
        <w:numPr>
          <w:ilvl w:val="0"/>
          <w:numId w:val="1379"/>
        </w:numPr>
        <w:pStyle w:val="Compact"/>
      </w:pPr>
      <w:r>
        <w:t xml:space="preserve">2025 · Wharton S ·</w:t>
      </w:r>
      <w:r>
        <w:t xml:space="preserve"> </w:t>
      </w:r>
      <w:r>
        <w:rPr>
          <w:iCs/>
          <w:i/>
        </w:rPr>
        <w:t xml:space="preserve">N Engl J Med</w:t>
      </w:r>
      <w:r>
        <w:t xml:space="preserve"> </w:t>
      </w:r>
      <w:r>
        <w:t xml:space="preserve">· Oral Semaglutide at a Dose of 25 mg in Adults with Overweight or Obesity. PMID 40934115</w:t>
      </w:r>
    </w:p>
    <w:p>
      <w:pPr>
        <w:numPr>
          <w:ilvl w:val="0"/>
          <w:numId w:val="1379"/>
        </w:numPr>
        <w:pStyle w:val="Compact"/>
      </w:pPr>
      <w:r>
        <w:t xml:space="preserve">2025 · Ganeshalingam AA ·</w:t>
      </w:r>
      <w:r>
        <w:t xml:space="preserve"> </w:t>
      </w:r>
      <w:r>
        <w:rPr>
          <w:iCs/>
          <w:i/>
        </w:rPr>
        <w:t xml:space="preserve">JAMA Psychiatry</w:t>
      </w:r>
      <w:r>
        <w:t xml:space="preserve"> </w:t>
      </w:r>
      <w:r>
        <w:t xml:space="preserve">· Semaglutide Treatment of Antipsychotic-Treated Patients With Schizophrenia, Prediabetes, and Obesity: The HISTORI Randomized Clinical Trial. PMID 40900607</w:t>
      </w:r>
    </w:p>
    <w:p>
      <w:pPr>
        <w:numPr>
          <w:ilvl w:val="0"/>
          <w:numId w:val="1379"/>
        </w:numPr>
        <w:pStyle w:val="Compact"/>
      </w:pPr>
      <w:r>
        <w:t xml:space="preserve">2025 · Verma S ·</w:t>
      </w:r>
      <w:r>
        <w:t xml:space="preserve"> </w:t>
      </w:r>
      <w:r>
        <w:rPr>
          <w:iCs/>
          <w:i/>
        </w:rPr>
        <w:t xml:space="preserve">J Am Coll Cardiol</w:t>
      </w:r>
      <w:r>
        <w:t xml:space="preserve"> </w:t>
      </w:r>
      <w:r>
        <w:t xml:space="preserve">· Sex Differences in Effectiveness of Semaglutide in Patients With Peripheral Artery Disease: The STRIDE Trial. PMID 40892617</w:t>
      </w:r>
    </w:p>
    <w:p>
      <w:pPr>
        <w:numPr>
          <w:ilvl w:val="0"/>
          <w:numId w:val="1379"/>
        </w:numPr>
        <w:pStyle w:val="Compact"/>
      </w:pPr>
      <w:r>
        <w:t xml:space="preserve">2025 · Ji L ·</w:t>
      </w:r>
      <w:r>
        <w:t xml:space="preserve"> </w:t>
      </w:r>
      <w:r>
        <w:rPr>
          <w:iCs/>
          <w:i/>
        </w:rPr>
        <w:t xml:space="preserve">Diabetes Obes Metab</w:t>
      </w:r>
      <w:r>
        <w:t xml:space="preserve"> </w:t>
      </w:r>
      <w:r>
        <w:t xml:space="preserve">· Efficacy and safety of oral semaglutide in Chinese participants with type 2 diabetes: Subgroup analyses by baseline characteristics in the PIONEER 11 and 12 randomised controlled trials. PMID 40843773</w:t>
      </w:r>
    </w:p>
    <w:p>
      <w:pPr>
        <w:numPr>
          <w:ilvl w:val="0"/>
          <w:numId w:val="1379"/>
        </w:numPr>
        <w:pStyle w:val="Compact"/>
      </w:pPr>
      <w:r>
        <w:t xml:space="preserve">2025 · Lim S ·</w:t>
      </w:r>
      <w:r>
        <w:t xml:space="preserve"> </w:t>
      </w:r>
      <w:r>
        <w:rPr>
          <w:iCs/>
          <w:i/>
        </w:rPr>
        <w:t xml:space="preserve">Lancet Diabetes Endocrinol</w:t>
      </w:r>
      <w:r>
        <w:t xml:space="preserve"> </w:t>
      </w:r>
      <w:r>
        <w:t xml:space="preserve">· Once-weekly semaglutide 2·4 mg in an Asian population with obesity, defined as BMI ≥25 kg/m(2), in South Korea and Thailand (STEP 11): a randomised, double-blind, placebo-controlled, phase 3 trial. PMID 40825340</w:t>
      </w:r>
    </w:p>
    <w:p>
      <w:pPr>
        <w:numPr>
          <w:ilvl w:val="0"/>
          <w:numId w:val="1379"/>
        </w:numPr>
        <w:pStyle w:val="Compact"/>
      </w:pPr>
      <w:r>
        <w:t xml:space="preserve">2025 · Kadowaki T ·</w:t>
      </w:r>
      <w:r>
        <w:t xml:space="preserve"> </w:t>
      </w:r>
      <w:r>
        <w:rPr>
          <w:iCs/>
          <w:i/>
        </w:rPr>
        <w:t xml:space="preserve">JAMA Intern Med</w:t>
      </w:r>
      <w:r>
        <w:t xml:space="preserve"> </w:t>
      </w:r>
      <w:r>
        <w:t xml:space="preserve">· Oral Semaglutide in an East Asian Population With Overweight or Obesity, With or Without Type 2 Diabetes: The OASIS 2 Randomized Clinical Trial. PMID 40758358</w:t>
      </w:r>
    </w:p>
    <w:p>
      <w:pPr>
        <w:numPr>
          <w:ilvl w:val="0"/>
          <w:numId w:val="1379"/>
        </w:numPr>
        <w:pStyle w:val="Compact"/>
      </w:pPr>
      <w:r>
        <w:t xml:space="preserve">2025 · Rossing P ·</w:t>
      </w:r>
      <w:r>
        <w:t xml:space="preserve"> </w:t>
      </w:r>
      <w:r>
        <w:rPr>
          <w:iCs/>
          <w:i/>
        </w:rPr>
        <w:t xml:space="preserve">Diabetes Care</w:t>
      </w:r>
      <w:r>
        <w:t xml:space="preserve"> </w:t>
      </w:r>
      <w:r>
        <w:t xml:space="preserve">· Effects of Semaglutide With or Without Concomitant Mineralocorticoid Receptor Antagonist Use in Participants With Type 2 Diabetes and Chronic Kidney Disease: A FLOW Trial Prespecified Secondary Analysis. PMID 40730031</w:t>
      </w:r>
    </w:p>
    <w:p>
      <w:pPr>
        <w:numPr>
          <w:ilvl w:val="0"/>
          <w:numId w:val="1379"/>
        </w:numPr>
        <w:pStyle w:val="Compact"/>
      </w:pPr>
      <w:r>
        <w:t xml:space="preserve">2025 · Chen H ·</w:t>
      </w:r>
      <w:r>
        <w:t xml:space="preserve"> </w:t>
      </w:r>
      <w:r>
        <w:rPr>
          <w:iCs/>
          <w:i/>
        </w:rPr>
        <w:t xml:space="preserve">Reprod Biol Endocrinol</w:t>
      </w:r>
      <w:r>
        <w:t xml:space="preserve"> </w:t>
      </w:r>
      <w:r>
        <w:t xml:space="preserve">· Effects of combined metformin and semaglutide therapy on body weight, metabolic parameters, and reproductive outcomes in overweight/obese women with polycystic ovary syndrome: a prospective, randomized, controlled, open-label clinical trial. PMID 40713699</w:t>
      </w:r>
    </w:p>
    <w:p>
      <w:pPr>
        <w:numPr>
          <w:ilvl w:val="0"/>
          <w:numId w:val="1379"/>
        </w:numPr>
        <w:pStyle w:val="Compact"/>
      </w:pPr>
      <w:r>
        <w:t xml:space="preserve">2025 · Zhou J ·</w:t>
      </w:r>
      <w:r>
        <w:t xml:space="preserve"> </w:t>
      </w:r>
      <w:r>
        <w:rPr>
          <w:iCs/>
          <w:i/>
        </w:rPr>
        <w:t xml:space="preserve">Diabetes Obes Metab</w:t>
      </w:r>
      <w:r>
        <w:t xml:space="preserve"> </w:t>
      </w:r>
      <w:r>
        <w:t xml:space="preserve">· Effect of semaglutide versus placebo on cardiorenal outcomes by prior cardiovascular disease and baseline body mass index: Pooled post hoc analysis of SUSTAIN 6 and PIONEER 6. PMID 40704485</w:t>
      </w:r>
    </w:p>
    <w:p>
      <w:pPr>
        <w:numPr>
          <w:ilvl w:val="0"/>
          <w:numId w:val="1379"/>
        </w:numPr>
        <w:pStyle w:val="Compact"/>
      </w:pPr>
      <w:r>
        <w:t xml:space="preserve">2025 · Eldor R ·</w:t>
      </w:r>
      <w:r>
        <w:t xml:space="preserve"> </w:t>
      </w:r>
      <w:r>
        <w:rPr>
          <w:iCs/>
          <w:i/>
        </w:rPr>
        <w:t xml:space="preserve">Diabetes Care</w:t>
      </w:r>
      <w:r>
        <w:t xml:space="preserve"> </w:t>
      </w:r>
      <w:r>
        <w:t xml:space="preserve">· Gradual Titration of Semaglutide Results in Better Treatment Adherence and Fewer Adverse Events: A Randomized Controlled Open-Label Pilot Study Examining a 16-Week Flexible Titration Regimen Versus Label-Recommended 8-Week Semaglutide Titration Regimen. PMID 40673973</w:t>
      </w:r>
    </w:p>
    <w:p>
      <w:pPr>
        <w:numPr>
          <w:ilvl w:val="0"/>
          <w:numId w:val="1379"/>
        </w:numPr>
        <w:pStyle w:val="Compact"/>
      </w:pPr>
      <w:r>
        <w:t xml:space="preserve">2025 · Tóth LI ·</w:t>
      </w:r>
      <w:r>
        <w:t xml:space="preserve"> </w:t>
      </w:r>
      <w:r>
        <w:rPr>
          <w:iCs/>
          <w:i/>
        </w:rPr>
        <w:t xml:space="preserve">Int J Mol Sci</w:t>
      </w:r>
      <w:r>
        <w:t xml:space="preserve"> </w:t>
      </w:r>
      <w:r>
        <w:t xml:space="preserve">· Semaglutide Improves Lipid Subfraction Profiles in Type 2 Diabetes: Insights from a One-Year Follow-Up Study. PMID 40649729</w:t>
      </w:r>
    </w:p>
    <w:p>
      <w:pPr>
        <w:numPr>
          <w:ilvl w:val="0"/>
          <w:numId w:val="1379"/>
        </w:numPr>
        <w:pStyle w:val="Compact"/>
      </w:pPr>
      <w:r>
        <w:t xml:space="preserve">2025 · Wulff BS ·</w:t>
      </w:r>
      <w:r>
        <w:t xml:space="preserve"> </w:t>
      </w:r>
      <w:r>
        <w:rPr>
          <w:iCs/>
          <w:i/>
        </w:rPr>
        <w:t xml:space="preserve">Obesity (Silver Spring)</w:t>
      </w:r>
      <w:r>
        <w:t xml:space="preserve"> </w:t>
      </w:r>
      <w:r>
        <w:t xml:space="preserve">· Long-acting PYY(3) (-36) analogue with semaglutide for obesity: from preclinical assessment through randomized clinical studies. PMID 40629530</w:t>
      </w:r>
    </w:p>
    <w:p>
      <w:pPr>
        <w:numPr>
          <w:ilvl w:val="0"/>
          <w:numId w:val="1379"/>
        </w:numPr>
        <w:pStyle w:val="Compact"/>
      </w:pPr>
      <w:r>
        <w:t xml:space="preserve">2025 · Shah VN ·</w:t>
      </w:r>
      <w:r>
        <w:t xml:space="preserve"> </w:t>
      </w:r>
      <w:r>
        <w:rPr>
          <w:iCs/>
          <w:i/>
        </w:rPr>
        <w:t xml:space="preserve">NEJM Evid</w:t>
      </w:r>
      <w:r>
        <w:t xml:space="preserve"> </w:t>
      </w:r>
      <w:r>
        <w:t xml:space="preserve">· Semaglutide in Adults with Type 1 Diabetes and Obesity. PMID 40550013</w:t>
      </w:r>
    </w:p>
    <w:p>
      <w:pPr>
        <w:numPr>
          <w:ilvl w:val="0"/>
          <w:numId w:val="1379"/>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79"/>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79"/>
        </w:numPr>
        <w:pStyle w:val="Compact"/>
      </w:pPr>
      <w:r>
        <w:t xml:space="preserve">2025 · Rasouli N ·</w:t>
      </w:r>
      <w:r>
        <w:t xml:space="preserve"> </w:t>
      </w:r>
      <w:r>
        <w:rPr>
          <w:iCs/>
          <w:i/>
        </w:rPr>
        <w:t xml:space="preserve">Diabetes Care</w:t>
      </w:r>
      <w:r>
        <w:t xml:space="preserve"> </w:t>
      </w:r>
      <w:r>
        <w:t xml:space="preserve">· Benefit of Semaglutide in Symptomatic Peripheral Artery Disease by Baseline Type 2 Diabetes Characteristics: Insights From STRIDE, a Randomized, Placebo-Controlled, Double-Blind Trial. PMID 40543068</w:t>
      </w:r>
    </w:p>
    <w:p>
      <w:pPr>
        <w:numPr>
          <w:ilvl w:val="0"/>
          <w:numId w:val="1379"/>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79"/>
        </w:numPr>
        <w:pStyle w:val="Compact"/>
      </w:pPr>
      <w:r>
        <w:t xml:space="preserve">2025 · Siskind D ·</w:t>
      </w:r>
      <w:r>
        <w:t xml:space="preserve"> </w:t>
      </w:r>
      <w:r>
        <w:rPr>
          <w:iCs/>
          <w:i/>
        </w:rPr>
        <w:t xml:space="preserve">Lancet Psychiatry</w:t>
      </w:r>
      <w:r>
        <w:t xml:space="preserve"> </w:t>
      </w:r>
      <w:r>
        <w:t xml:space="preserve">· Efficacy and safety of semaglutide versus placebo for people with schizophrenia on clozapine with obesity (COaST): a phase 2, multi-centre, participant and investigator- blinded, randomised controlled trial in Australia. PMID 40506208</w:t>
      </w:r>
    </w:p>
    <w:p>
      <w:pPr>
        <w:numPr>
          <w:ilvl w:val="0"/>
          <w:numId w:val="1379"/>
        </w:numPr>
        <w:pStyle w:val="Compact"/>
      </w:pPr>
      <w:r>
        <w:t xml:space="preserve">2025 · Mathieu C ·</w:t>
      </w:r>
      <w:r>
        <w:t xml:space="preserve"> </w:t>
      </w:r>
      <w:r>
        <w:rPr>
          <w:iCs/>
          <w:i/>
        </w:rPr>
        <w:t xml:space="preserve">Lancet Diabetes Endocrinol</w:t>
      </w:r>
      <w:r>
        <w:t xml:space="preserve"> </w:t>
      </w:r>
      <w:r>
        <w:t xml:space="preserve">· Once‑weekly IcoSema versus once‑weekly insulin icodec in type 2 diabetes management (COMBINE 1): an open‑label, multicentre, treat‑to‑target, randomised, phase 3a trial. PMID 40482671</w:t>
      </w:r>
    </w:p>
    <w:p>
      <w:pPr>
        <w:numPr>
          <w:ilvl w:val="0"/>
          <w:numId w:val="1379"/>
        </w:numPr>
        <w:pStyle w:val="Compact"/>
      </w:pPr>
      <w:r>
        <w:t xml:space="preserve">2025 · Billings LK ·</w:t>
      </w:r>
      <w:r>
        <w:t xml:space="preserve"> </w:t>
      </w:r>
      <w:r>
        <w:rPr>
          <w:iCs/>
          <w:i/>
        </w:rPr>
        <w:t xml:space="preserve">Lancet Diabetes Endocrinol</w:t>
      </w:r>
      <w:r>
        <w:t xml:space="preserve"> </w:t>
      </w:r>
      <w:r>
        <w:t xml:space="preserve">· Once-weekly IcoSema versus multiple daily insulin injections in type 2 diabetes management (COMBINE 3): an open-label, multicentre, treat-to-target, non-inferiority, randomised, phase 3a trial. PMID 40482670</w:t>
      </w:r>
    </w:p>
    <w:p>
      <w:pPr>
        <w:numPr>
          <w:ilvl w:val="0"/>
          <w:numId w:val="1379"/>
        </w:numPr>
        <w:pStyle w:val="Compact"/>
      </w:pPr>
      <w:r>
        <w:t xml:space="preserve">2025 · von Huth Smith L ·</w:t>
      </w:r>
      <w:r>
        <w:t xml:space="preserve"> </w:t>
      </w:r>
      <w:r>
        <w:rPr>
          <w:iCs/>
          <w:i/>
        </w:rPr>
        <w:t xml:space="preserve">Clin Obes</w:t>
      </w:r>
      <w:r>
        <w:t xml:space="preserve"> </w:t>
      </w:r>
      <w:r>
        <w:t xml:space="preserve">· Impact of weight on daily activities questionnaire in patients with overweight or obesity: Psychometric evaluation using data from the OASIS 1 trial. PMID 40452267</w:t>
      </w:r>
    </w:p>
    <w:p>
      <w:pPr>
        <w:numPr>
          <w:ilvl w:val="0"/>
          <w:numId w:val="1379"/>
        </w:numPr>
        <w:pStyle w:val="Compact"/>
      </w:pPr>
      <w:r>
        <w:t xml:space="preserve">2025 · Bouhajib M ·</w:t>
      </w:r>
      <w:r>
        <w:t xml:space="preserve"> </w:t>
      </w:r>
      <w:r>
        <w:rPr>
          <w:iCs/>
          <w:i/>
        </w:rPr>
        <w:t xml:space="preserve">J Basic Clin Physiol Pharmacol</w:t>
      </w:r>
      <w:r>
        <w:t xml:space="preserve"> </w:t>
      </w:r>
      <w:r>
        <w:t xml:space="preserve">· The pharmacokinetics and comparative bioavailabilty of oral and subcutaneous semaglutide in healthy volunteers. PMID 40425315</w:t>
      </w:r>
    </w:p>
    <w:p>
      <w:pPr>
        <w:numPr>
          <w:ilvl w:val="0"/>
          <w:numId w:val="1379"/>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79"/>
        </w:numPr>
        <w:pStyle w:val="Compact"/>
      </w:pPr>
      <w:r>
        <w:t xml:space="preserve">2025 · James S ·</w:t>
      </w:r>
      <w:r>
        <w:t xml:space="preserve"> </w:t>
      </w:r>
      <w:r>
        <w:rPr>
          <w:iCs/>
          <w:i/>
        </w:rPr>
        <w:t xml:space="preserve">Am Heart J</w:t>
      </w:r>
      <w:r>
        <w:t xml:space="preserve"> </w:t>
      </w:r>
      <w:r>
        <w:t xml:space="preserve">· Effect of once-weekly subcutaneous semaglutide on arterial inflammation in people with type 2 diabetes and cardiovascular disease using PET-MRI: Primary results of a randomized, double-blind, placebo-controlled trial. PMID 40345413</w:t>
      </w:r>
    </w:p>
    <w:p>
      <w:pPr>
        <w:numPr>
          <w:ilvl w:val="0"/>
          <w:numId w:val="1379"/>
        </w:numPr>
        <w:pStyle w:val="Compact"/>
      </w:pPr>
      <w:r>
        <w:t xml:space="preserve">2025 · Yu H ·</w:t>
      </w:r>
      <w:r>
        <w:t xml:space="preserve"> </w:t>
      </w:r>
      <w:r>
        <w:rPr>
          <w:iCs/>
          <w:i/>
        </w:rPr>
        <w:t xml:space="preserve">Br J Clin Pharmacol</w:t>
      </w:r>
      <w:r>
        <w:t xml:space="preserve"> </w:t>
      </w:r>
      <w:r>
        <w:t xml:space="preserve">· Pharmacokinetic-pharmacodynamic (PK/PD) modelling of cotadutide effect in patients with chronic kidney disease and type 2 diabetes mellitus. PMID 40344607</w:t>
      </w:r>
    </w:p>
    <w:p>
      <w:pPr>
        <w:numPr>
          <w:ilvl w:val="0"/>
          <w:numId w:val="1379"/>
        </w:numPr>
        <w:pStyle w:val="Compact"/>
      </w:pPr>
      <w:r>
        <w:t xml:space="preserve">2025 · Jensterle M ·</w:t>
      </w:r>
      <w:r>
        <w:t xml:space="preserve"> </w:t>
      </w:r>
      <w:r>
        <w:rPr>
          <w:iCs/>
          <w:i/>
        </w:rPr>
        <w:t xml:space="preserve">J Clin Endocrinol Metab</w:t>
      </w:r>
      <w:r>
        <w:t xml:space="preserve"> </w:t>
      </w:r>
      <w:r>
        <w:t xml:space="preserve">· Semaglutide and Taste in Women With Obesity and Polycystic Ovary Syndrome: A Randomized Placebo-Controlled Study. PMID 40341357</w:t>
      </w:r>
    </w:p>
    <w:p>
      <w:pPr>
        <w:numPr>
          <w:ilvl w:val="0"/>
          <w:numId w:val="1379"/>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79"/>
        </w:numPr>
        <w:pStyle w:val="Compact"/>
      </w:pPr>
      <w:r>
        <w:t xml:space="preserve">2025 · Sanyal AJ ·</w:t>
      </w:r>
      <w:r>
        <w:t xml:space="preserve"> </w:t>
      </w:r>
      <w:r>
        <w:rPr>
          <w:iCs/>
          <w:i/>
        </w:rPr>
        <w:t xml:space="preserve">N Engl J Med</w:t>
      </w:r>
      <w:r>
        <w:t xml:space="preserve"> </w:t>
      </w:r>
      <w:r>
        <w:t xml:space="preserve">· Phase 3 Trial of Semaglutide in Metabolic Dysfunction-Associated Steatohepatitis. PMID 40305708</w:t>
      </w:r>
    </w:p>
    <w:p>
      <w:pPr>
        <w:numPr>
          <w:ilvl w:val="0"/>
          <w:numId w:val="1379"/>
        </w:numPr>
        <w:pStyle w:val="Compact"/>
      </w:pPr>
      <w:r>
        <w:t xml:space="preserve">2025 · Golub IS ·</w:t>
      </w:r>
      <w:r>
        <w:t xml:space="preserve"> </w:t>
      </w:r>
      <w:r>
        <w:rPr>
          <w:iCs/>
          <w:i/>
        </w:rPr>
        <w:t xml:space="preserve">Nutr Metab Cardiovasc Dis</w:t>
      </w:r>
      <w:r>
        <w:t xml:space="preserve"> </w:t>
      </w:r>
      <w:r>
        <w:t xml:space="preserve">· The impact of semaglutide on liver fat assessed by serial cardiac CT scans in patients with type 2 diabetes: Results from STOP trial. PMID 40287313</w:t>
      </w:r>
    </w:p>
    <w:p>
      <w:pPr>
        <w:numPr>
          <w:ilvl w:val="0"/>
          <w:numId w:val="1379"/>
        </w:numPr>
        <w:pStyle w:val="Compact"/>
      </w:pPr>
      <w:r>
        <w:t xml:space="preserve">2025 · Aroda VR ·</w:t>
      </w:r>
      <w:r>
        <w:t xml:space="preserve"> </w:t>
      </w:r>
      <w:r>
        <w:rPr>
          <w:iCs/>
          <w:i/>
        </w:rPr>
        <w:t xml:space="preserve">Diabetes Care</w:t>
      </w:r>
      <w:r>
        <w:t xml:space="preserve"> </w:t>
      </w:r>
      <w:r>
        <w:t xml:space="preserve">· High-Dose Semaglutide (Up to 16 mg) in People With Type 2 Diabetes and Overweight or Obesity: A Randomized, Placebo-Controlled, Phase 2 Trial. PMID 40279144</w:t>
      </w:r>
    </w:p>
    <w:p>
      <w:pPr>
        <w:numPr>
          <w:ilvl w:val="0"/>
          <w:numId w:val="1379"/>
        </w:numPr>
        <w:pStyle w:val="Compact"/>
      </w:pPr>
      <w:r>
        <w:t xml:space="preserve">2025 · Gullaksen S ·</w:t>
      </w:r>
      <w:r>
        <w:t xml:space="preserve"> </w:t>
      </w:r>
      <w:r>
        <w:rPr>
          <w:iCs/>
          <w:i/>
        </w:rPr>
        <w:t xml:space="preserve">J Diabetes Complications</w:t>
      </w:r>
      <w:r>
        <w:t xml:space="preserve"> </w:t>
      </w:r>
      <w:r>
        <w:t xml:space="preserve">· Semaglutide, central retinal thickness and continuous glucose monitoring in persons with type 2 diabetes: A post-hoc analysis from a randomised trial. PMID 40239470</w:t>
      </w:r>
    </w:p>
    <w:p>
      <w:pPr>
        <w:numPr>
          <w:ilvl w:val="0"/>
          <w:numId w:val="1379"/>
        </w:numPr>
        <w:pStyle w:val="Compact"/>
      </w:pPr>
      <w:r>
        <w:t xml:space="preserve">2025 · Kadowaki T ·</w:t>
      </w:r>
      <w:r>
        <w:t xml:space="preserve"> </w:t>
      </w:r>
      <w:r>
        <w:rPr>
          <w:iCs/>
          <w:i/>
        </w:rPr>
        <w:t xml:space="preserve">Obes Res Clin Pract</w:t>
      </w:r>
      <w:r>
        <w:t xml:space="preserve"> </w:t>
      </w:r>
      <w:r>
        <w:t xml:space="preserve">· Effect of once-weekly subcutaneous semaglutide on abdominal visceral fat area in Japanese adults with overweight and obesity: A post hoc analysis of the STEP 6 trial. PMID 40189961</w:t>
      </w:r>
    </w:p>
    <w:p>
      <w:pPr>
        <w:numPr>
          <w:ilvl w:val="0"/>
          <w:numId w:val="1379"/>
        </w:numPr>
        <w:pStyle w:val="Compact"/>
      </w:pPr>
      <w:r>
        <w:t xml:space="preserve">2025 · Bonaca MP ·</w:t>
      </w:r>
      <w:r>
        <w:t xml:space="preserve"> </w:t>
      </w:r>
      <w:r>
        <w:rPr>
          <w:iCs/>
          <w:i/>
        </w:rPr>
        <w:t xml:space="preserve">Lancet</w:t>
      </w:r>
      <w:r>
        <w:t xml:space="preserve"> </w:t>
      </w:r>
      <w:r>
        <w:t xml:space="preserve">· Semaglutide and walking capacity in people with symptomatic peripheral artery disease and type 2 diabetes (STRIDE): a phase 3b, double-blind, randomised, placebo-controlled trial. PMID 40169145</w:t>
      </w:r>
    </w:p>
    <w:p>
      <w:pPr>
        <w:numPr>
          <w:ilvl w:val="0"/>
          <w:numId w:val="1379"/>
        </w:numPr>
        <w:pStyle w:val="Compact"/>
      </w:pPr>
      <w:r>
        <w:t xml:space="preserve">2025 · McGuire DK ·</w:t>
      </w:r>
      <w:r>
        <w:t xml:space="preserve"> </w:t>
      </w:r>
      <w:r>
        <w:rPr>
          <w:iCs/>
          <w:i/>
        </w:rPr>
        <w:t xml:space="preserve">N Engl J Med</w:t>
      </w:r>
      <w:r>
        <w:t xml:space="preserve"> </w:t>
      </w:r>
      <w:r>
        <w:t xml:space="preserve">· Oral Semaglutide and Cardiovascular Outcomes in High-Risk Type 2 Diabetes. PMID 40162642</w:t>
      </w:r>
    </w:p>
    <w:p>
      <w:pPr>
        <w:numPr>
          <w:ilvl w:val="0"/>
          <w:numId w:val="1379"/>
        </w:numPr>
        <w:pStyle w:val="Compact"/>
      </w:pPr>
      <w:r>
        <w:t xml:space="preserve">2025 · Marx N ·</w:t>
      </w:r>
      <w:r>
        <w:t xml:space="preserve"> </w:t>
      </w:r>
      <w:r>
        <w:rPr>
          <w:iCs/>
          <w:i/>
        </w:rPr>
        <w:t xml:space="preserve">Circulation</w:t>
      </w:r>
      <w:r>
        <w:t xml:space="preserve"> </w:t>
      </w:r>
      <w:r>
        <w:t xml:space="preserve">· Oral Semaglutide and Cardiovascular Outcomes in People With Type 2 Diabetes, According to SGLT2i Use: Prespecified Analyses of the SOUL Randomized Trial. PMID 40156843</w:t>
      </w:r>
    </w:p>
    <w:p>
      <w:pPr>
        <w:numPr>
          <w:ilvl w:val="0"/>
          <w:numId w:val="1379"/>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79"/>
        </w:numPr>
        <w:pStyle w:val="Compact"/>
      </w:pPr>
      <w:r>
        <w:t xml:space="preserve">2025 · Gu W ·</w:t>
      </w:r>
      <w:r>
        <w:t xml:space="preserve"> </w:t>
      </w:r>
      <w:r>
        <w:rPr>
          <w:iCs/>
          <w:i/>
        </w:rPr>
        <w:t xml:space="preserve">Diabetes Obes Metab</w:t>
      </w:r>
      <w:r>
        <w:t xml:space="preserve"> </w:t>
      </w:r>
      <w:r>
        <w:t xml:space="preserve">· Efficacy and safety of once-weekly semaglutide 2.4 mg for weight management in participants from China: A prespecified analysis of the STEP 7 randomized clinical trial. PMID 40069849</w:t>
      </w:r>
    </w:p>
    <w:p>
      <w:pPr>
        <w:numPr>
          <w:ilvl w:val="0"/>
          <w:numId w:val="1379"/>
        </w:numPr>
        <w:pStyle w:val="Compact"/>
      </w:pPr>
      <w:r>
        <w:t xml:space="preserve">2025 · Kushner RF ·</w:t>
      </w:r>
      <w:r>
        <w:t xml:space="preserve"> </w:t>
      </w:r>
      <w:r>
        <w:rPr>
          <w:iCs/>
          <w:i/>
        </w:rPr>
        <w:t xml:space="preserve">Obesity (Silver Spring)</w:t>
      </w:r>
      <w:r>
        <w:t xml:space="preserve"> </w:t>
      </w:r>
      <w:r>
        <w:t xml:space="preserve">· Safety profile of semaglutide versus placebo in the SELECT study: a randomized controlled trial. PMID 39948761</w:t>
      </w:r>
    </w:p>
    <w:p>
      <w:pPr>
        <w:numPr>
          <w:ilvl w:val="0"/>
          <w:numId w:val="1379"/>
        </w:numPr>
        <w:pStyle w:val="Compact"/>
      </w:pPr>
      <w:r>
        <w:t xml:space="preserve">2025 · Hendershot CS ·</w:t>
      </w:r>
      <w:r>
        <w:t xml:space="preserve"> </w:t>
      </w:r>
      <w:r>
        <w:rPr>
          <w:iCs/>
          <w:i/>
        </w:rPr>
        <w:t xml:space="preserve">JAMA Psychiatry</w:t>
      </w:r>
      <w:r>
        <w:t xml:space="preserve"> </w:t>
      </w:r>
      <w:r>
        <w:t xml:space="preserve">· Once-Weekly Semaglutide in Adults With Alcohol Use Disorder: A Randomized Clinical Trial. PMID 39937469</w:t>
      </w:r>
    </w:p>
    <w:p>
      <w:pPr>
        <w:numPr>
          <w:ilvl w:val="0"/>
          <w:numId w:val="1379"/>
        </w:numPr>
        <w:pStyle w:val="Compact"/>
      </w:pPr>
      <w:r>
        <w:t xml:space="preserve">2025 · McEwan P ·</w:t>
      </w:r>
      <w:r>
        <w:t xml:space="preserve"> </w:t>
      </w:r>
      <w:r>
        <w:rPr>
          <w:iCs/>
          <w:i/>
        </w:rPr>
        <w:t xml:space="preserve">J Med Econ</w:t>
      </w:r>
      <w:r>
        <w:t xml:space="preserve"> </w:t>
      </w:r>
      <w:r>
        <w:t xml:space="preserve">· Cost-effectiveness of semaglutide in people with obesity and cardiovascular disease without diabetes. PMID 39882599</w:t>
      </w:r>
    </w:p>
    <w:p>
      <w:pPr>
        <w:numPr>
          <w:ilvl w:val="0"/>
          <w:numId w:val="1379"/>
        </w:numPr>
        <w:pStyle w:val="Compact"/>
      </w:pPr>
      <w:r>
        <w:t xml:space="preserve">2025 · Petković-Dabić J ·</w:t>
      </w:r>
      <w:r>
        <w:t xml:space="preserve"> </w:t>
      </w:r>
      <w:r>
        <w:rPr>
          <w:iCs/>
          <w:i/>
        </w:rPr>
        <w:t xml:space="preserve">Biomolecules</w:t>
      </w:r>
      <w:r>
        <w:t xml:space="preserve"> </w:t>
      </w:r>
      <w:r>
        <w:t xml:space="preserve">· Effects of Semaglutide Treatment on Psoriatic Lesions in Obese Patients with Type 2 Diabetes Mellitus: An Open-Label, Randomized Clinical Trial. PMID 39858442</w:t>
      </w:r>
    </w:p>
    <w:p>
      <w:pPr>
        <w:numPr>
          <w:ilvl w:val="0"/>
          <w:numId w:val="1379"/>
        </w:numPr>
        <w:pStyle w:val="Compact"/>
      </w:pPr>
      <w:r>
        <w:t xml:space="preserve">2025 · Davies MJ ·</w:t>
      </w:r>
      <w:r>
        <w:t xml:space="preserve"> </w:t>
      </w:r>
      <w:r>
        <w:rPr>
          <w:iCs/>
          <w:i/>
        </w:rPr>
        <w:t xml:space="preserve">Lancet Diabetes Endocrinol</w:t>
      </w:r>
      <w:r>
        <w:t xml:space="preserve"> </w:t>
      </w:r>
      <w:r>
        <w:t xml:space="preserve">· Semaglutide in obesity-related heart failure with preserved ejection fraction and type 2 diabetes across baseline HbA(1c) levels (STEP-HFpEF DM): a prespecified analysis of heart failure and metabolic outcomes from a randomised, placebo-controlled trial. PMID 39848268</w:t>
      </w:r>
    </w:p>
    <w:p>
      <w:pPr>
        <w:numPr>
          <w:ilvl w:val="0"/>
          <w:numId w:val="1379"/>
        </w:numPr>
        <w:pStyle w:val="Compact"/>
      </w:pPr>
      <w:r>
        <w:t xml:space="preserve">2025 · Lingvay I ·</w:t>
      </w:r>
      <w:r>
        <w:t xml:space="preserve"> </w:t>
      </w:r>
      <w:r>
        <w:rPr>
          <w:iCs/>
          <w:i/>
        </w:rPr>
        <w:t xml:space="preserve">Diabetologia</w:t>
      </w:r>
      <w:r>
        <w:t xml:space="preserve"> </w:t>
      </w:r>
      <w:r>
        <w:t xml:space="preserve">· Once-weekly IcoSema versus once-weekly semaglutide in adults with type 2 diabetes: the COMBINE 2 randomised clinical trial. PMID 39820580</w:t>
      </w:r>
    </w:p>
    <w:p>
      <w:pPr>
        <w:numPr>
          <w:ilvl w:val="0"/>
          <w:numId w:val="1379"/>
        </w:numPr>
        <w:pStyle w:val="Compact"/>
      </w:pPr>
      <w:r>
        <w:t xml:space="preserve">2025 · Razavi AC ·</w:t>
      </w:r>
      <w:r>
        <w:t xml:space="preserve"> </w:t>
      </w:r>
      <w:r>
        <w:rPr>
          <w:iCs/>
          <w:i/>
        </w:rPr>
        <w:t xml:space="preserve">JACC Cardiovasc Imaging</w:t>
      </w:r>
      <w:r>
        <w:t xml:space="preserve"> </w:t>
      </w:r>
      <w:r>
        <w:t xml:space="preserve">· Allocation of Semaglutide According to Coronary Artery Calcium and BMI: Applying the SELECT Trial to MESA. PMID 39797878</w:t>
      </w:r>
    </w:p>
    <w:p>
      <w:pPr>
        <w:numPr>
          <w:ilvl w:val="0"/>
          <w:numId w:val="1379"/>
        </w:numPr>
        <w:pStyle w:val="Compact"/>
      </w:pPr>
      <w:r>
        <w:t xml:space="preserve">2025 · Pasqua MR ·</w:t>
      </w:r>
      <w:r>
        <w:t xml:space="preserve"> </w:t>
      </w:r>
      <w:r>
        <w:rPr>
          <w:iCs/>
          <w:i/>
        </w:rPr>
        <w:t xml:space="preserve">Nat Med</w:t>
      </w:r>
      <w:r>
        <w:t xml:space="preserve"> </w:t>
      </w:r>
      <w:r>
        <w:t xml:space="preserve">· Subcutaneous weekly semaglutide with automated insulin delivery in type 1 diabetes: a double-blind, randomized, crossover trial. PMID 39794615</w:t>
      </w:r>
    </w:p>
    <w:p>
      <w:pPr>
        <w:numPr>
          <w:ilvl w:val="0"/>
          <w:numId w:val="1379"/>
        </w:numPr>
        <w:pStyle w:val="Compact"/>
      </w:pPr>
      <w:r>
        <w:t xml:space="preserve">2025 · Cummings JL ·</w:t>
      </w:r>
      <w:r>
        <w:t xml:space="preserve"> </w:t>
      </w:r>
      <w:r>
        <w:rPr>
          <w:iCs/>
          <w:i/>
        </w:rPr>
        <w:t xml:space="preserve">Alzheimers Res Ther</w:t>
      </w:r>
      <w:r>
        <w:t xml:space="preserve"> </w:t>
      </w:r>
      <w:r>
        <w:t xml:space="preserve">· evoke and evoke+: design of two large-scale, double-blind, placebo-controlled, phase 3 studies evaluating efficacy, safety, and tolerability of semaglutide in early-stage symptomatic Alzheimer’s disease. PMID 39780249</w:t>
      </w:r>
    </w:p>
    <w:p>
      <w:pPr>
        <w:numPr>
          <w:ilvl w:val="0"/>
          <w:numId w:val="1379"/>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79"/>
        </w:numPr>
        <w:pStyle w:val="Compact"/>
      </w:pPr>
      <w:r>
        <w:t xml:space="preserve">2025 · Tchang BG ·</w:t>
      </w:r>
      <w:r>
        <w:t xml:space="preserve"> </w:t>
      </w:r>
      <w:r>
        <w:rPr>
          <w:iCs/>
          <w:i/>
        </w:rPr>
        <w:t xml:space="preserve">Obesity (Silver Spring)</w:t>
      </w:r>
      <w:r>
        <w:t xml:space="preserve"> </w:t>
      </w:r>
      <w:r>
        <w:t xml:space="preserve">· Effect of semaglutide 2.4 mg on use of antihypertensive and lipid-lowering treatment in five randomized controlled STEP trials. PMID 39756397</w:t>
      </w:r>
    </w:p>
    <w:p>
      <w:pPr>
        <w:numPr>
          <w:ilvl w:val="0"/>
          <w:numId w:val="1379"/>
        </w:numPr>
        <w:pStyle w:val="Compact"/>
      </w:pPr>
      <w:r>
        <w:t xml:space="preserve">2025 · Armstrong MJ ·</w:t>
      </w:r>
      <w:r>
        <w:t xml:space="preserve"> </w:t>
      </w:r>
      <w:r>
        <w:rPr>
          <w:iCs/>
          <w:i/>
        </w:rPr>
        <w:t xml:space="preserve">Diabetes Obes Metab</w:t>
      </w:r>
      <w:r>
        <w:t xml:space="preserve"> </w:t>
      </w:r>
      <w:r>
        <w:t xml:space="preserve">· Similar weight loss with semaglutide regardless of diabetes and cardiometabolic risk parameters in individuals with metabolic dysfunction-associated steatotic liver disease: Post hoc analysis of three randomised controlled trials. PMID 39609879</w:t>
      </w:r>
    </w:p>
    <w:p>
      <w:pPr>
        <w:numPr>
          <w:ilvl w:val="0"/>
          <w:numId w:val="1379"/>
        </w:numPr>
        <w:pStyle w:val="Compact"/>
      </w:pPr>
      <w:r>
        <w:t xml:space="preserve">2025 · Rodriguez P ·</w:t>
      </w:r>
      <w:r>
        <w:t xml:space="preserve"> </w:t>
      </w:r>
      <w:r>
        <w:rPr>
          <w:iCs/>
          <w:i/>
        </w:rPr>
        <w:t xml:space="preserve">Diabetes Obes Metab</w:t>
      </w:r>
      <w:r>
        <w:t xml:space="preserve"> </w:t>
      </w:r>
      <w:r>
        <w:t xml:space="preserve">· De-intensification of basal-bolus therapy by replacing prandial insulin with once-weekly subcutaneous semaglutide in individuals with well-controlled type 2 diabetes: A single-centre, open-label randomised trial (TRANSITION-T2D). PMID 39532398</w:t>
      </w:r>
    </w:p>
    <w:p>
      <w:pPr>
        <w:numPr>
          <w:ilvl w:val="0"/>
          <w:numId w:val="1379"/>
        </w:numPr>
        <w:pStyle w:val="Compact"/>
      </w:pPr>
      <w:r>
        <w:t xml:space="preserve">2025 · Gregorič N ·</w:t>
      </w:r>
      <w:r>
        <w:t xml:space="preserve"> </w:t>
      </w:r>
      <w:r>
        <w:rPr>
          <w:iCs/>
          <w:i/>
        </w:rPr>
        <w:t xml:space="preserve">Diabetes Obes Metab</w:t>
      </w:r>
      <w:r>
        <w:t xml:space="preserve"> </w:t>
      </w:r>
      <w:r>
        <w:t xml:space="preserve">· Semaglutide improved sperm morphology in obese men with type 2 diabetes mellitus and functional hypogonadism. PMID 39511836</w:t>
      </w:r>
    </w:p>
    <w:p>
      <w:pPr>
        <w:numPr>
          <w:ilvl w:val="0"/>
          <w:numId w:val="1379"/>
        </w:numPr>
        <w:pStyle w:val="Compact"/>
      </w:pPr>
      <w:r>
        <w:t xml:space="preserve">2025 · Apperloo EM ·</w:t>
      </w:r>
      <w:r>
        <w:t xml:space="preserve"> </w:t>
      </w:r>
      <w:r>
        <w:rPr>
          <w:iCs/>
          <w:i/>
        </w:rPr>
        <w:t xml:space="preserve">Nat Med</w:t>
      </w:r>
      <w:r>
        <w:t xml:space="preserve"> </w:t>
      </w:r>
      <w:r>
        <w:t xml:space="preserve">· Semaglutide in patients with overweight or obesity and chronic kidney disease without diabetes: a randomized double-blind placebo-controlled clinical trial. PMID 39455729</w:t>
      </w:r>
    </w:p>
    <w:p>
      <w:pPr>
        <w:numPr>
          <w:ilvl w:val="0"/>
          <w:numId w:val="1379"/>
        </w:numPr>
        <w:pStyle w:val="Compact"/>
      </w:pPr>
      <w:r>
        <w:t xml:space="preserve">2025 · Mahaffey KW ·</w:t>
      </w:r>
      <w:r>
        <w:t xml:space="preserve"> </w:t>
      </w:r>
      <w:r>
        <w:rPr>
          <w:iCs/>
          <w:i/>
        </w:rPr>
        <w:t xml:space="preserve">Eur Heart J</w:t>
      </w:r>
      <w:r>
        <w:t xml:space="preserve"> </w:t>
      </w:r>
      <w:r>
        <w:t xml:space="preserve">· Cardiovascular outcomes with semaglutide by severity of chronic kidney disease in type 2 diabetes: the FLOW trial. PMID 39211948</w:t>
      </w:r>
    </w:p>
    <w:p>
      <w:pPr>
        <w:numPr>
          <w:ilvl w:val="0"/>
          <w:numId w:val="1379"/>
        </w:numPr>
        <w:pStyle w:val="Compact"/>
      </w:pPr>
      <w:r>
        <w:t xml:space="preserve">2025 · Ditzenberger GL ·</w:t>
      </w:r>
      <w:r>
        <w:t xml:space="preserve"> </w:t>
      </w:r>
      <w:r>
        <w:rPr>
          <w:iCs/>
          <w:i/>
        </w:rPr>
        <w:t xml:space="preserve">Clin Infect Dis</w:t>
      </w:r>
      <w:r>
        <w:t xml:space="preserve"> </w:t>
      </w:r>
      <w:r>
        <w:t xml:space="preserve">· Effects of Semaglutide on Muscle Structure and Function in the SLIM LIVER Study. PMID 39046173</w:t>
      </w:r>
    </w:p>
    <w:p>
      <w:pPr>
        <w:numPr>
          <w:ilvl w:val="0"/>
          <w:numId w:val="1379"/>
        </w:numPr>
        <w:pStyle w:val="Compact"/>
      </w:pPr>
      <w:r>
        <w:t xml:space="preserve">2025 · Apperloo EM ·</w:t>
      </w:r>
      <w:r>
        <w:t xml:space="preserve"> </w:t>
      </w:r>
      <w:r>
        <w:rPr>
          <w:iCs/>
          <w:i/>
        </w:rPr>
        <w:t xml:space="preserve">Nephrol Dial Transplant</w:t>
      </w:r>
      <w:r>
        <w:t xml:space="preserve"> </w:t>
      </w:r>
      <w:r>
        <w:t xml:space="preserve">· Effect of semaglutide on kidney function across different levels of baseline HbA1c, blood pressure, body weight and albuminuria in SUSTAIN 6 and PIONEER 6. PMID 38955363</w:t>
      </w:r>
    </w:p>
    <w:p>
      <w:pPr>
        <w:numPr>
          <w:ilvl w:val="0"/>
          <w:numId w:val="1379"/>
        </w:numPr>
        <w:pStyle w:val="Compact"/>
      </w:pPr>
      <w:r>
        <w:t xml:space="preserve">2025 · Nomoto H ·</w:t>
      </w:r>
      <w:r>
        <w:t xml:space="preserve"> </w:t>
      </w:r>
      <w:r>
        <w:rPr>
          <w:iCs/>
          <w:i/>
        </w:rPr>
        <w:t xml:space="preserve">J Clin Endocrinol Metab</w:t>
      </w:r>
      <w:r>
        <w:t xml:space="preserve"> </w:t>
      </w:r>
      <w:r>
        <w:t xml:space="preserve">· Improvement of β-Cell Function After Switching From DPP-4 Inhibitors to Oral Semaglutide: SWITCH-SEMA2 Post Hoc Analysis. PMID 38695547</w:t>
      </w:r>
    </w:p>
    <w:p>
      <w:pPr>
        <w:numPr>
          <w:ilvl w:val="0"/>
          <w:numId w:val="1379"/>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9"/>
        </w:numPr>
        <w:pStyle w:val="Compact"/>
      </w:pPr>
      <w:r>
        <w:t xml:space="preserve">2024 · Kadowaki T ·</w:t>
      </w:r>
      <w:r>
        <w:t xml:space="preserve"> </w:t>
      </w:r>
      <w:r>
        <w:rPr>
          <w:iCs/>
          <w:i/>
        </w:rPr>
        <w:t xml:space="preserve">Obes Res Clin Pract</w:t>
      </w:r>
      <w:r>
        <w:t xml:space="preserve"> </w:t>
      </w:r>
      <w:r>
        <w:t xml:space="preserve">· Clinical characteristics affecting weight loss in an East Asian population receiving semaglutide: A STEP 6 subgroup analysis. PMID 39824696</w:t>
      </w:r>
    </w:p>
    <w:p>
      <w:pPr>
        <w:numPr>
          <w:ilvl w:val="0"/>
          <w:numId w:val="1379"/>
        </w:numPr>
        <w:pStyle w:val="Compact"/>
      </w:pPr>
      <w:r>
        <w:t xml:space="preserve">2024 · Westergaard L ·</w:t>
      </w:r>
      <w:r>
        <w:t xml:space="preserve"> </w:t>
      </w:r>
      <w:r>
        <w:rPr>
          <w:iCs/>
          <w:i/>
        </w:rPr>
        <w:t xml:space="preserve">Clin Drug Investig</w:t>
      </w:r>
      <w:r>
        <w:t xml:space="preserve"> </w:t>
      </w:r>
      <w:r>
        <w:t xml:space="preserve">· Pharmacokinetic Properties of a Once-Weekly Fixed-Ratio Combination of Insulin Icodec and Semaglutide Compared with Separate Administration of Each Component in Individuals with Type 2 Diabetes Mellitus. PMID 39488821</w:t>
      </w:r>
    </w:p>
    <w:p>
      <w:pPr>
        <w:numPr>
          <w:ilvl w:val="0"/>
          <w:numId w:val="1379"/>
        </w:numPr>
        <w:pStyle w:val="Compact"/>
      </w:pPr>
      <w:r>
        <w:t xml:space="preserve">2024 · Bliddal H ·</w:t>
      </w:r>
      <w:r>
        <w:t xml:space="preserve"> </w:t>
      </w:r>
      <w:r>
        <w:rPr>
          <w:iCs/>
          <w:i/>
        </w:rPr>
        <w:t xml:space="preserve">N Engl J Med</w:t>
      </w:r>
      <w:r>
        <w:t xml:space="preserve"> </w:t>
      </w:r>
      <w:r>
        <w:t xml:space="preserve">· Once-Weekly Semaglutide in Persons with Obesity and Knee Osteoarthritis. PMID 39476339</w:t>
      </w:r>
    </w:p>
    <w:p>
      <w:pPr>
        <w:numPr>
          <w:ilvl w:val="0"/>
          <w:numId w:val="1379"/>
        </w:numPr>
        <w:pStyle w:val="Compact"/>
      </w:pPr>
      <w:r>
        <w:t xml:space="preserve">2024 · Saravanan P ·</w:t>
      </w:r>
      <w:r>
        <w:t xml:space="preserve"> </w:t>
      </w:r>
      <w:r>
        <w:rPr>
          <w:iCs/>
          <w:i/>
        </w:rPr>
        <w:t xml:space="preserve">Adv Ther</w:t>
      </w:r>
      <w:r>
        <w:t xml:space="preserve"> </w:t>
      </w:r>
      <w:r>
        <w:t xml:space="preserve">· PIONEER REAL UK: A Multi-Centre, Prospective, Real-World Study of Once-Daily Oral Semaglutide Use in Adults with Type 2 Diabetes. PMID 39316289</w:t>
      </w:r>
    </w:p>
    <w:p>
      <w:pPr>
        <w:numPr>
          <w:ilvl w:val="0"/>
          <w:numId w:val="1379"/>
        </w:numPr>
        <w:pStyle w:val="Compact"/>
      </w:pPr>
      <w:r>
        <w:t xml:space="preserve">2024 · Ji L ·</w:t>
      </w:r>
      <w:r>
        <w:t xml:space="preserve"> </w:t>
      </w:r>
      <w:r>
        <w:rPr>
          <w:iCs/>
          <w:i/>
        </w:rPr>
        <w:t xml:space="preserve">Diabetes Obes Metab</w:t>
      </w:r>
      <w:r>
        <w:t xml:space="preserve"> </w:t>
      </w:r>
      <w:r>
        <w:t xml:space="preserve">· Impact of baseline characteristics on the efficacy of once-weekly subcutaneous semaglutide among participants with type 2 diabetes: A post hoc analysis of SUSTAIN China. PMID 39279647</w:t>
      </w:r>
    </w:p>
    <w:p>
      <w:pPr>
        <w:numPr>
          <w:ilvl w:val="0"/>
          <w:numId w:val="1379"/>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79"/>
        </w:numPr>
        <w:pStyle w:val="Compact"/>
      </w:pPr>
      <w:r>
        <w:t xml:space="preserve">2024 · Wadden TA ·</w:t>
      </w:r>
      <w:r>
        <w:t xml:space="preserve"> </w:t>
      </w:r>
      <w:r>
        <w:rPr>
          <w:iCs/>
          <w:i/>
        </w:rPr>
        <w:t xml:space="preserve">JAMA Intern Med</w:t>
      </w:r>
      <w:r>
        <w:t xml:space="preserve"> </w:t>
      </w:r>
      <w:r>
        <w:t xml:space="preserve">· Psychiatric Safety of Semaglutide for Weight Management in People Without Known Major Psychopathology: Post Hoc Analysis of the STEP 1, 2, 3, and 5 Trials. PMID 39226070</w:t>
      </w:r>
    </w:p>
    <w:p>
      <w:pPr>
        <w:numPr>
          <w:ilvl w:val="0"/>
          <w:numId w:val="1379"/>
        </w:numPr>
        <w:pStyle w:val="Compact"/>
      </w:pPr>
      <w:r>
        <w:t xml:space="preserve">2024 · Kosiborod MN ·</w:t>
      </w:r>
      <w:r>
        <w:t xml:space="preserve"> </w:t>
      </w:r>
      <w:r>
        <w:rPr>
          <w:iCs/>
          <w:i/>
        </w:rPr>
        <w:t xml:space="preserve">Lancet</w:t>
      </w:r>
      <w:r>
        <w:t xml:space="preserve"> </w:t>
      </w:r>
      <w:r>
        <w:t xml:space="preserve">· Semaglutide versus placebo in patients with heart failure and mildly reduced or preserved ejection fraction: a pooled analysis of the SELECT, FLOW, STEP-HFpEF, and STEP-HFpEF DM randomised trials. PMID 39222642</w:t>
      </w:r>
    </w:p>
    <w:p>
      <w:pPr>
        <w:numPr>
          <w:ilvl w:val="0"/>
          <w:numId w:val="1379"/>
        </w:numPr>
        <w:pStyle w:val="Compact"/>
      </w:pPr>
      <w:r>
        <w:t xml:space="preserve">2024 · Selvarajah V ·</w:t>
      </w:r>
      <w:r>
        <w:t xml:space="preserve"> </w:t>
      </w:r>
      <w:r>
        <w:rPr>
          <w:iCs/>
          <w:i/>
        </w:rPr>
        <w:t xml:space="preserve">Kidney Int</w:t>
      </w:r>
      <w:r>
        <w:t xml:space="preserve"> </w:t>
      </w:r>
      <w:r>
        <w:t xml:space="preserve">· A randomized phase 2b trial examined the effects of the glucagon-like peptide-1 and glucagon receptor agonist cotadutide on kidney outcomes in patients with diabetic kidney disease. PMID 39218393</w:t>
      </w:r>
    </w:p>
    <w:p>
      <w:pPr>
        <w:numPr>
          <w:ilvl w:val="0"/>
          <w:numId w:val="1379"/>
        </w:numPr>
        <w:pStyle w:val="Compact"/>
      </w:pPr>
      <w:r>
        <w:t xml:space="preserve">2024 · Solomon SD ·</w:t>
      </w:r>
      <w:r>
        <w:t xml:space="preserve"> </w:t>
      </w:r>
      <w:r>
        <w:rPr>
          <w:iCs/>
          <w:i/>
        </w:rPr>
        <w:t xml:space="preserve">J Am Coll Cardiol</w:t>
      </w:r>
      <w:r>
        <w:t xml:space="preserve"> </w:t>
      </w:r>
      <w:r>
        <w:t xml:space="preserve">· Effect of Semaglutide on Cardiac Structure and Function in Patients With Obesity-Related Heart Failure. PMID 39217567</w:t>
      </w:r>
    </w:p>
    <w:p>
      <w:pPr>
        <w:numPr>
          <w:ilvl w:val="0"/>
          <w:numId w:val="1379"/>
        </w:numPr>
        <w:pStyle w:val="Compact"/>
      </w:pPr>
      <w:r>
        <w:t xml:space="preserve">2024 · Verma S ·</w:t>
      </w:r>
      <w:r>
        <w:t xml:space="preserve"> </w:t>
      </w:r>
      <w:r>
        <w:rPr>
          <w:iCs/>
          <w:i/>
        </w:rPr>
        <w:t xml:space="preserve">J Am Coll Cardiol</w:t>
      </w:r>
      <w:r>
        <w:t xml:space="preserve"> </w:t>
      </w:r>
      <w:r>
        <w:t xml:space="preserve">· Atrial Fibrillation and Semaglutide Effects in Obesity-Related Heart Failure With Preserved Ejection Fraction: STEP-HFpEF Program. PMID 39217565</w:t>
      </w:r>
    </w:p>
    <w:p>
      <w:pPr>
        <w:numPr>
          <w:ilvl w:val="0"/>
          <w:numId w:val="1379"/>
        </w:numPr>
        <w:pStyle w:val="Compact"/>
      </w:pPr>
      <w:r>
        <w:t xml:space="preserve">2024 · Verma S ·</w:t>
      </w:r>
      <w:r>
        <w:t xml:space="preserve"> </w:t>
      </w:r>
      <w:r>
        <w:rPr>
          <w:iCs/>
          <w:i/>
        </w:rPr>
        <w:t xml:space="preserve">J Am Coll Cardiol</w:t>
      </w:r>
      <w:r>
        <w:t xml:space="preserve"> </w:t>
      </w:r>
      <w:r>
        <w:t xml:space="preserve">· Inflammation in Obesity-Related HFpEF: The STEP-HFpEF Program. PMID 39217564</w:t>
      </w:r>
    </w:p>
    <w:p>
      <w:pPr>
        <w:numPr>
          <w:ilvl w:val="0"/>
          <w:numId w:val="1379"/>
        </w:numPr>
        <w:pStyle w:val="Compact"/>
      </w:pPr>
      <w:r>
        <w:t xml:space="preserve">2024 · Scirica BM ·</w:t>
      </w:r>
      <w:r>
        <w:t xml:space="preserve"> </w:t>
      </w:r>
      <w:r>
        <w:rPr>
          <w:iCs/>
          <w:i/>
        </w:rPr>
        <w:t xml:space="preserve">J Am Coll Cardiol</w:t>
      </w:r>
      <w:r>
        <w:t xml:space="preserve"> </w:t>
      </w:r>
      <w:r>
        <w:t xml:space="preserve">· The Effect of Semaglutide on Mortality and COVID-19-Related Deaths: An Analysis From the SELECT Trial. PMID 39217559</w:t>
      </w:r>
    </w:p>
    <w:p>
      <w:pPr>
        <w:numPr>
          <w:ilvl w:val="0"/>
          <w:numId w:val="1379"/>
        </w:numPr>
        <w:pStyle w:val="Compact"/>
      </w:pPr>
      <w:r>
        <w:t xml:space="preserve">2024 · Pratley RE ·</w:t>
      </w:r>
      <w:r>
        <w:t xml:space="preserve"> </w:t>
      </w:r>
      <w:r>
        <w:rPr>
          <w:iCs/>
          <w:i/>
        </w:rPr>
        <w:t xml:space="preserve">J Am Coll Cardiol</w:t>
      </w:r>
      <w:r>
        <w:t xml:space="preserve"> </w:t>
      </w:r>
      <w:r>
        <w:t xml:space="preserve">· Effects of Semaglutide on Heart Failure Outcomes in Diabetes and Chronic Kidney Disease in the FLOW Trial. PMID 39217553</w:t>
      </w:r>
    </w:p>
    <w:p>
      <w:pPr>
        <w:numPr>
          <w:ilvl w:val="0"/>
          <w:numId w:val="1379"/>
        </w:numPr>
        <w:pStyle w:val="Compact"/>
      </w:pPr>
      <w:r>
        <w:t xml:space="preserve">2024 · Younis IR ·</w:t>
      </w:r>
      <w:r>
        <w:t xml:space="preserve"> </w:t>
      </w:r>
      <w:r>
        <w:rPr>
          <w:iCs/>
          <w:i/>
        </w:rPr>
        <w:t xml:space="preserve">J Clin Pharmacol</w:t>
      </w:r>
      <w:r>
        <w:t xml:space="preserve"> </w:t>
      </w:r>
      <w:r>
        <w:t xml:space="preserve">· Pharmacokinetics and Safety of Cilofexor and Firsocostat in Healthy Japanese and Non-Japanese Participants. PMID 39213138</w:t>
      </w:r>
    </w:p>
    <w:p>
      <w:pPr>
        <w:numPr>
          <w:ilvl w:val="0"/>
          <w:numId w:val="1379"/>
        </w:numPr>
        <w:pStyle w:val="Compact"/>
      </w:pPr>
      <w:r>
        <w:t xml:space="preserve">2024 · Wang J ·</w:t>
      </w:r>
      <w:r>
        <w:t xml:space="preserve"> </w:t>
      </w:r>
      <w:r>
        <w:rPr>
          <w:iCs/>
          <w:i/>
        </w:rPr>
        <w:t xml:space="preserve">Diabetes Obes Metab</w:t>
      </w:r>
      <w:r>
        <w:t xml:space="preserve"> </w:t>
      </w:r>
      <w:r>
        <w:t xml:space="preserve">· Effect of semaglutide on primary prevention of diabetic kidney disease in people with type 2 diabetes: A post hoc analysis of the SUSTAIN 6 randomized controlled trial. PMID 39188242</w:t>
      </w:r>
    </w:p>
    <w:p>
      <w:pPr>
        <w:numPr>
          <w:ilvl w:val="0"/>
          <w:numId w:val="1379"/>
        </w:numPr>
        <w:pStyle w:val="Compact"/>
      </w:pPr>
      <w:r>
        <w:t xml:space="preserve">2024 · Deanfield J ·</w:t>
      </w:r>
      <w:r>
        <w:t xml:space="preserve"> </w:t>
      </w:r>
      <w:r>
        <w:rPr>
          <w:iCs/>
          <w:i/>
        </w:rPr>
        <w:t xml:space="preserve">Lancet</w:t>
      </w:r>
      <w:r>
        <w:t xml:space="preserve"> </w:t>
      </w:r>
      <w:r>
        <w:t xml:space="preserve">· Semaglutide and cardiovascular outcomes in patients with obesity and prevalent heart failure: a prespecified analysis of the SELECT trial. PMID 39181597</w:t>
      </w:r>
    </w:p>
    <w:p>
      <w:pPr>
        <w:numPr>
          <w:ilvl w:val="0"/>
          <w:numId w:val="1379"/>
        </w:numPr>
        <w:pStyle w:val="Compact"/>
      </w:pPr>
      <w:r>
        <w:t xml:space="preserve">2024 · El-Nayir M ·</w:t>
      </w:r>
      <w:r>
        <w:t xml:space="preserve"> </w:t>
      </w:r>
      <w:r>
        <w:rPr>
          <w:iCs/>
          <w:i/>
        </w:rPr>
        <w:t xml:space="preserve">Trials</w:t>
      </w:r>
      <w:r>
        <w:t xml:space="preserve"> </w:t>
      </w:r>
      <w:r>
        <w:t xml:space="preserve">· Patient and public involvement and engagement in the ASCEND PLUS trial: reflections from the design of a streamlined and decentralised clinical trial. PMID 39175005</w:t>
      </w:r>
    </w:p>
    <w:p>
      <w:pPr>
        <w:numPr>
          <w:ilvl w:val="0"/>
          <w:numId w:val="1379"/>
        </w:numPr>
        <w:pStyle w:val="Compact"/>
      </w:pPr>
      <w:r>
        <w:t xml:space="preserve">2024 · Liu X ·</w:t>
      </w:r>
      <w:r>
        <w:t xml:space="preserve"> </w:t>
      </w:r>
      <w:r>
        <w:rPr>
          <w:iCs/>
          <w:i/>
        </w:rPr>
        <w:t xml:space="preserve">J Diabetes Investig</w:t>
      </w:r>
      <w:r>
        <w:t xml:space="preserve"> </w:t>
      </w:r>
      <w:r>
        <w:t xml:space="preserve">· Application of the integrated data platform combined with dietary management for adults with diabetes: A prospective randomized controlled trial. PMID 39171608</w:t>
      </w:r>
    </w:p>
    <w:p>
      <w:pPr>
        <w:numPr>
          <w:ilvl w:val="0"/>
          <w:numId w:val="1379"/>
        </w:numPr>
        <w:pStyle w:val="Compact"/>
      </w:pPr>
      <w:r>
        <w:t xml:space="preserve">2024 · Manubolu VS ·</w:t>
      </w:r>
      <w:r>
        <w:t xml:space="preserve"> </w:t>
      </w:r>
      <w:r>
        <w:rPr>
          <w:iCs/>
          <w:i/>
        </w:rPr>
        <w:t xml:space="preserve">J Am Coll Cardiol</w:t>
      </w:r>
      <w:r>
        <w:t xml:space="preserve"> </w:t>
      </w:r>
      <w:r>
        <w:t xml:space="preserve">· Effect of Semaglutide on Epicardial Adipose Tissue in Type 2 Diabetes: Insights From the STOP (Semaglutide Treatment effect On coronary atherosclerosis Progression) Randomized Trial. PMID 39168573</w:t>
      </w:r>
    </w:p>
    <w:p>
      <w:pPr>
        <w:numPr>
          <w:ilvl w:val="0"/>
          <w:numId w:val="1379"/>
        </w:numPr>
        <w:pStyle w:val="Compact"/>
      </w:pPr>
      <w:r>
        <w:t xml:space="preserve">2024 · Yang W ·</w:t>
      </w:r>
      <w:r>
        <w:t xml:space="preserve"> </w:t>
      </w:r>
      <w:r>
        <w:rPr>
          <w:iCs/>
          <w:i/>
        </w:rPr>
        <w:t xml:space="preserve">Medicine (Baltimore)</w:t>
      </w:r>
      <w:r>
        <w:t xml:space="preserve"> </w:t>
      </w:r>
      <w:r>
        <w:t xml:space="preserve">· Real world study of GLP-1 receptor agonists in overweight or obese type 2 diabetes by using repeated measurement analysis of variance. PMID 39121301</w:t>
      </w:r>
    </w:p>
    <w:p>
      <w:pPr>
        <w:numPr>
          <w:ilvl w:val="0"/>
          <w:numId w:val="1379"/>
        </w:numPr>
        <w:pStyle w:val="Compact"/>
      </w:pPr>
      <w:r>
        <w:t xml:space="preserve">2024 · McGowan BM ·</w:t>
      </w:r>
      <w:r>
        <w:t xml:space="preserve"> </w:t>
      </w:r>
      <w:r>
        <w:rPr>
          <w:iCs/>
          <w:i/>
        </w:rPr>
        <w:t xml:space="preserve">Lancet Diabetes Endocrinol</w:t>
      </w:r>
      <w:r>
        <w:t xml:space="preserve"> </w:t>
      </w:r>
      <w:r>
        <w:t xml:space="preserve">· Efficacy and safety of once-weekly semaglutide 2·4 mg versus placebo in people with obesity and prediabetes (STEP 10): a randomised, double-blind, placebo-controlled, multicentre phase 3 trial. PMID 39089293</w:t>
      </w:r>
    </w:p>
    <w:p>
      <w:pPr>
        <w:numPr>
          <w:ilvl w:val="0"/>
          <w:numId w:val="1379"/>
        </w:numPr>
        <w:pStyle w:val="Compact"/>
      </w:pPr>
      <w:r>
        <w:t xml:space="preserve">2024 · Gabe MBN ·</w:t>
      </w:r>
      <w:r>
        <w:t xml:space="preserve"> </w:t>
      </w:r>
      <w:r>
        <w:rPr>
          <w:iCs/>
          <w:i/>
        </w:rPr>
        <w:t xml:space="preserve">Diabetes Obes Metab</w:t>
      </w:r>
      <w:r>
        <w:t xml:space="preserve"> </w:t>
      </w:r>
      <w:r>
        <w:t xml:space="preserve">· Effect of oral semaglutide on energy intake, appetite, control of eating and gastric emptying in adults living with obesity: A randomized controlled trial. PMID 39082206</w:t>
      </w:r>
    </w:p>
    <w:p>
      <w:pPr>
        <w:numPr>
          <w:ilvl w:val="0"/>
          <w:numId w:val="1379"/>
        </w:numPr>
        <w:pStyle w:val="Compact"/>
      </w:pPr>
      <w:r>
        <w:t xml:space="preserve">2024 · Vernstrøm L ·</w:t>
      </w:r>
      <w:r>
        <w:t xml:space="preserve"> </w:t>
      </w:r>
      <w:r>
        <w:rPr>
          <w:iCs/>
          <w:i/>
        </w:rPr>
        <w:t xml:space="preserve">Diabetologia</w:t>
      </w:r>
      <w:r>
        <w:t xml:space="preserve"> </w:t>
      </w:r>
      <w:r>
        <w:t xml:space="preserve">· Effects of semaglutide, empagliflozin and their combination on renal diffusion-weighted MRI and total kidney volume in patients with type 2 diabetes: a post hoc analysis from a 32 week randomised trial. PMID 39078489</w:t>
      </w:r>
    </w:p>
    <w:p>
      <w:pPr>
        <w:numPr>
          <w:ilvl w:val="0"/>
          <w:numId w:val="1379"/>
        </w:numPr>
        <w:pStyle w:val="Compact"/>
      </w:pPr>
      <w:r>
        <w:t xml:space="preserve">2024 · Anyiam O ·</w:t>
      </w:r>
      <w:r>
        <w:t xml:space="preserve"> </w:t>
      </w:r>
      <w:r>
        <w:rPr>
          <w:iCs/>
          <w:i/>
        </w:rPr>
        <w:t xml:space="preserve">Clin Nutr</w:t>
      </w:r>
      <w:r>
        <w:t xml:space="preserve"> </w:t>
      </w:r>
      <w:r>
        <w:t xml:space="preserve">· Metabolic effects of very-low calorie diet, Semaglutide, or combination of the two, in individuals with type 2 diabetes mellitus. PMID 38996661</w:t>
      </w:r>
    </w:p>
    <w:p>
      <w:pPr>
        <w:numPr>
          <w:ilvl w:val="0"/>
          <w:numId w:val="1379"/>
        </w:numPr>
        <w:pStyle w:val="Compact"/>
      </w:pPr>
      <w:r>
        <w:t xml:space="preserve">2024 · Wang W ·</w:t>
      </w:r>
      <w:r>
        <w:t xml:space="preserve"> </w:t>
      </w:r>
      <w:r>
        <w:rPr>
          <w:iCs/>
          <w:i/>
        </w:rPr>
        <w:t xml:space="preserve">Diabetologia</w:t>
      </w:r>
      <w:r>
        <w:t xml:space="preserve"> </w:t>
      </w:r>
      <w:r>
        <w:t xml:space="preserve">· Efficacy and safety of oral semaglutide monotherapy vs placebo in a predominantly Chinese population with type 2 diabetes (PIONEER 11): a double-blind, Phase IIIa, randomised trial. PMID 38985162</w:t>
      </w:r>
    </w:p>
    <w:p>
      <w:pPr>
        <w:numPr>
          <w:ilvl w:val="0"/>
          <w:numId w:val="1379"/>
        </w:numPr>
        <w:pStyle w:val="Compact"/>
      </w:pPr>
      <w:r>
        <w:t xml:space="preserve">2024 · Ji L ·</w:t>
      </w:r>
      <w:r>
        <w:t xml:space="preserve"> </w:t>
      </w:r>
      <w:r>
        <w:rPr>
          <w:iCs/>
          <w:i/>
        </w:rPr>
        <w:t xml:space="preserve">Diabetologia</w:t>
      </w:r>
      <w:r>
        <w:t xml:space="preserve"> </w:t>
      </w:r>
      <w:r>
        <w:t xml:space="preserve">· Efficacy and safety of oral semaglutide vs sitagliptin in a predominantly Chinese population with type 2 diabetes uncontrolled with metformin: PIONEER 12, a double-blind, Phase IIIa, randomised trial. PMID 38985161</w:t>
      </w:r>
    </w:p>
    <w:p>
      <w:pPr>
        <w:numPr>
          <w:ilvl w:val="0"/>
          <w:numId w:val="1379"/>
        </w:numPr>
        <w:pStyle w:val="Compact"/>
      </w:pPr>
      <w:r>
        <w:t xml:space="preserve">2024 · Eckard AR ·</w:t>
      </w:r>
      <w:r>
        <w:t xml:space="preserve"> </w:t>
      </w:r>
      <w:r>
        <w:rPr>
          <w:iCs/>
          <w:i/>
        </w:rPr>
        <w:t xml:space="preserve">Lancet Diabetes Endocrinol</w:t>
      </w:r>
      <w:r>
        <w:t xml:space="preserve"> </w:t>
      </w:r>
      <w:r>
        <w:t xml:space="preserve">· Once-weekly semaglutide in people with HIV-associated lipohypertrophy: a randomised, double-blind, placebo-controlled phase 2b single-centre clinical trial. PMID 38964353</w:t>
      </w:r>
    </w:p>
    <w:p>
      <w:pPr>
        <w:numPr>
          <w:ilvl w:val="0"/>
          <w:numId w:val="1379"/>
        </w:numPr>
        <w:pStyle w:val="Compact"/>
      </w:pPr>
      <w:r>
        <w:t xml:space="preserve">2024 · Mann JFE ·</w:t>
      </w:r>
      <w:r>
        <w:t xml:space="preserve"> </w:t>
      </w:r>
      <w:r>
        <w:rPr>
          <w:iCs/>
          <w:i/>
        </w:rPr>
        <w:t xml:space="preserve">Nat Med</w:t>
      </w:r>
      <w:r>
        <w:t xml:space="preserve"> </w:t>
      </w:r>
      <w:r>
        <w:t xml:space="preserve">· Effects of semaglutide with and without concomitant SGLT2 inhibitor use in participants with type 2 diabetes and chronic kidney disease in the FLOW trial. PMID 38914124</w:t>
      </w:r>
    </w:p>
    <w:p>
      <w:pPr>
        <w:numPr>
          <w:ilvl w:val="0"/>
          <w:numId w:val="1379"/>
        </w:numPr>
        <w:pStyle w:val="Compact"/>
      </w:pPr>
      <w:r>
        <w:t xml:space="preserve">2024 · Schou M ·</w:t>
      </w:r>
      <w:r>
        <w:t xml:space="preserve"> </w:t>
      </w:r>
      <w:r>
        <w:rPr>
          <w:iCs/>
          <w:i/>
        </w:rPr>
        <w:t xml:space="preserve">J Am Coll Cardiol</w:t>
      </w:r>
      <w:r>
        <w:t xml:space="preserve"> </w:t>
      </w:r>
      <w:r>
        <w:t xml:space="preserve">· Semaglutide and NYHA Functional Class in Obesity-Related Heart Failure With Preserved Ejection Fraction: The STEP-HFpEF Program. PMID 38913004</w:t>
      </w:r>
    </w:p>
    <w:p>
      <w:pPr>
        <w:numPr>
          <w:ilvl w:val="0"/>
          <w:numId w:val="1379"/>
        </w:numPr>
        <w:pStyle w:val="Compact"/>
      </w:pPr>
      <w:r>
        <w:t xml:space="preserve">2024 · Verma S ·</w:t>
      </w:r>
      <w:r>
        <w:t xml:space="preserve"> </w:t>
      </w:r>
      <w:r>
        <w:rPr>
          <w:iCs/>
          <w:i/>
        </w:rPr>
        <w:t xml:space="preserve">J Am Coll Cardiol</w:t>
      </w:r>
      <w:r>
        <w:t xml:space="preserve"> </w:t>
      </w:r>
      <w:r>
        <w:t xml:space="preserve">· Efficacy of Semaglutide by Sex in Obesity-Related Heart Failure With Preserved Ejection Fraction: STEP-HFpEF Trials. PMID 38913003</w:t>
      </w:r>
    </w:p>
    <w:p>
      <w:pPr>
        <w:numPr>
          <w:ilvl w:val="0"/>
          <w:numId w:val="1379"/>
        </w:numPr>
        <w:pStyle w:val="Compact"/>
      </w:pPr>
      <w:r>
        <w:t xml:space="preserve">2024 · Lingvay I ·</w:t>
      </w:r>
      <w:r>
        <w:t xml:space="preserve"> </w:t>
      </w:r>
      <w:r>
        <w:rPr>
          <w:iCs/>
          <w:i/>
        </w:rPr>
        <w:t xml:space="preserve">Diabetes Care</w:t>
      </w:r>
      <w:r>
        <w:t xml:space="preserve"> </w:t>
      </w:r>
      <w:r>
        <w:t xml:space="preserve">· Semaglutide and Cardiovascular Outcomes by Baseline HbA1c and Change in HbA1c in People With Overweight or Obesity but Without Diabetes in SELECT. PMID 38907684</w:t>
      </w:r>
    </w:p>
    <w:p>
      <w:pPr>
        <w:numPr>
          <w:ilvl w:val="0"/>
          <w:numId w:val="1379"/>
        </w:numPr>
        <w:pStyle w:val="Compact"/>
      </w:pPr>
      <w:r>
        <w:t xml:space="preserve">2024 · Kahn SE ·</w:t>
      </w:r>
      <w:r>
        <w:t xml:space="preserve"> </w:t>
      </w:r>
      <w:r>
        <w:rPr>
          <w:iCs/>
          <w:i/>
        </w:rPr>
        <w:t xml:space="preserve">Diabetes Care</w:t>
      </w:r>
      <w:r>
        <w:t xml:space="preserve"> </w:t>
      </w:r>
      <w:r>
        <w:t xml:space="preserve">· Effect of Semaglutide on Regression and Progression of Glycemia in People With Overweight or Obesity but Without Diabetes in the SELECT Trial. PMID 38907683</w:t>
      </w:r>
    </w:p>
    <w:p>
      <w:pPr>
        <w:numPr>
          <w:ilvl w:val="0"/>
          <w:numId w:val="1379"/>
        </w:numPr>
        <w:pStyle w:val="Compact"/>
      </w:pPr>
      <w:r>
        <w:t xml:space="preserve">2024 · Petrie MC ·</w:t>
      </w:r>
      <w:r>
        <w:t xml:space="preserve"> </w:t>
      </w:r>
      <w:r>
        <w:rPr>
          <w:iCs/>
          <w:i/>
        </w:rPr>
        <w:t xml:space="preserve">J Am Coll Cardiol</w:t>
      </w:r>
      <w:r>
        <w:t xml:space="preserve"> </w:t>
      </w:r>
      <w:r>
        <w:t xml:space="preserve">· Semaglutide and NT-proBNP in Obesity-Related HFpEF: Insights From the STEP-HFpEF Program. PMID 38819334</w:t>
      </w:r>
    </w:p>
    <w:p>
      <w:pPr>
        <w:numPr>
          <w:ilvl w:val="0"/>
          <w:numId w:val="1379"/>
        </w:numPr>
        <w:pStyle w:val="Compact"/>
      </w:pPr>
      <w:r>
        <w:t xml:space="preserve">2024 · Xie P ·</w:t>
      </w:r>
      <w:r>
        <w:t xml:space="preserve"> </w:t>
      </w:r>
      <w:r>
        <w:rPr>
          <w:iCs/>
          <w:i/>
        </w:rPr>
        <w:t xml:space="preserve">Diabetes Obes Metab</w:t>
      </w:r>
      <w:r>
        <w:t xml:space="preserve"> </w:t>
      </w:r>
      <w:r>
        <w:t xml:space="preserve">· A phase 1, randomized, double-blind, placebo-controlled trial investigating the pharmacokinetics, pharmacodynamics, safety and tolerability of oral semaglutide in healthy Chinese subjects. PMID 38808476</w:t>
      </w:r>
    </w:p>
    <w:p>
      <w:pPr>
        <w:numPr>
          <w:ilvl w:val="0"/>
          <w:numId w:val="1379"/>
        </w:numPr>
        <w:pStyle w:val="Compact"/>
      </w:pPr>
      <w:r>
        <w:t xml:space="preserve">2024 · Colhoun HM ·</w:t>
      </w:r>
      <w:r>
        <w:t xml:space="preserve"> </w:t>
      </w:r>
      <w:r>
        <w:rPr>
          <w:iCs/>
          <w:i/>
        </w:rPr>
        <w:t xml:space="preserve">Nat Med</w:t>
      </w:r>
      <w:r>
        <w:t xml:space="preserve"> </w:t>
      </w:r>
      <w:r>
        <w:t xml:space="preserve">· Long-term kidney outcomes of semaglutide in obesity and cardiovascular disease in the SELECT trial. PMID 38796653</w:t>
      </w:r>
    </w:p>
    <w:p>
      <w:pPr>
        <w:numPr>
          <w:ilvl w:val="0"/>
          <w:numId w:val="1379"/>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79"/>
        </w:numPr>
        <w:pStyle w:val="Compact"/>
      </w:pPr>
      <w:r>
        <w:t xml:space="preserve">2024 · Perkovic V ·</w:t>
      </w:r>
      <w:r>
        <w:t xml:space="preserve"> </w:t>
      </w:r>
      <w:r>
        <w:rPr>
          <w:iCs/>
          <w:i/>
        </w:rPr>
        <w:t xml:space="preserve">N Engl J Med</w:t>
      </w:r>
      <w:r>
        <w:t xml:space="preserve"> </w:t>
      </w:r>
      <w:r>
        <w:t xml:space="preserve">· Effects of Semaglutide on Chronic Kidney Disease in Patients with Type 2 Diabetes. PMID 38785209</w:t>
      </w:r>
    </w:p>
    <w:p>
      <w:pPr>
        <w:numPr>
          <w:ilvl w:val="0"/>
          <w:numId w:val="1379"/>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79"/>
        </w:numPr>
        <w:pStyle w:val="Compact"/>
      </w:pPr>
      <w:r>
        <w:t xml:space="preserve">2024 · Ryan DH ·</w:t>
      </w:r>
      <w:r>
        <w:t xml:space="preserve"> </w:t>
      </w:r>
      <w:r>
        <w:rPr>
          <w:iCs/>
          <w:i/>
        </w:rPr>
        <w:t xml:space="preserve">Nat Med</w:t>
      </w:r>
      <w:r>
        <w:t xml:space="preserve"> </w:t>
      </w:r>
      <w:r>
        <w:t xml:space="preserve">· Long-term weight loss effects of semaglutide in obesity without diabetes in the SELECT trial. PMID 38740993</w:t>
      </w:r>
    </w:p>
    <w:p>
      <w:pPr>
        <w:numPr>
          <w:ilvl w:val="0"/>
          <w:numId w:val="1379"/>
        </w:numPr>
        <w:pStyle w:val="Compact"/>
      </w:pPr>
      <w:r>
        <w:t xml:space="preserve">2024 · Shah SJ ·</w:t>
      </w:r>
      <w:r>
        <w:t xml:space="preserve"> </w:t>
      </w:r>
      <w:r>
        <w:rPr>
          <w:iCs/>
          <w:i/>
        </w:rPr>
        <w:t xml:space="preserve">Eur Heart J</w:t>
      </w:r>
      <w:r>
        <w:t xml:space="preserve"> </w:t>
      </w:r>
      <w:r>
        <w:t xml:space="preserve">· Semaglutide and diuretic use in obesity-related heart failure with preserved ejection fraction: a pooled analysis of the STEP-HFpEF and STEP-HFpEF-DM trials. PMID 38739118</w:t>
      </w:r>
    </w:p>
    <w:p>
      <w:pPr>
        <w:numPr>
          <w:ilvl w:val="0"/>
          <w:numId w:val="1379"/>
        </w:numPr>
        <w:pStyle w:val="Compact"/>
      </w:pPr>
      <w:r>
        <w:t xml:space="preserve">2024 · Rubino D ·</w:t>
      </w:r>
      <w:r>
        <w:t xml:space="preserve"> </w:t>
      </w:r>
      <w:r>
        <w:rPr>
          <w:iCs/>
          <w:i/>
        </w:rPr>
        <w:t xml:space="preserve">Diabetes Obes Metab</w:t>
      </w:r>
      <w:r>
        <w:t xml:space="preserve"> </w:t>
      </w:r>
      <w:r>
        <w:t xml:space="preserve">· Effect of semaglutide 2.4 mg on physical functioning and weight- and health-related quality of life in adults with overweight or obesity: Patient-reported outcomes from the STEP 1-4 trials. PMID 38698650</w:t>
      </w:r>
    </w:p>
    <w:p>
      <w:pPr>
        <w:numPr>
          <w:ilvl w:val="0"/>
          <w:numId w:val="1379"/>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79"/>
        </w:numPr>
        <w:pStyle w:val="Compact"/>
      </w:pPr>
      <w:r>
        <w:t xml:space="preserve">2024 · Butler J ·</w:t>
      </w:r>
      <w:r>
        <w:t xml:space="preserve"> </w:t>
      </w:r>
      <w:r>
        <w:rPr>
          <w:iCs/>
          <w:i/>
        </w:rPr>
        <w:t xml:space="preserve">Lancet</w:t>
      </w:r>
      <w:r>
        <w:t xml:space="preserve"> </w:t>
      </w:r>
      <w:r>
        <w:t xml:space="preserve">· Semaglutide versus placebo in people with obesity-related heart failure with preserved ejection fraction: a pooled analysis of the STEP-HFpEF and STEP-HFpEF DM randomised trials. PMID 38599221</w:t>
      </w:r>
    </w:p>
    <w:p>
      <w:pPr>
        <w:numPr>
          <w:ilvl w:val="0"/>
          <w:numId w:val="1379"/>
        </w:numPr>
        <w:pStyle w:val="Compact"/>
      </w:pPr>
      <w:r>
        <w:t xml:space="preserve">2024 · Kosiborod MN ·</w:t>
      </w:r>
      <w:r>
        <w:t xml:space="preserve"> </w:t>
      </w:r>
      <w:r>
        <w:rPr>
          <w:iCs/>
          <w:i/>
        </w:rPr>
        <w:t xml:space="preserve">N Engl J Med</w:t>
      </w:r>
      <w:r>
        <w:t xml:space="preserve"> </w:t>
      </w:r>
      <w:r>
        <w:t xml:space="preserve">· Semaglutide in Patients with Obesity-Related Heart Failure and Type 2 Diabetes. PMID 38587233</w:t>
      </w:r>
    </w:p>
    <w:p>
      <w:pPr>
        <w:numPr>
          <w:ilvl w:val="0"/>
          <w:numId w:val="1379"/>
        </w:numPr>
        <w:pStyle w:val="Compact"/>
      </w:pPr>
      <w:r>
        <w:t xml:space="preserve">2024 · Weber EJ ·</w:t>
      </w:r>
      <w:r>
        <w:t xml:space="preserve"> </w:t>
      </w:r>
      <w:r>
        <w:rPr>
          <w:iCs/>
          <w:i/>
        </w:rPr>
        <w:t xml:space="preserve">Clin Pharmacol Drug Dev</w:t>
      </w:r>
      <w:r>
        <w:t xml:space="preserve"> </w:t>
      </w:r>
      <w:r>
        <w:t xml:space="preserve">· Evaluation of the Effects of Meal Type and Acid-Reducing Agents on the Pharmacokinetics of Cilofexor, a Selective Nonsteroidal Farnesoid X Receptor Agonist. PMID 38346861</w:t>
      </w:r>
    </w:p>
    <w:p>
      <w:pPr>
        <w:numPr>
          <w:ilvl w:val="0"/>
          <w:numId w:val="1379"/>
        </w:numPr>
        <w:pStyle w:val="Compact"/>
      </w:pPr>
      <w:r>
        <w:t xml:space="preserve">2024 · Mu Y ·</w:t>
      </w:r>
      <w:r>
        <w:t xml:space="preserve"> </w:t>
      </w:r>
      <w:r>
        <w:rPr>
          <w:iCs/>
          <w:i/>
        </w:rPr>
        <w:t xml:space="preserve">Lancet Diabetes Endocrinol</w:t>
      </w:r>
      <w:r>
        <w:t xml:space="preserve"> </w:t>
      </w:r>
      <w:r>
        <w:t xml:space="preserve">· Efficacy and safety of once weekly semaglutide 2·4 mg for weight management in a predominantly east Asian population with overweight or obesity (STEP 7): a double-blind, multicentre, randomised controlled trial. PMID 38330988</w:t>
      </w:r>
    </w:p>
    <w:p>
      <w:pPr>
        <w:numPr>
          <w:ilvl w:val="0"/>
          <w:numId w:val="1379"/>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79"/>
        </w:numPr>
        <w:pStyle w:val="Compact"/>
      </w:pPr>
      <w:r>
        <w:t xml:space="preserve">2024 · Vernstrøm L ·</w:t>
      </w:r>
      <w:r>
        <w:t xml:space="preserve"> </w:t>
      </w:r>
      <w:r>
        <w:rPr>
          <w:iCs/>
          <w:i/>
        </w:rPr>
        <w:t xml:space="preserve">Diabetes Obes Metab</w:t>
      </w:r>
      <w:r>
        <w:t xml:space="preserve"> </w:t>
      </w:r>
      <w:r>
        <w:t xml:space="preserve">· Separate and combined effects of empagliflozin and semaglutide on vascular function: A 32-week randomized trial. PMID 38240066</w:t>
      </w:r>
    </w:p>
    <w:p>
      <w:pPr>
        <w:numPr>
          <w:ilvl w:val="0"/>
          <w:numId w:val="1379"/>
        </w:numPr>
        <w:pStyle w:val="Compact"/>
      </w:pPr>
      <w:r>
        <w:t xml:space="preserve">2024 · Gullaksen S ·</w:t>
      </w:r>
      <w:r>
        <w:t xml:space="preserve"> </w:t>
      </w:r>
      <w:r>
        <w:rPr>
          <w:iCs/>
          <w:i/>
        </w:rPr>
        <w:t xml:space="preserve">J Diabetes Complications</w:t>
      </w:r>
      <w:r>
        <w:t xml:space="preserve"> </w:t>
      </w:r>
      <w:r>
        <w:t xml:space="preserve">· The effects of semaglutide, empagliflozin and their combination on the kidney sodium signal from magnetic resonance imaging: A prespecified, secondary analysis from a randomized, clinical trial. PMID 38219335</w:t>
      </w:r>
    </w:p>
    <w:p>
      <w:pPr>
        <w:numPr>
          <w:ilvl w:val="0"/>
          <w:numId w:val="1379"/>
        </w:numPr>
        <w:pStyle w:val="Compact"/>
      </w:pPr>
      <w:r>
        <w:t xml:space="preserve">2024 · Dwibedi C ·</w:t>
      </w:r>
      <w:r>
        <w:t xml:space="preserve"> </w:t>
      </w:r>
      <w:r>
        <w:rPr>
          <w:iCs/>
          <w:i/>
        </w:rPr>
        <w:t xml:space="preserve">Nat Metab</w:t>
      </w:r>
      <w:r>
        <w:t xml:space="preserve"> </w:t>
      </w:r>
      <w:r>
        <w:t xml:space="preserve">· Randomized open-label trial of semaglutide and dapagliflozin in patients with type 2 diabetes of different pathophysiology. PMID 38177805</w:t>
      </w:r>
    </w:p>
    <w:p>
      <w:pPr>
        <w:numPr>
          <w:ilvl w:val="0"/>
          <w:numId w:val="1379"/>
        </w:numPr>
        <w:pStyle w:val="Compact"/>
      </w:pPr>
      <w:r>
        <w:t xml:space="preserve">2024 · Ratziu V ·</w:t>
      </w:r>
      <w:r>
        <w:t xml:space="preserve"> </w:t>
      </w:r>
      <w:r>
        <w:rPr>
          <w:iCs/>
          <w:i/>
        </w:rPr>
        <w:t xml:space="preserve">Hepatology</w:t>
      </w:r>
      <w:r>
        <w:t xml:space="preserve"> </w:t>
      </w:r>
      <w:r>
        <w:t xml:space="preserve">· Artificial intelligence scoring of liver biopsies in a phase II trial of semaglutide in nonalcoholic steatohepatitis. PMID 38112484</w:t>
      </w:r>
    </w:p>
    <w:p>
      <w:pPr>
        <w:numPr>
          <w:ilvl w:val="0"/>
          <w:numId w:val="1379"/>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p>
      <w:pPr>
        <w:numPr>
          <w:ilvl w:val="0"/>
          <w:numId w:val="1379"/>
        </w:numPr>
        <w:pStyle w:val="Compact"/>
      </w:pPr>
      <w:r>
        <w:t xml:space="preserve">2024 · Mathur W ·</w:t>
      </w:r>
      <w:r>
        <w:t xml:space="preserve"> </w:t>
      </w:r>
      <w:r>
        <w:rPr>
          <w:iCs/>
          <w:i/>
        </w:rPr>
        <w:t xml:space="preserve">Obes Surg</w:t>
      </w:r>
      <w:r>
        <w:t xml:space="preserve"> </w:t>
      </w:r>
      <w:r>
        <w:t xml:space="preserve">· Effect of Swallow Balloon Therapy with the Combination of Semaglutide Oral Formulation: a Randomised Double-Blind Single-Centre Study. PMID 38091192</w:t>
      </w:r>
    </w:p>
    <w:p>
      <w:pPr>
        <w:numPr>
          <w:ilvl w:val="0"/>
          <w:numId w:val="1379"/>
        </w:numPr>
        <w:pStyle w:val="Compact"/>
      </w:pPr>
      <w:r>
        <w:t xml:space="preserve">2024 · Furusawa S ·</w:t>
      </w:r>
      <w:r>
        <w:t xml:space="preserve"> </w:t>
      </w:r>
      <w:r>
        <w:rPr>
          <w:iCs/>
          <w:i/>
        </w:rPr>
        <w:t xml:space="preserve">Diabetes Obes Metab</w:t>
      </w:r>
      <w:r>
        <w:t xml:space="preserve"> </w:t>
      </w:r>
      <w:r>
        <w:t xml:space="preserve">· Glycaemic control efficacy of switching from dipeptidyl peptidase-4 inhibitors to oral semaglutide in subjects with type 2 diabetes: A multicentre, prospective, randomized, open-label, parallel-group comparison study (SWITCH-SEMA 2 study). PMID 38073422</w:t>
      </w:r>
    </w:p>
    <w:p>
      <w:pPr>
        <w:numPr>
          <w:ilvl w:val="0"/>
          <w:numId w:val="1379"/>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79"/>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79"/>
        </w:numPr>
        <w:pStyle w:val="Compact"/>
      </w:pPr>
      <w:r>
        <w:t xml:space="preserve">2024 · Ji L ·</w:t>
      </w:r>
      <w:r>
        <w:t xml:space="preserve"> </w:t>
      </w:r>
      <w:r>
        <w:rPr>
          <w:iCs/>
          <w:i/>
        </w:rPr>
        <w:t xml:space="preserve">Diabetes Obes Metab</w:t>
      </w:r>
      <w:r>
        <w:t xml:space="preserve"> </w:t>
      </w:r>
      <w:r>
        <w:t xml:space="preserve">· Proportion of participants with type 2 diabetes achieving a metabolic composite endpoint with once-weekly semaglutide treatment versus comparators: Post hoc pooled analysis from SUSTAIN 1-5, 7-10 and SUSTAIN China. PMID 37822270</w:t>
      </w:r>
    </w:p>
    <w:p>
      <w:pPr>
        <w:numPr>
          <w:ilvl w:val="0"/>
          <w:numId w:val="1379"/>
        </w:numPr>
        <w:pStyle w:val="Compact"/>
      </w:pPr>
      <w:r>
        <w:t xml:space="preserve">2024 · Sivalingam S ·</w:t>
      </w:r>
      <w:r>
        <w:t xml:space="preserve"> </w:t>
      </w:r>
      <w:r>
        <w:rPr>
          <w:iCs/>
          <w:i/>
        </w:rPr>
        <w:t xml:space="preserve">Diabetes Obes Metab</w:t>
      </w:r>
      <w:r>
        <w:t xml:space="preserve"> </w:t>
      </w:r>
      <w:r>
        <w:t xml:space="preserve">· Albuminuria-lowering effect of adding semaglutide on top of empagliflozin in individuals with type 2 diabetes: A randomized and placebo-controlled study. PMID 37722966</w:t>
      </w:r>
    </w:p>
    <w:p>
      <w:pPr>
        <w:numPr>
          <w:ilvl w:val="0"/>
          <w:numId w:val="1379"/>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9"/>
        </w:numPr>
        <w:pStyle w:val="Compact"/>
      </w:pPr>
      <w:r>
        <w:t xml:space="preserve">2024 · Cirnigliaro CM ·</w:t>
      </w:r>
      <w:r>
        <w:t xml:space="preserve"> </w:t>
      </w:r>
      <w:r>
        <w:rPr>
          <w:iCs/>
          <w:i/>
        </w:rPr>
        <w:t xml:space="preserve">J Spinal Cord Med</w:t>
      </w:r>
      <w:r>
        <w:t xml:space="preserve"> </w:t>
      </w:r>
      <w:r>
        <w:t xml:space="preserve">· Preliminary observations on the administration of a glucagon-like peptide-1 receptor agonist on body weight and select carbohydrate endpoints in persons with spinal cord injury: A controlled case series. PMID 37158751</w:t>
      </w:r>
    </w:p>
    <w:p>
      <w:pPr>
        <w:numPr>
          <w:ilvl w:val="0"/>
          <w:numId w:val="1379"/>
        </w:numPr>
        <w:pStyle w:val="Compact"/>
      </w:pPr>
      <w:r>
        <w:t xml:space="preserve">2023 · Lincoff AM ·</w:t>
      </w:r>
      <w:r>
        <w:t xml:space="preserve"> </w:t>
      </w:r>
      <w:r>
        <w:rPr>
          <w:iCs/>
          <w:i/>
        </w:rPr>
        <w:t xml:space="preserve">N Engl J Med</w:t>
      </w:r>
      <w:r>
        <w:t xml:space="preserve"> </w:t>
      </w:r>
      <w:r>
        <w:t xml:space="preserve">· Semaglutide and Cardiovascular Outcomes in Obesity without Diabetes. PMID 37952131</w:t>
      </w:r>
    </w:p>
    <w:p>
      <w:pPr>
        <w:numPr>
          <w:ilvl w:val="0"/>
          <w:numId w:val="1379"/>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9"/>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9"/>
        </w:numPr>
        <w:pStyle w:val="Compact"/>
      </w:pPr>
      <w:r>
        <w:t xml:space="preserve">2023 · Kosiborod MN ·</w:t>
      </w:r>
      <w:r>
        <w:t xml:space="preserve"> </w:t>
      </w:r>
      <w:r>
        <w:rPr>
          <w:iCs/>
          <w:i/>
        </w:rPr>
        <w:t xml:space="preserve">N Engl J Med</w:t>
      </w:r>
      <w:r>
        <w:t xml:space="preserve"> </w:t>
      </w:r>
      <w:r>
        <w:t xml:space="preserve">· Semaglutide in Patients with Heart Failure with Preserved Ejection Fraction and Obesity. PMID 37622681</w:t>
      </w:r>
    </w:p>
    <w:p>
      <w:pPr>
        <w:numPr>
          <w:ilvl w:val="0"/>
          <w:numId w:val="1379"/>
        </w:numPr>
        <w:pStyle w:val="Compact"/>
      </w:pPr>
      <w:r>
        <w:t xml:space="preserve">2023 · Wilkinson L ·</w:t>
      </w:r>
      <w:r>
        <w:t xml:space="preserve"> </w:t>
      </w:r>
      <w:r>
        <w:rPr>
          <w:iCs/>
          <w:i/>
        </w:rPr>
        <w:t xml:space="preserve">Obesity (Silver Spring)</w:t>
      </w:r>
      <w:r>
        <w:t xml:space="preserve"> </w:t>
      </w:r>
      <w:r>
        <w:t xml:space="preserve">· Effect of semaglutide 2.4 mg once weekly on 10-year type 2 diabetes risk in adults with overweight or obesity. PMID 37605636</w:t>
      </w:r>
    </w:p>
    <w:p>
      <w:pPr>
        <w:numPr>
          <w:ilvl w:val="0"/>
          <w:numId w:val="1379"/>
        </w:numPr>
        <w:pStyle w:val="Compact"/>
      </w:pPr>
      <w:r>
        <w:t xml:space="preserve">2023 · Aroda VR ·</w:t>
      </w:r>
      <w:r>
        <w:t xml:space="preserve"> </w:t>
      </w:r>
      <w:r>
        <w:rPr>
          <w:iCs/>
          <w:i/>
        </w:rPr>
        <w:t xml:space="preserve">Lancet</w:t>
      </w:r>
      <w:r>
        <w:t xml:space="preserve"> </w:t>
      </w:r>
      <w:r>
        <w:t xml:space="preserve">· Efficacy and safety of once-daily oral semaglutide 25 mg and 50 mg compared with 14 mg in adults with type 2 diabetes (PIONEER PLUS): a multicentre, randomised, phase 3b trial. PMID 37385279</w:t>
      </w:r>
    </w:p>
    <w:p>
      <w:pPr>
        <w:numPr>
          <w:ilvl w:val="0"/>
          <w:numId w:val="1379"/>
        </w:numPr>
        <w:pStyle w:val="Compact"/>
      </w:pPr>
      <w:r>
        <w:t xml:space="preserve">2023 · Knop FK ·</w:t>
      </w:r>
      <w:r>
        <w:t xml:space="preserve"> </w:t>
      </w:r>
      <w:r>
        <w:rPr>
          <w:iCs/>
          <w:i/>
        </w:rPr>
        <w:t xml:space="preserve">Lancet</w:t>
      </w:r>
      <w:r>
        <w:t xml:space="preserve"> </w:t>
      </w:r>
      <w:r>
        <w:t xml:space="preserve">· Oral semaglutide 50 mg taken once per day in adults with overweight or obesity (OASIS 1): a randomised, double-blind, placebo-controlled, phase 3 trial. PMID 37385278</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9"/>
        </w:numPr>
        <w:pStyle w:val="Compact"/>
      </w:pPr>
      <w:r>
        <w:t xml:space="preserve">2023 · Guo W ·</w:t>
      </w:r>
      <w:r>
        <w:t xml:space="preserve"> </w:t>
      </w:r>
      <w:r>
        <w:rPr>
          <w:iCs/>
          <w:i/>
        </w:rPr>
        <w:t xml:space="preserve">Mol Metab</w:t>
      </w:r>
      <w:r>
        <w:t xml:space="preserve"> </w:t>
      </w:r>
      <w:r>
        <w:t xml:space="preserve">· Discovery of ecnoglutide - A novel, long-acting, cAMP-biased glucagon-like peptide-1 (GLP-1) analog. PMID 37364710</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79"/>
        </w:numPr>
        <w:pStyle w:val="Compact"/>
      </w:pPr>
      <w:r>
        <w:t xml:space="preserve">2023 · Romero-Gómez M ·</w:t>
      </w:r>
      <w:r>
        <w:t xml:space="preserve"> </w:t>
      </w:r>
      <w:r>
        <w:rPr>
          <w:iCs/>
          <w:i/>
        </w:rPr>
        <w:t xml:space="preserve">J Hepatol</w:t>
      </w:r>
      <w:r>
        <w:t xml:space="preserve"> </w:t>
      </w:r>
      <w:r>
        <w:t xml:space="preserve">· A phase IIa active-comparator-controlled study to evaluate the efficacy and safety of efinopegdutide in patients with non-alcoholic fatty liver disease. PMID 37355043</w:t>
      </w:r>
    </w:p>
    <w:p>
      <w:pPr>
        <w:numPr>
          <w:ilvl w:val="0"/>
          <w:numId w:val="1379"/>
        </w:numPr>
        <w:pStyle w:val="Compact"/>
      </w:pPr>
      <w:r>
        <w:t xml:space="preserve">2023 · Romero-Gómez M ·</w:t>
      </w:r>
      <w:r>
        <w:t xml:space="preserve"> </w:t>
      </w:r>
      <w:r>
        <w:rPr>
          <w:iCs/>
          <w:i/>
        </w:rPr>
        <w:t xml:space="preserve">Aliment Pharmacol Ther</w:t>
      </w:r>
      <w:r>
        <w:t xml:space="preserve"> </w:t>
      </w:r>
      <w:r>
        <w:t xml:space="preserve">· Improved health-related quality of life with semaglutide in people with non-alcoholic steatohepatitis: A randomised trial. PMID 37328931</w:t>
      </w:r>
    </w:p>
    <w:p>
      <w:pPr>
        <w:numPr>
          <w:ilvl w:val="0"/>
          <w:numId w:val="1379"/>
        </w:numPr>
        <w:pStyle w:val="Compact"/>
      </w:pPr>
      <w:r>
        <w:t xml:space="preserve">2023 · Ingersen A ·</w:t>
      </w:r>
      <w:r>
        <w:t xml:space="preserve"> </w:t>
      </w:r>
      <w:r>
        <w:rPr>
          <w:iCs/>
          <w:i/>
        </w:rPr>
        <w:t xml:space="preserve">J Clin Endocrinol Metab</w:t>
      </w:r>
      <w:r>
        <w:t xml:space="preserve"> </w:t>
      </w:r>
      <w:r>
        <w:t xml:space="preserve">· Effects of Aerobic Training and Semaglutide Treatment on Pancreatic β-Cell Secretory Function in Patients With Type 2 Diabetes. PMID 37265222</w:t>
      </w:r>
    </w:p>
    <w:p>
      <w:pPr>
        <w:numPr>
          <w:ilvl w:val="0"/>
          <w:numId w:val="1379"/>
        </w:numPr>
        <w:pStyle w:val="Compact"/>
      </w:pPr>
      <w:r>
        <w:t xml:space="preserve">2023 · Kelly AS ·</w:t>
      </w:r>
      <w:r>
        <w:t xml:space="preserve"> </w:t>
      </w:r>
      <w:r>
        <w:rPr>
          <w:iCs/>
          <w:i/>
        </w:rPr>
        <w:t xml:space="preserve">Obesity (Silver Spring)</w:t>
      </w:r>
      <w:r>
        <w:t xml:space="preserve"> </w:t>
      </w:r>
      <w:r>
        <w:t xml:space="preserve">· Reducing BMI below the obesity threshold in adolescents treated with once-weekly subcutaneous semaglutide 2.4 mg. PMID 37196421</w:t>
      </w:r>
    </w:p>
    <w:p>
      <w:pPr>
        <w:numPr>
          <w:ilvl w:val="0"/>
          <w:numId w:val="1379"/>
        </w:numPr>
        <w:pStyle w:val="Compact"/>
      </w:pPr>
      <w:r>
        <w:t xml:space="preserve">2023 · Gullaksen S ·</w:t>
      </w:r>
      <w:r>
        <w:t xml:space="preserve"> </w:t>
      </w:r>
      <w:r>
        <w:rPr>
          <w:iCs/>
          <w:i/>
        </w:rPr>
        <w:t xml:space="preserve">J Diabetes Complications</w:t>
      </w:r>
      <w:r>
        <w:t xml:space="preserve"> </w:t>
      </w:r>
      <w:r>
        <w:t xml:space="preserve">· Effects of semaglutide and empagliflozin on oxygenation, vascular autoregulation, and central thickness of the retina in people with type 2 diabetes: A prespecified secondary analysis of a randomised clinical trial. PMID 37062189</w:t>
      </w:r>
    </w:p>
    <w:p>
      <w:pPr>
        <w:numPr>
          <w:ilvl w:val="0"/>
          <w:numId w:val="1379"/>
        </w:numPr>
        <w:pStyle w:val="Compact"/>
      </w:pPr>
      <w:r>
        <w:t xml:space="preserve">2023 · Bjorner JB ·</w:t>
      </w:r>
      <w:r>
        <w:t xml:space="preserve"> </w:t>
      </w:r>
      <w:r>
        <w:rPr>
          <w:iCs/>
          <w:i/>
        </w:rPr>
        <w:t xml:space="preserve">Diabetes Obes Metab</w:t>
      </w:r>
      <w:r>
        <w:t xml:space="preserve"> </w:t>
      </w:r>
      <w:r>
        <w:t xml:space="preserve">· The improved health utility of once-weekly subcutaneous semaglutide 2.4 mg compared with placebo in the STEP 1-4 obesity trials. PMID 37055712</w:t>
      </w:r>
    </w:p>
    <w:p>
      <w:pPr>
        <w:numPr>
          <w:ilvl w:val="0"/>
          <w:numId w:val="1379"/>
        </w:numPr>
        <w:pStyle w:val="Compact"/>
      </w:pPr>
      <w:r>
        <w:t xml:space="preserve">2023 · Loomba R ·</w:t>
      </w:r>
      <w:r>
        <w:t xml:space="preserve"> </w:t>
      </w:r>
      <w:r>
        <w:rPr>
          <w:iCs/>
          <w:i/>
        </w:rPr>
        <w:t xml:space="preserve">Lancet Gastroenterol Hepatol</w:t>
      </w:r>
      <w:r>
        <w:t xml:space="preserve"> </w:t>
      </w:r>
      <w:r>
        <w:t xml:space="preserve">· Semaglutide 2·4 mg once weekly in patients with non-alcoholic steatohepatitis-related cirrhosis: a randomised, placebo-controlled phase 2 trial. PMID 36934740</w:t>
      </w:r>
    </w:p>
    <w:p>
      <w:pPr>
        <w:numPr>
          <w:ilvl w:val="0"/>
          <w:numId w:val="1379"/>
        </w:numPr>
        <w:pStyle w:val="Compact"/>
      </w:pPr>
      <w:r>
        <w:t xml:space="preserve">2023 · van Hout M ·</w:t>
      </w:r>
      <w:r>
        <w:t xml:space="preserve"> </w:t>
      </w:r>
      <w:r>
        <w:rPr>
          <w:iCs/>
          <w:i/>
        </w:rPr>
        <w:t xml:space="preserve">Clin Pharmacokinet</w:t>
      </w:r>
      <w:r>
        <w:t xml:space="preserve"> </w:t>
      </w:r>
      <w:r>
        <w:t xml:space="preserve">· Effect of Various Dosing Schedules on the Pharmacokinetics of Oral Semaglutide: A Randomised Trial in Healthy Subjects. PMID 36932262</w:t>
      </w:r>
    </w:p>
    <w:p>
      <w:pPr>
        <w:numPr>
          <w:ilvl w:val="0"/>
          <w:numId w:val="1379"/>
        </w:numPr>
        <w:pStyle w:val="Compact"/>
      </w:pPr>
      <w:r>
        <w:t xml:space="preserve">2023 · Kolotkin RL ·</w:t>
      </w:r>
      <w:r>
        <w:t xml:space="preserve"> </w:t>
      </w:r>
      <w:r>
        <w:rPr>
          <w:iCs/>
          <w:i/>
        </w:rPr>
        <w:t xml:space="preserve">Clin Obes</w:t>
      </w:r>
      <w:r>
        <w:t xml:space="preserve"> </w:t>
      </w:r>
      <w:r>
        <w:t xml:space="preserve">· Effect of once-weekly subcutaneous semaglutide 2.4 mg on weight- and health-related quality of life in an East Asian population: Patient-reported outcomes from the STEP 6 trial. PMID 36905345</w:t>
      </w:r>
    </w:p>
    <w:p>
      <w:pPr>
        <w:numPr>
          <w:ilvl w:val="0"/>
          <w:numId w:val="1379"/>
        </w:numPr>
        <w:pStyle w:val="Compact"/>
      </w:pPr>
      <w:r>
        <w:t xml:space="preserve">2023 · McGowan BM ·</w:t>
      </w:r>
      <w:r>
        <w:t xml:space="preserve"> </w:t>
      </w:r>
      <w:r>
        <w:rPr>
          <w:iCs/>
          <w:i/>
        </w:rPr>
        <w:t xml:space="preserve">Obesity (Silver Spring)</w:t>
      </w:r>
      <w:r>
        <w:t xml:space="preserve"> </w:t>
      </w:r>
      <w:r>
        <w:t xml:space="preserve">· Impact of BMI and comorbidities on efficacy of once-weekly semaglutide: Post hoc analyses of the STEP 1 randomized trial. PMID 36876594</w:t>
      </w:r>
    </w:p>
    <w:p>
      <w:pPr>
        <w:numPr>
          <w:ilvl w:val="0"/>
          <w:numId w:val="1379"/>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9"/>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79"/>
        </w:numPr>
        <w:pStyle w:val="Compact"/>
      </w:pPr>
      <w:r>
        <w:t xml:space="preserve">2023 · Gullaksen S ·</w:t>
      </w:r>
      <w:r>
        <w:t xml:space="preserve"> </w:t>
      </w:r>
      <w:r>
        <w:rPr>
          <w:iCs/>
          <w:i/>
        </w:rPr>
        <w:t xml:space="preserve">Diabetologia</w:t>
      </w:r>
      <w:r>
        <w:t xml:space="preserve"> </w:t>
      </w:r>
      <w:r>
        <w:t xml:space="preserve">· Separate and combined effects of semaglutide and empagliflozin on kidney oxygenation and perfusion in people with type 2 diabetes: a randomised trial. PMID 36746803</w:t>
      </w:r>
    </w:p>
    <w:p>
      <w:pPr>
        <w:numPr>
          <w:ilvl w:val="0"/>
          <w:numId w:val="1379"/>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9"/>
        </w:numPr>
        <w:pStyle w:val="Compact"/>
      </w:pPr>
      <w:r>
        <w:t xml:space="preserve">2023 · Wharton S ·</w:t>
      </w:r>
      <w:r>
        <w:t xml:space="preserve"> </w:t>
      </w:r>
      <w:r>
        <w:rPr>
          <w:iCs/>
          <w:i/>
        </w:rPr>
        <w:t xml:space="preserve">Obesity (Silver Spring)</w:t>
      </w:r>
      <w:r>
        <w:t xml:space="preserve"> </w:t>
      </w:r>
      <w:r>
        <w:t xml:space="preserve">· Two-year effect of semaglutide 2.4 mg on control of eating in adults with overweight/obesity: STEP 5. PMID 36655300</w:t>
      </w:r>
    </w:p>
    <w:p>
      <w:pPr>
        <w:numPr>
          <w:ilvl w:val="0"/>
          <w:numId w:val="1379"/>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79"/>
        </w:numPr>
        <w:pStyle w:val="Compact"/>
      </w:pPr>
      <w:r>
        <w:t xml:space="preserve">2023 · Jensterle M ·</w:t>
      </w:r>
      <w:r>
        <w:t xml:space="preserve"> </w:t>
      </w:r>
      <w:r>
        <w:rPr>
          <w:iCs/>
          <w:i/>
        </w:rPr>
        <w:t xml:space="preserve">Diabetes Obes Metab</w:t>
      </w:r>
      <w:r>
        <w:t xml:space="preserve"> </w:t>
      </w:r>
      <w:r>
        <w:t xml:space="preserve">· Semaglutide delays 4-hour gastric emptying in women with polycystic ovary syndrome and obesity. PMID 36511825</w:t>
      </w:r>
    </w:p>
    <w:p>
      <w:pPr>
        <w:numPr>
          <w:ilvl w:val="0"/>
          <w:numId w:val="1379"/>
        </w:numPr>
        <w:pStyle w:val="Compact"/>
      </w:pPr>
      <w:r>
        <w:t xml:space="preserve">2023 · Lingvay I ·</w:t>
      </w:r>
      <w:r>
        <w:t xml:space="preserve"> </w:t>
      </w:r>
      <w:r>
        <w:rPr>
          <w:iCs/>
          <w:i/>
        </w:rPr>
        <w:t xml:space="preserve">Obesity (Silver Spring)</w:t>
      </w:r>
      <w:r>
        <w:t xml:space="preserve"> </w:t>
      </w:r>
      <w:r>
        <w:t xml:space="preserve">· Semaglutide for cardiovascular event reduction in people with overweight or obesity: SELECT study baseline characteristics. PMID 36502289</w:t>
      </w:r>
    </w:p>
    <w:p>
      <w:pPr>
        <w:numPr>
          <w:ilvl w:val="0"/>
          <w:numId w:val="1379"/>
        </w:numPr>
        <w:pStyle w:val="Compact"/>
      </w:pPr>
      <w:r>
        <w:t xml:space="preserve">2022 · Amaro A ·</w:t>
      </w:r>
      <w:r>
        <w:t xml:space="preserve"> </w:t>
      </w:r>
      <w:r>
        <w:rPr>
          <w:iCs/>
          <w:i/>
        </w:rPr>
        <w:t xml:space="preserve">Postgrad Med</w:t>
      </w:r>
      <w:r>
        <w:t xml:space="preserve"> </w:t>
      </w:r>
      <w:r>
        <w:t xml:space="preserve">· Cardiometabolic risk factors efficacy of semaglutide in the STEP program. PMID 36691308</w:t>
      </w:r>
    </w:p>
    <w:p>
      <w:pPr>
        <w:numPr>
          <w:ilvl w:val="0"/>
          <w:numId w:val="1379"/>
        </w:numPr>
        <w:pStyle w:val="Compact"/>
      </w:pPr>
      <w:r>
        <w:t xml:space="preserve">2022 · Weghuber D ·</w:t>
      </w:r>
      <w:r>
        <w:t xml:space="preserve"> </w:t>
      </w:r>
      <w:r>
        <w:rPr>
          <w:iCs/>
          <w:i/>
        </w:rPr>
        <w:t xml:space="preserve">N Engl J Med</w:t>
      </w:r>
      <w:r>
        <w:t xml:space="preserve"> </w:t>
      </w:r>
      <w:r>
        <w:t xml:space="preserve">· Once-Weekly Semaglutide in Adolescents with Obesity. PMID 36322838</w:t>
      </w:r>
    </w:p>
    <w:p>
      <w:pPr>
        <w:numPr>
          <w:ilvl w:val="0"/>
          <w:numId w:val="1379"/>
        </w:numPr>
        <w:pStyle w:val="Compact"/>
      </w:pPr>
      <w:r>
        <w:t xml:space="preserve">2022 · Garvey WT ·</w:t>
      </w:r>
      <w:r>
        <w:t xml:space="preserve"> </w:t>
      </w:r>
      <w:r>
        <w:rPr>
          <w:iCs/>
          <w:i/>
        </w:rPr>
        <w:t xml:space="preserve">Nat Med</w:t>
      </w:r>
      <w:r>
        <w:t xml:space="preserve"> </w:t>
      </w:r>
      <w:r>
        <w:t xml:space="preserve">· Two-year effects of semaglutide in adults with overweight or obesity: the STEP 5 trial. PMID 36216945</w:t>
      </w:r>
    </w:p>
    <w:p>
      <w:pPr>
        <w:numPr>
          <w:ilvl w:val="0"/>
          <w:numId w:val="1379"/>
        </w:numPr>
        <w:pStyle w:val="Compact"/>
      </w:pPr>
      <w:r>
        <w:t xml:space="preserve">2022 · Ghusn W ·</w:t>
      </w:r>
      <w:r>
        <w:t xml:space="preserve"> </w:t>
      </w:r>
      <w:r>
        <w:rPr>
          <w:iCs/>
          <w:i/>
        </w:rPr>
        <w:t xml:space="preserve">JAMA Netw Open</w:t>
      </w:r>
      <w:r>
        <w:t xml:space="preserve"> </w:t>
      </w:r>
      <w:r>
        <w:t xml:space="preserve">· Weight Loss Outcomes Associated With Semaglutide Treatment for Patients With Overweight or Obesity. PMID 36121652</w:t>
      </w:r>
    </w:p>
    <w:p>
      <w:pPr>
        <w:numPr>
          <w:ilvl w:val="0"/>
          <w:numId w:val="1379"/>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9"/>
        </w:numPr>
        <w:pStyle w:val="Compact"/>
      </w:pPr>
      <w:r>
        <w:t xml:space="preserve">2022 · Snitker S ·</w:t>
      </w:r>
      <w:r>
        <w:t xml:space="preserve"> </w:t>
      </w:r>
      <w:r>
        <w:rPr>
          <w:iCs/>
          <w:i/>
        </w:rPr>
        <w:t xml:space="preserve">Diabetes Obes Metab</w:t>
      </w:r>
      <w:r>
        <w:t xml:space="preserve"> </w:t>
      </w:r>
      <w:r>
        <w:t xml:space="preserve">· Ease-of-use and acceptability of the novel semaglutide 2.4 mg single-dose pen-injector in people with overweight or obesity in the STEP 8 phase III trial. PMID 35791625</w:t>
      </w:r>
    </w:p>
    <w:p>
      <w:pPr>
        <w:numPr>
          <w:ilvl w:val="0"/>
          <w:numId w:val="1379"/>
        </w:numPr>
        <w:pStyle w:val="Compact"/>
      </w:pPr>
      <w:r>
        <w:t xml:space="preserve">2022 · Strain WD ·</w:t>
      </w:r>
      <w:r>
        <w:t xml:space="preserve"> </w:t>
      </w:r>
      <w:r>
        <w:rPr>
          <w:iCs/>
          <w:i/>
        </w:rPr>
        <w:t xml:space="preserve">Stroke</w:t>
      </w:r>
      <w:r>
        <w:t xml:space="preserve"> </w:t>
      </w:r>
      <w:r>
        <w:t xml:space="preserve">· Effects of Semaglutide on Stroke Subtypes in Type 2 Diabetes: Post Hoc Analysis of the Randomized SUSTAIN 6 and PIONEER 6. PMID 35582947</w:t>
      </w:r>
    </w:p>
    <w:p>
      <w:pPr>
        <w:numPr>
          <w:ilvl w:val="0"/>
          <w:numId w:val="1379"/>
        </w:numPr>
        <w:pStyle w:val="Compact"/>
      </w:pPr>
      <w:r>
        <w:t xml:space="preserve">2022 · Kellerer M ·</w:t>
      </w:r>
      <w:r>
        <w:t xml:space="preserve"> </w:t>
      </w:r>
      <w:r>
        <w:rPr>
          <w:iCs/>
          <w:i/>
        </w:rPr>
        <w:t xml:space="preserve">Diabetes Obes Metab</w:t>
      </w:r>
      <w:r>
        <w:t xml:space="preserve"> </w:t>
      </w:r>
      <w:r>
        <w:t xml:space="preserve">· Effect of once-weekly semaglutide versus thrice-daily insulin aspart, both as add-on to metformin and optimized insulin glargine treatment in participants with type 2 diabetes (SUSTAIN 11): A randomized, open-label, multinational, phase 3b trial. PMID 35546450</w:t>
      </w:r>
    </w:p>
    <w:p>
      <w:pPr>
        <w:numPr>
          <w:ilvl w:val="0"/>
          <w:numId w:val="1379"/>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79"/>
        </w:numPr>
        <w:pStyle w:val="Compact"/>
      </w:pPr>
      <w:r>
        <w:t xml:space="preserve">2022 · Wilding JPH ·</w:t>
      </w:r>
      <w:r>
        <w:t xml:space="preserve"> </w:t>
      </w:r>
      <w:r>
        <w:rPr>
          <w:iCs/>
          <w:i/>
        </w:rPr>
        <w:t xml:space="preserve">Diabetes Obes Metab</w:t>
      </w:r>
      <w:r>
        <w:t xml:space="preserve"> </w:t>
      </w:r>
      <w:r>
        <w:t xml:space="preserve">· Weight regain and cardiometabolic effects after withdrawal of semaglutide: The STEP 1 trial extension. PMID 35441470</w:t>
      </w:r>
    </w:p>
    <w:p>
      <w:pPr>
        <w:numPr>
          <w:ilvl w:val="0"/>
          <w:numId w:val="1379"/>
        </w:numPr>
        <w:pStyle w:val="Compact"/>
      </w:pPr>
      <w:r>
        <w:t xml:space="preserve">2022 · Alkhouri N ·</w:t>
      </w:r>
      <w:r>
        <w:t xml:space="preserve"> </w:t>
      </w:r>
      <w:r>
        <w:rPr>
          <w:iCs/>
          <w:i/>
        </w:rPr>
        <w:t xml:space="preserve">J Hepatol</w:t>
      </w:r>
      <w:r>
        <w:t xml:space="preserve"> </w:t>
      </w:r>
      <w:r>
        <w:t xml:space="preserve">· Safety and efficacy of combination therapy with semaglutide, cilofexor and firsocostat in patients with non-alcoholic steatohepatitis: A randomised, open-label phase II trial. PMID 35439567</w:t>
      </w:r>
    </w:p>
    <w:p>
      <w:pPr>
        <w:numPr>
          <w:ilvl w:val="0"/>
          <w:numId w:val="1379"/>
        </w:numPr>
        <w:pStyle w:val="Compact"/>
      </w:pPr>
      <w:r>
        <w:t xml:space="preserve">2022 · Stafford S ·</w:t>
      </w:r>
      <w:r>
        <w:t xml:space="preserve"> </w:t>
      </w:r>
      <w:r>
        <w:rPr>
          <w:iCs/>
          <w:i/>
        </w:rPr>
        <w:t xml:space="preserve">Appl Health Econ Health Policy</w:t>
      </w:r>
      <w:r>
        <w:t xml:space="preserve"> </w:t>
      </w:r>
      <w:r>
        <w:t xml:space="preserve">· Cost-Effectiveness of Once-Weekly Semaglutide 1 mg versus Canagliflozin 300 mg in Patients with Type 2 Diabetes Mellitus in a Canadian Setting. PMID 35344191</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once-weekly semaglutide in Japanese individuals with type 2 diabetes by baseline age and body mass index. PMID 35174649</w:t>
      </w:r>
    </w:p>
    <w:p>
      <w:pPr>
        <w:numPr>
          <w:ilvl w:val="0"/>
          <w:numId w:val="1379"/>
        </w:numPr>
        <w:pStyle w:val="Compact"/>
      </w:pPr>
      <w:r>
        <w:t xml:space="preserve">2022 · Kadowaki T ·</w:t>
      </w:r>
      <w:r>
        <w:t xml:space="preserve"> </w:t>
      </w:r>
      <w:r>
        <w:rPr>
          <w:iCs/>
          <w:i/>
        </w:rPr>
        <w:t xml:space="preserve">Lancet Diabetes Endocrinol</w:t>
      </w:r>
      <w:r>
        <w:t xml:space="preserve"> </w:t>
      </w:r>
      <w:r>
        <w:t xml:space="preserve">· Semaglutide once a week in adults with overweight or obesity, with or without type 2 diabetes in an east Asian population (STEP 6): a randomised, double-blind, double-dummy, placebo-controlled, phase 3a trial. PMID 35131037</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9"/>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9"/>
        </w:numPr>
        <w:pStyle w:val="Compact"/>
      </w:pPr>
      <w:r>
        <w:t xml:space="preserve">2022 · Meier JJ ·</w:t>
      </w:r>
      <w:r>
        <w:t xml:space="preserve"> </w:t>
      </w:r>
      <w:r>
        <w:rPr>
          <w:iCs/>
          <w:i/>
        </w:rPr>
        <w:t xml:space="preserve">Diabetes Obes Metab</w:t>
      </w:r>
      <w:r>
        <w:t xml:space="preserve"> </w:t>
      </w:r>
      <w:r>
        <w:t xml:space="preserve">· Effect of upper gastrointestinal disease on the pharmacokinetics of oral semaglutide in subjects with type 2 diabetes. PMID 34957654</w:t>
      </w:r>
    </w:p>
    <w:p>
      <w:pPr>
        <w:numPr>
          <w:ilvl w:val="0"/>
          <w:numId w:val="1379"/>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9"/>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9"/>
        </w:numPr>
        <w:pStyle w:val="Compact"/>
      </w:pPr>
      <w:r>
        <w:t xml:space="preserve">2022 · Wharton S ·</w:t>
      </w:r>
      <w:r>
        <w:t xml:space="preserve"> </w:t>
      </w:r>
      <w:r>
        <w:rPr>
          <w:iCs/>
          <w:i/>
        </w:rPr>
        <w:t xml:space="preserve">Diabetes Obes Metab</w:t>
      </w:r>
      <w:r>
        <w:t xml:space="preserve"> </w:t>
      </w:r>
      <w:r>
        <w:t xml:space="preserve">· Gastrointestinal tolerability of once-weekly semaglutide 2.4 mg in adults with overweight or obesity, and the relationship between gastrointestinal adverse events and weight loss. PMID 34514682</w:t>
      </w:r>
    </w:p>
    <w:p>
      <w:pPr>
        <w:numPr>
          <w:ilvl w:val="0"/>
          <w:numId w:val="1379"/>
        </w:numPr>
        <w:pStyle w:val="Compact"/>
      </w:pPr>
      <w:r>
        <w:t xml:space="preserve">2021 · Paquot N ·</w:t>
      </w:r>
      <w:r>
        <w:t xml:space="preserve"> </w:t>
      </w:r>
      <w:r>
        <w:rPr>
          <w:iCs/>
          <w:i/>
        </w:rPr>
        <w:t xml:space="preserve">Rev Med Liege</w:t>
      </w:r>
      <w:r>
        <w:t xml:space="preserve"> </w:t>
      </w:r>
      <w:r>
        <w:t xml:space="preserve">· [Oral semaglutide, first oral GLP-1 receptor agonist (Rybelsus®)]. PMID 34881835</w:t>
      </w:r>
    </w:p>
    <w:p>
      <w:pPr>
        <w:numPr>
          <w:ilvl w:val="0"/>
          <w:numId w:val="1379"/>
        </w:numPr>
        <w:pStyle w:val="Compact"/>
      </w:pPr>
      <w:r>
        <w:t xml:space="preserve">2021 · Overgaard RV ·</w:t>
      </w:r>
      <w:r>
        <w:t xml:space="preserve"> </w:t>
      </w:r>
      <w:r>
        <w:rPr>
          <w:iCs/>
          <w:i/>
        </w:rPr>
        <w:t xml:space="preserve">Cell Rep Med</w:t>
      </w:r>
      <w:r>
        <w:t xml:space="preserve"> </w:t>
      </w:r>
      <w:r>
        <w:t xml:space="preserve">· Levels of circulating semaglutide determine reductions in HbA1c and body weight in people with type 2 diabetes. PMID 34622228</w:t>
      </w:r>
    </w:p>
    <w:p>
      <w:pPr>
        <w:numPr>
          <w:ilvl w:val="0"/>
          <w:numId w:val="1379"/>
        </w:numPr>
        <w:pStyle w:val="Compact"/>
      </w:pPr>
      <w:r>
        <w:t xml:space="preserve">2021 · Flint A ·</w:t>
      </w:r>
      <w:r>
        <w:t xml:space="preserve"> </w:t>
      </w:r>
      <w:r>
        <w:rPr>
          <w:iCs/>
          <w:i/>
        </w:rPr>
        <w:t xml:space="preserve">Aliment Pharmacol Ther</w:t>
      </w:r>
      <w:r>
        <w:t xml:space="preserve"> </w:t>
      </w:r>
      <w:r>
        <w:t xml:space="preserve">· Randomised clinical trial: semaglutide versus placebo reduced liver steatosis but not liver stiffness in subjects with non-alcoholic fatty liver disease assessed by magnetic resonance imaging. PMID 34570916</w:t>
      </w:r>
    </w:p>
    <w:p>
      <w:pPr>
        <w:numPr>
          <w:ilvl w:val="0"/>
          <w:numId w:val="1379"/>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9"/>
        </w:numPr>
        <w:pStyle w:val="Compact"/>
      </w:pPr>
      <w:r>
        <w:t xml:space="preserve">2021 · Frías JP ·</w:t>
      </w:r>
      <w:r>
        <w:t xml:space="preserve"> </w:t>
      </w:r>
      <w:r>
        <w:rPr>
          <w:iCs/>
          <w:i/>
        </w:rPr>
        <w:t xml:space="preserve">Lancet Diabetes Endocrinol</w:t>
      </w:r>
      <w:r>
        <w:t xml:space="preserve"> </w:t>
      </w:r>
      <w:r>
        <w:t xml:space="preserve">· Efficacy and safety of once-weekly semaglutide 2·0 mg versus 1·0 mg in patients with type 2 diabetes (SUSTAIN FORTE): a double-blind, randomised, phase 3B trial. PMID 34293304</w:t>
      </w:r>
    </w:p>
    <w:p>
      <w:pPr>
        <w:numPr>
          <w:ilvl w:val="0"/>
          <w:numId w:val="1379"/>
        </w:numPr>
        <w:pStyle w:val="Compact"/>
      </w:pPr>
      <w:r>
        <w:t xml:space="preserve">2021 · Hauge C ·</w:t>
      </w:r>
      <w:r>
        <w:t xml:space="preserve"> </w:t>
      </w:r>
      <w:r>
        <w:rPr>
          <w:iCs/>
          <w:i/>
        </w:rPr>
        <w:t xml:space="preserve">Expert Opin Drug Metab Toxicol</w:t>
      </w:r>
      <w:r>
        <w:t xml:space="preserve"> </w:t>
      </w:r>
      <w:r>
        <w:t xml:space="preserve">· Effect of oral semaglutide on the pharmacokinetics of thyroxine after dosing of levothyroxine and the influence of co-administered tablets on the pharmacokinetics of oral semaglutide in healthy subjects: an open-label, one-sequence crossover, single-center, multiple-dose, two-part trial. PMID 34289755</w:t>
      </w:r>
    </w:p>
    <w:p>
      <w:pPr>
        <w:numPr>
          <w:ilvl w:val="0"/>
          <w:numId w:val="1379"/>
        </w:numPr>
        <w:pStyle w:val="Compact"/>
      </w:pPr>
      <w:r>
        <w:t xml:space="preserve">2021 · Jensterle M ·</w:t>
      </w:r>
      <w:r>
        <w:t xml:space="preserve"> </w:t>
      </w:r>
      <w:r>
        <w:rPr>
          <w:iCs/>
          <w:i/>
        </w:rPr>
        <w:t xml:space="preserve">Diabetes Res Clin Pract</w:t>
      </w:r>
      <w:r>
        <w:t xml:space="preserve"> </w:t>
      </w:r>
      <w:r>
        <w:t xml:space="preserve">· Semaglutide reduces fat accumulation in the tongue: A randomized single-blind, pilot study. PMID 34217774</w:t>
      </w:r>
    </w:p>
    <w:p>
      <w:pPr>
        <w:numPr>
          <w:ilvl w:val="0"/>
          <w:numId w:val="1379"/>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79"/>
        </w:numPr>
        <w:pStyle w:val="Compact"/>
      </w:pPr>
      <w:r>
        <w:t xml:space="preserve">2021 · Dichtel LE ·</w:t>
      </w:r>
      <w:r>
        <w:t xml:space="preserve"> </w:t>
      </w:r>
      <w:r>
        <w:rPr>
          <w:iCs/>
          <w:i/>
        </w:rPr>
        <w:t xml:space="preserve">Hepatology</w:t>
      </w:r>
      <w:r>
        <w:t xml:space="preserve"> </w:t>
      </w:r>
      <w:r>
        <w:t xml:space="preserve">· The Glucagon-Like Peptide-1 Receptor Agonist, Semaglutide, for the Treatment of Nonalcoholic Steatohepatitis. PMID 33960005</w:t>
      </w:r>
    </w:p>
    <w:p>
      <w:pPr>
        <w:numPr>
          <w:ilvl w:val="0"/>
          <w:numId w:val="1379"/>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p>
      <w:pPr>
        <w:numPr>
          <w:ilvl w:val="0"/>
          <w:numId w:val="1379"/>
        </w:numPr>
        <w:pStyle w:val="Compact"/>
      </w:pPr>
      <w:r>
        <w:t xml:space="preserve">2021 · Jordy AB ·</w:t>
      </w:r>
      <w:r>
        <w:t xml:space="preserve"> </w:t>
      </w:r>
      <w:r>
        <w:rPr>
          <w:iCs/>
          <w:i/>
        </w:rPr>
        <w:t xml:space="preserve">Clin Pharmacokinet</w:t>
      </w:r>
      <w:r>
        <w:t xml:space="preserve"> </w:t>
      </w:r>
      <w:r>
        <w:t xml:space="preserve">· Effect of Oral Semaglutide on the Pharmacokinetics of Levonorgestrel and Ethinylestradiol in Healthy Postmenopausal Women and Furosemide and Rosuvastatin in Healthy Subjects. PMID 33782832</w:t>
      </w:r>
    </w:p>
    <w:p>
      <w:pPr>
        <w:numPr>
          <w:ilvl w:val="0"/>
          <w:numId w:val="1379"/>
        </w:numPr>
        <w:pStyle w:val="Compact"/>
      </w:pPr>
      <w:r>
        <w:t xml:space="preserve">2021 · Rubino D ·</w:t>
      </w:r>
      <w:r>
        <w:t xml:space="preserve"> </w:t>
      </w:r>
      <w:r>
        <w:rPr>
          <w:iCs/>
          <w:i/>
        </w:rPr>
        <w:t xml:space="preserve">JAMA</w:t>
      </w:r>
      <w:r>
        <w:t xml:space="preserve"> </w:t>
      </w:r>
      <w:r>
        <w:t xml:space="preserve">· Effect of Continued Weekly Subcutaneous Semaglutide vs Placebo on Weight Loss Maintenance in Adults With Overweight or Obesity: The STEP 4 Randomized Clinical Trial. PMID 33755728</w:t>
      </w:r>
    </w:p>
    <w:p>
      <w:pPr>
        <w:numPr>
          <w:ilvl w:val="0"/>
          <w:numId w:val="1379"/>
        </w:numPr>
        <w:pStyle w:val="Compact"/>
      </w:pPr>
      <w:r>
        <w:t xml:space="preserve">2021 · Baekdal TA ·</w:t>
      </w:r>
      <w:r>
        <w:t xml:space="preserve"> </w:t>
      </w:r>
      <w:r>
        <w:rPr>
          <w:iCs/>
          <w:i/>
        </w:rPr>
        <w:t xml:space="preserve">Clin Pharmacol Drug Dev</w:t>
      </w:r>
      <w:r>
        <w:t xml:space="preserve"> </w:t>
      </w:r>
      <w:r>
        <w:t xml:space="preserve">· Relationship Between Oral Semaglutide Tablet Erosion and Pharmacokinetics: A Pharmacoscintigraphic Study. PMID 33750044</w:t>
      </w:r>
    </w:p>
    <w:p>
      <w:pPr>
        <w:numPr>
          <w:ilvl w:val="0"/>
          <w:numId w:val="1379"/>
        </w:numPr>
        <w:pStyle w:val="Compact"/>
      </w:pPr>
      <w:r>
        <w:t xml:space="preserve">2021 · Dahl K ·</w:t>
      </w:r>
      <w:r>
        <w:t xml:space="preserve"> </w:t>
      </w:r>
      <w:r>
        <w:rPr>
          <w:iCs/>
          <w:i/>
        </w:rPr>
        <w:t xml:space="preserve">Diabetes Obes Metab</w:t>
      </w:r>
      <w:r>
        <w:t xml:space="preserve"> </w:t>
      </w:r>
      <w:r>
        <w:t xml:space="preserve">· Oral semaglutide improves postprandial glucose and lipid metabolism, and delays gastric emptying, in subjects with type 2 diabetes. PMID 33710717</w:t>
      </w:r>
    </w:p>
    <w:p>
      <w:pPr>
        <w:numPr>
          <w:ilvl w:val="0"/>
          <w:numId w:val="1379"/>
        </w:numPr>
        <w:pStyle w:val="Compact"/>
      </w:pPr>
      <w:r>
        <w:t xml:space="preserve">2021 · Davies M ·</w:t>
      </w:r>
      <w:r>
        <w:t xml:space="preserve"> </w:t>
      </w:r>
      <w:r>
        <w:rPr>
          <w:iCs/>
          <w:i/>
        </w:rPr>
        <w:t xml:space="preserve">Lancet</w:t>
      </w:r>
      <w:r>
        <w:t xml:space="preserve"> </w:t>
      </w:r>
      <w:r>
        <w:t xml:space="preserve">· Semaglutide 2·4 mg once a week in adults with overweight or obesity, and type 2 diabetes (STEP 2): a randomised, double-blind, double-dummy, placebo-controlled, phase 3 trial. PMID 33667417</w:t>
      </w:r>
    </w:p>
    <w:p>
      <w:pPr>
        <w:numPr>
          <w:ilvl w:val="0"/>
          <w:numId w:val="1379"/>
        </w:numPr>
        <w:pStyle w:val="Compact"/>
      </w:pPr>
      <w:r>
        <w:t xml:space="preserve">2021 · Wadden TA ·</w:t>
      </w:r>
      <w:r>
        <w:t xml:space="preserve"> </w:t>
      </w:r>
      <w:r>
        <w:rPr>
          <w:iCs/>
          <w:i/>
        </w:rPr>
        <w:t xml:space="preserve">JAMA</w:t>
      </w:r>
      <w:r>
        <w:t xml:space="preserve"> </w:t>
      </w:r>
      <w:r>
        <w:t xml:space="preserve">· Effect of Subcutaneous Semaglutide vs Placebo as an Adjunct to Intensive Behavioral Therapy on Body Weight in Adults With Overweight or Obesity: The STEP 3 Randomized Clinical Trial. PMID 33625476</w:t>
      </w:r>
    </w:p>
    <w:p>
      <w:pPr>
        <w:numPr>
          <w:ilvl w:val="0"/>
          <w:numId w:val="1379"/>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9"/>
        </w:numPr>
        <w:pStyle w:val="Compact"/>
      </w:pPr>
      <w:r>
        <w:t xml:space="preserve">2021 · Wilding JPH ·</w:t>
      </w:r>
      <w:r>
        <w:t xml:space="preserve"> </w:t>
      </w:r>
      <w:r>
        <w:rPr>
          <w:iCs/>
          <w:i/>
        </w:rPr>
        <w:t xml:space="preserve">N Engl J Med</w:t>
      </w:r>
      <w:r>
        <w:t xml:space="preserve"> </w:t>
      </w:r>
      <w:r>
        <w:t xml:space="preserve">· Once-Weekly Semaglutide in Adults with Overweight or Obesity. PMID 33567185</w:t>
      </w:r>
    </w:p>
    <w:p>
      <w:pPr>
        <w:numPr>
          <w:ilvl w:val="0"/>
          <w:numId w:val="1379"/>
        </w:numPr>
        <w:pStyle w:val="Compact"/>
      </w:pPr>
      <w:r>
        <w:t xml:space="preserve">2021 · Birudaraju D ·</w:t>
      </w:r>
      <w:r>
        <w:t xml:space="preserve"> </w:t>
      </w:r>
      <w:r>
        <w:rPr>
          <w:iCs/>
          <w:i/>
        </w:rPr>
        <w:t xml:space="preserve">J Diabetes Complications</w:t>
      </w:r>
      <w:r>
        <w:t xml:space="preserve"> </w:t>
      </w:r>
      <w:r>
        <w:t xml:space="preserve">· Prevalence of normal coronary arteries by coronary computed tomography angiography (CCTA) in patients with type 2 diabetes mellitus from Semaglutide Treatment on Coronary Plaque Progression (STOP) trial. PMID 33419635</w:t>
      </w:r>
    </w:p>
    <w:p>
      <w:pPr>
        <w:numPr>
          <w:ilvl w:val="0"/>
          <w:numId w:val="1379"/>
        </w:numPr>
        <w:pStyle w:val="Compact"/>
      </w:pPr>
      <w:r>
        <w:t xml:space="preserve">2021 · Friedrichsen M ·</w:t>
      </w:r>
      <w:r>
        <w:t xml:space="preserve"> </w:t>
      </w:r>
      <w:r>
        <w:rPr>
          <w:iCs/>
          <w:i/>
        </w:rPr>
        <w:t xml:space="preserve">Diabetes Obes Metab</w:t>
      </w:r>
      <w:r>
        <w:t xml:space="preserve"> </w:t>
      </w:r>
      <w:r>
        <w:t xml:space="preserve">· The effect of semaglutide 2.4 mg once weekly on energy intake, appetite, control of eating, and gastric emptying in adults with obesity. PMID 33269530</w:t>
      </w:r>
    </w:p>
    <w:p>
      <w:pPr>
        <w:numPr>
          <w:ilvl w:val="0"/>
          <w:numId w:val="1379"/>
        </w:numPr>
        <w:pStyle w:val="Compact"/>
      </w:pPr>
      <w:r>
        <w:t xml:space="preserve">2021 · Newsome PN ·</w:t>
      </w:r>
      <w:r>
        <w:t xml:space="preserve"> </w:t>
      </w:r>
      <w:r>
        <w:rPr>
          <w:iCs/>
          <w:i/>
        </w:rPr>
        <w:t xml:space="preserve">N Engl J Med</w:t>
      </w:r>
      <w:r>
        <w:t xml:space="preserve"> </w:t>
      </w:r>
      <w:r>
        <w:t xml:space="preserve">· A Placebo-Controlled Trial of Subcutaneous Semaglutide in Nonalcoholic Steatohepatitis. PMID 33185364</w:t>
      </w:r>
    </w:p>
    <w:p>
      <w:pPr>
        <w:numPr>
          <w:ilvl w:val="0"/>
          <w:numId w:val="1379"/>
        </w:numPr>
        <w:pStyle w:val="Compact"/>
      </w:pPr>
      <w:r>
        <w:t xml:space="preserve">2021 · Gibbons C ·</w:t>
      </w:r>
      <w:r>
        <w:t xml:space="preserve"> </w:t>
      </w:r>
      <w:r>
        <w:rPr>
          <w:iCs/>
          <w:i/>
        </w:rPr>
        <w:t xml:space="preserve">Diabetes Obes Metab</w:t>
      </w:r>
      <w:r>
        <w:t xml:space="preserve"> </w:t>
      </w:r>
      <w:r>
        <w:t xml:space="preserve">· Effects of oral semaglutide on energy intake, food preference, appetite, control of eating and body weight in subjects with type 2 diabetes. PMID 33184979</w:t>
      </w:r>
    </w:p>
    <w:p>
      <w:pPr>
        <w:numPr>
          <w:ilvl w:val="0"/>
          <w:numId w:val="1379"/>
        </w:numPr>
        <w:pStyle w:val="Compact"/>
      </w:pPr>
      <w:r>
        <w:t xml:space="preserve">2021 · Shi A ·</w:t>
      </w:r>
      <w:r>
        <w:t xml:space="preserve"> </w:t>
      </w:r>
      <w:r>
        <w:rPr>
          <w:iCs/>
          <w:i/>
        </w:rPr>
        <w:t xml:space="preserve">Adv Ther</w:t>
      </w:r>
      <w:r>
        <w:t xml:space="preserve"> </w:t>
      </w:r>
      <w:r>
        <w:t xml:space="preserve">· Pharmacokinetics, Safety and Tolerability of Once-Weekly Subcutaneous Semaglutide in Healthy Chinese Subjects: A Double-Blind, Phase 1, Randomized Controlled Trial. PMID 33159658</w:t>
      </w:r>
    </w:p>
    <w:p>
      <w:pPr>
        <w:numPr>
          <w:ilvl w:val="0"/>
          <w:numId w:val="1379"/>
        </w:numPr>
        <w:pStyle w:val="Compact"/>
      </w:pPr>
      <w:r>
        <w:t xml:space="preserve">2021 · Ji L ·</w:t>
      </w:r>
      <w:r>
        <w:t xml:space="preserve"> </w:t>
      </w:r>
      <w:r>
        <w:rPr>
          <w:iCs/>
          <w:i/>
        </w:rPr>
        <w:t xml:space="preserve">Diabetes Obes Metab</w:t>
      </w:r>
      <w:r>
        <w:t xml:space="preserve"> </w:t>
      </w:r>
      <w:r>
        <w:t xml:space="preserve">· Efficacy and safety of once-weekly semaglutide versus once-daily sitagliptin as add-on to metformin in patients with type 2 diabetes in SUSTAIN China: A 30-week, double-blind, phase 3a, randomized trial. PMID 33074557</w:t>
      </w:r>
    </w:p>
    <w:p>
      <w:pPr>
        <w:numPr>
          <w:ilvl w:val="0"/>
          <w:numId w:val="1379"/>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9"/>
        </w:numPr>
        <w:pStyle w:val="Compact"/>
      </w:pPr>
      <w:r>
        <w:t xml:space="preserve">2020 · Buse JB ·</w:t>
      </w:r>
      <w:r>
        <w:t xml:space="preserve"> </w:t>
      </w:r>
      <w:r>
        <w:rPr>
          <w:iCs/>
          <w:i/>
        </w:rPr>
        <w:t xml:space="preserve">BMJ Open Diabetes Res Care</w:t>
      </w:r>
      <w:r>
        <w:t xml:space="preserve"> </w:t>
      </w:r>
      <w:r>
        <w:t xml:space="preserve">· Long-term efficacy and safety of oral semaglutide and the effect of switching from sitagliptin to oral semaglutide in patients with type 2 diabetes: a 52-week, randomized, open-label extension of the PIONEER 7 trial. PMID 33318068</w:t>
      </w:r>
    </w:p>
    <w:p>
      <w:pPr>
        <w:numPr>
          <w:ilvl w:val="0"/>
          <w:numId w:val="1379"/>
        </w:numPr>
        <w:pStyle w:val="Compact"/>
      </w:pPr>
      <w:r>
        <w:t xml:space="preserve">2020 · Mann JFE ·</w:t>
      </w:r>
      <w:r>
        <w:t xml:space="preserve"> </w:t>
      </w:r>
      <w:r>
        <w:rPr>
          <w:iCs/>
          <w:i/>
        </w:rPr>
        <w:t xml:space="preserve">Lancet Diabetes Endocrinol</w:t>
      </w:r>
      <w:r>
        <w:t xml:space="preserve"> </w:t>
      </w:r>
      <w:r>
        <w:t xml:space="preserve">· Effects of once-weekly subcutaneous semaglutide on kidney function and safety in patients with type 2 diabetes: a post-hoc analysis of the SUSTAIN 1-7 randomised controlled trials. PMID 32971040</w:t>
      </w:r>
    </w:p>
    <w:p>
      <w:pPr>
        <w:numPr>
          <w:ilvl w:val="0"/>
          <w:numId w:val="1379"/>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9"/>
        </w:numPr>
        <w:pStyle w:val="Compact"/>
      </w:pPr>
      <w:r>
        <w:t xml:space="preserve">2020 · Kushner RF ·</w:t>
      </w:r>
      <w:r>
        <w:t xml:space="preserve"> </w:t>
      </w:r>
      <w:r>
        <w:rPr>
          <w:iCs/>
          <w:i/>
        </w:rPr>
        <w:t xml:space="preserve">Obesity (Silver Spring)</w:t>
      </w:r>
      <w:r>
        <w:t xml:space="preserve"> </w:t>
      </w:r>
      <w:r>
        <w:t xml:space="preserve">· Semaglutide 2.4 mg for the Treatment of Obesity: Key Elements of the STEP Trials 1 to 5. PMID 32441473</w:t>
      </w:r>
    </w:p>
    <w:p>
      <w:pPr>
        <w:numPr>
          <w:ilvl w:val="0"/>
          <w:numId w:val="1379"/>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9"/>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9"/>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9"/>
        </w:numPr>
        <w:pStyle w:val="Compact"/>
      </w:pPr>
      <w:r>
        <w:t xml:space="preserve">2020 · Jódar E ·</w:t>
      </w:r>
      <w:r>
        <w:t xml:space="preserve"> </w:t>
      </w:r>
      <w:r>
        <w:rPr>
          <w:iCs/>
          <w:i/>
        </w:rPr>
        <w:t xml:space="preserve">Diabetes Obes Metab</w:t>
      </w:r>
      <w:r>
        <w:t xml:space="preserve"> </w:t>
      </w:r>
      <w:r>
        <w:t xml:space="preserve">· Semaglutide improves health-related quality of life versus placebo when added to standard of care in patients with type 2 diabetes at high cardiovascular risk (SUSTAIN 6). PMID 32227613</w:t>
      </w:r>
    </w:p>
    <w:p>
      <w:pPr>
        <w:numPr>
          <w:ilvl w:val="0"/>
          <w:numId w:val="1379"/>
        </w:numPr>
        <w:pStyle w:val="Compact"/>
      </w:pPr>
      <w:r>
        <w:t xml:space="preserve">2020 · Doggrell SA ·</w:t>
      </w:r>
      <w:r>
        <w:t xml:space="preserve"> </w:t>
      </w:r>
      <w:r>
        <w:rPr>
          <w:iCs/>
          <w:i/>
        </w:rPr>
        <w:t xml:space="preserve">Expert Opin Biol Ther</w:t>
      </w:r>
      <w:r>
        <w:t xml:space="preserve"> </w:t>
      </w:r>
      <w:r>
        <w:t xml:space="preserve">· Will oral semaglutide be used to reduce cardiovascular risk in subjects with type 2 diabetes instead of subcutaneous semaglutide?. PMID 32005073</w:t>
      </w:r>
    </w:p>
    <w:p>
      <w:pPr>
        <w:numPr>
          <w:ilvl w:val="0"/>
          <w:numId w:val="1379"/>
        </w:numPr>
        <w:pStyle w:val="Compact"/>
      </w:pPr>
      <w:r>
        <w:t xml:space="preserve">2020 · McCrimmon RJ ·</w:t>
      </w:r>
      <w:r>
        <w:t xml:space="preserve"> </w:t>
      </w:r>
      <w:r>
        <w:rPr>
          <w:iCs/>
          <w:i/>
        </w:rPr>
        <w:t xml:space="preserve">Diabetologia</w:t>
      </w:r>
      <w:r>
        <w:t xml:space="preserve"> </w:t>
      </w:r>
      <w:r>
        <w:t xml:space="preserve">· Effects of once-weekly semaglutide vs once-daily canagliflozin on body composition in type 2 diabetes: a substudy of the SUSTAIN 8 randomised controlled clinical trial. PMID 31897524</w:t>
      </w:r>
    </w:p>
    <w:p>
      <w:pPr>
        <w:numPr>
          <w:ilvl w:val="0"/>
          <w:numId w:val="1379"/>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9"/>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9"/>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9"/>
        </w:numPr>
        <w:pStyle w:val="Compact"/>
      </w:pPr>
      <w:r>
        <w:t xml:space="preserve">2019 · Lingvay I ·</w:t>
      </w:r>
      <w:r>
        <w:t xml:space="preserve"> </w:t>
      </w:r>
      <w:r>
        <w:rPr>
          <w:iCs/>
          <w:i/>
        </w:rPr>
        <w:t xml:space="preserve">Lancet Diabetes Endocrinol</w:t>
      </w:r>
      <w:r>
        <w:t xml:space="preserve"> </w:t>
      </w:r>
      <w:r>
        <w:t xml:space="preserve">· Efficacy and safety of once-weekly semaglutide versus daily canagliflozin as add-on to metformin in patients with type 2 diabetes (SUSTAIN 8): a double-blind, phase 3b, randomised controlled trial. PMID 31540867</w:t>
      </w:r>
    </w:p>
    <w:p>
      <w:pPr>
        <w:numPr>
          <w:ilvl w:val="0"/>
          <w:numId w:val="1379"/>
        </w:numPr>
        <w:pStyle w:val="Compact"/>
      </w:pPr>
      <w:r>
        <w:t xml:space="preserve">2019 · Zinman B ·</w:t>
      </w:r>
      <w:r>
        <w:t xml:space="preserve"> </w:t>
      </w:r>
      <w:r>
        <w:rPr>
          <w:iCs/>
          <w:i/>
        </w:rPr>
        <w:t xml:space="preserve">Diabetes Care</w:t>
      </w:r>
      <w:r>
        <w:t xml:space="preserve"> </w:t>
      </w:r>
      <w:r>
        <w:t xml:space="preserve">· Efficacy, Safety, and Tolerability of Oral Semaglutide Versus Placebo Added to Insulin With or Without Metformin in Patients With Type 2 Diabetes: The PIONEER 8 Trial. PMID 31530667</w:t>
      </w:r>
    </w:p>
    <w:p>
      <w:pPr>
        <w:numPr>
          <w:ilvl w:val="0"/>
          <w:numId w:val="1379"/>
        </w:numPr>
        <w:pStyle w:val="Compact"/>
      </w:pPr>
      <w:r>
        <w:t xml:space="preserve">2019 · Rodbard HW ·</w:t>
      </w:r>
      <w:r>
        <w:t xml:space="preserve"> </w:t>
      </w:r>
      <w:r>
        <w:rPr>
          <w:iCs/>
          <w:i/>
        </w:rPr>
        <w:t xml:space="preserve">Diabetes Care</w:t>
      </w:r>
      <w:r>
        <w:t xml:space="preserve"> </w:t>
      </w:r>
      <w:r>
        <w:t xml:space="preserve">· Oral Semaglutide Versus Empagliflozin in Patients With Type 2 Diabetes Uncontrolled on Metformin: The PIONEER 2 Trial. PMID 31530666</w:t>
      </w:r>
    </w:p>
    <w:p>
      <w:pPr>
        <w:numPr>
          <w:ilvl w:val="0"/>
          <w:numId w:val="1379"/>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9"/>
        </w:numPr>
        <w:pStyle w:val="Compact"/>
      </w:pPr>
      <w:r>
        <w:t xml:space="preserve">2019 · Pieber TR ·</w:t>
      </w:r>
      <w:r>
        <w:t xml:space="preserve"> </w:t>
      </w:r>
      <w:r>
        <w:rPr>
          <w:iCs/>
          <w:i/>
        </w:rPr>
        <w:t xml:space="preserve">Lancet Diabetes Endocrinol</w:t>
      </w:r>
      <w:r>
        <w:t xml:space="preserve"> </w:t>
      </w:r>
      <w:r>
        <w:t xml:space="preserve">· Efficacy and safety of oral semaglutide with flexible dose adjustment versus sitagliptin in type 2 diabetes (PIONEER 7): a multicentre, open-label, randomised, phase 3a trial. PMID 31189520</w:t>
      </w:r>
    </w:p>
    <w:p>
      <w:pPr>
        <w:numPr>
          <w:ilvl w:val="0"/>
          <w:numId w:val="1379"/>
        </w:numPr>
        <w:pStyle w:val="Compact"/>
      </w:pPr>
      <w:r>
        <w:t xml:space="preserve">2019 · Mosenzon O ·</w:t>
      </w:r>
      <w:r>
        <w:t xml:space="preserve"> </w:t>
      </w:r>
      <w:r>
        <w:rPr>
          <w:iCs/>
          <w:i/>
        </w:rPr>
        <w:t xml:space="preserve">Lancet Diabetes Endocrinol</w:t>
      </w:r>
      <w:r>
        <w:t xml:space="preserve"> </w:t>
      </w:r>
      <w:r>
        <w:t xml:space="preserve">· Efficacy and safety of oral semaglutide in patients with type 2 diabetes and moderate renal impairment (PIONEER 5): a placebo-controlled, randomised, phase 3a trial. PMID 31189517</w:t>
      </w:r>
    </w:p>
    <w:p>
      <w:pPr>
        <w:numPr>
          <w:ilvl w:val="0"/>
          <w:numId w:val="1379"/>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9"/>
        </w:numPr>
        <w:pStyle w:val="Compact"/>
      </w:pPr>
      <w:r>
        <w:t xml:space="preserve">2019 · Husain M ·</w:t>
      </w:r>
      <w:r>
        <w:t xml:space="preserve"> </w:t>
      </w:r>
      <w:r>
        <w:rPr>
          <w:iCs/>
          <w:i/>
        </w:rPr>
        <w:t xml:space="preserve">N Engl J Med</w:t>
      </w:r>
      <w:r>
        <w:t xml:space="preserve"> </w:t>
      </w:r>
      <w:r>
        <w:t xml:space="preserve">· Oral Semaglutide and Cardiovascular Outcomes in Patients with Type 2 Diabetes. PMID 31185157</w:t>
      </w:r>
    </w:p>
    <w:p>
      <w:pPr>
        <w:numPr>
          <w:ilvl w:val="0"/>
          <w:numId w:val="1379"/>
        </w:numPr>
        <w:pStyle w:val="Compact"/>
      </w:pPr>
      <w:r>
        <w:t xml:space="preserve">2019 · Bækdal TA ·</w:t>
      </w:r>
      <w:r>
        <w:t xml:space="preserve"> </w:t>
      </w:r>
      <w:r>
        <w:rPr>
          <w:iCs/>
          <w:i/>
        </w:rPr>
        <w:t xml:space="preserve">Clin Pharmacokinet</w:t>
      </w:r>
      <w:r>
        <w:t xml:space="preserve"> </w:t>
      </w:r>
      <w:r>
        <w:t xml:space="preserve">· Effect of Oral Semaglutide on the Pharmacokinetics of Lisinopril, Warfarin, Digoxin, and Metformin in Healthy Subjects. PMID 30945118</w:t>
      </w:r>
    </w:p>
    <w:p>
      <w:pPr>
        <w:numPr>
          <w:ilvl w:val="0"/>
          <w:numId w:val="1379"/>
        </w:numPr>
        <w:pStyle w:val="Compact"/>
      </w:pPr>
      <w:r>
        <w:t xml:space="preserve">2019 · Rosenstock J ·</w:t>
      </w:r>
      <w:r>
        <w:t xml:space="preserve"> </w:t>
      </w:r>
      <w:r>
        <w:rPr>
          <w:iCs/>
          <w:i/>
        </w:rPr>
        <w:t xml:space="preserve">JAMA</w:t>
      </w:r>
      <w:r>
        <w:t xml:space="preserve"> </w:t>
      </w:r>
      <w:r>
        <w:t xml:space="preserve">· Effect of Additional Oral Semaglutide vs Sitagliptin on Glycated Hemoglobin in Adults With Type 2 Diabetes Uncontrolled With Metformin Alone or With Sulfonylurea: The PIONEER 3 Randomized Clinical Trial. PMID 30903796</w:t>
      </w:r>
    </w:p>
    <w:p>
      <w:pPr>
        <w:numPr>
          <w:ilvl w:val="0"/>
          <w:numId w:val="1379"/>
        </w:numPr>
        <w:pStyle w:val="Compact"/>
      </w:pPr>
      <w:r>
        <w:t xml:space="preserve">2019 · Zinman B ·</w:t>
      </w:r>
      <w:r>
        <w:t xml:space="preserve"> </w:t>
      </w:r>
      <w:r>
        <w:rPr>
          <w:iCs/>
          <w:i/>
        </w:rPr>
        <w:t xml:space="preserve">Lancet Diabetes Endocrinol</w:t>
      </w:r>
      <w:r>
        <w:t xml:space="preserve"> </w:t>
      </w:r>
      <w:r>
        <w:t xml:space="preserve">· Semaglutide once weekly as add-on to SGLT-2 inhibitor therapy in type 2 diabetes (SUSTAIN 9): a randomised, placebo-controlled trial. PMID 30833170</w:t>
      </w:r>
    </w:p>
    <w:p>
      <w:pPr>
        <w:numPr>
          <w:ilvl w:val="0"/>
          <w:numId w:val="1379"/>
        </w:numPr>
        <w:pStyle w:val="Compact"/>
      </w:pPr>
      <w:r>
        <w:t xml:space="preserve">2019 · Granhall C ·</w:t>
      </w:r>
      <w:r>
        <w:t xml:space="preserve"> </w:t>
      </w:r>
      <w:r>
        <w:rPr>
          <w:iCs/>
          <w:i/>
        </w:rPr>
        <w:t xml:space="preserve">Clin Pharmacokinet</w:t>
      </w:r>
      <w:r>
        <w:t xml:space="preserve"> </w:t>
      </w:r>
      <w:r>
        <w:t xml:space="preserve">· Safety and Pharmacokinetics of Single and Multiple Ascending Doses of the Novel Oral Human GLP-1 Analogue, Oral Semaglutide, in Healthy Subjects and Subjects with Type 2 Diabetes. PMID 30565096</w:t>
      </w:r>
    </w:p>
    <w:p>
      <w:pPr>
        <w:numPr>
          <w:ilvl w:val="0"/>
          <w:numId w:val="1379"/>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9"/>
        </w:numPr>
        <w:pStyle w:val="Compact"/>
      </w:pPr>
      <w:r>
        <w:t xml:space="preserve">2018 · Buckley ST ·</w:t>
      </w:r>
      <w:r>
        <w:t xml:space="preserve"> </w:t>
      </w:r>
      <w:r>
        <w:rPr>
          <w:iCs/>
          <w:i/>
        </w:rPr>
        <w:t xml:space="preserve">Sci Transl Med</w:t>
      </w:r>
      <w:r>
        <w:t xml:space="preserve"> </w:t>
      </w:r>
      <w:r>
        <w:t xml:space="preserve">· Transcellular stomach absorption of a derivatized glucagon-like peptide-1 receptor agonist. PMID 30429357</w:t>
      </w:r>
    </w:p>
    <w:p>
      <w:pPr>
        <w:numPr>
          <w:ilvl w:val="0"/>
          <w:numId w:val="1379"/>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9"/>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9"/>
        </w:numPr>
        <w:pStyle w:val="Compact"/>
      </w:pPr>
      <w:r>
        <w:t xml:space="preserve">2018 · Bækdal TA ·</w:t>
      </w:r>
      <w:r>
        <w:t xml:space="preserve"> </w:t>
      </w:r>
      <w:r>
        <w:rPr>
          <w:iCs/>
          <w:i/>
        </w:rPr>
        <w:t xml:space="preserve">Expert Opin Drug Metab Toxicol</w:t>
      </w:r>
      <w:r>
        <w:t xml:space="preserve"> </w:t>
      </w:r>
      <w:r>
        <w:t xml:space="preserve">· A randomized study investigating the effect of omeprazole on the pharmacokinetics of oral semaglutide. PMID 29897249</w:t>
      </w:r>
    </w:p>
    <w:p>
      <w:pPr>
        <w:numPr>
          <w:ilvl w:val="0"/>
          <w:numId w:val="1379"/>
        </w:numPr>
        <w:pStyle w:val="Compact"/>
      </w:pPr>
      <w:r>
        <w:t xml:space="preserve">2018 · Korsatko S ·</w:t>
      </w:r>
      <w:r>
        <w:t xml:space="preserve"> </w:t>
      </w:r>
      <w:r>
        <w:rPr>
          <w:iCs/>
          <w:i/>
        </w:rPr>
        <w:t xml:space="preserve">Diabetes Obes Metab</w:t>
      </w:r>
      <w:r>
        <w:t xml:space="preserve"> </w:t>
      </w:r>
      <w:r>
        <w:t xml:space="preserve">· Effect of once-weekly semaglutide on the counterregulatory response to hypoglycaemia in people with type 2 diabetes: A randomized, placebo-controlled, double-blind, crossover trial. PMID 29893488</w:t>
      </w:r>
    </w:p>
    <w:p>
      <w:pPr>
        <w:numPr>
          <w:ilvl w:val="0"/>
          <w:numId w:val="1379"/>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9"/>
        </w:numPr>
        <w:pStyle w:val="Compact"/>
      </w:pPr>
      <w:r>
        <w:t xml:space="preserve">2018 · Baekdal TA ·</w:t>
      </w:r>
      <w:r>
        <w:t xml:space="preserve"> </w:t>
      </w:r>
      <w:r>
        <w:rPr>
          <w:iCs/>
          <w:i/>
        </w:rPr>
        <w:t xml:space="preserve">J Clin Pharmacol</w:t>
      </w:r>
      <w:r>
        <w:t xml:space="preserve"> </w:t>
      </w:r>
      <w:r>
        <w:t xml:space="preserve">· Pharmacokinetics, Safety, and Tolerability of Oral Semaglutide in Subjects With Hepatic Impairment. PMID 29693715</w:t>
      </w:r>
    </w:p>
    <w:p>
      <w:pPr>
        <w:numPr>
          <w:ilvl w:val="0"/>
          <w:numId w:val="1379"/>
        </w:numPr>
        <w:pStyle w:val="Compact"/>
      </w:pPr>
      <w:r>
        <w:t xml:space="preserve">2018 · Rodbard HW ·</w:t>
      </w:r>
      <w:r>
        <w:t xml:space="preserve"> </w:t>
      </w:r>
      <w:r>
        <w:rPr>
          <w:iCs/>
          <w:i/>
        </w:rPr>
        <w:t xml:space="preserve">J Clin Endocrinol Metab</w:t>
      </w:r>
      <w:r>
        <w:t xml:space="preserve"> </w:t>
      </w:r>
      <w:r>
        <w:t xml:space="preserve">· Semaglutide Added to Basal Insulin in Type 2 Diabetes (SUSTAIN 5): A Randomized, Controlled Trial. PMID 29688502</w:t>
      </w:r>
    </w:p>
    <w:p>
      <w:pPr>
        <w:numPr>
          <w:ilvl w:val="0"/>
          <w:numId w:val="1379"/>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9"/>
        </w:numPr>
        <w:pStyle w:val="Compact"/>
      </w:pPr>
      <w:r>
        <w:t xml:space="preserve">2018 · Granhall C ·</w:t>
      </w:r>
      <w:r>
        <w:t xml:space="preserve"> </w:t>
      </w:r>
      <w:r>
        <w:rPr>
          <w:iCs/>
          <w:i/>
        </w:rPr>
        <w:t xml:space="preserve">Clin Pharmacokinet</w:t>
      </w:r>
      <w:r>
        <w:t xml:space="preserve"> </w:t>
      </w:r>
      <w:r>
        <w:t xml:space="preserve">· Pharmacokinetics, Safety and Tolerability of Oral Semaglutide in Subjects with Renal Impairment. PMID 29623579</w:t>
      </w:r>
    </w:p>
    <w:p>
      <w:pPr>
        <w:numPr>
          <w:ilvl w:val="0"/>
          <w:numId w:val="1379"/>
        </w:numPr>
        <w:pStyle w:val="Compact"/>
      </w:pPr>
      <w:r>
        <w:t xml:space="preserve">2018 · Ikushima I ·</w:t>
      </w:r>
      <w:r>
        <w:t xml:space="preserve"> </w:t>
      </w:r>
      <w:r>
        <w:rPr>
          <w:iCs/>
          <w:i/>
        </w:rPr>
        <w:t xml:space="preserve">Adv Ther</w:t>
      </w:r>
      <w:r>
        <w:t xml:space="preserve"> </w:t>
      </w:r>
      <w:r>
        <w:t xml:space="preserve">· A Randomized Trial Investigating the Pharmacokinetics, Pharmacodynamics, and Safety of Subcutaneous Semaglutide Once-Weekly in Healthy Male Japanese and Caucasian Subjects. PMID 29536338</w:t>
      </w:r>
    </w:p>
    <w:p>
      <w:pPr>
        <w:numPr>
          <w:ilvl w:val="0"/>
          <w:numId w:val="1379"/>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9"/>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9"/>
        </w:numPr>
        <w:pStyle w:val="Compact"/>
      </w:pPr>
      <w:r>
        <w:t xml:space="preserve">2018 · Kaku K ·</w:t>
      </w:r>
      <w:r>
        <w:t xml:space="preserve"> </w:t>
      </w:r>
      <w:r>
        <w:rPr>
          <w:iCs/>
          <w:i/>
        </w:rPr>
        <w:t xml:space="preserve">Diabetes Obes Metab</w:t>
      </w:r>
      <w:r>
        <w:t xml:space="preserve"> </w:t>
      </w:r>
      <w:r>
        <w:t xml:space="preserve">· Safety and efficacy of once-weekly semaglutide vs additional oral antidiabetic drugs in Japanese people with inadequately controlled type 2 diabetes: A randomized trial. PMID 29322610</w:t>
      </w:r>
    </w:p>
    <w:p>
      <w:pPr>
        <w:numPr>
          <w:ilvl w:val="0"/>
          <w:numId w:val="1379"/>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9"/>
        </w:numPr>
        <w:pStyle w:val="Compact"/>
      </w:pPr>
      <w:r>
        <w:t xml:space="preserve">2018 · Jensen L ·</w:t>
      </w:r>
      <w:r>
        <w:t xml:space="preserve"> </w:t>
      </w:r>
      <w:r>
        <w:rPr>
          <w:iCs/>
          <w:i/>
        </w:rPr>
        <w:t xml:space="preserve">Diabetes Obes Metab</w:t>
      </w:r>
      <w:r>
        <w:t xml:space="preserve"> </w:t>
      </w:r>
      <w:r>
        <w:t xml:space="preserve">· Pharmacokinetics and tolerability of semaglutide in people with hepatic impairment. PMID 29205786</w:t>
      </w:r>
    </w:p>
    <w:p>
      <w:pPr>
        <w:numPr>
          <w:ilvl w:val="0"/>
          <w:numId w:val="1379"/>
        </w:numPr>
        <w:pStyle w:val="Compact"/>
      </w:pPr>
      <w:r>
        <w:t xml:space="preserve">2018 · Vilsbøll T ·</w:t>
      </w:r>
      <w:r>
        <w:t xml:space="preserve"> </w:t>
      </w:r>
      <w:r>
        <w:rPr>
          <w:iCs/>
          <w:i/>
        </w:rPr>
        <w:t xml:space="preserve">Diabetes Obes Metab</w:t>
      </w:r>
      <w:r>
        <w:t xml:space="preserve"> </w:t>
      </w:r>
      <w:r>
        <w:t xml:space="preserve">· Semaglutide, reduction in glycated haemoglobin and the risk of diabetic retinopathy. PMID 29178519</w:t>
      </w:r>
    </w:p>
    <w:p>
      <w:pPr>
        <w:numPr>
          <w:ilvl w:val="0"/>
          <w:numId w:val="1379"/>
        </w:numPr>
        <w:pStyle w:val="Compact"/>
      </w:pPr>
      <w:r>
        <w:t xml:space="preserve">2018 · Hjerpsted JB ·</w:t>
      </w:r>
      <w:r>
        <w:t xml:space="preserve"> </w:t>
      </w:r>
      <w:r>
        <w:rPr>
          <w:iCs/>
          <w:i/>
        </w:rPr>
        <w:t xml:space="preserve">Diabetes Obes Metab</w:t>
      </w:r>
      <w:r>
        <w:t xml:space="preserve"> </w:t>
      </w:r>
      <w:r>
        <w:t xml:space="preserve">· Semaglutide improves postprandial glucose and lipid metabolism, and delays first-hour gastric emptying in subjects with obesity. PMID 28941314</w:t>
      </w:r>
    </w:p>
    <w:p>
      <w:pPr>
        <w:numPr>
          <w:ilvl w:val="0"/>
          <w:numId w:val="1379"/>
        </w:numPr>
        <w:pStyle w:val="Compact"/>
      </w:pPr>
      <w:r>
        <w:t xml:space="preserve">2018 · Seino Y ·</w:t>
      </w:r>
      <w:r>
        <w:t xml:space="preserve"> </w:t>
      </w:r>
      <w:r>
        <w:rPr>
          <w:iCs/>
          <w:i/>
        </w:rPr>
        <w:t xml:space="preserve">Diabetes Obes Metab</w:t>
      </w:r>
      <w:r>
        <w:t xml:space="preserve"> </w:t>
      </w:r>
      <w:r>
        <w:t xml:space="preserve">· Safety and efficacy of semaglutide once weekly vs sitagliptin once daily, both as monotherapy in Japanese people with type 2 diabetes. PMID 28786547</w:t>
      </w:r>
    </w:p>
    <w:p>
      <w:pPr>
        <w:numPr>
          <w:ilvl w:val="0"/>
          <w:numId w:val="1379"/>
        </w:numPr>
        <w:pStyle w:val="Compact"/>
      </w:pPr>
      <w:r>
        <w:t xml:space="preserve">2017 · Davies M ·</w:t>
      </w:r>
      <w:r>
        <w:t xml:space="preserve"> </w:t>
      </w:r>
      <w:r>
        <w:rPr>
          <w:iCs/>
          <w:i/>
        </w:rPr>
        <w:t xml:space="preserve">JAMA</w:t>
      </w:r>
      <w:r>
        <w:t xml:space="preserve"> </w:t>
      </w:r>
      <w:r>
        <w:t xml:space="preserve">· Effect of Oral Semaglutide Compared With Placebo and Subcutaneous Semaglutide on Glycemic Control in Patients With Type 2 Diabetes: A Randomized Clinical Trial. PMID 29049653</w:t>
      </w:r>
    </w:p>
    <w:p>
      <w:pPr>
        <w:numPr>
          <w:ilvl w:val="0"/>
          <w:numId w:val="1379"/>
        </w:numPr>
        <w:pStyle w:val="Compact"/>
      </w:pPr>
      <w:r>
        <w:t xml:space="preserve">2017 · Kapitza C ·</w:t>
      </w:r>
      <w:r>
        <w:t xml:space="preserve"> </w:t>
      </w:r>
      <w:r>
        <w:rPr>
          <w:iCs/>
          <w:i/>
        </w:rPr>
        <w:t xml:space="preserve">Diabetologia</w:t>
      </w:r>
      <w:r>
        <w:t xml:space="preserve"> </w:t>
      </w:r>
      <w:r>
        <w:t xml:space="preserve">· Effects of semaglutide on beta cell function and glycaemic control in participants with type 2 diabetes: a randomised, double-blind, placebo-controlled trial. PMID 28526920</w:t>
      </w:r>
    </w:p>
    <w:p>
      <w:pPr>
        <w:numPr>
          <w:ilvl w:val="0"/>
          <w:numId w:val="1379"/>
        </w:numPr>
        <w:pStyle w:val="Compact"/>
      </w:pPr>
      <w:r>
        <w:t xml:space="preserve">2017 · Ahrén B ·</w:t>
      </w:r>
      <w:r>
        <w:t xml:space="preserve"> </w:t>
      </w:r>
      <w:r>
        <w:rPr>
          <w:iCs/>
          <w:i/>
        </w:rPr>
        <w:t xml:space="preserve">Lancet Diabetes Endocrinol</w:t>
      </w:r>
      <w:r>
        <w:t xml:space="preserve"> </w:t>
      </w:r>
      <w:r>
        <w:t xml:space="preserve">· Efficacy and safety of once-weekly semaglutide versus once-daily sitagliptin as an add-on to metformin, thiazolidinediones, or both, in patients with type 2 diabetes (SUSTAIN 2): a 56-week, double-blind, phase 3a, randomised trial. PMID 28385659</w:t>
      </w:r>
    </w:p>
    <w:p>
      <w:pPr>
        <w:numPr>
          <w:ilvl w:val="0"/>
          <w:numId w:val="1379"/>
        </w:numPr>
        <w:pStyle w:val="Compact"/>
      </w:pPr>
      <w:r>
        <w:t xml:space="preserve">2017 · Hausner H ·</w:t>
      </w:r>
      <w:r>
        <w:t xml:space="preserve"> </w:t>
      </w:r>
      <w:r>
        <w:rPr>
          <w:iCs/>
          <w:i/>
        </w:rPr>
        <w:t xml:space="preserve">Clin Pharmacokinet</w:t>
      </w:r>
      <w:r>
        <w:t xml:space="preserve"> </w:t>
      </w:r>
      <w:r>
        <w:t xml:space="preserve">· Effect of Semaglutide on the Pharmacokinetics of Metformin, Warfarin, Atorvastatin and Digoxin in Healthy Subjects. PMID 28349387</w:t>
      </w:r>
    </w:p>
    <w:p>
      <w:pPr>
        <w:numPr>
          <w:ilvl w:val="0"/>
          <w:numId w:val="1379"/>
        </w:numPr>
        <w:pStyle w:val="Compact"/>
      </w:pPr>
      <w:r>
        <w:t xml:space="preserve">2017 · Marbury TC ·</w:t>
      </w:r>
      <w:r>
        <w:t xml:space="preserve"> </w:t>
      </w:r>
      <w:r>
        <w:rPr>
          <w:iCs/>
          <w:i/>
        </w:rPr>
        <w:t xml:space="preserve">Clin Pharmacokinet</w:t>
      </w:r>
      <w:r>
        <w:t xml:space="preserve"> </w:t>
      </w:r>
      <w:r>
        <w:t xml:space="preserve">· Pharmacokinetics and Tolerability of a Single Dose of Semaglutide, a Human Glucagon-Like Peptide-1 Analog, in Subjects With and Without Renal Impairment. PMID 28349386</w:t>
      </w:r>
    </w:p>
    <w:p>
      <w:pPr>
        <w:numPr>
          <w:ilvl w:val="0"/>
          <w:numId w:val="1379"/>
        </w:numPr>
        <w:pStyle w:val="Compact"/>
      </w:pPr>
      <w:r>
        <w:t xml:space="preserve">2017 · Aroda VR ·</w:t>
      </w:r>
      <w:r>
        <w:t xml:space="preserve"> </w:t>
      </w:r>
      <w:r>
        <w:rPr>
          <w:iCs/>
          <w:i/>
        </w:rPr>
        <w:t xml:space="preserve">Lancet Diabetes Endocrinol</w:t>
      </w:r>
      <w:r>
        <w:t xml:space="preserve"> </w:t>
      </w:r>
      <w:r>
        <w:t xml:space="preserve">· Efficacy and safety of once-weekly semaglutide versus once-daily insulin glargine as add-on to metformin (with or without sulfonylureas) in insulin-naive patients with type 2 diabetes (SUSTAIN 4): a randomised, open-label, parallel-group, multicentre, multinational, phase 3a trial. PMID 28344112</w:t>
      </w:r>
    </w:p>
    <w:p>
      <w:pPr>
        <w:numPr>
          <w:ilvl w:val="0"/>
          <w:numId w:val="1379"/>
        </w:numPr>
        <w:pStyle w:val="Compact"/>
      </w:pPr>
      <w:r>
        <w:t xml:space="preserve">2017 · Ebell MH ·</w:t>
      </w:r>
      <w:r>
        <w:t xml:space="preserve"> </w:t>
      </w:r>
      <w:r>
        <w:rPr>
          <w:iCs/>
          <w:i/>
        </w:rPr>
        <w:t xml:space="preserve">Am Fam Physician</w:t>
      </w:r>
      <w:r>
        <w:t xml:space="preserve"> </w:t>
      </w:r>
      <w:r>
        <w:t xml:space="preserve">· Semaglutide Reduces CV Events in High-Risk Patients with Type 2 Diabetes Mellitus. PMID 28318215</w:t>
      </w:r>
    </w:p>
    <w:p>
      <w:pPr>
        <w:numPr>
          <w:ilvl w:val="0"/>
          <w:numId w:val="1379"/>
        </w:numPr>
        <w:pStyle w:val="Compact"/>
      </w:pPr>
      <w:r>
        <w:t xml:space="preserve">2017 · Blundell J ·</w:t>
      </w:r>
      <w:r>
        <w:t xml:space="preserve"> </w:t>
      </w:r>
      <w:r>
        <w:rPr>
          <w:iCs/>
          <w:i/>
        </w:rPr>
        <w:t xml:space="preserve">Diabetes Obes Metab</w:t>
      </w:r>
      <w:r>
        <w:t xml:space="preserve"> </w:t>
      </w:r>
      <w:r>
        <w:t xml:space="preserve">· Effects of once-weekly semaglutide on appetite, energy intake, control of eating, food preference and body weight in subjects with obesity. PMID 28266779</w:t>
      </w:r>
    </w:p>
    <w:p>
      <w:pPr>
        <w:numPr>
          <w:ilvl w:val="0"/>
          <w:numId w:val="1379"/>
        </w:numPr>
        <w:pStyle w:val="Compact"/>
      </w:pPr>
      <w:r>
        <w:t xml:space="preserve">2017 · Sorli C ·</w:t>
      </w:r>
      <w:r>
        <w:t xml:space="preserve"> </w:t>
      </w:r>
      <w:r>
        <w:rPr>
          <w:iCs/>
          <w:i/>
        </w:rPr>
        <w:t xml:space="preserve">Lancet Diabetes Endocrinol</w:t>
      </w:r>
      <w:r>
        <w:t xml:space="preserve"> </w:t>
      </w:r>
      <w:r>
        <w:t xml:space="preserve">· Efficacy and safety of once-weekly semaglutide monotherapy versus placebo in patients with type 2 diabetes (SUSTAIN 1): a double-blind, randomised, placebo-controlled, parallel-group, multinational, multicentre phase 3a trial. PMID 28110911</w:t>
      </w:r>
    </w:p>
    <w:p>
      <w:pPr>
        <w:numPr>
          <w:ilvl w:val="0"/>
          <w:numId w:val="1379"/>
        </w:numPr>
        <w:pStyle w:val="Compact"/>
      </w:pPr>
      <w:r>
        <w:t xml:space="preserve">2016 · Marso SP ·</w:t>
      </w:r>
      <w:r>
        <w:t xml:space="preserve"> </w:t>
      </w:r>
      <w:r>
        <w:rPr>
          <w:iCs/>
          <w:i/>
        </w:rPr>
        <w:t xml:space="preserve">N Engl J Med</w:t>
      </w:r>
      <w:r>
        <w:t xml:space="preserve"> </w:t>
      </w:r>
      <w:r>
        <w:t xml:space="preserve">· Semaglutide and Cardiovascular Outcomes in Patients with Type 2 Diabetes. PMID 27633186</w:t>
      </w:r>
    </w:p>
    <w:p>
      <w:pPr>
        <w:numPr>
          <w:ilvl w:val="0"/>
          <w:numId w:val="1379"/>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bookmarkEnd w:id="1119"/>
    <w:bookmarkStart w:id="1120" w:name="tirzepatida-144"/>
    <w:p>
      <w:pPr>
        <w:pStyle w:val="Heading2"/>
      </w:pPr>
      <w:r>
        <w:t xml:space="preserve">Tirzepatida (144)</w:t>
      </w:r>
    </w:p>
    <w:p>
      <w:pPr>
        <w:numPr>
          <w:ilvl w:val="0"/>
          <w:numId w:val="1380"/>
        </w:numPr>
        <w:pStyle w:val="Compact"/>
      </w:pPr>
      <w:r>
        <w:t xml:space="preserve">2026 · Falcon B ·</w:t>
      </w:r>
      <w:r>
        <w:t xml:space="preserve"> </w:t>
      </w:r>
      <w:r>
        <w:rPr>
          <w:iCs/>
          <w:i/>
        </w:rPr>
        <w:t xml:space="preserve">J Clin Sleep Med</w:t>
      </w:r>
      <w:r>
        <w:t xml:space="preserve"> </w:t>
      </w:r>
      <w:r>
        <w:t xml:space="preserve">· Association of tirzepatide with changes in OSA-related measures based on baseline characteristics - post hoc analyses of SURMOUNT-OSA. PMID 42675225</w:t>
      </w:r>
    </w:p>
    <w:p>
      <w:pPr>
        <w:numPr>
          <w:ilvl w:val="0"/>
          <w:numId w:val="1380"/>
        </w:numPr>
        <w:pStyle w:val="Compact"/>
      </w:pPr>
      <w:r>
        <w:t xml:space="preserve">2026 · Sattar N ·</w:t>
      </w:r>
      <w:r>
        <w:t xml:space="preserve"> </w:t>
      </w:r>
      <w:r>
        <w:rPr>
          <w:iCs/>
          <w:i/>
        </w:rPr>
        <w:t xml:space="preserve">PLoS One</w:t>
      </w:r>
      <w:r>
        <w:t xml:space="preserve"> </w:t>
      </w:r>
      <w:r>
        <w:t xml:space="preserve">· Achieving the triple endpoint of body weight reduction thresholds, systolic blood pressure reduction ≥5 mmHg and non-HDL cholesterol &lt;130 mg/dL with tirzepatide in people with obesity: A post hoc analysis from the SURMOUNT trials. PMID 42594122</w:t>
      </w:r>
    </w:p>
    <w:p>
      <w:pPr>
        <w:numPr>
          <w:ilvl w:val="0"/>
          <w:numId w:val="1380"/>
        </w:numPr>
        <w:pStyle w:val="Compact"/>
      </w:pPr>
      <w:r>
        <w:t xml:space="preserve">2026 · Cusi K ·</w:t>
      </w:r>
      <w:r>
        <w:t xml:space="preserve"> </w:t>
      </w:r>
      <w:r>
        <w:rPr>
          <w:iCs/>
          <w:i/>
        </w:rPr>
        <w:t xml:space="preserve">Liver Int</w:t>
      </w:r>
      <w:r>
        <w:t xml:space="preserve"> </w:t>
      </w:r>
      <w:r>
        <w:t xml:space="preserve">· Liver Fat Changes in Patients With Type 2 Diabetes by Presence of Genetic Hepatic Steatosis: A Post Hoc Analysis of SURPASS-3 MRI. PMID 42576670</w:t>
      </w:r>
    </w:p>
    <w:p>
      <w:pPr>
        <w:numPr>
          <w:ilvl w:val="0"/>
          <w:numId w:val="1380"/>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80"/>
        </w:numPr>
        <w:pStyle w:val="Compact"/>
      </w:pPr>
      <w:r>
        <w:t xml:space="preserve">2026 · Kanu C ·</w:t>
      </w:r>
      <w:r>
        <w:t xml:space="preserve"> </w:t>
      </w:r>
      <w:r>
        <w:rPr>
          <w:iCs/>
          <w:i/>
        </w:rPr>
        <w:t xml:space="preserve">Sleep</w:t>
      </w:r>
      <w:r>
        <w:t xml:space="preserve"> </w:t>
      </w:r>
      <w:r>
        <w:t xml:space="preserve">· Changes in patient-reported outcomes and objective assessments based on baseline symptom severity in SURMOUNT-OSA: post-hoc analyses. PMID 42412744</w:t>
      </w:r>
    </w:p>
    <w:p>
      <w:pPr>
        <w:numPr>
          <w:ilvl w:val="0"/>
          <w:numId w:val="1380"/>
        </w:numPr>
        <w:pStyle w:val="Compact"/>
      </w:pPr>
      <w:r>
        <w:t xml:space="preserve">2026 · Kokkinos A ·</w:t>
      </w:r>
      <w:r>
        <w:t xml:space="preserve"> </w:t>
      </w:r>
      <w:r>
        <w:rPr>
          <w:iCs/>
          <w:i/>
        </w:rPr>
        <w:t xml:space="preserve">Diabetes Obes Metab</w:t>
      </w:r>
      <w:r>
        <w:t xml:space="preserve"> </w:t>
      </w:r>
      <w:r>
        <w:t xml:space="preserve">· Tirzepatide Efficacy and Tolerability According to Early Weight Response: A Post Hoc Analysis of the SURMOUNT-1 and SURMOUNT-2 Trials. PMID 42348366</w:t>
      </w:r>
    </w:p>
    <w:p>
      <w:pPr>
        <w:numPr>
          <w:ilvl w:val="0"/>
          <w:numId w:val="1380"/>
        </w:numPr>
        <w:pStyle w:val="Compact"/>
      </w:pPr>
      <w:r>
        <w:t xml:space="preserve">2026 · Yin Y ·</w:t>
      </w:r>
      <w:r>
        <w:t xml:space="preserve"> </w:t>
      </w:r>
      <w:r>
        <w:rPr>
          <w:iCs/>
          <w:i/>
        </w:rPr>
        <w:t xml:space="preserve">Med</w:t>
      </w:r>
      <w:r>
        <w:t xml:space="preserve"> </w:t>
      </w:r>
      <w:r>
        <w:t xml:space="preserve">· Tirzepatide monotherapy in Chinese patients with early type 2 diabetes: A randomized, double-blind, placebo-controlled phase 3 trial (SURPASS-CN-MONO). PMID 42296968</w:t>
      </w:r>
    </w:p>
    <w:p>
      <w:pPr>
        <w:numPr>
          <w:ilvl w:val="0"/>
          <w:numId w:val="1380"/>
        </w:numPr>
        <w:pStyle w:val="Compact"/>
      </w:pPr>
      <w:r>
        <w:t xml:space="preserve">2026 · Node K ·</w:t>
      </w:r>
      <w:r>
        <w:t xml:space="preserve"> </w:t>
      </w:r>
      <w:r>
        <w:rPr>
          <w:iCs/>
          <w:i/>
        </w:rPr>
        <w:t xml:space="preserve">Curr Med Res Opin</w:t>
      </w:r>
      <w:r>
        <w:t xml:space="preserve"> </w:t>
      </w:r>
      <w:r>
        <w:t xml:space="preserve">· Post hoc analysis of SURMOUNT-J: tirzepatide versus placebo and predicted 10-year cardiovascular disease risk in Japanese adults with obesity disease. PMID 42287159</w:t>
      </w:r>
    </w:p>
    <w:p>
      <w:pPr>
        <w:numPr>
          <w:ilvl w:val="0"/>
          <w:numId w:val="1380"/>
        </w:numPr>
        <w:pStyle w:val="Compact"/>
      </w:pPr>
      <w:r>
        <w:t xml:space="preserve">2026 · Pratley RE ·</w:t>
      </w:r>
      <w:r>
        <w:t xml:space="preserve"> </w:t>
      </w:r>
      <w:r>
        <w:rPr>
          <w:iCs/>
          <w:i/>
        </w:rPr>
        <w:t xml:space="preserve">Nat Med</w:t>
      </w:r>
      <w:r>
        <w:t xml:space="preserve"> </w:t>
      </w:r>
      <w:r>
        <w:t xml:space="preserve">· Apitegromab for lean mass preservation during tirzepatide-induced weight loss: a randomized, double-blind, placebo-controlled phase 2 trial. PMID 42260100</w:t>
      </w:r>
    </w:p>
    <w:p>
      <w:pPr>
        <w:numPr>
          <w:ilvl w:val="0"/>
          <w:numId w:val="1380"/>
        </w:numPr>
        <w:pStyle w:val="Compact"/>
      </w:pPr>
      <w:r>
        <w:t xml:space="preserve">2026 · Yang Z ·</w:t>
      </w:r>
      <w:r>
        <w:t xml:space="preserve"> </w:t>
      </w:r>
      <w:r>
        <w:rPr>
          <w:iCs/>
          <w:i/>
        </w:rPr>
        <w:t xml:space="preserve">Diabetes Obes Metab</w:t>
      </w:r>
      <w:r>
        <w:t xml:space="preserve"> </w:t>
      </w:r>
      <w:r>
        <w:t xml:space="preserve">· Short-Term Combined Treatment With Tirzepatide and Metformin for Overweight/Obese Chinese Women With Polycystic Ovary Syndrome: A Prospective, Open-Label, Randomised Controlled Trial. PMID 42236268</w:t>
      </w:r>
    </w:p>
    <w:p>
      <w:pPr>
        <w:numPr>
          <w:ilvl w:val="0"/>
          <w:numId w:val="1380"/>
        </w:numPr>
        <w:pStyle w:val="Compact"/>
      </w:pPr>
      <w:r>
        <w:t xml:space="preserve">2026 · Sattar N ·</w:t>
      </w:r>
      <w:r>
        <w:t xml:space="preserve"> </w:t>
      </w:r>
      <w:r>
        <w:rPr>
          <w:iCs/>
          <w:i/>
        </w:rPr>
        <w:t xml:space="preserve">J Am Coll Cardiol</w:t>
      </w:r>
      <w:r>
        <w:t xml:space="preserve"> </w:t>
      </w:r>
      <w:r>
        <w:t xml:space="preserve">· Comprehensive Long-Term Changes in Cardiovascular Risk Biomarkers With Tirzepatide: A SURMOUNT-1 Post Hoc Analysis. PMID 42233927</w:t>
      </w:r>
    </w:p>
    <w:p>
      <w:pPr>
        <w:numPr>
          <w:ilvl w:val="0"/>
          <w:numId w:val="1380"/>
        </w:numPr>
        <w:pStyle w:val="Compact"/>
      </w:pPr>
      <w:r>
        <w:t xml:space="preserve">2026 · Del Prato S ·</w:t>
      </w:r>
      <w:r>
        <w:t xml:space="preserve"> </w:t>
      </w:r>
      <w:r>
        <w:rPr>
          <w:iCs/>
          <w:i/>
        </w:rPr>
        <w:t xml:space="preserve">Ann Intern Med</w:t>
      </w:r>
      <w:r>
        <w:t xml:space="preserve"> </w:t>
      </w:r>
      <w:r>
        <w:t xml:space="preserve">· Tirzepatide Versus Intensified Conventional Care After 2 Years of Treatment in Early Type 2 Diabetes : A Randomized Clinical Trial. PMID 42184419</w:t>
      </w:r>
    </w:p>
    <w:p>
      <w:pPr>
        <w:numPr>
          <w:ilvl w:val="0"/>
          <w:numId w:val="1380"/>
        </w:numPr>
        <w:pStyle w:val="Compact"/>
      </w:pPr>
      <w:r>
        <w:t xml:space="preserve">2026 · Lebwohl M ·</w:t>
      </w:r>
      <w:r>
        <w:t xml:space="preserve"> </w:t>
      </w:r>
      <w:r>
        <w:rPr>
          <w:iCs/>
          <w:i/>
        </w:rPr>
        <w:t xml:space="preserve">JAMA Dermatol</w:t>
      </w:r>
      <w:r>
        <w:t xml:space="preserve"> </w:t>
      </w:r>
      <w:r>
        <w:t xml:space="preserve">· Ixekizumab With or Without Tirzepatide in Adults With Psoriasis and Overweight or Obesity: A Phase 3b Randomized Clinical Trial. PMID 42139049</w:t>
      </w:r>
    </w:p>
    <w:p>
      <w:pPr>
        <w:numPr>
          <w:ilvl w:val="0"/>
          <w:numId w:val="1380"/>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0"/>
        </w:numPr>
        <w:pStyle w:val="Compact"/>
      </w:pPr>
      <w:r>
        <w:t xml:space="preserve">2026 · Horn DB ·</w:t>
      </w:r>
      <w:r>
        <w:t xml:space="preserve"> </w:t>
      </w:r>
      <w:r>
        <w:rPr>
          <w:iCs/>
          <w:i/>
        </w:rPr>
        <w:t xml:space="preserve">Lancet</w:t>
      </w:r>
      <w:r>
        <w:t xml:space="preserve"> </w:t>
      </w:r>
      <w:r>
        <w:t xml:space="preserve">· Tirzepatide for maintenance of bodyweight reduction in people with obesity in the USA (SURMOUNT-MAINTAIN): a multicentre, double-blind, randomised, placebo-controlled trial. PMID 42119587</w:t>
      </w:r>
    </w:p>
    <w:p>
      <w:pPr>
        <w:numPr>
          <w:ilvl w:val="0"/>
          <w:numId w:val="1380"/>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80"/>
        </w:numPr>
        <w:pStyle w:val="Compact"/>
      </w:pPr>
      <w:r>
        <w:t xml:space="preserve">2026 · Masuzaki H ·</w:t>
      </w:r>
      <w:r>
        <w:t xml:space="preserve"> </w:t>
      </w:r>
      <w:r>
        <w:rPr>
          <w:iCs/>
          <w:i/>
        </w:rPr>
        <w:t xml:space="preserve">Diabetes Obes Metab</w:t>
      </w:r>
      <w:r>
        <w:t xml:space="preserve"> </w:t>
      </w:r>
      <w:r>
        <w:t xml:space="preserve">· Effect of Tirzepatide on Health-Related Quality of Life in Japanese Patients With Obesity Disease: Patient-Reported Outcomes From the SURMOUNT-J Study. PMID 42108080</w:t>
      </w:r>
    </w:p>
    <w:p>
      <w:pPr>
        <w:numPr>
          <w:ilvl w:val="0"/>
          <w:numId w:val="1380"/>
        </w:numPr>
        <w:pStyle w:val="Compact"/>
      </w:pPr>
      <w:r>
        <w:t xml:space="preserve">2026 · Sattar N ·</w:t>
      </w:r>
      <w:r>
        <w:t xml:space="preserve"> </w:t>
      </w:r>
      <w:r>
        <w:rPr>
          <w:iCs/>
          <w:i/>
        </w:rPr>
        <w:t xml:space="preserve">J Endocrinol Invest</w:t>
      </w:r>
      <w:r>
        <w:t xml:space="preserve"> </w:t>
      </w:r>
      <w:r>
        <w:t xml:space="preserve">· Shifts in waist-to-height ratio categories within tirzepatide groups: a post-hoc analysis of SURMOUNT-1. PMID 42082865</w:t>
      </w:r>
    </w:p>
    <w:p>
      <w:pPr>
        <w:numPr>
          <w:ilvl w:val="0"/>
          <w:numId w:val="1380"/>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80"/>
        </w:numPr>
        <w:pStyle w:val="Compact"/>
      </w:pPr>
      <w:r>
        <w:t xml:space="preserve">2026 · Thirugnanam AM ·</w:t>
      </w:r>
      <w:r>
        <w:t xml:space="preserve"> </w:t>
      </w:r>
      <w:r>
        <w:rPr>
          <w:iCs/>
          <w:i/>
        </w:rPr>
        <w:t xml:space="preserve">Cardiovasc Revasc Med</w:t>
      </w:r>
      <w:r>
        <w:t xml:space="preserve"> </w:t>
      </w:r>
      <w:r>
        <w:t xml:space="preserve">· Tirzepatide therapy reduces subclinical leaflet thrombosis and paravalvular leak after transcatheter aortic valve replacement in obese patients: The TAVR-MET trial. PMID 42000295</w:t>
      </w:r>
    </w:p>
    <w:p>
      <w:pPr>
        <w:numPr>
          <w:ilvl w:val="0"/>
          <w:numId w:val="1380"/>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80"/>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80"/>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80"/>
        </w:numPr>
        <w:pStyle w:val="Compact"/>
      </w:pPr>
      <w:r>
        <w:t xml:space="preserve">2026 · Merola JF ·</w:t>
      </w:r>
      <w:r>
        <w:t xml:space="preserve"> </w:t>
      </w:r>
      <w:r>
        <w:rPr>
          <w:iCs/>
          <w:i/>
        </w:rPr>
        <w:t xml:space="preserve">Arthritis Rheumatol</w:t>
      </w:r>
      <w:r>
        <w:t xml:space="preserve"> </w:t>
      </w:r>
      <w:r>
        <w:t xml:space="preserve">· Ixekizumab With Tirzepatide Achieved Greater Disease Control Than Ixekizumab Alone in Adults With Psoriatic Arthritis and Overweight or Obesity: Results From a Randomized Clinical Trial. PMID 41903163</w:t>
      </w:r>
    </w:p>
    <w:p>
      <w:pPr>
        <w:numPr>
          <w:ilvl w:val="0"/>
          <w:numId w:val="1380"/>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80"/>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80"/>
        </w:numPr>
        <w:pStyle w:val="Compact"/>
      </w:pPr>
      <w:r>
        <w:t xml:space="preserve">2026 · Zheng Z ·</w:t>
      </w:r>
      <w:r>
        <w:t xml:space="preserve"> </w:t>
      </w:r>
      <w:r>
        <w:rPr>
          <w:iCs/>
          <w:i/>
        </w:rPr>
        <w:t xml:space="preserve">Mol Metab</w:t>
      </w:r>
      <w:r>
        <w:t xml:space="preserve"> </w:t>
      </w:r>
      <w:r>
        <w:t xml:space="preserve">· ARD-101, a gut-restricted TAS2R agonist, reduces hunger in adults and promotes weight loss in DIO mice with DPP-4 inhibition. PMID 41833222</w:t>
      </w:r>
    </w:p>
    <w:p>
      <w:pPr>
        <w:numPr>
          <w:ilvl w:val="0"/>
          <w:numId w:val="1380"/>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80"/>
        </w:numPr>
        <w:pStyle w:val="Compact"/>
      </w:pPr>
      <w:r>
        <w:t xml:space="preserve">2026 · Ishigaki Y ·</w:t>
      </w:r>
      <w:r>
        <w:t xml:space="preserve"> </w:t>
      </w:r>
      <w:r>
        <w:rPr>
          <w:iCs/>
          <w:i/>
        </w:rPr>
        <w:t xml:space="preserve">Obesity (Silver Spring)</w:t>
      </w:r>
      <w:r>
        <w:t xml:space="preserve"> </w:t>
      </w:r>
      <w:r>
        <w:t xml:space="preserve">· Efficacy and Safety of Tirzepatide in Japanese Participants With Obesity: A Subpopulation Analysis of the SURMOUNT-1 Trial. PMID 41612966</w:t>
      </w:r>
    </w:p>
    <w:p>
      <w:pPr>
        <w:numPr>
          <w:ilvl w:val="0"/>
          <w:numId w:val="1380"/>
        </w:numPr>
        <w:pStyle w:val="Compact"/>
      </w:pPr>
      <w:r>
        <w:t xml:space="preserve">2026 · Malhotra A ·</w:t>
      </w:r>
      <w:r>
        <w:t xml:space="preserve"> </w:t>
      </w:r>
      <w:r>
        <w:rPr>
          <w:iCs/>
          <w:i/>
        </w:rPr>
        <w:t xml:space="preserve">Nat Med</w:t>
      </w:r>
      <w:r>
        <w:t xml:space="preserve"> </w:t>
      </w:r>
      <w:r>
        <w:t xml:space="preserve">· Tirzepatide on obstructive sleep apnea-related cardiometabolic risk: secondary outcomes of the SURMOUNT-OSA randomized trial. PMID 41540105</w:t>
      </w:r>
    </w:p>
    <w:p>
      <w:pPr>
        <w:numPr>
          <w:ilvl w:val="0"/>
          <w:numId w:val="1380"/>
        </w:numPr>
        <w:pStyle w:val="Compact"/>
      </w:pPr>
      <w:r>
        <w:t xml:space="preserve">2026 · Wadden TA ·</w:t>
      </w:r>
      <w:r>
        <w:t xml:space="preserve"> </w:t>
      </w:r>
      <w:r>
        <w:rPr>
          <w:iCs/>
          <w:i/>
        </w:rPr>
        <w:t xml:space="preserve">Obesity (Silver Spring)</w:t>
      </w:r>
      <w:r>
        <w:t xml:space="preserve"> </w:t>
      </w:r>
      <w:r>
        <w:t xml:space="preserve">· Psychiatric Safety of Tirzepatide in People With Obesity and No Known Major Psychopathology: A Post Hoc Analysis of SURMOUNT. PMID 41537305</w:t>
      </w:r>
    </w:p>
    <w:p>
      <w:pPr>
        <w:numPr>
          <w:ilvl w:val="0"/>
          <w:numId w:val="1380"/>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80"/>
        </w:numPr>
        <w:pStyle w:val="Compact"/>
      </w:pPr>
      <w:r>
        <w:t xml:space="preserve">2026 · Roell W ·</w:t>
      </w:r>
      <w:r>
        <w:t xml:space="preserve"> </w:t>
      </w:r>
      <w:r>
        <w:rPr>
          <w:iCs/>
          <w:i/>
        </w:rPr>
        <w:t xml:space="preserve">Mol Metab</w:t>
      </w:r>
      <w:r>
        <w:t xml:space="preserve"> </w:t>
      </w:r>
      <w:r>
        <w:t xml:space="preserve">· Long-acting GIPR agonist LY3537021 reduces body weight and fasting blood glucose in patients with T2D: Preclinical development and phase 1 randomized ascending dose studies. PMID 41391569</w:t>
      </w:r>
    </w:p>
    <w:p>
      <w:pPr>
        <w:numPr>
          <w:ilvl w:val="0"/>
          <w:numId w:val="1380"/>
        </w:numPr>
        <w:pStyle w:val="Compact"/>
      </w:pPr>
      <w:r>
        <w:t xml:space="preserve">2026 · Yokote K ·</w:t>
      </w:r>
      <w:r>
        <w:t xml:space="preserve"> </w:t>
      </w:r>
      <w:r>
        <w:rPr>
          <w:iCs/>
          <w:i/>
        </w:rPr>
        <w:t xml:space="preserve">Diabetes Obes Metab</w:t>
      </w:r>
      <w:r>
        <w:t xml:space="preserve"> </w:t>
      </w:r>
      <w:r>
        <w:t xml:space="preserve">· Association of baseline characteristics with clinical outcomes of tirzepatide treatment in Japanese patients with obesity disease: A subgroup analysis of the SURMOUNT-J trial. PMID 41290555</w:t>
      </w:r>
    </w:p>
    <w:p>
      <w:pPr>
        <w:numPr>
          <w:ilvl w:val="0"/>
          <w:numId w:val="1380"/>
        </w:numPr>
        <w:pStyle w:val="Compact"/>
      </w:pPr>
      <w:r>
        <w:t xml:space="preserve">2026 · Horn DB ·</w:t>
      </w:r>
      <w:r>
        <w:t xml:space="preserve"> </w:t>
      </w:r>
      <w:r>
        <w:rPr>
          <w:iCs/>
          <w:i/>
        </w:rPr>
        <w:t xml:space="preserve">JAMA Intern Med</w:t>
      </w:r>
      <w:r>
        <w:t xml:space="preserve"> </w:t>
      </w:r>
      <w:r>
        <w:t xml:space="preserve">· Cardiometabolic Parameter Change by Weight Regain on Tirzepatide Withdrawal in Adults With Obesity: A Post Hoc Analysis of the SURMOUNT-4 Trial. PMID 41284285</w:t>
      </w:r>
    </w:p>
    <w:p>
      <w:pPr>
        <w:numPr>
          <w:ilvl w:val="0"/>
          <w:numId w:val="1380"/>
        </w:numPr>
        <w:pStyle w:val="Compact"/>
      </w:pPr>
      <w:r>
        <w:t xml:space="preserve">2026 · Snaith JR ·</w:t>
      </w:r>
      <w:r>
        <w:t xml:space="preserve"> </w:t>
      </w:r>
      <w:r>
        <w:rPr>
          <w:iCs/>
          <w:i/>
        </w:rPr>
        <w:t xml:space="preserve">Diabetes Care</w:t>
      </w:r>
      <w:r>
        <w:t xml:space="preserve"> </w:t>
      </w:r>
      <w:r>
        <w:t xml:space="preserve">· Tirzepatide in Adults With Type 1 Diabetes: A Phase 2 Randomized Placebo-Controlled Clinical Trial. PMID 41264593</w:t>
      </w:r>
    </w:p>
    <w:p>
      <w:pPr>
        <w:numPr>
          <w:ilvl w:val="0"/>
          <w:numId w:val="1380"/>
        </w:numPr>
        <w:pStyle w:val="Compact"/>
      </w:pPr>
      <w:r>
        <w:t xml:space="preserve">2026 · Sattar N ·</w:t>
      </w:r>
      <w:r>
        <w:t xml:space="preserve"> </w:t>
      </w:r>
      <w:r>
        <w:rPr>
          <w:iCs/>
          <w:i/>
        </w:rPr>
        <w:t xml:space="preserve">Ann Rheum Dis</w:t>
      </w:r>
      <w:r>
        <w:t xml:space="preserve"> </w:t>
      </w:r>
      <w:r>
        <w:t xml:space="preserve">· Tirzepatide and change in uric acid and its association with weight reduction: post hoc analyses of the SURMOUNT-1 randomised placebo-controlled trial. PMID 41198460</w:t>
      </w:r>
    </w:p>
    <w:p>
      <w:pPr>
        <w:numPr>
          <w:ilvl w:val="0"/>
          <w:numId w:val="1380"/>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80"/>
        </w:numPr>
        <w:pStyle w:val="Compact"/>
      </w:pPr>
      <w:r>
        <w:t xml:space="preserve">2026 · Li X ·</w:t>
      </w:r>
      <w:r>
        <w:t xml:space="preserve"> </w:t>
      </w:r>
      <w:r>
        <w:rPr>
          <w:iCs/>
          <w:i/>
        </w:rPr>
        <w:t xml:space="preserve">Obesity (Silver Spring)</w:t>
      </w:r>
      <w:r>
        <w:t xml:space="preserve"> </w:t>
      </w:r>
      <w:r>
        <w:t xml:space="preserve">· People With Lowest Physical Functioning Scores Showed Greatest Improvement After Tirzepatide Treatment. PMID 41187013</w:t>
      </w:r>
    </w:p>
    <w:p>
      <w:pPr>
        <w:numPr>
          <w:ilvl w:val="0"/>
          <w:numId w:val="1380"/>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80"/>
        </w:numPr>
        <w:pStyle w:val="Compact"/>
      </w:pPr>
      <w:r>
        <w:t xml:space="preserve">2025 · Guo L ·</w:t>
      </w:r>
      <w:r>
        <w:t xml:space="preserve"> </w:t>
      </w:r>
      <w:r>
        <w:rPr>
          <w:iCs/>
          <w:i/>
        </w:rPr>
        <w:t xml:space="preserve">Lancet Diabetes Endocrinol</w:t>
      </w:r>
      <w:r>
        <w:t xml:space="preserve"> </w:t>
      </w:r>
      <w:r>
        <w:t xml:space="preserve">· Efficacy and safety of tirzepatide added to basal insulin in patients with type 2 diabetes in China (SURPASS-CN-INS): a double-blind, multicentre, randomised, placebo-controlled, phase 3 trial. PMID 41167231</w:t>
      </w:r>
    </w:p>
    <w:p>
      <w:pPr>
        <w:numPr>
          <w:ilvl w:val="0"/>
          <w:numId w:val="1380"/>
        </w:numPr>
        <w:pStyle w:val="Compact"/>
      </w:pPr>
      <w:r>
        <w:t xml:space="preserve">2025 · Malhotra A ·</w:t>
      </w:r>
      <w:r>
        <w:t xml:space="preserve"> </w:t>
      </w:r>
      <w:r>
        <w:rPr>
          <w:iCs/>
          <w:i/>
        </w:rPr>
        <w:t xml:space="preserve">Sleep Med</w:t>
      </w:r>
      <w:r>
        <w:t xml:space="preserve"> </w:t>
      </w:r>
      <w:r>
        <w:t xml:space="preserve">· Tirzepatide for sleep-disordered breathing in SURMOUNT-OSA: Time course and association with body weight. PMID 41135142</w:t>
      </w:r>
    </w:p>
    <w:p>
      <w:pPr>
        <w:numPr>
          <w:ilvl w:val="0"/>
          <w:numId w:val="1380"/>
        </w:numPr>
        <w:pStyle w:val="Compact"/>
      </w:pPr>
      <w:r>
        <w:t xml:space="preserve">2025 · Caussy C ·</w:t>
      </w:r>
      <w:r>
        <w:t xml:space="preserve"> </w:t>
      </w:r>
      <w:r>
        <w:rPr>
          <w:iCs/>
          <w:i/>
        </w:rPr>
        <w:t xml:space="preserve">Diabetes Care</w:t>
      </w:r>
      <w:r>
        <w:t xml:space="preserve"> </w:t>
      </w:r>
      <w:r>
        <w:t xml:space="preserve">· Relationship Between Metabolic and Histological Responses in People With Metabolic Dysfunction- Associated Steatohepatitis With and Without Type 2 Diabetes: Participant-Level Exploratory Analysis of the SYNERGY-NASH Trial With Tirzepatide. PMID 41066427</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and the 10-year predicted risk of cardiovascular disease and type 2 diabetes in adults with obesity and prediabetes: A post hoc analysis from the three-year SURMOUNT-1 trial. PMID 41017451</w:t>
      </w:r>
    </w:p>
    <w:p>
      <w:pPr>
        <w:numPr>
          <w:ilvl w:val="0"/>
          <w:numId w:val="1380"/>
        </w:numPr>
        <w:pStyle w:val="Compact"/>
      </w:pPr>
      <w:r>
        <w:t xml:space="preserve">2025 · Hannon TS ·</w:t>
      </w:r>
      <w:r>
        <w:t xml:space="preserve"> </w:t>
      </w:r>
      <w:r>
        <w:rPr>
          <w:iCs/>
          <w:i/>
        </w:rPr>
        <w:t xml:space="preserve">Lancet</w:t>
      </w:r>
      <w:r>
        <w:t xml:space="preserve"> </w:t>
      </w:r>
      <w:r>
        <w:t xml:space="preserve">· Efficacy and safety of tirzepatide in children and adolescents with type 2 diabetes (SURPASS-PEDS): a randomised, double-blind, placebo-controlled, phase 3 trial. PMID 40975112</w:t>
      </w:r>
    </w:p>
    <w:p>
      <w:pPr>
        <w:numPr>
          <w:ilvl w:val="0"/>
          <w:numId w:val="1380"/>
        </w:numPr>
        <w:pStyle w:val="Compact"/>
      </w:pPr>
      <w:r>
        <w:t xml:space="preserve">2025 · Pieber TR ·</w:t>
      </w:r>
      <w:r>
        <w:t xml:space="preserve"> </w:t>
      </w:r>
      <w:r>
        <w:rPr>
          <w:iCs/>
          <w:i/>
        </w:rPr>
        <w:t xml:space="preserve">Front Endocrinol (Lausanne)</w:t>
      </w:r>
      <w:r>
        <w:t xml:space="preserve"> </w:t>
      </w:r>
      <w:r>
        <w:t xml:space="preserve">· Counterregulatory response to hypoglycemia during a hypoglycemic clamp in people with type 2 diabetes treated with tirzepatide. PMID 40964167</w:t>
      </w:r>
    </w:p>
    <w:p>
      <w:pPr>
        <w:numPr>
          <w:ilvl w:val="0"/>
          <w:numId w:val="1380"/>
        </w:numPr>
        <w:pStyle w:val="Compact"/>
      </w:pPr>
      <w:r>
        <w:t xml:space="preserve">2025 · Lee BW ·</w:t>
      </w:r>
      <w:r>
        <w:t xml:space="preserve"> </w:t>
      </w:r>
      <w:r>
        <w:rPr>
          <w:iCs/>
          <w:i/>
        </w:rPr>
        <w:t xml:space="preserve">Diabetes Obes Metab</w:t>
      </w:r>
      <w:r>
        <w:t xml:space="preserve"> </w:t>
      </w:r>
      <w:r>
        <w:t xml:space="preserve">· Efficacy and safety in tirzepatide-treated Korean adults with type 2 diabetes-A post hoc analysis of SURPASS-AP-combo and SURPASS-3. PMID 40954943</w:t>
      </w:r>
    </w:p>
    <w:p>
      <w:pPr>
        <w:numPr>
          <w:ilvl w:val="0"/>
          <w:numId w:val="1380"/>
        </w:numPr>
        <w:pStyle w:val="Compact"/>
      </w:pPr>
      <w:r>
        <w:t xml:space="preserve">2025 · Guan H ·</w:t>
      </w:r>
      <w:r>
        <w:t xml:space="preserve"> </w:t>
      </w:r>
      <w:r>
        <w:rPr>
          <w:iCs/>
          <w:i/>
        </w:rPr>
        <w:t xml:space="preserve">Diabetes Obes Metab</w:t>
      </w:r>
      <w:r>
        <w:t xml:space="preserve"> </w:t>
      </w:r>
      <w:r>
        <w:t xml:space="preserve">· Long-term efficacy and safety of tirzepatide in participants with type 2 diabetes with inadequate glycaemic control on metformin and/or sulfonylurea: Post-hoc analysis of SURPASS-4. PMID 40926359</w:t>
      </w:r>
    </w:p>
    <w:p>
      <w:pPr>
        <w:numPr>
          <w:ilvl w:val="0"/>
          <w:numId w:val="1380"/>
        </w:numPr>
        <w:pStyle w:val="Compact"/>
      </w:pPr>
      <w:r>
        <w:t xml:space="preserve">2025 · Gibble TH ·</w:t>
      </w:r>
      <w:r>
        <w:t xml:space="preserve"> </w:t>
      </w:r>
      <w:r>
        <w:rPr>
          <w:iCs/>
          <w:i/>
        </w:rPr>
        <w:t xml:space="preserve">Obesity (Silver Spring)</w:t>
      </w:r>
      <w:r>
        <w:t xml:space="preserve"> </w:t>
      </w:r>
      <w:r>
        <w:t xml:space="preserve">· Tirzepatide Associated With Improved Health-Related Quality of Life in Adults With Obesity or Overweight in SURMOUNT-4. PMID 40903801</w:t>
      </w:r>
    </w:p>
    <w:p>
      <w:pPr>
        <w:numPr>
          <w:ilvl w:val="0"/>
          <w:numId w:val="1380"/>
        </w:numPr>
        <w:pStyle w:val="Compact"/>
      </w:pPr>
      <w:r>
        <w:t xml:space="preserve">2025 · Packer M ·</w:t>
      </w:r>
      <w:r>
        <w:t xml:space="preserve"> </w:t>
      </w:r>
      <w:r>
        <w:rPr>
          <w:iCs/>
          <w:i/>
        </w:rPr>
        <w:t xml:space="preserve">J Am Coll Cardiol</w:t>
      </w:r>
      <w:r>
        <w:t xml:space="preserve"> </w:t>
      </w:r>
      <w:r>
        <w:t xml:space="preserve">· Influence of Type 2 Diabetes on the Effects of Tirzepatide in Patients With Heart Failure and a Preserved Ejection Fraction With Obesity: A Prespecified Stratification-Based Analysis. PMID 40903131</w:t>
      </w:r>
    </w:p>
    <w:p>
      <w:pPr>
        <w:numPr>
          <w:ilvl w:val="0"/>
          <w:numId w:val="1380"/>
        </w:numPr>
        <w:pStyle w:val="Compact"/>
      </w:pPr>
      <w:r>
        <w:t xml:space="preserve">2025 · Bhatnagar P ·</w:t>
      </w:r>
      <w:r>
        <w:t xml:space="preserve"> </w:t>
      </w:r>
      <w:r>
        <w:rPr>
          <w:iCs/>
          <w:i/>
        </w:rPr>
        <w:t xml:space="preserve">Nat Med</w:t>
      </w:r>
      <w:r>
        <w:t xml:space="preserve"> </w:t>
      </w:r>
      <w:r>
        <w:t xml:space="preserve">· Tirzepatide leads to weight reduction in people with obesity due to MC4R deficiency. PMID 40858971</w:t>
      </w:r>
    </w:p>
    <w:p>
      <w:pPr>
        <w:numPr>
          <w:ilvl w:val="0"/>
          <w:numId w:val="1380"/>
        </w:numPr>
        <w:pStyle w:val="Compact"/>
      </w:pPr>
      <w:r>
        <w:t xml:space="preserve">2025 · Schiavo L ·</w:t>
      </w:r>
      <w:r>
        <w:t xml:space="preserve"> </w:t>
      </w:r>
      <w:r>
        <w:rPr>
          <w:iCs/>
          <w:i/>
        </w:rPr>
        <w:t xml:space="preserve">Nutrients</w:t>
      </w:r>
      <w:r>
        <w:t xml:space="preserve"> </w:t>
      </w:r>
      <w:r>
        <w:t xml:space="preserve">· Beyond Weight Loss: Comparative Effects of Tirzepatide Plus Low-Energy Ketogenic Versus Low-Calorie Diet on Hepatic Steatosis and Stiffness in MASLD. PMID 40805994</w:t>
      </w:r>
    </w:p>
    <w:p>
      <w:pPr>
        <w:numPr>
          <w:ilvl w:val="0"/>
          <w:numId w:val="1380"/>
        </w:numPr>
        <w:pStyle w:val="Compact"/>
      </w:pPr>
      <w:r>
        <w:t xml:space="preserve">2025 · Kanu C ·</w:t>
      </w:r>
      <w:r>
        <w:t xml:space="preserve"> </w:t>
      </w:r>
      <w:r>
        <w:rPr>
          <w:iCs/>
          <w:i/>
        </w:rPr>
        <w:t xml:space="preserve">Sleep Med</w:t>
      </w:r>
      <w:r>
        <w:t xml:space="preserve"> </w:t>
      </w:r>
      <w:r>
        <w:t xml:space="preserve">· Effect of tirzepatide treatment on patient-reported outcomes among SURMOUNT-OSA participants with obstructive sleep apnea and obesity. PMID 40774158</w:t>
      </w:r>
    </w:p>
    <w:p>
      <w:pPr>
        <w:numPr>
          <w:ilvl w:val="0"/>
          <w:numId w:val="1380"/>
        </w:numPr>
        <w:pStyle w:val="Compact"/>
      </w:pPr>
      <w:r>
        <w:t xml:space="preserve">2025 · Gourgari E ·</w:t>
      </w:r>
      <w:r>
        <w:t xml:space="preserve"> </w:t>
      </w:r>
      <w:r>
        <w:rPr>
          <w:iCs/>
          <w:i/>
        </w:rPr>
        <w:t xml:space="preserve">Obesity (Silver Spring)</w:t>
      </w:r>
      <w:r>
        <w:t xml:space="preserve"> </w:t>
      </w:r>
      <w:r>
        <w:t xml:space="preserve">· Early-Onset Obesity and Tirzepatide Treatment: A Post Hoc Analysis of the SURMOUNT Clinical Trials. PMID 40717199</w:t>
      </w:r>
    </w:p>
    <w:p>
      <w:pPr>
        <w:numPr>
          <w:ilvl w:val="0"/>
          <w:numId w:val="1380"/>
        </w:numPr>
        <w:pStyle w:val="Compact"/>
      </w:pPr>
      <w:r>
        <w:t xml:space="preserve">2025 · Borlaug BA ·</w:t>
      </w:r>
      <w:r>
        <w:t xml:space="preserve"> </w:t>
      </w:r>
      <w:r>
        <w:rPr>
          <w:iCs/>
          <w:i/>
        </w:rPr>
        <w:t xml:space="preserve">J Am Coll Cardiol</w:t>
      </w:r>
      <w:r>
        <w:t xml:space="preserve"> </w:t>
      </w:r>
      <w:r>
        <w:t xml:space="preserve">· Impact of Body Mass Index, Central Adiposity, and Weight Loss on the Benefits of Tirzepatide in HFpEF: The SUMMIT Trial. PMID 40701669</w:t>
      </w:r>
    </w:p>
    <w:p>
      <w:pPr>
        <w:numPr>
          <w:ilvl w:val="0"/>
          <w:numId w:val="1380"/>
        </w:numPr>
        <w:pStyle w:val="Compact"/>
      </w:pPr>
      <w:r>
        <w:t xml:space="preserve">2025 · Mari A ·</w:t>
      </w:r>
      <w:r>
        <w:t xml:space="preserve"> </w:t>
      </w:r>
      <w:r>
        <w:rPr>
          <w:iCs/>
          <w:i/>
        </w:rPr>
        <w:t xml:space="preserve">Diabetes Care</w:t>
      </w:r>
      <w:r>
        <w:t xml:space="preserve"> </w:t>
      </w:r>
      <w:r>
        <w:t xml:space="preserve">· Tirzepatide Treatment and Associated Changes in β-Cell Function and Insulin Sensitivity in People With Obesity or Overweight With Prediabetes or Normoglycemia: A Post Hoc Analysis From the SURMOUNT-1 Trial. PMID 40694530</w:t>
      </w:r>
    </w:p>
    <w:p>
      <w:pPr>
        <w:numPr>
          <w:ilvl w:val="0"/>
          <w:numId w:val="1380"/>
        </w:numPr>
        <w:pStyle w:val="Compact"/>
      </w:pPr>
      <w:r>
        <w:t xml:space="preserve">2025 · Yamaguchi Y ·</w:t>
      </w:r>
      <w:r>
        <w:t xml:space="preserve"> </w:t>
      </w:r>
      <w:r>
        <w:rPr>
          <w:iCs/>
          <w:i/>
        </w:rPr>
        <w:t xml:space="preserve">Diabetologia</w:t>
      </w:r>
      <w:r>
        <w:t xml:space="preserve"> </w:t>
      </w:r>
      <w:r>
        <w:t xml:space="preserve">· Early induction of insulin sensitisation treated by tirzepatide: a prospective, single-arm, open-label study in Japanese individuals with obesity and type 2 diabetes. PMID 40694059</w:t>
      </w:r>
    </w:p>
    <w:p>
      <w:pPr>
        <w:numPr>
          <w:ilvl w:val="0"/>
          <w:numId w:val="1380"/>
        </w:numPr>
        <w:pStyle w:val="Compact"/>
      </w:pPr>
      <w:r>
        <w:t xml:space="preserve">2025 · Ard J ·</w:t>
      </w:r>
      <w:r>
        <w:t xml:space="preserve"> </w:t>
      </w:r>
      <w:r>
        <w:rPr>
          <w:iCs/>
          <w:i/>
        </w:rPr>
        <w:t xml:space="preserve">Diabetes Obes Metab</w:t>
      </w:r>
      <w:r>
        <w:t xml:space="preserve"> </w:t>
      </w:r>
      <w:r>
        <w:t xml:space="preserve">· Weight reduction over time in tirzepatide-treated participants by early weight loss response: Post hoc analysis in SURMOUNT-1. PMID 40677091</w:t>
      </w:r>
    </w:p>
    <w:p>
      <w:pPr>
        <w:numPr>
          <w:ilvl w:val="0"/>
          <w:numId w:val="1380"/>
        </w:numPr>
        <w:pStyle w:val="Compact"/>
      </w:pPr>
      <w:r>
        <w:t xml:space="preserve">2025 · Pearson ER ·</w:t>
      </w:r>
      <w:r>
        <w:t xml:space="preserve"> </w:t>
      </w:r>
      <w:r>
        <w:rPr>
          <w:iCs/>
          <w:i/>
        </w:rPr>
        <w:t xml:space="preserve">Diabetes</w:t>
      </w:r>
      <w:r>
        <w:t xml:space="preserve"> </w:t>
      </w:r>
      <w:r>
        <w:t xml:space="preserve">· Predictors of Initial and Sustained Glycemic and Weight Response to Tirzepatide: A Post Hoc Analysis of SURPASS-4. PMID 40633089</w:t>
      </w:r>
    </w:p>
    <w:p>
      <w:pPr>
        <w:numPr>
          <w:ilvl w:val="0"/>
          <w:numId w:val="1380"/>
        </w:numPr>
        <w:pStyle w:val="Compact"/>
      </w:pPr>
      <w:r>
        <w:t xml:space="preserve">2025 · Chigutsa E ·</w:t>
      </w:r>
      <w:r>
        <w:t xml:space="preserve"> </w:t>
      </w:r>
      <w:r>
        <w:rPr>
          <w:iCs/>
          <w:i/>
        </w:rPr>
        <w:t xml:space="preserve">Clin Pharmacol Ther</w:t>
      </w:r>
      <w:r>
        <w:t xml:space="preserve"> </w:t>
      </w:r>
      <w:r>
        <w:t xml:space="preserve">· A Pharmacometric Method for Quantitative Determination of Improvement in Body Composition and Characterization of the Exposure-Response Relationship during Treatment of Obesity with Tirzepatide. PMID 40556483</w:t>
      </w:r>
    </w:p>
    <w:p>
      <w:pPr>
        <w:numPr>
          <w:ilvl w:val="0"/>
          <w:numId w:val="1380"/>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80"/>
        </w:numPr>
        <w:pStyle w:val="Compact"/>
      </w:pPr>
      <w:r>
        <w:t xml:space="preserve">2025 · Linetzky B ·</w:t>
      </w:r>
      <w:r>
        <w:t xml:space="preserve"> </w:t>
      </w:r>
      <w:r>
        <w:rPr>
          <w:iCs/>
          <w:i/>
        </w:rPr>
        <w:t xml:space="preserve">Ann Intern Med</w:t>
      </w:r>
      <w:r>
        <w:t xml:space="preserve"> </w:t>
      </w:r>
      <w:r>
        <w:t xml:space="preserve">· Improvements in Cardiometabolic Risk Factors by Weight Reduction: A Post Hoc Analysis of Adults With Obesity Randomly Assigned to Tirzepatide. PMID 40550133</w:t>
      </w:r>
    </w:p>
    <w:p>
      <w:pPr>
        <w:numPr>
          <w:ilvl w:val="0"/>
          <w:numId w:val="1380"/>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80"/>
        </w:numPr>
        <w:pStyle w:val="Compact"/>
      </w:pPr>
      <w:r>
        <w:t xml:space="preserve">2025 · Yamauchi T ·</w:t>
      </w:r>
      <w:r>
        <w:t xml:space="preserve"> </w:t>
      </w:r>
      <w:r>
        <w:rPr>
          <w:iCs/>
          <w:i/>
        </w:rPr>
        <w:t xml:space="preserve">Diabetes Obes Metab</w:t>
      </w:r>
      <w:r>
        <w:t xml:space="preserve"> </w:t>
      </w:r>
      <w:r>
        <w:t xml:space="preserve">· Efficacy and safety of once-weekly tirzepatide in Japanese participants with type 2 diabetes who have obesity or overweight: Subpopulation analysis of the SURMOUNT-2 trial. PMID 40490415</w:t>
      </w:r>
    </w:p>
    <w:p>
      <w:pPr>
        <w:numPr>
          <w:ilvl w:val="0"/>
          <w:numId w:val="1380"/>
        </w:numPr>
        <w:pStyle w:val="Compact"/>
      </w:pPr>
      <w:r>
        <w:t xml:space="preserve">2025 · Zhao L ·</w:t>
      </w:r>
      <w:r>
        <w:t xml:space="preserve"> </w:t>
      </w:r>
      <w:r>
        <w:rPr>
          <w:iCs/>
          <w:i/>
        </w:rPr>
        <w:t xml:space="preserve">Obesity (Silver Spring)</w:t>
      </w:r>
      <w:r>
        <w:t xml:space="preserve"> </w:t>
      </w:r>
      <w:r>
        <w:t xml:space="preserve">· Association of tirzepatide with cardiometabolic benefits in Chinese adults: post hoc subgroup analysis of SURMOUNT-CN study. PMID 40437798</w:t>
      </w:r>
    </w:p>
    <w:p>
      <w:pPr>
        <w:numPr>
          <w:ilvl w:val="0"/>
          <w:numId w:val="1380"/>
        </w:numPr>
        <w:pStyle w:val="Compact"/>
      </w:pPr>
      <w:r>
        <w:t xml:space="preserve">2025 · Gibble TH ·</w:t>
      </w:r>
      <w:r>
        <w:t xml:space="preserve"> </w:t>
      </w:r>
      <w:r>
        <w:rPr>
          <w:iCs/>
          <w:i/>
        </w:rPr>
        <w:t xml:space="preserve">Diabetes Obes Metab</w:t>
      </w:r>
      <w:r>
        <w:t xml:space="preserve"> </w:t>
      </w:r>
      <w:r>
        <w:t xml:space="preserve">· Tirzepatide and health-related quality of life in adults with obesity or overweight: Results from the SURMOUNT-3 phase 3 randomized trial. PMID 40365662</w:t>
      </w:r>
    </w:p>
    <w:p>
      <w:pPr>
        <w:numPr>
          <w:ilvl w:val="0"/>
          <w:numId w:val="1380"/>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80"/>
        </w:numPr>
        <w:pStyle w:val="Compact"/>
      </w:pPr>
      <w:r>
        <w:t xml:space="preserve">2025 · Zhao L ·</w:t>
      </w:r>
      <w:r>
        <w:t xml:space="preserve"> </w:t>
      </w:r>
      <w:r>
        <w:rPr>
          <w:iCs/>
          <w:i/>
        </w:rPr>
        <w:t xml:space="preserve">Diabetes Obes Metab</w:t>
      </w:r>
      <w:r>
        <w:t xml:space="preserve"> </w:t>
      </w:r>
      <w:r>
        <w:t xml:space="preserve">· Predicting 10-year risk of type 2 diabetes in Chinese people with overweight or obesity treated with Tirzepatide: Post hoc analysis of SURMOUNT-CN trial. PMID 40329666</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80"/>
        </w:numPr>
        <w:pStyle w:val="Compact"/>
      </w:pPr>
      <w:r>
        <w:t xml:space="preserve">2025 · Sattar N ·</w:t>
      </w:r>
      <w:r>
        <w:t xml:space="preserve"> </w:t>
      </w:r>
      <w:r>
        <w:rPr>
          <w:iCs/>
          <w:i/>
        </w:rPr>
        <w:t xml:space="preserve">Lancet Diabetes Endocrinol</w:t>
      </w:r>
      <w:r>
        <w:t xml:space="preserve"> </w:t>
      </w:r>
      <w:r>
        <w:t xml:space="preserve">· Tirzepatide and muscle composition changes in people with type 2 diabetes (SURPASS-3 MRI): a post-hoc analysis of a randomised, open-label, parallel-group, phase 3 trial. PMID 40318682</w:t>
      </w:r>
    </w:p>
    <w:p>
      <w:pPr>
        <w:numPr>
          <w:ilvl w:val="0"/>
          <w:numId w:val="1380"/>
        </w:numPr>
        <w:pStyle w:val="Compact"/>
      </w:pPr>
      <w:r>
        <w:t xml:space="preserve">2025 · Evans M ·</w:t>
      </w:r>
      <w:r>
        <w:t xml:space="preserve"> </w:t>
      </w:r>
      <w:r>
        <w:rPr>
          <w:iCs/>
          <w:i/>
        </w:rPr>
        <w:t xml:space="preserve">Adv Ther</w:t>
      </w:r>
      <w:r>
        <w:t xml:space="preserve"> </w:t>
      </w:r>
      <w:r>
        <w:t xml:space="preserve">· Analysis of Tirzepatide Acquisition Costs and Weight Reduction Outcomes in the United Kingdom: Insights from the SURMOUNT-1 Study. PMID 40251452</w:t>
      </w:r>
    </w:p>
    <w:p>
      <w:pPr>
        <w:numPr>
          <w:ilvl w:val="0"/>
          <w:numId w:val="1380"/>
        </w:numPr>
        <w:pStyle w:val="Compact"/>
      </w:pPr>
      <w:r>
        <w:t xml:space="preserve">2025 · Ravussin E ·</w:t>
      </w:r>
      <w:r>
        <w:t xml:space="preserve"> </w:t>
      </w:r>
      <w:r>
        <w:rPr>
          <w:iCs/>
          <w:i/>
        </w:rPr>
        <w:t xml:space="preserve">Cell Metab</w:t>
      </w:r>
      <w:r>
        <w:t xml:space="preserve"> </w:t>
      </w:r>
      <w:r>
        <w:t xml:space="preserve">· Tirzepatide did not impact metabolic adaptation in people with obesity, but increased fat oxidation. PMID 40203836</w:t>
      </w:r>
    </w:p>
    <w:p>
      <w:pPr>
        <w:numPr>
          <w:ilvl w:val="0"/>
          <w:numId w:val="1380"/>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80"/>
        </w:numPr>
        <w:pStyle w:val="Compact"/>
      </w:pPr>
      <w:r>
        <w:t xml:space="preserve">2025 · Packer M ·</w:t>
      </w:r>
      <w:r>
        <w:t xml:space="preserve"> </w:t>
      </w:r>
      <w:r>
        <w:rPr>
          <w:iCs/>
          <w:i/>
        </w:rPr>
        <w:t xml:space="preserve">J Am Coll Cardiol</w:t>
      </w:r>
      <w:r>
        <w:t xml:space="preserve"> </w:t>
      </w:r>
      <w:r>
        <w:t xml:space="preserve">· Interplay of Chronic Kidney Disease and the Effects of Tirzepatide in Patients With Heart Failure, Preserved Ejection Fraction, and Obesity: The SUMMIT Trial. PMID 40162940</w:t>
      </w:r>
    </w:p>
    <w:p>
      <w:pPr>
        <w:numPr>
          <w:ilvl w:val="0"/>
          <w:numId w:val="1380"/>
        </w:numPr>
        <w:pStyle w:val="Compact"/>
      </w:pPr>
      <w:r>
        <w:t xml:space="preserve">2025 · Giorgino F ·</w:t>
      </w:r>
      <w:r>
        <w:t xml:space="preserve"> </w:t>
      </w:r>
      <w:r>
        <w:rPr>
          <w:iCs/>
          <w:i/>
        </w:rPr>
        <w:t xml:space="preserve">Diabetes Care</w:t>
      </w:r>
      <w:r>
        <w:t xml:space="preserve"> </w:t>
      </w:r>
      <w:r>
        <w:t xml:space="preserve">· Early Fasting Serum Glucose or Weight Reduction With Tirzepatide and Metabolic Outcomes in People With Type 2 Diabetes: A Post Hoc Analysis of the SURPASS Trials. PMID 40100982</w:t>
      </w:r>
    </w:p>
    <w:p>
      <w:pPr>
        <w:numPr>
          <w:ilvl w:val="0"/>
          <w:numId w:val="1380"/>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80"/>
        </w:numPr>
        <w:pStyle w:val="Compact"/>
      </w:pPr>
      <w:r>
        <w:t xml:space="preserve">2025 · Kadowaki T ·</w:t>
      </w:r>
      <w:r>
        <w:t xml:space="preserve"> </w:t>
      </w:r>
      <w:r>
        <w:rPr>
          <w:iCs/>
          <w:i/>
        </w:rPr>
        <w:t xml:space="preserve">Lancet Diabetes Endocrinol</w:t>
      </w:r>
      <w:r>
        <w:t xml:space="preserve"> </w:t>
      </w:r>
      <w:r>
        <w:t xml:space="preserve">· Efficacy and safety of once-weekly tirzepatide in Japanese patients with obesity disease (SURMOUNT-J): a multicentre, randomised, double-blind, placebo-controlled phase 3 trial. PMID 40031941</w:t>
      </w:r>
    </w:p>
    <w:p>
      <w:pPr>
        <w:numPr>
          <w:ilvl w:val="0"/>
          <w:numId w:val="1380"/>
        </w:numPr>
        <w:pStyle w:val="Compact"/>
      </w:pPr>
      <w:r>
        <w:t xml:space="preserve">2025 · Look M ·</w:t>
      </w:r>
      <w:r>
        <w:t xml:space="preserve"> </w:t>
      </w:r>
      <w:r>
        <w:rPr>
          <w:iCs/>
          <w:i/>
        </w:rPr>
        <w:t xml:space="preserve">Diabetes Obes Metab</w:t>
      </w:r>
      <w:r>
        <w:t xml:space="preserve"> </w:t>
      </w:r>
      <w:r>
        <w:t xml:space="preserve">· Body composition changes during weight reduction with tirzepatide in the SURMOUNT-1 study of adults with obesity or overweight. PMID 39996356</w:t>
      </w:r>
    </w:p>
    <w:p>
      <w:pPr>
        <w:numPr>
          <w:ilvl w:val="0"/>
          <w:numId w:val="1380"/>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80"/>
        </w:numPr>
        <w:pStyle w:val="Compact"/>
      </w:pPr>
      <w:r>
        <w:t xml:space="preserve">2025 · Fan Y ·</w:t>
      </w:r>
      <w:r>
        <w:t xml:space="preserve"> </w:t>
      </w:r>
      <w:r>
        <w:rPr>
          <w:iCs/>
          <w:i/>
        </w:rPr>
        <w:t xml:space="preserve">Diabetes Obes Metab</w:t>
      </w:r>
      <w:r>
        <w:t xml:space="preserve"> </w:t>
      </w:r>
      <w:r>
        <w:t xml:space="preserve">· The safety, tolerability, pharmacokinetics and pharmacodynamics of an optimized dual GLP-1/GIP receptor agonist (BGM0504) in healthy volunteers: A dose-escalation Phase I study. PMID 39840511</w:t>
      </w:r>
    </w:p>
    <w:p>
      <w:pPr>
        <w:numPr>
          <w:ilvl w:val="0"/>
          <w:numId w:val="1380"/>
        </w:numPr>
        <w:pStyle w:val="Compact"/>
      </w:pPr>
      <w:r>
        <w:t xml:space="preserve">2025 · Horn DB ·</w:t>
      </w:r>
      <w:r>
        <w:t xml:space="preserve"> </w:t>
      </w:r>
      <w:r>
        <w:rPr>
          <w:iCs/>
          <w:i/>
        </w:rPr>
        <w:t xml:space="preserve">Clin Obes</w:t>
      </w:r>
      <w:r>
        <w:t xml:space="preserve"> </w:t>
      </w:r>
      <w:r>
        <w:t xml:space="preserve">· Time to weight plateau with tirzepatide treatment in the SURMOUNT-1 and SURMOUNT-4 clinical trials. PMID 39800653</w:t>
      </w:r>
    </w:p>
    <w:p>
      <w:pPr>
        <w:numPr>
          <w:ilvl w:val="0"/>
          <w:numId w:val="1380"/>
        </w:numPr>
        <w:pStyle w:val="Compact"/>
      </w:pPr>
      <w:r>
        <w:t xml:space="preserve">2025 · Rubino DM ·</w:t>
      </w:r>
      <w:r>
        <w:t xml:space="preserve"> </w:t>
      </w:r>
      <w:r>
        <w:rPr>
          <w:iCs/>
          <w:i/>
        </w:rPr>
        <w:t xml:space="preserve">Diabetes Obes Metab</w:t>
      </w:r>
      <w:r>
        <w:t xml:space="preserve"> </w:t>
      </w:r>
      <w:r>
        <w:t xml:space="preserve">· Gastrointestinal tolerability and weight reduction associated with tirzepatide in adults with obesity or overweight with and without type 2 diabetes in the SURMOUNT-1 to -4 trials. PMID 39789843</w:t>
      </w:r>
    </w:p>
    <w:p>
      <w:pPr>
        <w:numPr>
          <w:ilvl w:val="0"/>
          <w:numId w:val="1380"/>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80"/>
        </w:numPr>
        <w:pStyle w:val="Compact"/>
      </w:pPr>
      <w:r>
        <w:t xml:space="preserve">2025 · Apperloo EM ·</w:t>
      </w:r>
      <w:r>
        <w:t xml:space="preserve"> </w:t>
      </w:r>
      <w:r>
        <w:rPr>
          <w:iCs/>
          <w:i/>
        </w:rPr>
        <w:t xml:space="preserve">Diabetes Care</w:t>
      </w:r>
      <w:r>
        <w:t xml:space="preserve"> </w:t>
      </w:r>
      <w:r>
        <w:t xml:space="preserve">· Tirzepatide Associated With Reduced Albuminuria in Participants With Type 2 Diabetes: Pooled Post Hoc Analysis From the Randomized Active- and Placebo-Controlled SURPASS-1-5 Clinical Trials. PMID 39746157</w:t>
      </w:r>
    </w:p>
    <w:p>
      <w:pPr>
        <w:numPr>
          <w:ilvl w:val="0"/>
          <w:numId w:val="1380"/>
        </w:numPr>
        <w:pStyle w:val="Compact"/>
      </w:pPr>
      <w:r>
        <w:t xml:space="preserve">2025 · Kramer CM ·</w:t>
      </w:r>
      <w:r>
        <w:t xml:space="preserve"> </w:t>
      </w:r>
      <w:r>
        <w:rPr>
          <w:iCs/>
          <w:i/>
        </w:rPr>
        <w:t xml:space="preserve">J Am Coll Cardiol</w:t>
      </w:r>
      <w:r>
        <w:t xml:space="preserve"> </w:t>
      </w:r>
      <w:r>
        <w:t xml:space="preserve">· Tirzepatide Reduces LV Mass and Paracardiac Adipose Tissue in Obesity-Related Heart Failure: SUMMIT CMR Substudy. PMID 39566869</w:t>
      </w:r>
    </w:p>
    <w:p>
      <w:pPr>
        <w:numPr>
          <w:ilvl w:val="0"/>
          <w:numId w:val="1380"/>
        </w:numPr>
        <w:pStyle w:val="Compact"/>
      </w:pPr>
      <w:r>
        <w:t xml:space="preserve">2025 · Zile MR ·</w:t>
      </w:r>
      <w:r>
        <w:t xml:space="preserve"> </w:t>
      </w:r>
      <w:r>
        <w:rPr>
          <w:iCs/>
          <w:i/>
        </w:rPr>
        <w:t xml:space="preserve">Circulation</w:t>
      </w:r>
      <w:r>
        <w:t xml:space="preserve"> </w:t>
      </w:r>
      <w:r>
        <w:t xml:space="preserve">· Effects of Tirzepatide on the Clinical Trajectory of Patients With Heart Failure, Preserved Ejection Fraction, and Obesity. PMID 39556714</w:t>
      </w:r>
    </w:p>
    <w:p>
      <w:pPr>
        <w:numPr>
          <w:ilvl w:val="0"/>
          <w:numId w:val="1380"/>
        </w:numPr>
        <w:pStyle w:val="Compact"/>
      </w:pPr>
      <w:r>
        <w:t xml:space="preserve">2025 · Packer M ·</w:t>
      </w:r>
      <w:r>
        <w:t xml:space="preserve"> </w:t>
      </w:r>
      <w:r>
        <w:rPr>
          <w:iCs/>
          <w:i/>
        </w:rPr>
        <w:t xml:space="preserve">N Engl J Med</w:t>
      </w:r>
      <w:r>
        <w:t xml:space="preserve"> </w:t>
      </w:r>
      <w:r>
        <w:t xml:space="preserve">· Tirzepatide for Heart Failure with Preserved Ejection Fraction and Obesity. PMID 39555826</w:t>
      </w:r>
    </w:p>
    <w:p>
      <w:pPr>
        <w:numPr>
          <w:ilvl w:val="0"/>
          <w:numId w:val="1380"/>
        </w:numPr>
        <w:pStyle w:val="Compact"/>
      </w:pPr>
      <w:r>
        <w:t xml:space="preserve">2025 · Borlaug BA ·</w:t>
      </w:r>
      <w:r>
        <w:t xml:space="preserve"> </w:t>
      </w:r>
      <w:r>
        <w:rPr>
          <w:iCs/>
          <w:i/>
        </w:rPr>
        <w:t xml:space="preserve">Nat Med</w:t>
      </w:r>
      <w:r>
        <w:t xml:space="preserve"> </w:t>
      </w:r>
      <w:r>
        <w:t xml:space="preserve">· Effects of tirzepatide on circulatory overload and end-organ damage in heart failure with preserved ejection fraction and obesity: a secondary analysis of the SUMMIT trial. PMID 39551891</w:t>
      </w:r>
    </w:p>
    <w:p>
      <w:pPr>
        <w:numPr>
          <w:ilvl w:val="0"/>
          <w:numId w:val="1380"/>
        </w:numPr>
        <w:pStyle w:val="Compact"/>
      </w:pPr>
      <w:r>
        <w:t xml:space="preserve">2025 · Jastreboff AM ·</w:t>
      </w:r>
      <w:r>
        <w:t xml:space="preserve"> </w:t>
      </w:r>
      <w:r>
        <w:rPr>
          <w:iCs/>
          <w:i/>
        </w:rPr>
        <w:t xml:space="preserve">N Engl J Med</w:t>
      </w:r>
      <w:r>
        <w:t xml:space="preserve"> </w:t>
      </w:r>
      <w:r>
        <w:t xml:space="preserve">· Tirzepatide for Obesity Treatment and Diabetes Prevention. PMID 39536238</w:t>
      </w:r>
    </w:p>
    <w:p>
      <w:pPr>
        <w:numPr>
          <w:ilvl w:val="0"/>
          <w:numId w:val="1380"/>
        </w:numPr>
        <w:pStyle w:val="Compact"/>
      </w:pPr>
      <w:r>
        <w:t xml:space="preserve">2025 · Gudzune KA ·</w:t>
      </w:r>
      <w:r>
        <w:t xml:space="preserve"> </w:t>
      </w:r>
      <w:r>
        <w:rPr>
          <w:iCs/>
          <w:i/>
        </w:rPr>
        <w:t xml:space="preserve">Diabetes Obes Metab</w:t>
      </w:r>
      <w:r>
        <w:t xml:space="preserve"> </w:t>
      </w:r>
      <w:r>
        <w:t xml:space="preserve">· Association between weight reduction achieved with tirzepatide and quality of life in adults with obesity: Results from the SURMOUNT-1 study. PMID 39497468</w:t>
      </w:r>
    </w:p>
    <w:p>
      <w:pPr>
        <w:numPr>
          <w:ilvl w:val="0"/>
          <w:numId w:val="1380"/>
        </w:numPr>
        <w:pStyle w:val="Compact"/>
      </w:pPr>
      <w:r>
        <w:t xml:space="preserve">2025 · Peters AL ·</w:t>
      </w:r>
      <w:r>
        <w:t xml:space="preserve"> </w:t>
      </w:r>
      <w:r>
        <w:rPr>
          <w:iCs/>
          <w:i/>
        </w:rPr>
        <w:t xml:space="preserve">J Clin Endocrinol Metab</w:t>
      </w:r>
      <w:r>
        <w:t xml:space="preserve"> </w:t>
      </w:r>
      <w:r>
        <w:t xml:space="preserve">· Improved HbA1c and Body Weight in GADA-Positive Individuals Treated With Tirzepatide: A Post Hoc Analysis of SURPASS. PMID 38824910</w:t>
      </w:r>
    </w:p>
    <w:p>
      <w:pPr>
        <w:numPr>
          <w:ilvl w:val="0"/>
          <w:numId w:val="1380"/>
        </w:numPr>
        <w:pStyle w:val="Compact"/>
      </w:pPr>
      <w:r>
        <w:t xml:space="preserve">2024 · Martin JA ·</w:t>
      </w:r>
      <w:r>
        <w:t xml:space="preserve"> </w:t>
      </w:r>
      <w:r>
        <w:rPr>
          <w:iCs/>
          <w:i/>
        </w:rPr>
        <w:t xml:space="preserve">Eur J Pharm Sci</w:t>
      </w:r>
      <w:r>
        <w:t xml:space="preserve"> </w:t>
      </w:r>
      <w:r>
        <w:t xml:space="preserve">· Absorption, distribution, metabolism, and excretion of tirzepatide in humans, rats, and monkeys. PMID 39243911</w:t>
      </w:r>
    </w:p>
    <w:p>
      <w:pPr>
        <w:numPr>
          <w:ilvl w:val="0"/>
          <w:numId w:val="1380"/>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80"/>
        </w:numPr>
        <w:pStyle w:val="Compact"/>
      </w:pPr>
      <w:r>
        <w:t xml:space="preserve">2024 · Krumholz HM ·</w:t>
      </w:r>
      <w:r>
        <w:t xml:space="preserve"> </w:t>
      </w:r>
      <w:r>
        <w:rPr>
          <w:iCs/>
          <w:i/>
        </w:rPr>
        <w:t xml:space="preserve">Heart</w:t>
      </w:r>
      <w:r>
        <w:t xml:space="preserve"> </w:t>
      </w:r>
      <w:r>
        <w:t xml:space="preserve">· Tirzepatide and blood pressure reduction: stratified analyses of the SURMOUNT-1 randomised controlled trial. PMID 39084707</w:t>
      </w:r>
    </w:p>
    <w:p>
      <w:pPr>
        <w:numPr>
          <w:ilvl w:val="0"/>
          <w:numId w:val="1380"/>
        </w:numPr>
        <w:pStyle w:val="Compact"/>
      </w:pPr>
      <w:r>
        <w:t xml:space="preserve">2024 · Malhotra A ·</w:t>
      </w:r>
      <w:r>
        <w:t xml:space="preserve"> </w:t>
      </w:r>
      <w:r>
        <w:rPr>
          <w:iCs/>
          <w:i/>
        </w:rPr>
        <w:t xml:space="preserve">N Engl J Med</w:t>
      </w:r>
      <w:r>
        <w:t xml:space="preserve"> </w:t>
      </w:r>
      <w:r>
        <w:t xml:space="preserve">· Tirzepatide for the Treatment of Obstructive Sleep Apnea and Obesity. PMID 38912654</w:t>
      </w:r>
    </w:p>
    <w:p>
      <w:pPr>
        <w:numPr>
          <w:ilvl w:val="0"/>
          <w:numId w:val="1380"/>
        </w:numPr>
        <w:pStyle w:val="Compact"/>
      </w:pPr>
      <w:r>
        <w:t xml:space="preserve">2024 · Loomba R ·</w:t>
      </w:r>
      <w:r>
        <w:t xml:space="preserve"> </w:t>
      </w:r>
      <w:r>
        <w:rPr>
          <w:iCs/>
          <w:i/>
        </w:rPr>
        <w:t xml:space="preserve">N Engl J Med</w:t>
      </w:r>
      <w:r>
        <w:t xml:space="preserve"> </w:t>
      </w:r>
      <w:r>
        <w:t xml:space="preserve">· Tirzepatide for Metabolic Dysfunction-Associated Steatohepatitis with Liver Fibrosis. PMID 38856224</w:t>
      </w:r>
    </w:p>
    <w:p>
      <w:pPr>
        <w:numPr>
          <w:ilvl w:val="0"/>
          <w:numId w:val="1380"/>
        </w:numPr>
        <w:pStyle w:val="Compact"/>
      </w:pPr>
      <w:r>
        <w:t xml:space="preserve">2024 · Zhao L ·</w:t>
      </w:r>
      <w:r>
        <w:t xml:space="preserve"> </w:t>
      </w:r>
      <w:r>
        <w:rPr>
          <w:iCs/>
          <w:i/>
        </w:rPr>
        <w:t xml:space="preserve">JAMA</w:t>
      </w:r>
      <w:r>
        <w:t xml:space="preserve"> </w:t>
      </w:r>
      <w:r>
        <w:t xml:space="preserve">· Tirzepatide for Weight Reduction in Chinese Adults With Obesity: The SURMOUNT-CN Randomized Clinical Trial. PMID 38819983</w:t>
      </w:r>
    </w:p>
    <w:p>
      <w:pPr>
        <w:numPr>
          <w:ilvl w:val="0"/>
          <w:numId w:val="1380"/>
        </w:numPr>
        <w:pStyle w:val="Compact"/>
      </w:pPr>
      <w:r>
        <w:t xml:space="preserve">2024 · Bao Y ·</w:t>
      </w:r>
      <w:r>
        <w:t xml:space="preserve"> </w:t>
      </w:r>
      <w:r>
        <w:rPr>
          <w:iCs/>
          <w:i/>
        </w:rPr>
        <w:t xml:space="preserve">Obesity (Silver Spring)</w:t>
      </w:r>
      <w:r>
        <w:t xml:space="preserve"> </w:t>
      </w:r>
      <w:r>
        <w:t xml:space="preserve">· Characterization of tirzepatide-treated patients achieving different glycemic control levels in SURPASS-AP-Combo. PMID 38803303</w:t>
      </w:r>
    </w:p>
    <w:p>
      <w:pPr>
        <w:numPr>
          <w:ilvl w:val="0"/>
          <w:numId w:val="1380"/>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80"/>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80"/>
        </w:numPr>
        <w:pStyle w:val="Compact"/>
      </w:pPr>
      <w:r>
        <w:t xml:space="preserve">2024 · Vuppalanchi R ·</w:t>
      </w:r>
      <w:r>
        <w:t xml:space="preserve"> </w:t>
      </w:r>
      <w:r>
        <w:rPr>
          <w:iCs/>
          <w:i/>
        </w:rPr>
        <w:t xml:space="preserve">Aliment Pharmacol Ther</w:t>
      </w:r>
      <w:r>
        <w:t xml:space="preserve"> </w:t>
      </w:r>
      <w:r>
        <w:t xml:space="preserve">· Randomised clinical trial: Design of the SYNERGY-NASH phase 2b trial to evaluate tirzepatide as a treatment for metabolic dysfunction-associated steatohepatitis and modification of screening strategy to reduce screen failures. PMID 38768298</w:t>
      </w:r>
    </w:p>
    <w:p>
      <w:pPr>
        <w:numPr>
          <w:ilvl w:val="0"/>
          <w:numId w:val="1380"/>
        </w:numPr>
        <w:pStyle w:val="Compact"/>
      </w:pPr>
      <w:r>
        <w:t xml:space="preserve">2024 · Bagherzadeh-Rahmani B ·</w:t>
      </w:r>
      <w:r>
        <w:t xml:space="preserve"> </w:t>
      </w:r>
      <w:r>
        <w:rPr>
          <w:iCs/>
          <w:i/>
        </w:rPr>
        <w:t xml:space="preserve">Clin Hemorheol Microcirc</w:t>
      </w:r>
      <w:r>
        <w:t xml:space="preserve"> </w:t>
      </w:r>
      <w:r>
        <w:t xml:space="preserve">· Tirzepatide and exercise training in obesity. PMID 38640145</w:t>
      </w:r>
    </w:p>
    <w:p>
      <w:pPr>
        <w:numPr>
          <w:ilvl w:val="0"/>
          <w:numId w:val="1380"/>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80"/>
        </w:numPr>
        <w:pStyle w:val="Compact"/>
      </w:pPr>
      <w:r>
        <w:t xml:space="preserve">2024 · Giorgino F ·</w:t>
      </w:r>
      <w:r>
        <w:t xml:space="preserve"> </w:t>
      </w:r>
      <w:r>
        <w:rPr>
          <w:iCs/>
          <w:i/>
        </w:rPr>
        <w:t xml:space="preserve">Diabetes Care</w:t>
      </w:r>
      <w:r>
        <w:t xml:space="preserve"> </w:t>
      </w:r>
      <w:r>
        <w:t xml:space="preserve">· Effects of Tirzepatide Versus Basal Insulins in People With Type 2 Diabetes and Different Baseline Glycemic Patterns: Post Hoc Analyses of the SURPASS-3 and SURPASS-4 Trials. PMID 38530948</w:t>
      </w:r>
    </w:p>
    <w:p>
      <w:pPr>
        <w:numPr>
          <w:ilvl w:val="0"/>
          <w:numId w:val="1380"/>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80"/>
        </w:numPr>
        <w:pStyle w:val="Compact"/>
      </w:pPr>
      <w:r>
        <w:t xml:space="preserve">2024 · Aronne LJ ·</w:t>
      </w:r>
      <w:r>
        <w:t xml:space="preserve"> </w:t>
      </w:r>
      <w:r>
        <w:rPr>
          <w:iCs/>
          <w:i/>
        </w:rPr>
        <w:t xml:space="preserve">JAMA</w:t>
      </w:r>
      <w:r>
        <w:t xml:space="preserve"> </w:t>
      </w:r>
      <w:r>
        <w:t xml:space="preserve">· Continued Treatment With Tirzepatide for Maintenance of Weight Reduction in Adults With Obesity: The SURMOUNT-4 Randomized Clinical Trial. PMID 38078870</w:t>
      </w:r>
    </w:p>
    <w:p>
      <w:pPr>
        <w:numPr>
          <w:ilvl w:val="0"/>
          <w:numId w:val="1380"/>
        </w:numPr>
        <w:pStyle w:val="Compact"/>
      </w:pPr>
      <w:r>
        <w:t xml:space="preserve">2024 · Hankosky ER ·</w:t>
      </w:r>
      <w:r>
        <w:t xml:space="preserve"> </w:t>
      </w:r>
      <w:r>
        <w:rPr>
          <w:iCs/>
          <w:i/>
        </w:rPr>
        <w:t xml:space="preserve">Diabetes Obes Metab</w:t>
      </w:r>
      <w:r>
        <w:t xml:space="preserve"> </w:t>
      </w:r>
      <w:r>
        <w:t xml:space="preserve">· Tirzepatide reduces the predicted risk of atherosclerotic cardiovascular disease and improves cardiometabolic risk factors in adults with obesity or overweight: SURMOUNT-1 post hoc analysis. PMID 37932236</w:t>
      </w:r>
    </w:p>
    <w:p>
      <w:pPr>
        <w:numPr>
          <w:ilvl w:val="0"/>
          <w:numId w:val="1380"/>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80"/>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80"/>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80"/>
        </w:numPr>
        <w:pStyle w:val="Compact"/>
      </w:pPr>
      <w:r>
        <w:t xml:space="preserve">2023 · Wadden TA ·</w:t>
      </w:r>
      <w:r>
        <w:t xml:space="preserve"> </w:t>
      </w:r>
      <w:r>
        <w:rPr>
          <w:iCs/>
          <w:i/>
        </w:rPr>
        <w:t xml:space="preserve">Nat Med</w:t>
      </w:r>
      <w:r>
        <w:t xml:space="preserve"> </w:t>
      </w:r>
      <w:r>
        <w:t xml:space="preserve">· Tirzepatide after intensive lifestyle intervention in adults with overweight or obesity: the SURMOUNT-3 phase 3 trial. PMID 37840095</w:t>
      </w:r>
    </w:p>
    <w:p>
      <w:pPr>
        <w:numPr>
          <w:ilvl w:val="0"/>
          <w:numId w:val="1380"/>
        </w:numPr>
        <w:pStyle w:val="Compact"/>
      </w:pPr>
      <w:r>
        <w:t xml:space="preserve">2023 · Małecki MT ·</w:t>
      </w:r>
      <w:r>
        <w:t xml:space="preserve"> </w:t>
      </w:r>
      <w:r>
        <w:rPr>
          <w:iCs/>
          <w:i/>
        </w:rPr>
        <w:t xml:space="preserve">Diabetes Care</w:t>
      </w:r>
      <w:r>
        <w:t xml:space="preserve"> </w:t>
      </w:r>
      <w:r>
        <w:t xml:space="preserve">· Predictors of ≥15% Weight Reduction and Associated Changes in Cardiometabolic Risk Factors With Tirzepatide in Adults With Type 2 Diabetes in SURPASS 1-4. PMID 37824793</w:t>
      </w:r>
    </w:p>
    <w:p>
      <w:pPr>
        <w:numPr>
          <w:ilvl w:val="0"/>
          <w:numId w:val="1380"/>
        </w:numPr>
        <w:pStyle w:val="Compact"/>
      </w:pPr>
      <w:r>
        <w:t xml:space="preserve">2023 · Rosenstock J ·</w:t>
      </w:r>
      <w:r>
        <w:t xml:space="preserve"> </w:t>
      </w:r>
      <w:r>
        <w:rPr>
          <w:iCs/>
          <w:i/>
        </w:rPr>
        <w:t xml:space="preserve">JAMA</w:t>
      </w:r>
      <w:r>
        <w:t xml:space="preserve"> </w:t>
      </w:r>
      <w:r>
        <w:t xml:space="preserve">· Tirzepatide vs Insulin Lispro Added to Basal Insulin in Type 2 Diabetes: The SURPASS-6 Randomized Clinical Trial. PMID 37786396</w:t>
      </w:r>
    </w:p>
    <w:p>
      <w:pPr>
        <w:numPr>
          <w:ilvl w:val="0"/>
          <w:numId w:val="1380"/>
        </w:numPr>
        <w:pStyle w:val="Compact"/>
      </w:pPr>
      <w:r>
        <w:t xml:space="preserve">2023 · Hankosky ER ·</w:t>
      </w:r>
      <w:r>
        <w:t xml:space="preserve"> </w:t>
      </w:r>
      <w:r>
        <w:rPr>
          <w:iCs/>
          <w:i/>
        </w:rPr>
        <w:t xml:space="preserve">Diabetes Obes Metab</w:t>
      </w:r>
      <w:r>
        <w:t xml:space="preserve"> </w:t>
      </w:r>
      <w:r>
        <w:t xml:space="preserve">· Tirzepatide reduces the predicted risk of developing type 2 diabetes in people with obesity or overweight: Post hoc analysis of the SURMOUNT-1 trial. PMID 37700443</w:t>
      </w:r>
    </w:p>
    <w:p>
      <w:pPr>
        <w:numPr>
          <w:ilvl w:val="0"/>
          <w:numId w:val="1380"/>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80"/>
        </w:numPr>
        <w:pStyle w:val="Compact"/>
      </w:pPr>
      <w:r>
        <w:t xml:space="preserve">2023 · Garvey WT ·</w:t>
      </w:r>
      <w:r>
        <w:t xml:space="preserve"> </w:t>
      </w:r>
      <w:r>
        <w:rPr>
          <w:iCs/>
          <w:i/>
        </w:rPr>
        <w:t xml:space="preserve">Lancet</w:t>
      </w:r>
      <w:r>
        <w:t xml:space="preserve"> </w:t>
      </w:r>
      <w:r>
        <w:t xml:space="preserve">· Tirzepatide once weekly for the treatment of obesity in people with type 2 diabetes (SURMOUNT-2): a double-blind, randomised, multicentre, placebo-controlled, phase 3 trial. PMID 37385275</w:t>
      </w:r>
    </w:p>
    <w:p>
      <w:pPr>
        <w:numPr>
          <w:ilvl w:val="0"/>
          <w:numId w:val="1380"/>
        </w:numPr>
        <w:pStyle w:val="Compact"/>
      </w:pPr>
      <w:r>
        <w:t xml:space="preserve">2023 · Feng P ·</w:t>
      </w:r>
      <w:r>
        <w:t xml:space="preserve"> </w:t>
      </w:r>
      <w:r>
        <w:rPr>
          <w:iCs/>
          <w:i/>
        </w:rPr>
        <w:t xml:space="preserve">Adv Ther</w:t>
      </w:r>
      <w:r>
        <w:t xml:space="preserve"> </w:t>
      </w:r>
      <w:r>
        <w:t xml:space="preserve">· A Phase 1 Multiple Dose Study of Tirzepatide in Chinese Patients with Type 2 Diabetes. PMID 37285081</w:t>
      </w:r>
    </w:p>
    <w:p>
      <w:pPr>
        <w:numPr>
          <w:ilvl w:val="0"/>
          <w:numId w:val="1380"/>
        </w:numPr>
        <w:pStyle w:val="Compact"/>
      </w:pPr>
      <w:r>
        <w:t xml:space="preserve">2023 · Gao L ·</w:t>
      </w:r>
      <w:r>
        <w:t xml:space="preserve"> </w:t>
      </w:r>
      <w:r>
        <w:rPr>
          <w:iCs/>
          <w:i/>
        </w:rPr>
        <w:t xml:space="preserve">Nat Med</w:t>
      </w:r>
      <w:r>
        <w:t xml:space="preserve"> </w:t>
      </w:r>
      <w:r>
        <w:t xml:space="preserve">· Tirzepatide versus insulin glargine as second-line or third-line therapy in type 2 diabetes in the Asia-Pacific region: the SURPASS-AP-Combo trial. PMID 37231074</w:t>
      </w:r>
    </w:p>
    <w:p>
      <w:pPr>
        <w:numPr>
          <w:ilvl w:val="0"/>
          <w:numId w:val="1380"/>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80"/>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80"/>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80"/>
        </w:numPr>
        <w:pStyle w:val="Compact"/>
      </w:pPr>
      <w:r>
        <w:t xml:space="preserve">2022 · Heerspink HJL ·</w:t>
      </w:r>
      <w:r>
        <w:t xml:space="preserve"> </w:t>
      </w:r>
      <w:r>
        <w:rPr>
          <w:iCs/>
          <w:i/>
        </w:rPr>
        <w:t xml:space="preserve">Lancet Diabetes Endocrinol</w:t>
      </w:r>
      <w:r>
        <w:t xml:space="preserve"> </w:t>
      </w:r>
      <w:r>
        <w:t xml:space="preserve">· Effects of tirzepatide versus insulin glargine on kidney outcomes in type 2 diabetes in the SURPASS-4 trial: post-hoc analysis of an open-label, randomised, phase 3 trial. PMID 36152639</w:t>
      </w:r>
    </w:p>
    <w:p>
      <w:pPr>
        <w:numPr>
          <w:ilvl w:val="0"/>
          <w:numId w:val="1380"/>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80"/>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80"/>
        </w:numPr>
        <w:pStyle w:val="Compact"/>
      </w:pPr>
      <w:r>
        <w:t xml:space="preserve">2022 · Kadowaki T ·</w:t>
      </w:r>
      <w:r>
        <w:t xml:space="preserve"> </w:t>
      </w:r>
      <w:r>
        <w:rPr>
          <w:iCs/>
          <w:i/>
        </w:rPr>
        <w:t xml:space="preserve">Lancet Diabetes Endocrinol</w:t>
      </w:r>
      <w:r>
        <w:t xml:space="preserve"> </w:t>
      </w:r>
      <w:r>
        <w:t xml:space="preserve">· Safety and efficacy of tirzepatide as an add-on to single oral antihyperglycaemic medication in patients with type 2 diabetes in Japan (SURPASS J-combo): a multicentre, randomised, open-label, parallel-group, phase 3 trial. PMID 35914542</w:t>
      </w:r>
    </w:p>
    <w:p>
      <w:pPr>
        <w:numPr>
          <w:ilvl w:val="0"/>
          <w:numId w:val="1380"/>
        </w:numPr>
        <w:pStyle w:val="Compact"/>
      </w:pPr>
      <w:r>
        <w:t xml:space="preserve">2022 · Slomski A ·</w:t>
      </w:r>
      <w:r>
        <w:t xml:space="preserve"> </w:t>
      </w:r>
      <w:r>
        <w:rPr>
          <w:iCs/>
          <w:i/>
        </w:rPr>
        <w:t xml:space="preserve">JAMA</w:t>
      </w:r>
      <w:r>
        <w:t xml:space="preserve"> </w:t>
      </w:r>
      <w:r>
        <w:t xml:space="preserve">· Tirzepatide Trial Demonstrates Substantial Weight Loss. PMID 35881126</w:t>
      </w:r>
    </w:p>
    <w:p>
      <w:pPr>
        <w:numPr>
          <w:ilvl w:val="0"/>
          <w:numId w:val="1380"/>
        </w:numPr>
        <w:pStyle w:val="Compact"/>
      </w:pPr>
      <w:r>
        <w:t xml:space="preserve">2022 · Hindson J ·</w:t>
      </w:r>
      <w:r>
        <w:t xml:space="preserve"> </w:t>
      </w:r>
      <w:r>
        <w:rPr>
          <w:iCs/>
          <w:i/>
        </w:rPr>
        <w:t xml:space="preserve">Nat Rev Gastroenterol Hepatol</w:t>
      </w:r>
      <w:r>
        <w:t xml:space="preserve"> </w:t>
      </w:r>
      <w:r>
        <w:t xml:space="preserve">· Tirzepatide to treat obesity: phase III results. PMID 35773392</w:t>
      </w:r>
    </w:p>
    <w:p>
      <w:pPr>
        <w:numPr>
          <w:ilvl w:val="0"/>
          <w:numId w:val="1380"/>
        </w:numPr>
        <w:pStyle w:val="Compact"/>
      </w:pPr>
      <w:r>
        <w:t xml:space="preserve">2022 · Jastreboff AM ·</w:t>
      </w:r>
      <w:r>
        <w:t xml:space="preserve"> </w:t>
      </w:r>
      <w:r>
        <w:rPr>
          <w:iCs/>
          <w:i/>
        </w:rPr>
        <w:t xml:space="preserve">N Engl J Med</w:t>
      </w:r>
      <w:r>
        <w:t xml:space="preserve"> </w:t>
      </w:r>
      <w:r>
        <w:t xml:space="preserve">· Tirzepatide Once Weekly for the Treatment of Obesity. PMID 35658024</w:t>
      </w:r>
    </w:p>
    <w:p>
      <w:pPr>
        <w:numPr>
          <w:ilvl w:val="0"/>
          <w:numId w:val="1380"/>
        </w:numPr>
        <w:pStyle w:val="Compact"/>
      </w:pPr>
      <w:r>
        <w:t xml:space="preserve">2022 · Gastaldelli A ·</w:t>
      </w:r>
      <w:r>
        <w:t xml:space="preserve"> </w:t>
      </w:r>
      <w:r>
        <w:rPr>
          <w:iCs/>
          <w:i/>
        </w:rPr>
        <w:t xml:space="preserve">Lancet Diabetes Endocrinol</w:t>
      </w:r>
      <w:r>
        <w:t xml:space="preserve"> </w:t>
      </w:r>
      <w:r>
        <w:t xml:space="preserve">· Effect of tirzepatide versus insulin degludec on liver fat content and abdominal adipose tissue in people with type 2 diabetes (SURPASS-3 MRI): a substudy of the randomised, open-label, parallel-group, phase 3 SURPASS-3 trial. PMID 35468325</w:t>
      </w:r>
    </w:p>
    <w:p>
      <w:pPr>
        <w:numPr>
          <w:ilvl w:val="0"/>
          <w:numId w:val="1380"/>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80"/>
        </w:numPr>
        <w:pStyle w:val="Compact"/>
      </w:pPr>
      <w:r>
        <w:t xml:space="preserve">2022 · Battelino T ·</w:t>
      </w:r>
      <w:r>
        <w:t xml:space="preserve"> </w:t>
      </w:r>
      <w:r>
        <w:rPr>
          <w:iCs/>
          <w:i/>
        </w:rPr>
        <w:t xml:space="preserve">Lancet Diabetes Endocrinol</w:t>
      </w:r>
      <w:r>
        <w:t xml:space="preserve"> </w:t>
      </w:r>
      <w:r>
        <w:t xml:space="preserve">· Efficacy of once-weekly tirzepatide versus once-daily insulin degludec on glycaemic control measured by continuous glucose monitoring in adults with type 2 diabetes (SURPASS-3 CGM): a substudy of the randomised, open-label, parallel-group, phase 3 SURPASS-3 trial. PMID 35468321</w:t>
      </w:r>
    </w:p>
    <w:p>
      <w:pPr>
        <w:numPr>
          <w:ilvl w:val="0"/>
          <w:numId w:val="1380"/>
        </w:numPr>
        <w:pStyle w:val="Compact"/>
      </w:pPr>
      <w:r>
        <w:t xml:space="preserve">2022 · Dahl D ·</w:t>
      </w:r>
      <w:r>
        <w:t xml:space="preserve"> </w:t>
      </w:r>
      <w:r>
        <w:rPr>
          <w:iCs/>
          <w:i/>
        </w:rPr>
        <w:t xml:space="preserve">JAMA</w:t>
      </w:r>
      <w:r>
        <w:t xml:space="preserve"> </w:t>
      </w:r>
      <w:r>
        <w:t xml:space="preserve">· Effect of Subcutaneous Tirzepatide vs Placebo Added to Titrated Insulin Glargine on Glycemic Control in Patients With Type 2 Diabetes: The SURPASS-5 Randomized Clinical Trial. PMID 35133415</w:t>
      </w:r>
    </w:p>
    <w:p>
      <w:pPr>
        <w:numPr>
          <w:ilvl w:val="0"/>
          <w:numId w:val="1380"/>
        </w:numPr>
        <w:pStyle w:val="Compact"/>
      </w:pPr>
      <w:r>
        <w:t xml:space="preserve">2022 · Furihata K ·</w:t>
      </w:r>
      <w:r>
        <w:t xml:space="preserve"> </w:t>
      </w:r>
      <w:r>
        <w:rPr>
          <w:iCs/>
          <w:i/>
        </w:rPr>
        <w:t xml:space="preserve">Diabetes Obes Metab</w:t>
      </w:r>
      <w:r>
        <w:t xml:space="preserve"> </w:t>
      </w:r>
      <w:r>
        <w:t xml:space="preserve">· A phase 1 multiple-ascending dose study of tirzepatide in Japanese participants with type 2 diabetes. PMID 34647404</w:t>
      </w:r>
    </w:p>
    <w:p>
      <w:pPr>
        <w:numPr>
          <w:ilvl w:val="0"/>
          <w:numId w:val="1380"/>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80"/>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80"/>
        </w:numPr>
        <w:pStyle w:val="Compact"/>
      </w:pPr>
      <w:r>
        <w:t xml:space="preserve">2021 · Del Prato S ·</w:t>
      </w:r>
      <w:r>
        <w:t xml:space="preserve"> </w:t>
      </w:r>
      <w:r>
        <w:rPr>
          <w:iCs/>
          <w:i/>
        </w:rPr>
        <w:t xml:space="preserve">Lancet</w:t>
      </w:r>
      <w:r>
        <w:t xml:space="preserve"> </w:t>
      </w:r>
      <w:r>
        <w:t xml:space="preserve">· Tirzepatide versus insulin glargine in type 2 diabetes and increased cardiovascular risk (SURPASS-4): a randomised, open-label, parallel-group, multicentre, phase 3 trial. PMID 34672967</w:t>
      </w:r>
    </w:p>
    <w:p>
      <w:pPr>
        <w:numPr>
          <w:ilvl w:val="0"/>
          <w:numId w:val="1380"/>
        </w:numPr>
        <w:pStyle w:val="Compact"/>
      </w:pPr>
      <w:r>
        <w:t xml:space="preserve">2021 · Ludvik B ·</w:t>
      </w:r>
      <w:r>
        <w:t xml:space="preserve"> </w:t>
      </w:r>
      <w:r>
        <w:rPr>
          <w:iCs/>
          <w:i/>
        </w:rPr>
        <w:t xml:space="preserve">Lancet</w:t>
      </w:r>
      <w:r>
        <w:t xml:space="preserve"> </w:t>
      </w:r>
      <w:r>
        <w:t xml:space="preserve">· Once-weekly tirzepatide versus once-daily insulin degludec as add-on to metformin with or without SGLT2 inhibitors in patients with type 2 diabetes (SURPASS-3): a randomised, open-label, parallel-group, phase 3 trial. PMID 34370970</w:t>
      </w:r>
    </w:p>
    <w:p>
      <w:pPr>
        <w:numPr>
          <w:ilvl w:val="0"/>
          <w:numId w:val="1380"/>
        </w:numPr>
        <w:pStyle w:val="Compact"/>
      </w:pPr>
      <w:r>
        <w:t xml:space="preserve">2021 · Rosenstock J ·</w:t>
      </w:r>
      <w:r>
        <w:t xml:space="preserve"> </w:t>
      </w:r>
      <w:r>
        <w:rPr>
          <w:iCs/>
          <w:i/>
        </w:rPr>
        <w:t xml:space="preserve">Lancet</w:t>
      </w:r>
      <w:r>
        <w:t xml:space="preserve"> </w:t>
      </w:r>
      <w:r>
        <w:t xml:space="preserve">· Efficacy and safety of a novel dual GIP and GLP-1 receptor agonist tirzepatide in patients with type 2 diabetes (SURPASS-1): a double-blind, randomised, phase 3 trial. PMID 34186022</w:t>
      </w:r>
    </w:p>
    <w:p>
      <w:pPr>
        <w:numPr>
          <w:ilvl w:val="0"/>
          <w:numId w:val="1380"/>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80"/>
        </w:numPr>
        <w:pStyle w:val="Compact"/>
      </w:pPr>
      <w:r>
        <w:t xml:space="preserve">2021 · Urva S ·</w:t>
      </w:r>
      <w:r>
        <w:t xml:space="preserve"> </w:t>
      </w:r>
      <w:r>
        <w:rPr>
          <w:iCs/>
          <w:i/>
        </w:rPr>
        <w:t xml:space="preserve">Clin Pharmacokinet</w:t>
      </w:r>
      <w:r>
        <w:t xml:space="preserve"> </w:t>
      </w:r>
      <w:r>
        <w:t xml:space="preserve">· Effects of Renal Impairment on the Pharmacokinetics of the Dual GIP and GLP-1 Receptor Agonist Tirzepatide. PMID 33778934</w:t>
      </w:r>
    </w:p>
    <w:p>
      <w:pPr>
        <w:numPr>
          <w:ilvl w:val="0"/>
          <w:numId w:val="1380"/>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80"/>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80"/>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80"/>
        </w:numPr>
        <w:pStyle w:val="Compact"/>
      </w:pPr>
      <w:r>
        <w:t xml:space="preserve">2020 · Frias JP ·</w:t>
      </w:r>
      <w:r>
        <w:t xml:space="preserve"> </w:t>
      </w:r>
      <w:r>
        <w:rPr>
          <w:iCs/>
          <w:i/>
        </w:rPr>
        <w:t xml:space="preserve">Diabetes Obes Metab</w:t>
      </w:r>
      <w:r>
        <w:t xml:space="preserve"> </w:t>
      </w:r>
      <w:r>
        <w:t xml:space="preserve">· Efficacy and tolerability of tirzepatide, a dual glucose-dependent insulinotropic peptide and glucagon-like peptide-1 receptor agonist in patients with type 2 diabetes: A 12-week, randomized, double-blind, placebo-controlled study to evaluate different dose-escalation regimens. PMID 31984598</w:t>
      </w:r>
    </w:p>
    <w:bookmarkEnd w:id="1120"/>
    <w:bookmarkStart w:id="1121" w:name="retatrutida-10"/>
    <w:p>
      <w:pPr>
        <w:pStyle w:val="Heading2"/>
      </w:pPr>
      <w:r>
        <w:t xml:space="preserve">Retatrutida (10)</w:t>
      </w:r>
    </w:p>
    <w:p>
      <w:pPr>
        <w:numPr>
          <w:ilvl w:val="0"/>
          <w:numId w:val="1381"/>
        </w:numPr>
        <w:pStyle w:val="Compact"/>
      </w:pPr>
      <w:r>
        <w:t xml:space="preserve">2026 · Bellido V ·</w:t>
      </w:r>
      <w:r>
        <w:t xml:space="preserve"> </w:t>
      </w:r>
      <w:r>
        <w:rPr>
          <w:iCs/>
          <w:i/>
        </w:rPr>
        <w:t xml:space="preserve">Lancet</w:t>
      </w:r>
      <w:r>
        <w:t xml:space="preserve"> </w:t>
      </w:r>
      <w:r>
        <w:t xml:space="preserve">· Retatrutide in adults with obesity and type 2 diabetes (TRIUMPH-2): a double-blind, parallel-group, randomised, placebo-controlled, phase 3 trial. PMID 42810372</w:t>
      </w:r>
    </w:p>
    <w:p>
      <w:pPr>
        <w:numPr>
          <w:ilvl w:val="0"/>
          <w:numId w:val="1381"/>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81"/>
        </w:numPr>
        <w:pStyle w:val="Compact"/>
      </w:pPr>
      <w:r>
        <w:t xml:space="preserve">2026 · Bajaj HS ·</w:t>
      </w:r>
      <w:r>
        <w:t xml:space="preserve"> </w:t>
      </w:r>
      <w:r>
        <w:rPr>
          <w:iCs/>
          <w:i/>
        </w:rPr>
        <w:t xml:space="preserve">Lancet</w:t>
      </w:r>
      <w:r>
        <w:t xml:space="preserve"> </w:t>
      </w:r>
      <w:r>
        <w:t xml:space="preserve">· Efficacy and safety of retatrutide, a GIP, GLP-1, and glucagon receptor agonist, in people with type 2 diabetes and inadequate glycaemic control with diet and exercise (TRANSCEND-T2D-1): a double-blind, randomised, phase 3 trial. PMID 42250575</w:t>
      </w:r>
    </w:p>
    <w:p>
      <w:pPr>
        <w:numPr>
          <w:ilvl w:val="0"/>
          <w:numId w:val="1381"/>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81"/>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81"/>
        </w:numPr>
        <w:pStyle w:val="Compact"/>
      </w:pPr>
      <w:r>
        <w:t xml:space="preserve">2025 · Wen Y ·</w:t>
      </w:r>
      <w:r>
        <w:t xml:space="preserve"> </w:t>
      </w:r>
      <w:r>
        <w:rPr>
          <w:iCs/>
          <w:i/>
        </w:rPr>
        <w:t xml:space="preserve">Diabetes Obes Metab</w:t>
      </w:r>
      <w:r>
        <w:t xml:space="preserve"> </w:t>
      </w:r>
      <w:r>
        <w:t xml:space="preserve">· Decreases in circulating ANGPTL3/8 concentrations following retatrutide treatment parallel reductions in serum lipids. PMID 40726454</w:t>
      </w:r>
    </w:p>
    <w:p>
      <w:pPr>
        <w:numPr>
          <w:ilvl w:val="0"/>
          <w:numId w:val="1381"/>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81"/>
        </w:numPr>
        <w:pStyle w:val="Compact"/>
      </w:pPr>
      <w:r>
        <w:t xml:space="preserve">2024 · Sanyal AJ ·</w:t>
      </w:r>
      <w:r>
        <w:t xml:space="preserve"> </w:t>
      </w:r>
      <w:r>
        <w:rPr>
          <w:iCs/>
          <w:i/>
        </w:rPr>
        <w:t xml:space="preserve">Nat Med</w:t>
      </w:r>
      <w:r>
        <w:t xml:space="preserve"> </w:t>
      </w:r>
      <w:r>
        <w:t xml:space="preserve">· Triple hormone receptor agonist retatrutide for metabolic dysfunction-associated steatotic liver disease: a randomized phase 2a trial. PMID 38858523</w:t>
      </w:r>
    </w:p>
    <w:p>
      <w:pPr>
        <w:numPr>
          <w:ilvl w:val="0"/>
          <w:numId w:val="1381"/>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81"/>
        </w:numPr>
        <w:pStyle w:val="Compact"/>
      </w:pPr>
      <w:r>
        <w:t xml:space="preserve">2023 · Jastreboff AM ·</w:t>
      </w:r>
      <w:r>
        <w:t xml:space="preserve"> </w:t>
      </w:r>
      <w:r>
        <w:rPr>
          <w:iCs/>
          <w:i/>
        </w:rPr>
        <w:t xml:space="preserve">N Engl J Med</w:t>
      </w:r>
      <w:r>
        <w:t xml:space="preserve"> </w:t>
      </w:r>
      <w:r>
        <w:t xml:space="preserve">· Triple-Hormone-Receptor Agonist Retatrutide for Obesity - A Phase 2 Trial. PMID 37366315</w:t>
      </w:r>
    </w:p>
    <w:bookmarkEnd w:id="1121"/>
    <w:bookmarkStart w:id="1122" w:name="survodutida-10"/>
    <w:p>
      <w:pPr>
        <w:pStyle w:val="Heading2"/>
      </w:pPr>
      <w:r>
        <w:t xml:space="preserve">Survodutida (10)</w:t>
      </w:r>
    </w:p>
    <w:p>
      <w:pPr>
        <w:numPr>
          <w:ilvl w:val="0"/>
          <w:numId w:val="1382"/>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82"/>
        </w:numPr>
        <w:pStyle w:val="Compact"/>
      </w:pPr>
      <w:r>
        <w:t xml:space="preserve">2026 · le Roux CW ·</w:t>
      </w:r>
      <w:r>
        <w:t xml:space="preserve"> </w:t>
      </w:r>
      <w:r>
        <w:rPr>
          <w:iCs/>
          <w:i/>
        </w:rPr>
        <w:t xml:space="preserve">N Engl J Med</w:t>
      </w:r>
      <w:r>
        <w:t xml:space="preserve"> </w:t>
      </w:r>
      <w:r>
        <w:t xml:space="preserve">· Survodutide Once Weekly for the Treatment of Adults with Obesity. PMID 42253238</w:t>
      </w:r>
    </w:p>
    <w:p>
      <w:pPr>
        <w:numPr>
          <w:ilvl w:val="0"/>
          <w:numId w:val="1382"/>
        </w:numPr>
        <w:pStyle w:val="Compact"/>
      </w:pPr>
      <w:r>
        <w:t xml:space="preserve">2026 · Kaplan LM ·</w:t>
      </w:r>
      <w:r>
        <w:t xml:space="preserve"> </w:t>
      </w:r>
      <w:r>
        <w:rPr>
          <w:iCs/>
          <w:i/>
        </w:rPr>
        <w:t xml:space="preserve">Nat Med</w:t>
      </w:r>
      <w:r>
        <w:t xml:space="preserve"> </w:t>
      </w:r>
      <w:r>
        <w:t xml:space="preserve">· Survodutide in adults with obesity and metabolic dysfunction-associated steatotic liver disease: SYNCHRONIZE-MASLD, a randomized, double-blind, placebo-controlled phase 3 trial. PMID 42252333</w:t>
      </w:r>
    </w:p>
    <w:p>
      <w:pPr>
        <w:numPr>
          <w:ilvl w:val="0"/>
          <w:numId w:val="1382"/>
        </w:numPr>
        <w:pStyle w:val="Compact"/>
      </w:pPr>
      <w:r>
        <w:t xml:space="preserve">2026 · Wharton S ·</w:t>
      </w:r>
      <w:r>
        <w:t xml:space="preserve"> </w:t>
      </w:r>
      <w:r>
        <w:rPr>
          <w:iCs/>
          <w:i/>
        </w:rPr>
        <w:t xml:space="preserve">Diabetes Obes Metab</w:t>
      </w:r>
      <w:r>
        <w:t xml:space="preserve"> </w:t>
      </w:r>
      <w:r>
        <w:t xml:space="preserve">· Baseline characteristics in the SYNCHRONIZE™-2 randomized phase 3 trial of survodutide, a glucagon receptor/GLP-1 receptor dual agonist, for obesity in people with type 2 diabetes. PMID 41216778</w:t>
      </w:r>
    </w:p>
    <w:p>
      <w:pPr>
        <w:numPr>
          <w:ilvl w:val="0"/>
          <w:numId w:val="1382"/>
        </w:numPr>
        <w:pStyle w:val="Compact"/>
      </w:pPr>
      <w:r>
        <w:t xml:space="preserve">2026 · le Roux CW ·</w:t>
      </w:r>
      <w:r>
        <w:t xml:space="preserve"> </w:t>
      </w:r>
      <w:r>
        <w:rPr>
          <w:iCs/>
          <w:i/>
        </w:rPr>
        <w:t xml:space="preserve">Diabetes Obes Metab</w:t>
      </w:r>
      <w:r>
        <w:t xml:space="preserve"> </w:t>
      </w:r>
      <w:r>
        <w:t xml:space="preserve">· Survodutide for treatment of obesity: Baseline characteristics of participants in a randomized, double-blind, placebo-controlled, phase 3 trial (SYNCHRONIZE™-1). PMID 41187967</w:t>
      </w:r>
    </w:p>
    <w:p>
      <w:pPr>
        <w:numPr>
          <w:ilvl w:val="0"/>
          <w:numId w:val="1382"/>
        </w:numPr>
        <w:pStyle w:val="Compact"/>
      </w:pPr>
      <w:r>
        <w:t xml:space="preserve">2025 · le Roux CW ·</w:t>
      </w:r>
      <w:r>
        <w:t xml:space="preserve"> </w:t>
      </w:r>
      <w:r>
        <w:rPr>
          <w:iCs/>
          <w:i/>
        </w:rPr>
        <w:t xml:space="preserve">Diabetes Obes Metab</w:t>
      </w:r>
      <w:r>
        <w:t xml:space="preserve"> </w:t>
      </w:r>
      <w:r>
        <w:t xml:space="preserve">· Subgroup analysis by sex and baseline BMI in people with a BMI ≥27 kg/m(2) in the phase 2 trial of survodutide, a glucagon/GLP-1 receptor dual agonist. PMID 39821928</w:t>
      </w:r>
    </w:p>
    <w:p>
      <w:pPr>
        <w:numPr>
          <w:ilvl w:val="0"/>
          <w:numId w:val="1382"/>
        </w:numPr>
        <w:pStyle w:val="Compact"/>
      </w:pPr>
      <w:r>
        <w:t xml:space="preserve">2024 · Lawitz EJ ·</w:t>
      </w:r>
      <w:r>
        <w:t xml:space="preserve"> </w:t>
      </w:r>
      <w:r>
        <w:rPr>
          <w:iCs/>
          <w:i/>
        </w:rPr>
        <w:t xml:space="preserve">J Hepatol</w:t>
      </w:r>
      <w:r>
        <w:t xml:space="preserve"> </w:t>
      </w:r>
      <w:r>
        <w:t xml:space="preserve">· Efficacy, tolerability and pharmacokinetics of survodutide, a glucagon/glucagon-like peptide-1 receptor dual agonist, in cirrhosis. PMID 38857788</w:t>
      </w:r>
    </w:p>
    <w:p>
      <w:pPr>
        <w:numPr>
          <w:ilvl w:val="0"/>
          <w:numId w:val="1382"/>
        </w:numPr>
        <w:pStyle w:val="Compact"/>
      </w:pPr>
      <w:r>
        <w:t xml:space="preserve">2024 · Sanyal AJ ·</w:t>
      </w:r>
      <w:r>
        <w:t xml:space="preserve"> </w:t>
      </w:r>
      <w:r>
        <w:rPr>
          <w:iCs/>
          <w:i/>
        </w:rPr>
        <w:t xml:space="preserve">N Engl J Med</w:t>
      </w:r>
      <w:r>
        <w:t xml:space="preserve"> </w:t>
      </w:r>
      <w:r>
        <w:t xml:space="preserve">· A Phase 2 Randomized Trial of Survodutide in MASH and Fibrosis. PMID 38847460</w:t>
      </w:r>
    </w:p>
    <w:p>
      <w:pPr>
        <w:numPr>
          <w:ilvl w:val="0"/>
          <w:numId w:val="1382"/>
        </w:numPr>
        <w:pStyle w:val="Compact"/>
      </w:pPr>
      <w:r>
        <w:t xml:space="preserve">2024 · le Roux CW ·</w:t>
      </w:r>
      <w:r>
        <w:t xml:space="preserve"> </w:t>
      </w:r>
      <w:r>
        <w:rPr>
          <w:iCs/>
          <w:i/>
        </w:rPr>
        <w:t xml:space="preserve">Lancet Diabetes Endocrinol</w:t>
      </w:r>
      <w:r>
        <w:t xml:space="preserve"> </w:t>
      </w:r>
      <w:r>
        <w:t xml:space="preserve">· Glucagon and GLP-1 receptor dual agonist survodutide for obesity: a randomised, double-blind, placebo-controlled, dose-finding phase 2 trial. PMID 38330987</w:t>
      </w:r>
    </w:p>
    <w:p>
      <w:pPr>
        <w:numPr>
          <w:ilvl w:val="0"/>
          <w:numId w:val="1382"/>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bookmarkEnd w:id="1122"/>
    <w:bookmarkStart w:id="1123" w:name="mazdutida-9"/>
    <w:p>
      <w:pPr>
        <w:pStyle w:val="Heading2"/>
      </w:pPr>
      <w:r>
        <w:t xml:space="preserve">Mazdutida (9)</w:t>
      </w:r>
    </w:p>
    <w:p>
      <w:pPr>
        <w:numPr>
          <w:ilvl w:val="0"/>
          <w:numId w:val="1383"/>
        </w:numPr>
        <w:pStyle w:val="Compact"/>
      </w:pPr>
      <w:r>
        <w:t xml:space="preserve">2026 · Hsia SH ·</w:t>
      </w:r>
      <w:r>
        <w:t xml:space="preserve"> </w:t>
      </w:r>
      <w:r>
        <w:rPr>
          <w:iCs/>
          <w:i/>
        </w:rPr>
        <w:t xml:space="preserve">Lancet Diabetes Endocrinol</w:t>
      </w:r>
      <w:r>
        <w:t xml:space="preserve"> </w:t>
      </w:r>
      <w:r>
        <w:t xml:space="preserve">· Efficacy and safety of mazdutide in adults with obesity or overweight: a US-based, multicentre, phase 2, randomised, placebo-controlled clinical trial. PMID 42628555</w:t>
      </w:r>
    </w:p>
    <w:p>
      <w:pPr>
        <w:numPr>
          <w:ilvl w:val="0"/>
          <w:numId w:val="1383"/>
        </w:numPr>
        <w:pStyle w:val="Compact"/>
      </w:pPr>
      <w:r>
        <w:t xml:space="preserve">2026 · Gao L ·</w:t>
      </w:r>
      <w:r>
        <w:t xml:space="preserve"> </w:t>
      </w:r>
      <w:r>
        <w:rPr>
          <w:iCs/>
          <w:i/>
        </w:rPr>
        <w:t xml:space="preserve">JAMA</w:t>
      </w:r>
      <w:r>
        <w:t xml:space="preserve"> </w:t>
      </w:r>
      <w:r>
        <w:t xml:space="preserve">· Treatment With 9-mg Mazdutide for Weight Reduction in Chinese Adults With Obesity: The GLORY-2 Randomized Clinical Trial. PMID 42251595</w:t>
      </w:r>
    </w:p>
    <w:p>
      <w:pPr>
        <w:numPr>
          <w:ilvl w:val="0"/>
          <w:numId w:val="1383"/>
        </w:numPr>
        <w:pStyle w:val="Compact"/>
      </w:pPr>
      <w:r>
        <w:t xml:space="preserve">2026 · Ji L ·</w:t>
      </w:r>
      <w:r>
        <w:t xml:space="preserve"> </w:t>
      </w:r>
      <w:r>
        <w:rPr>
          <w:iCs/>
          <w:i/>
        </w:rPr>
        <w:t xml:space="preserve">Med</w:t>
      </w:r>
      <w:r>
        <w:t xml:space="preserve"> </w:t>
      </w:r>
      <w:r>
        <w:t xml:space="preserve">· Mazdutide 9 mg in Chinese adults with a body mass index ≥30 kg/m(2) but without diabetes: A phase 2 randomized controlled trial. PMID 41875890</w:t>
      </w:r>
    </w:p>
    <w:p>
      <w:pPr>
        <w:numPr>
          <w:ilvl w:val="0"/>
          <w:numId w:val="1383"/>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83"/>
        </w:numPr>
        <w:pStyle w:val="Compact"/>
      </w:pPr>
      <w:r>
        <w:t xml:space="preserve">2026 · Zhu D ·</w:t>
      </w:r>
      <w:r>
        <w:t xml:space="preserve"> </w:t>
      </w:r>
      <w:r>
        <w:rPr>
          <w:iCs/>
          <w:i/>
        </w:rPr>
        <w:t xml:space="preserve">Nature</w:t>
      </w:r>
      <w:r>
        <w:t xml:space="preserve"> </w:t>
      </w:r>
      <w:r>
        <w:t xml:space="preserve">· Mazdutide versus placebo in Chinese adults with type 2 diabetes. PMID 41407859</w:t>
      </w:r>
    </w:p>
    <w:p>
      <w:pPr>
        <w:numPr>
          <w:ilvl w:val="0"/>
          <w:numId w:val="1383"/>
        </w:numPr>
        <w:pStyle w:val="Compact"/>
      </w:pPr>
      <w:r>
        <w:t xml:space="preserve">2025 · Bhattachar SN ·</w:t>
      </w:r>
      <w:r>
        <w:t xml:space="preserve"> </w:t>
      </w:r>
      <w:r>
        <w:rPr>
          <w:iCs/>
          <w:i/>
        </w:rPr>
        <w:t xml:space="preserve">Diabetes Obes Metab</w:t>
      </w:r>
      <w:r>
        <w:t xml:space="preserve"> </w:t>
      </w:r>
      <w:r>
        <w:t xml:space="preserve">· Mazdutide reduces body weight in adults with overweight or obesity: A high-dose Phase 1 trial. PMID 40832785</w:t>
      </w:r>
    </w:p>
    <w:p>
      <w:pPr>
        <w:numPr>
          <w:ilvl w:val="0"/>
          <w:numId w:val="1383"/>
        </w:numPr>
        <w:pStyle w:val="Compact"/>
      </w:pPr>
      <w:r>
        <w:t xml:space="preserve">2025 · Ji L ·</w:t>
      </w:r>
      <w:r>
        <w:t xml:space="preserve"> </w:t>
      </w:r>
      <w:r>
        <w:rPr>
          <w:iCs/>
          <w:i/>
        </w:rPr>
        <w:t xml:space="preserve">N Engl J Med</w:t>
      </w:r>
      <w:r>
        <w:t xml:space="preserve"> </w:t>
      </w:r>
      <w:r>
        <w:t xml:space="preserve">· Once-Weekly Mazdutide in Chinese Adults with Obesity or Overweight. PMID 40421736</w:t>
      </w:r>
    </w:p>
    <w:p>
      <w:pPr>
        <w:numPr>
          <w:ilvl w:val="0"/>
          <w:numId w:val="1383"/>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83"/>
        </w:numPr>
        <w:pStyle w:val="Compact"/>
      </w:pPr>
      <w:r>
        <w:t xml:space="preserve">2023 · Ji L ·</w:t>
      </w:r>
      <w:r>
        <w:t xml:space="preserve"> </w:t>
      </w:r>
      <w:r>
        <w:rPr>
          <w:iCs/>
          <w:i/>
        </w:rPr>
        <w:t xml:space="preserve">Nat Commun</w:t>
      </w:r>
      <w:r>
        <w:t xml:space="preserve"> </w:t>
      </w:r>
      <w:r>
        <w:t xml:space="preserve">· A phase 2 randomised controlled trial of mazdutide in Chinese overweight adults or adults with obesity. PMID 38092790</w:t>
      </w:r>
    </w:p>
    <w:bookmarkEnd w:id="1123"/>
    <w:bookmarkStart w:id="1124" w:name="cagrilintida-y-cagrisema-15"/>
    <w:p>
      <w:pPr>
        <w:pStyle w:val="Heading2"/>
      </w:pPr>
      <w:r>
        <w:t xml:space="preserve">Cagrilintida y CagriSema (15)</w:t>
      </w:r>
    </w:p>
    <w:p>
      <w:pPr>
        <w:numPr>
          <w:ilvl w:val="0"/>
          <w:numId w:val="1384"/>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84"/>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84"/>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84"/>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84"/>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84"/>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84"/>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84"/>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84"/>
        </w:numPr>
        <w:pStyle w:val="Compact"/>
      </w:pPr>
      <w:r>
        <w:t xml:space="preserve">2025 · Briere DA ·</w:t>
      </w:r>
      <w:r>
        <w:t xml:space="preserve"> </w:t>
      </w:r>
      <w:r>
        <w:rPr>
          <w:iCs/>
          <w:i/>
        </w:rPr>
        <w:t xml:space="preserve">Mol Metab</w:t>
      </w:r>
      <w:r>
        <w:t xml:space="preserve"> </w:t>
      </w:r>
      <w:r>
        <w:t xml:space="preserve">· Eloralintide (LY3841136), a novel amylin receptor agonist for the treatment of obesity: From discovery to clinical proof of concept. PMID 41109426</w:t>
      </w:r>
    </w:p>
    <w:p>
      <w:pPr>
        <w:numPr>
          <w:ilvl w:val="0"/>
          <w:numId w:val="1384"/>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84"/>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84"/>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84"/>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84"/>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84"/>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bookmarkEnd w:id="1124"/>
    <w:bookmarkStart w:id="1125" w:name="amicretina-zenagamtida-4"/>
    <w:p>
      <w:pPr>
        <w:pStyle w:val="Heading2"/>
      </w:pPr>
      <w:r>
        <w:t xml:space="preserve">Amicretina (zenagamtida) (4)</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once-weekly subcutaneous zenagamtide, a novel unimolecular GLP-1 and amylin receptor agonist, in type 2 diabetes: a multicentre, randomised, parallel, double-blind, placebo-controlled, dose-finding, phase 2 trial. PMID 42532080</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once-daily oral zenagamtide, a novel unimolecular GLP-1 and amylin receptor agonist, in adults with type 2 diabetes: a multicentre, randomised, parallel, double-blind, placebo-controlled, dose-finding, phase 2 trial. PMID 42532079</w:t>
      </w:r>
    </w:p>
    <w:p>
      <w:pPr>
        <w:numPr>
          <w:ilvl w:val="0"/>
          <w:numId w:val="1385"/>
        </w:numPr>
        <w:pStyle w:val="Compact"/>
      </w:pPr>
      <w:r>
        <w:t xml:space="preserve">2025 · Dahl K ·</w:t>
      </w:r>
      <w:r>
        <w:t xml:space="preserve"> </w:t>
      </w:r>
      <w:r>
        <w:rPr>
          <w:iCs/>
          <w:i/>
        </w:rPr>
        <w:t xml:space="preserve">Lancet</w:t>
      </w:r>
      <w:r>
        <w:t xml:space="preserve"> </w:t>
      </w:r>
      <w:r>
        <w:t xml:space="preserve">· Amycretin, a novel, unimolecular GLP-1 and amylin receptor agonist administered subcutaneously: results from a phase 1b/2a randomised controlled study. PMID 40550231</w:t>
      </w:r>
    </w:p>
    <w:p>
      <w:pPr>
        <w:numPr>
          <w:ilvl w:val="0"/>
          <w:numId w:val="1385"/>
        </w:numPr>
        <w:pStyle w:val="Compact"/>
      </w:pPr>
      <w:r>
        <w:t xml:space="preserve">2025 · Gasiorek A ·</w:t>
      </w:r>
      <w:r>
        <w:t xml:space="preserve"> </w:t>
      </w:r>
      <w:r>
        <w:rPr>
          <w:iCs/>
          <w:i/>
        </w:rPr>
        <w:t xml:space="preserve">Lancet</w:t>
      </w:r>
      <w:r>
        <w:t xml:space="preserve"> </w:t>
      </w:r>
      <w:r>
        <w:t xml:space="preserve">· Safety, tolerability, pharmacokinetics, and pharmacodynamics of the first-in-class GLP-1 and amylin receptor agonist, amycretin: a first-in-human, phase 1, double-blind, randomised, placebo-controlled trial. PMID 40550229</w:t>
      </w:r>
    </w:p>
    <w:bookmarkEnd w:id="1125"/>
    <w:bookmarkStart w:id="1126" w:name="maridebart-cafraglutida-maritide-2"/>
    <w:p>
      <w:pPr>
        <w:pStyle w:val="Heading2"/>
      </w:pPr>
      <w:r>
        <w:t xml:space="preserve">Maridebart cafraglutida (MariTide) (2)</w:t>
      </w:r>
    </w:p>
    <w:p>
      <w:pPr>
        <w:numPr>
          <w:ilvl w:val="0"/>
          <w:numId w:val="1386"/>
        </w:numPr>
        <w:pStyle w:val="Compact"/>
      </w:pPr>
      <w:r>
        <w:t xml:space="preserve">2025 · Jastreboff AM ·</w:t>
      </w:r>
      <w:r>
        <w:t xml:space="preserve"> </w:t>
      </w:r>
      <w:r>
        <w:rPr>
          <w:iCs/>
          <w:i/>
        </w:rPr>
        <w:t xml:space="preserve">N Engl J Med</w:t>
      </w:r>
      <w:r>
        <w:t xml:space="preserve"> </w:t>
      </w:r>
      <w:r>
        <w:t xml:space="preserve">· Once-Monthly Maridebart Cafraglutide for the Treatment of Obesity - A Phase 2 Trial. PMID 40549887</w:t>
      </w:r>
    </w:p>
    <w:p>
      <w:pPr>
        <w:numPr>
          <w:ilvl w:val="0"/>
          <w:numId w:val="1386"/>
        </w:numPr>
        <w:pStyle w:val="Compact"/>
      </w:pPr>
      <w:r>
        <w:t xml:space="preserve">2024 · Véniant MM ·</w:t>
      </w:r>
      <w:r>
        <w:t xml:space="preserve"> </w:t>
      </w:r>
      <w:r>
        <w:rPr>
          <w:iCs/>
          <w:i/>
        </w:rPr>
        <w:t xml:space="preserve">Nat Metab</w:t>
      </w:r>
      <w:r>
        <w:t xml:space="preserve"> </w:t>
      </w:r>
      <w:r>
        <w:t xml:space="preserve">· A GIPR antagonist conjugated to GLP-1 analogues promotes weight loss with improved metabolic parameters in preclinical and phase 1 settings. PMID 38316982</w:t>
      </w:r>
    </w:p>
    <w:bookmarkEnd w:id="1126"/>
    <w:bookmarkStart w:id="1127" w:name="pramlintida-76"/>
    <w:p>
      <w:pPr>
        <w:pStyle w:val="Heading2"/>
      </w:pPr>
      <w:r>
        <w:t xml:space="preserve">Pramlintida (76)</w:t>
      </w:r>
    </w:p>
    <w:p>
      <w:pPr>
        <w:numPr>
          <w:ilvl w:val="0"/>
          <w:numId w:val="1387"/>
        </w:numPr>
        <w:pStyle w:val="Compact"/>
      </w:pPr>
      <w:r>
        <w:t xml:space="preserve">2025 · Odabassian M ·</w:t>
      </w:r>
      <w:r>
        <w:t xml:space="preserve"> </w:t>
      </w:r>
      <w:r>
        <w:rPr>
          <w:iCs/>
          <w:i/>
        </w:rPr>
        <w:t xml:space="preserve">J Diabetes Sci Technol</w:t>
      </w:r>
      <w:r>
        <w:t xml:space="preserve"> </w:t>
      </w:r>
      <w:r>
        <w:t xml:space="preserve">· A Pilot Outpatient Assessment of a Fully Closed-Loop Insulin and Pramlintide System. PMID 41174925</w:t>
      </w:r>
    </w:p>
    <w:p>
      <w:pPr>
        <w:numPr>
          <w:ilvl w:val="0"/>
          <w:numId w:val="1387"/>
        </w:numPr>
        <w:pStyle w:val="Compact"/>
      </w:pPr>
      <w:r>
        <w:t xml:space="preserve">2024 · Andersen G ·</w:t>
      </w:r>
      <w:r>
        <w:t xml:space="preserve"> </w:t>
      </w:r>
      <w:r>
        <w:rPr>
          <w:iCs/>
          <w:i/>
        </w:rPr>
        <w:t xml:space="preserve">Diabetes Obes Metab</w:t>
      </w:r>
      <w:r>
        <w:t xml:space="preserve"> </w:t>
      </w:r>
      <w:r>
        <w:t xml:space="preserve">· ADO09, a co-formulation of pramlintide and insulin A21G, lowers body weight versus insulin lispro in type 1 diabetes. PMID 39109464</w:t>
      </w:r>
    </w:p>
    <w:p>
      <w:pPr>
        <w:numPr>
          <w:ilvl w:val="0"/>
          <w:numId w:val="1387"/>
        </w:numPr>
        <w:pStyle w:val="Compact"/>
      </w:pPr>
      <w:r>
        <w:t xml:space="preserve">2024 · Cohen E ·</w:t>
      </w:r>
      <w:r>
        <w:t xml:space="preserve"> </w:t>
      </w:r>
      <w:r>
        <w:rPr>
          <w:iCs/>
          <w:i/>
        </w:rPr>
        <w:t xml:space="preserve">Lancet Digit Health</w:t>
      </w:r>
      <w:r>
        <w:t xml:space="preserve"> </w:t>
      </w:r>
      <w:r>
        <w:t xml:space="preserve">· Simple meal announcements and pramlintide delivery versus carbohydrate counting in type 1 diabetes with automated fast-acting insulin aspart delivery: a randomised crossover trial in Montreal, Canada. PMID 38906614</w:t>
      </w:r>
    </w:p>
    <w:p>
      <w:pPr>
        <w:numPr>
          <w:ilvl w:val="0"/>
          <w:numId w:val="1387"/>
        </w:numPr>
        <w:pStyle w:val="Compact"/>
      </w:pPr>
      <w:r>
        <w:t xml:space="preserve">2023 · Andersen G ·</w:t>
      </w:r>
      <w:r>
        <w:t xml:space="preserve"> </w:t>
      </w:r>
      <w:r>
        <w:rPr>
          <w:iCs/>
          <w:i/>
        </w:rPr>
        <w:t xml:space="preserve">Diabetes Obes Metab</w:t>
      </w:r>
      <w:r>
        <w:t xml:space="preserve"> </w:t>
      </w:r>
      <w:r>
        <w:t xml:space="preserve">· A co-formulation of pramlintide and insulin A21G (ADO09) improves postprandial glucose and short-term control of mean glucose, time in range, and body weight versus insulin aspart in adults with type 1 diabetes. PMID 36633505</w:t>
      </w:r>
    </w:p>
    <w:p>
      <w:pPr>
        <w:numPr>
          <w:ilvl w:val="0"/>
          <w:numId w:val="1387"/>
        </w:numPr>
        <w:pStyle w:val="Compact"/>
      </w:pPr>
      <w:r>
        <w:t xml:space="preserve">2021 · Tsoukas MA ·</w:t>
      </w:r>
      <w:r>
        <w:t xml:space="preserve"> </w:t>
      </w:r>
      <w:r>
        <w:rPr>
          <w:iCs/>
          <w:i/>
        </w:rPr>
        <w:t xml:space="preserve">Lancet Digit Health</w:t>
      </w:r>
      <w:r>
        <w:t xml:space="preserve"> </w:t>
      </w:r>
      <w:r>
        <w:t xml:space="preserve">· A fully artificial pancreas versus a hybrid artificial pancreas for type 1 diabetes: a single-centre, open-label, randomised controlled, crossover, non-inferiority trial. PMID 34580055</w:t>
      </w:r>
    </w:p>
    <w:p>
      <w:pPr>
        <w:numPr>
          <w:ilvl w:val="0"/>
          <w:numId w:val="1387"/>
        </w:numPr>
        <w:pStyle w:val="Compact"/>
      </w:pPr>
      <w:r>
        <w:t xml:space="preserve">2021 · Ghanizada H ·</w:t>
      </w:r>
      <w:r>
        <w:t xml:space="preserve"> </w:t>
      </w:r>
      <w:r>
        <w:rPr>
          <w:iCs/>
          <w:i/>
        </w:rPr>
        <w:t xml:space="preserve">Ann Neurol</w:t>
      </w:r>
      <w:r>
        <w:t xml:space="preserve"> </w:t>
      </w:r>
      <w:r>
        <w:t xml:space="preserve">· Amylin Analog Pramlintide Induces Migraine-like Attacks in Patients. PMID 33772845</w:t>
      </w:r>
    </w:p>
    <w:p>
      <w:pPr>
        <w:numPr>
          <w:ilvl w:val="0"/>
          <w:numId w:val="1387"/>
        </w:numPr>
        <w:pStyle w:val="Compact"/>
      </w:pPr>
      <w:r>
        <w:t xml:space="preserve">2020 · Haidar A ·</w:t>
      </w:r>
      <w:r>
        <w:t xml:space="preserve"> </w:t>
      </w:r>
      <w:r>
        <w:rPr>
          <w:iCs/>
          <w:i/>
        </w:rPr>
        <w:t xml:space="preserve">Diabetes Care</w:t>
      </w:r>
      <w:r>
        <w:t xml:space="preserve"> </w:t>
      </w:r>
      <w:r>
        <w:t xml:space="preserve">· A Novel Dual-Hormone Insulin-and-Pramlintide Artificial Pancreas for Type 1 Diabetes: A Randomized Controlled Crossover Trial. PMID 31974099</w:t>
      </w:r>
    </w:p>
    <w:p>
      <w:pPr>
        <w:numPr>
          <w:ilvl w:val="0"/>
          <w:numId w:val="1387"/>
        </w:numPr>
        <w:pStyle w:val="Compact"/>
      </w:pPr>
      <w:r>
        <w:t xml:space="preserve">2018 · Riddle MC ·</w:t>
      </w:r>
      <w:r>
        <w:t xml:space="preserve"> </w:t>
      </w:r>
      <w:r>
        <w:rPr>
          <w:iCs/>
          <w:i/>
        </w:rPr>
        <w:t xml:space="preserve">Diabetes Care</w:t>
      </w:r>
      <w:r>
        <w:t xml:space="preserve"> </w:t>
      </w:r>
      <w:r>
        <w:t xml:space="preserve">· Control of Postprandial Hyperglycemia in Type 1 Diabetes by 24-Hour Fixed-Dose Coadministration of Pramlintide and Regular Human Insulin: A Randomized, Two-Way Crossover Study. PMID 30213882</w:t>
      </w:r>
    </w:p>
    <w:p>
      <w:pPr>
        <w:numPr>
          <w:ilvl w:val="0"/>
          <w:numId w:val="138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8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87"/>
        </w:numPr>
        <w:pStyle w:val="Compact"/>
      </w:pPr>
      <w:r>
        <w:t xml:space="preserve">2016 · Herrmann K ·</w:t>
      </w:r>
      <w:r>
        <w:t xml:space="preserve"> </w:t>
      </w:r>
      <w:r>
        <w:rPr>
          <w:iCs/>
          <w:i/>
        </w:rPr>
        <w:t xml:space="preserve">Adv Ther</w:t>
      </w:r>
      <w:r>
        <w:t xml:space="preserve"> </w:t>
      </w:r>
      <w:r>
        <w:t xml:space="preserve">· Impact of Disease Duration on the Effects of Pramlintide in Type 1 Diabetes: A Post Hoc Analysis of Three Clinical Trials. PMID 27071768</w:t>
      </w:r>
    </w:p>
    <w:p>
      <w:pPr>
        <w:numPr>
          <w:ilvl w:val="0"/>
          <w:numId w:val="1387"/>
        </w:numPr>
        <w:pStyle w:val="Compact"/>
      </w:pPr>
      <w:r>
        <w:t xml:space="preserve">2016 · Hinshaw L ·</w:t>
      </w:r>
      <w:r>
        <w:t xml:space="preserve"> </w:t>
      </w:r>
      <w:r>
        <w:rPr>
          <w:iCs/>
          <w:i/>
        </w:rPr>
        <w:t xml:space="preserve">J Clin Endocrinol Metab</w:t>
      </w:r>
      <w:r>
        <w:t xml:space="preserve"> </w:t>
      </w:r>
      <w:r>
        <w:t xml:space="preserve">· Effect of Pramlintide on Postprandial Glucose Fluxes in Type 1 Diabetes. PMID 26930181</w:t>
      </w:r>
    </w:p>
    <w:p>
      <w:pPr>
        <w:numPr>
          <w:ilvl w:val="0"/>
          <w:numId w:val="1387"/>
        </w:numPr>
        <w:pStyle w:val="Compact"/>
      </w:pPr>
      <w:r>
        <w:t xml:space="preserve">2016 · Chan JL ·</w:t>
      </w:r>
      <w:r>
        <w:t xml:space="preserve"> </w:t>
      </w:r>
      <w:r>
        <w:rPr>
          <w:iCs/>
          <w:i/>
        </w:rPr>
        <w:t xml:space="preserve">Clin Endocrinol (Oxf)</w:t>
      </w:r>
      <w:r>
        <w:t xml:space="preserve"> </w:t>
      </w:r>
      <w:r>
        <w:t xml:space="preserve">· Immunogenicity associated with metreleptin treatment in patients with obesity or lipodystrophy. PMID 26589105</w:t>
      </w:r>
    </w:p>
    <w:p>
      <w:pPr>
        <w:numPr>
          <w:ilvl w:val="0"/>
          <w:numId w:val="1387"/>
        </w:numPr>
        <w:pStyle w:val="Compact"/>
      </w:pPr>
      <w:r>
        <w:t xml:space="preserve">2015 · Riddle MC ·</w:t>
      </w:r>
      <w:r>
        <w:t xml:space="preserve"> </w:t>
      </w:r>
      <w:r>
        <w:rPr>
          <w:iCs/>
          <w:i/>
        </w:rPr>
        <w:t xml:space="preserve">Diabetes Obes Metab</w:t>
      </w:r>
      <w:r>
        <w:t xml:space="preserve"> </w:t>
      </w:r>
      <w:r>
        <w:t xml:space="preserve">· Fixed ratio dosing of pramlintide with regular insulin before a standard meal in patients with type 1 diabetes. PMID 26040429</w:t>
      </w:r>
    </w:p>
    <w:p>
      <w:pPr>
        <w:numPr>
          <w:ilvl w:val="0"/>
          <w:numId w:val="1387"/>
        </w:numPr>
        <w:pStyle w:val="Compact"/>
      </w:pPr>
      <w:r>
        <w:t xml:space="preserve">2014 · Herrmann K ·</w:t>
      </w:r>
      <w:r>
        <w:t xml:space="preserve"> </w:t>
      </w:r>
      <w:r>
        <w:rPr>
          <w:iCs/>
          <w:i/>
        </w:rPr>
        <w:t xml:space="preserve">Endocr Pract</w:t>
      </w:r>
      <w:r>
        <w:t xml:space="preserve"> </w:t>
      </w:r>
      <w:r>
        <w:t xml:space="preserve">· Effects of pramlintide in patients with type 2 diabetes mellitus: an analysis using daily insulin dose tertiles. PMID 25100363</w:t>
      </w:r>
    </w:p>
    <w:p>
      <w:pPr>
        <w:numPr>
          <w:ilvl w:val="0"/>
          <w:numId w:val="1387"/>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87"/>
        </w:numPr>
        <w:pStyle w:val="Compact"/>
      </w:pPr>
      <w:r>
        <w:t xml:space="preserve">2013 · Herrmann K ·</w:t>
      </w:r>
      <w:r>
        <w:t xml:space="preserve"> </w:t>
      </w:r>
      <w:r>
        <w:rPr>
          <w:iCs/>
          <w:i/>
        </w:rPr>
        <w:t xml:space="preserve">Postgrad Med</w:t>
      </w:r>
      <w:r>
        <w:t xml:space="preserve"> </w:t>
      </w:r>
      <w:r>
        <w:t xml:space="preserve">· Pramlintide improved measures of glycemic control and body weight in patients with type 1 diabetes mellitus undergoing continuous subcutaneous insulin infusion therapy. PMID 23748514</w:t>
      </w:r>
    </w:p>
    <w:p>
      <w:pPr>
        <w:numPr>
          <w:ilvl w:val="0"/>
          <w:numId w:val="1387"/>
        </w:numPr>
        <w:pStyle w:val="Compact"/>
      </w:pPr>
      <w:r>
        <w:t xml:space="preserve">2013 · Fang J ·</w:t>
      </w:r>
      <w:r>
        <w:t xml:space="preserve"> </w:t>
      </w:r>
      <w:r>
        <w:rPr>
          <w:iCs/>
          <w:i/>
        </w:rPr>
        <w:t xml:space="preserve">AAPS J</w:t>
      </w:r>
      <w:r>
        <w:t xml:space="preserve"> </w:t>
      </w:r>
      <w:r>
        <w:t xml:space="preserve">· Study reanalysis using a mechanism-based pharmacokinetic/pharmacodynamic model of pramlintide in subjects with type 1 diabetes. PMID 23054970</w:t>
      </w:r>
    </w:p>
    <w:p>
      <w:pPr>
        <w:numPr>
          <w:ilvl w:val="0"/>
          <w:numId w:val="1387"/>
        </w:numPr>
        <w:pStyle w:val="Compact"/>
      </w:pPr>
      <w:r>
        <w:t xml:space="preserve">2012 · Weinzimer SA ·</w:t>
      </w:r>
      <w:r>
        <w:t xml:space="preserve"> </w:t>
      </w:r>
      <w:r>
        <w:rPr>
          <w:iCs/>
          <w:i/>
        </w:rPr>
        <w:t xml:space="preserve">Diabetes Care</w:t>
      </w:r>
      <w:r>
        <w:t xml:space="preserve"> </w:t>
      </w:r>
      <w:r>
        <w:t xml:space="preserve">· Effect of pramlintide on prandial glycemic excursions during closed-loop control in adolescents and young adults with type 1 diabetes. PMID 22815298</w:t>
      </w:r>
    </w:p>
    <w:p>
      <w:pPr>
        <w:numPr>
          <w:ilvl w:val="0"/>
          <w:numId w:val="1387"/>
        </w:numPr>
        <w:pStyle w:val="Compact"/>
      </w:pPr>
      <w:r>
        <w:t xml:space="preserve">2010 · Peyrot M ·</w:t>
      </w:r>
      <w:r>
        <w:t xml:space="preserve"> </w:t>
      </w:r>
      <w:r>
        <w:rPr>
          <w:iCs/>
          <w:i/>
        </w:rPr>
        <w:t xml:space="preserve">Curr Med Res Opin</w:t>
      </w:r>
      <w:r>
        <w:t xml:space="preserve"> </w:t>
      </w:r>
      <w:r>
        <w:t xml:space="preserve">· Patient reported outcomes in adults with type 2 diabetes on basal insulin randomized to addition of mealtime pramlintide or rapid-acting insulin analogs. PMID 20199136</w:t>
      </w:r>
    </w:p>
    <w:p>
      <w:pPr>
        <w:numPr>
          <w:ilvl w:val="0"/>
          <w:numId w:val="1387"/>
        </w:numPr>
        <w:pStyle w:val="Compact"/>
      </w:pPr>
      <w:r>
        <w:t xml:space="preserve">2010 · Asmar M ·</w:t>
      </w:r>
      <w:r>
        <w:t xml:space="preserve"> </w:t>
      </w:r>
      <w:r>
        <w:rPr>
          <w:iCs/>
          <w:i/>
        </w:rPr>
        <w:t xml:space="preserve">J Clin Endocrinol Metab</w:t>
      </w:r>
      <w:r>
        <w:t xml:space="preserve"> </w:t>
      </w:r>
      <w:r>
        <w:t xml:space="preserve">· Do the actions of glucagon-like peptide-1 on gastric emptying, appetite, and food intake involve release of amylin in humans?. PMID 20194711</w:t>
      </w:r>
    </w:p>
    <w:p>
      <w:pPr>
        <w:numPr>
          <w:ilvl w:val="0"/>
          <w:numId w:val="1387"/>
        </w:numPr>
        <w:pStyle w:val="Compact"/>
      </w:pPr>
      <w:r>
        <w:t xml:space="preserve">2010 · King AB ·</w:t>
      </w:r>
      <w:r>
        <w:t xml:space="preserve"> </w:t>
      </w:r>
      <w:r>
        <w:rPr>
          <w:iCs/>
          <w:i/>
        </w:rPr>
        <w:t xml:space="preserve">Diabetes Technol Ther</w:t>
      </w:r>
      <w:r>
        <w:t xml:space="preserve"> </w:t>
      </w:r>
      <w:r>
        <w:t xml:space="preserve">· Comparison of the post-meal glucose response to different insulin bolus waveforms in insulin pump- and pre-meal pramlintide-treated type 1 diabetes patients. PMID 20105039</w:t>
      </w:r>
    </w:p>
    <w:p>
      <w:pPr>
        <w:numPr>
          <w:ilvl w:val="0"/>
          <w:numId w:val="1387"/>
        </w:numPr>
        <w:pStyle w:val="Compact"/>
      </w:pPr>
      <w:r>
        <w:t xml:space="preserve">2010 · Aronne LJ ·</w:t>
      </w:r>
      <w:r>
        <w:t xml:space="preserve"> </w:t>
      </w:r>
      <w:r>
        <w:rPr>
          <w:iCs/>
          <w:i/>
        </w:rPr>
        <w:t xml:space="preserve">Obesity (Silver Spring)</w:t>
      </w:r>
      <w:r>
        <w:t xml:space="preserve"> </w:t>
      </w:r>
      <w:r>
        <w:t xml:space="preserve">· Enhanced weight loss following coadministration of pramlintide with sibutramine or phentermine in a multicenter trial. PMID 20094043</w:t>
      </w:r>
    </w:p>
    <w:p>
      <w:pPr>
        <w:numPr>
          <w:ilvl w:val="0"/>
          <w:numId w:val="1387"/>
        </w:numPr>
        <w:pStyle w:val="Compact"/>
      </w:pPr>
      <w:r>
        <w:t xml:space="preserve">2009 · Kishiyama CM ·</w:t>
      </w:r>
      <w:r>
        <w:t xml:space="preserve"> </w:t>
      </w:r>
      <w:r>
        <w:rPr>
          <w:iCs/>
          <w:i/>
        </w:rPr>
        <w:t xml:space="preserve">Pediatrics</w:t>
      </w:r>
      <w:r>
        <w:t xml:space="preserve"> </w:t>
      </w:r>
      <w:r>
        <w:t xml:space="preserve">· A pilot trial of pramlintide home usage in adolescents with type 1 diabetes. PMID 19858155</w:t>
      </w:r>
    </w:p>
    <w:p>
      <w:pPr>
        <w:numPr>
          <w:ilvl w:val="0"/>
          <w:numId w:val="1387"/>
        </w:numPr>
        <w:pStyle w:val="Compact"/>
      </w:pPr>
      <w:r>
        <w:t xml:space="preserve">2009 · Huffman DM ·</w:t>
      </w:r>
      <w:r>
        <w:t xml:space="preserve"> </w:t>
      </w:r>
      <w:r>
        <w:rPr>
          <w:iCs/>
          <w:i/>
        </w:rPr>
        <w:t xml:space="preserve">Endocr Pract</w:t>
      </w:r>
      <w:r>
        <w:t xml:space="preserve"> </w:t>
      </w:r>
      <w:r>
        <w:t xml:space="preserve">· Continuous subcutaneous pramlintide infusion therapy in patients with type 1 diabetes: observations from a pilot study. PMID 19546056</w:t>
      </w:r>
    </w:p>
    <w:p>
      <w:pPr>
        <w:numPr>
          <w:ilvl w:val="0"/>
          <w:numId w:val="1387"/>
        </w:numPr>
        <w:pStyle w:val="Compact"/>
      </w:pPr>
      <w:r>
        <w:t xml:space="preserve">2009 · Ravussin E ·</w:t>
      </w:r>
      <w:r>
        <w:t xml:space="preserve"> </w:t>
      </w:r>
      <w:r>
        <w:rPr>
          <w:iCs/>
          <w:i/>
        </w:rPr>
        <w:t xml:space="preserve">Obesity (Silver Spring)</w:t>
      </w:r>
      <w:r>
        <w:t xml:space="preserve"> </w:t>
      </w:r>
      <w:r>
        <w:t xml:space="preserve">· Enhanced weight loss with pramlintide/metreleptin: an integrated neurohormonal approach to obesity pharmacotherapy. PMID 19521351</w:t>
      </w:r>
    </w:p>
    <w:p>
      <w:pPr>
        <w:numPr>
          <w:ilvl w:val="0"/>
          <w:numId w:val="1387"/>
        </w:numPr>
        <w:pStyle w:val="Compact"/>
      </w:pPr>
      <w:r>
        <w:t xml:space="preserve">2009 · Riddle M ·</w:t>
      </w:r>
      <w:r>
        <w:t xml:space="preserve"> </w:t>
      </w:r>
      <w:r>
        <w:rPr>
          <w:iCs/>
          <w:i/>
        </w:rPr>
        <w:t xml:space="preserve">Diabetes Care</w:t>
      </w:r>
      <w:r>
        <w:t xml:space="preserve"> </w:t>
      </w:r>
      <w:r>
        <w:t xml:space="preserve">· Randomized comparison of pramlintide or mealtime insulin added to basal insulin treatment for patients with type 2 diabetes. PMID 19502544</w:t>
      </w:r>
    </w:p>
    <w:p>
      <w:pPr>
        <w:numPr>
          <w:ilvl w:val="0"/>
          <w:numId w:val="1387"/>
        </w:numPr>
        <w:pStyle w:val="Compact"/>
      </w:pPr>
      <w:r>
        <w:t xml:space="preserve">2009 · Peyrot M ·</w:t>
      </w:r>
      <w:r>
        <w:t xml:space="preserve"> </w:t>
      </w:r>
      <w:r>
        <w:rPr>
          <w:iCs/>
          <w:i/>
        </w:rPr>
        <w:t xml:space="preserve">Diabetes Care</w:t>
      </w:r>
      <w:r>
        <w:t xml:space="preserve"> </w:t>
      </w:r>
      <w:r>
        <w:t xml:space="preserve">· How does treatment satisfaction work?: Modeling determinants of treatment satisfaction and preference. PMID 19470837</w:t>
      </w:r>
    </w:p>
    <w:p>
      <w:pPr>
        <w:numPr>
          <w:ilvl w:val="0"/>
          <w:numId w:val="1387"/>
        </w:numPr>
        <w:pStyle w:val="Compact"/>
      </w:pPr>
      <w:r>
        <w:t xml:space="preserve">2009 · Chase HP ·</w:t>
      </w:r>
      <w:r>
        <w:t xml:space="preserve"> </w:t>
      </w:r>
      <w:r>
        <w:rPr>
          <w:iCs/>
          <w:i/>
        </w:rPr>
        <w:t xml:space="preserve">J Pediatr</w:t>
      </w:r>
      <w:r>
        <w:t xml:space="preserve"> </w:t>
      </w:r>
      <w:r>
        <w:t xml:space="preserve">· Pramlintide lowered glucose excursions and was well-tolerated in adolescents with type 1 diabetes: results from a randomized, single-blind, placebo-controlled, crossover study. PMID 19464026</w:t>
      </w:r>
    </w:p>
    <w:p>
      <w:pPr>
        <w:numPr>
          <w:ilvl w:val="0"/>
          <w:numId w:val="1387"/>
        </w:numPr>
        <w:pStyle w:val="Compact"/>
      </w:pPr>
      <w:r>
        <w:t xml:space="preserve">2009 · King AB ·</w:t>
      </w:r>
      <w:r>
        <w:t xml:space="preserve"> </w:t>
      </w:r>
      <w:r>
        <w:rPr>
          <w:iCs/>
          <w:i/>
        </w:rPr>
        <w:t xml:space="preserve">Endocr Pract</w:t>
      </w:r>
      <w:r>
        <w:t xml:space="preserve"> </w:t>
      </w:r>
      <w:r>
        <w:t xml:space="preserve">· Minimal reduction in insulin dosage with pramlintide therapy when pretreatment near-normal glycemia is established and square-wave meal bolus is used. PMID 19364691</w:t>
      </w:r>
    </w:p>
    <w:p>
      <w:pPr>
        <w:numPr>
          <w:ilvl w:val="0"/>
          <w:numId w:val="1387"/>
        </w:numPr>
        <w:pStyle w:val="Compact"/>
      </w:pPr>
      <w:r>
        <w:t xml:space="preserve">2009 · Heptulla RA ·</w:t>
      </w:r>
      <w:r>
        <w:t xml:space="preserve"> </w:t>
      </w:r>
      <w:r>
        <w:rPr>
          <w:iCs/>
          <w:i/>
        </w:rPr>
        <w:t xml:space="preserve">J Clin Endocrinol Metab</w:t>
      </w:r>
      <w:r>
        <w:t xml:space="preserve"> </w:t>
      </w:r>
      <w:r>
        <w:t xml:space="preserve">· Twenty-four-hour simultaneous subcutaneous Basal-bolus administration of insulin and amylin in adolescents with type 1 diabetes decreases postprandial hyperglycemia. PMID 19190104</w:t>
      </w:r>
    </w:p>
    <w:p>
      <w:pPr>
        <w:numPr>
          <w:ilvl w:val="0"/>
          <w:numId w:val="1387"/>
        </w:numPr>
        <w:pStyle w:val="Compact"/>
      </w:pPr>
      <w:r>
        <w:t xml:space="preserve">2009 · Hassan K ·</w:t>
      </w:r>
      <w:r>
        <w:t xml:space="preserve"> </w:t>
      </w:r>
      <w:r>
        <w:rPr>
          <w:iCs/>
          <w:i/>
        </w:rPr>
        <w:t xml:space="preserve">Pediatr Diabetes</w:t>
      </w:r>
      <w:r>
        <w:t xml:space="preserve"> </w:t>
      </w:r>
      <w:r>
        <w:t xml:space="preserve">· Reducing postprandial hyperglycemia with adjuvant premeal pramlintide and postmeal insulin in children with type 1 diabetes mellitus. PMID 19140902</w:t>
      </w:r>
    </w:p>
    <w:p>
      <w:pPr>
        <w:numPr>
          <w:ilvl w:val="0"/>
          <w:numId w:val="1387"/>
        </w:numPr>
        <w:pStyle w:val="Compact"/>
      </w:pPr>
      <w:r>
        <w:t xml:space="preserve">2008 · Peyrot M ·</w:t>
      </w:r>
      <w:r>
        <w:t xml:space="preserve"> </w:t>
      </w:r>
      <w:r>
        <w:rPr>
          <w:iCs/>
          <w:i/>
        </w:rPr>
        <w:t xml:space="preserve">Diabetes Technol Ther</w:t>
      </w:r>
      <w:r>
        <w:t xml:space="preserve"> </w:t>
      </w:r>
      <w:r>
        <w:t xml:space="preserve">· Diabetes distress and its association with clinical outcomes in patients with type 2 diabetes treated with pramlintide as an adjunct to insulin therapy. PMID 19049375</w:t>
      </w:r>
    </w:p>
    <w:p>
      <w:pPr>
        <w:numPr>
          <w:ilvl w:val="0"/>
          <w:numId w:val="1387"/>
        </w:numPr>
        <w:pStyle w:val="Compact"/>
      </w:pPr>
      <w:r>
        <w:t xml:space="preserve">2008 · Smith SR ·</w:t>
      </w:r>
      <w:r>
        <w:t xml:space="preserve"> </w:t>
      </w:r>
      <w:r>
        <w:rPr>
          <w:iCs/>
          <w:i/>
        </w:rPr>
        <w:t xml:space="preserve">Diabetes Care</w:t>
      </w:r>
      <w:r>
        <w:t xml:space="preserve"> </w:t>
      </w:r>
      <w:r>
        <w:t xml:space="preserve">· Sustained weight loss following 12-month pramlintide treatment as an adjunct to lifestyle intervention in obesity. PMID 18753666</w:t>
      </w:r>
    </w:p>
    <w:p>
      <w:pPr>
        <w:numPr>
          <w:ilvl w:val="0"/>
          <w:numId w:val="1387"/>
        </w:numPr>
        <w:pStyle w:val="Compact"/>
      </w:pPr>
      <w:r>
        <w:t xml:space="preserve">2008 · Wysham C ·</w:t>
      </w:r>
      <w:r>
        <w:t xml:space="preserve"> </w:t>
      </w:r>
      <w:r>
        <w:rPr>
          <w:iCs/>
          <w:i/>
        </w:rPr>
        <w:t xml:space="preserve">Curr Med Res Opin</w:t>
      </w:r>
      <w:r>
        <w:t xml:space="preserve"> </w:t>
      </w:r>
      <w:r>
        <w:t xml:space="preserve">· Effect of pramlintide as an adjunct to basal insulin on markers of cardiovascular risk in patients with type 2 diabetes. PMID 18031595</w:t>
      </w:r>
    </w:p>
    <w:p>
      <w:pPr>
        <w:numPr>
          <w:ilvl w:val="0"/>
          <w:numId w:val="1387"/>
        </w:numPr>
        <w:pStyle w:val="Compact"/>
      </w:pPr>
      <w:r>
        <w:t xml:space="preserve">2008 · Woerle HJ ·</w:t>
      </w:r>
      <w:r>
        <w:t xml:space="preserve"> </w:t>
      </w:r>
      <w:r>
        <w:rPr>
          <w:iCs/>
          <w:i/>
        </w:rPr>
        <w:t xml:space="preserve">Am J Physiol Endocrinol Metab</w:t>
      </w:r>
      <w:r>
        <w:t xml:space="preserve"> </w:t>
      </w:r>
      <w:r>
        <w:t xml:space="preserve">· Importance of changes in gastric emptying for postprandial plasma glucose fluxes in healthy humans. PMID 17971511</w:t>
      </w:r>
    </w:p>
    <w:p>
      <w:pPr>
        <w:numPr>
          <w:ilvl w:val="0"/>
          <w:numId w:val="1387"/>
        </w:numPr>
        <w:pStyle w:val="Compact"/>
      </w:pPr>
      <w:r>
        <w:t xml:space="preserve">2008 · Ceriello A ·</w:t>
      </w:r>
      <w:r>
        <w:t xml:space="preserve"> </w:t>
      </w:r>
      <w:r>
        <w:rPr>
          <w:iCs/>
          <w:i/>
        </w:rPr>
        <w:t xml:space="preserve">Diabetes Metab Res Rev</w:t>
      </w:r>
      <w:r>
        <w:t xml:space="preserve"> </w:t>
      </w:r>
      <w:r>
        <w:t xml:space="preserve">· Pramlintide reduced markers of oxidative stress in the postprandial period in patients with type 2 diabetes. PMID 17694505</w:t>
      </w:r>
    </w:p>
    <w:p>
      <w:pPr>
        <w:numPr>
          <w:ilvl w:val="0"/>
          <w:numId w:val="1387"/>
        </w:numPr>
        <w:pStyle w:val="Compact"/>
      </w:pPr>
      <w:r>
        <w:t xml:space="preserve">2007 · Rodriguez LM ·</w:t>
      </w:r>
      <w:r>
        <w:t xml:space="preserve"> </w:t>
      </w:r>
      <w:r>
        <w:rPr>
          <w:iCs/>
          <w:i/>
        </w:rPr>
        <w:t xml:space="preserve">Pediatr Res</w:t>
      </w:r>
      <w:r>
        <w:t xml:space="preserve"> </w:t>
      </w:r>
      <w:r>
        <w:t xml:space="preserve">· The role of prandial pramlintide in the treatment of adolescents with type 1 diabetes. PMID 17957149</w:t>
      </w:r>
    </w:p>
    <w:p>
      <w:pPr>
        <w:numPr>
          <w:ilvl w:val="0"/>
          <w:numId w:val="1387"/>
        </w:numPr>
        <w:pStyle w:val="Compact"/>
      </w:pPr>
      <w:r>
        <w:t xml:space="preserve">2007 · Riddle M ·</w:t>
      </w:r>
      <w:r>
        <w:t xml:space="preserve"> </w:t>
      </w:r>
      <w:r>
        <w:rPr>
          <w:iCs/>
          <w:i/>
        </w:rPr>
        <w:t xml:space="preserve">Diabetes Care</w:t>
      </w:r>
      <w:r>
        <w:t xml:space="preserve"> </w:t>
      </w:r>
      <w:r>
        <w:t xml:space="preserve">· Pramlintide improved glycemic control and reduced weight in patients with type 2 diabetes using basal insulin. PMID 17698615</w:t>
      </w:r>
    </w:p>
    <w:p>
      <w:pPr>
        <w:numPr>
          <w:ilvl w:val="0"/>
          <w:numId w:val="1387"/>
        </w:numPr>
        <w:pStyle w:val="Compact"/>
      </w:pPr>
      <w:r>
        <w:t xml:space="preserve">2007 · Smith SR ·</w:t>
      </w:r>
      <w:r>
        <w:t xml:space="preserve"> </w:t>
      </w:r>
      <w:r>
        <w:rPr>
          <w:iCs/>
          <w:i/>
        </w:rPr>
        <w:t xml:space="preserve">Am J Physiol Endocrinol Metab</w:t>
      </w:r>
      <w:r>
        <w:t xml:space="preserve"> </w:t>
      </w:r>
      <w:r>
        <w:t xml:space="preserve">· Pramlintide treatment reduces 24-h caloric intake and meal sizes and improves control of eating in obese subjects: a 6-wk translational research study. PMID 17505051</w:t>
      </w:r>
    </w:p>
    <w:p>
      <w:pPr>
        <w:numPr>
          <w:ilvl w:val="0"/>
          <w:numId w:val="1387"/>
        </w:numPr>
        <w:pStyle w:val="Compact"/>
      </w:pPr>
      <w:r>
        <w:t xml:space="preserve">2007 · Aronne L ·</w:t>
      </w:r>
      <w:r>
        <w:t xml:space="preserve"> </w:t>
      </w:r>
      <w:r>
        <w:rPr>
          <w:iCs/>
          <w:i/>
        </w:rPr>
        <w:t xml:space="preserve">J Clin Endocrinol Metab</w:t>
      </w:r>
      <w:r>
        <w:t xml:space="preserve"> </w:t>
      </w:r>
      <w:r>
        <w:t xml:space="preserve">· Progressive reduction in body weight after treatment with the amylin analog pramlintide in obese subjects: a phase 2, randomized, placebo-controlled, dose-escalation study. PMID 17504894</w:t>
      </w:r>
    </w:p>
    <w:p>
      <w:pPr>
        <w:numPr>
          <w:ilvl w:val="0"/>
          <w:numId w:val="1387"/>
        </w:numPr>
        <w:pStyle w:val="Compact"/>
      </w:pPr>
      <w:r>
        <w:t xml:space="preserve">2007 · Chapman I ·</w:t>
      </w:r>
      <w:r>
        <w:t xml:space="preserve"> </w:t>
      </w:r>
      <w:r>
        <w:rPr>
          <w:iCs/>
          <w:i/>
        </w:rPr>
        <w:t xml:space="preserve">Obesity (Silver Spring)</w:t>
      </w:r>
      <w:r>
        <w:t xml:space="preserve"> </w:t>
      </w:r>
      <w:r>
        <w:t xml:space="preserve">· Low-dose pramlintide reduced food intake and meal duration in healthy, normal-weight subjects. PMID 17495194</w:t>
      </w:r>
    </w:p>
    <w:p>
      <w:pPr>
        <w:numPr>
          <w:ilvl w:val="0"/>
          <w:numId w:val="1387"/>
        </w:numPr>
        <w:pStyle w:val="Compact"/>
      </w:pPr>
      <w:r>
        <w:t xml:space="preserve">2007 · Kellmeyer TA ·</w:t>
      </w:r>
      <w:r>
        <w:t xml:space="preserve"> </w:t>
      </w:r>
      <w:r>
        <w:rPr>
          <w:iCs/>
          <w:i/>
        </w:rPr>
        <w:t xml:space="preserve">J Clin Pharmacol</w:t>
      </w:r>
      <w:r>
        <w:t xml:space="preserve"> </w:t>
      </w:r>
      <w:r>
        <w:t xml:space="preserve">· Pharmacokinetics of an oral drug (acetaminophen) administered at various times relative to subcutaneous injection of pramlintide in subjects with type 2 diabetes. PMID 17463219</w:t>
      </w:r>
    </w:p>
    <w:p>
      <w:pPr>
        <w:numPr>
          <w:ilvl w:val="0"/>
          <w:numId w:val="1387"/>
        </w:numPr>
        <w:pStyle w:val="Compact"/>
      </w:pPr>
      <w:r>
        <w:t xml:space="preserve">2007 · Karl D ·</w:t>
      </w:r>
      <w:r>
        <w:t xml:space="preserve"> </w:t>
      </w:r>
      <w:r>
        <w:rPr>
          <w:iCs/>
          <w:i/>
        </w:rPr>
        <w:t xml:space="preserve">Diabetes Technol Ther</w:t>
      </w:r>
      <w:r>
        <w:t xml:space="preserve"> </w:t>
      </w:r>
      <w:r>
        <w:t xml:space="preserve">· Pramlintide as an adjunct to insulin in patients with type 2 diabetes in a clinical practice setting reduced A1C, postprandial glucose excursions, and weight. PMID 17425446</w:t>
      </w:r>
    </w:p>
    <w:p>
      <w:pPr>
        <w:numPr>
          <w:ilvl w:val="0"/>
          <w:numId w:val="1387"/>
        </w:numPr>
        <w:pStyle w:val="Compact"/>
      </w:pPr>
      <w:r>
        <w:t xml:space="preserve">2007 · Marrero DG ·</w:t>
      </w:r>
      <w:r>
        <w:t xml:space="preserve"> </w:t>
      </w:r>
      <w:r>
        <w:rPr>
          <w:iCs/>
          <w:i/>
        </w:rPr>
        <w:t xml:space="preserve">Diabetes Care</w:t>
      </w:r>
      <w:r>
        <w:t xml:space="preserve"> </w:t>
      </w:r>
      <w:r>
        <w:t xml:space="preserve">· Effect of adjunctive pramlintide treatment on treatment satisfaction in patients with type 1 diabetes. PMID 17259483</w:t>
      </w:r>
    </w:p>
    <w:p>
      <w:pPr>
        <w:numPr>
          <w:ilvl w:val="0"/>
          <w:numId w:val="1387"/>
        </w:numPr>
        <w:pStyle w:val="Compact"/>
      </w:pPr>
      <w:r>
        <w:t xml:space="preserve">2006 · Edelman SV ·</w:t>
      </w:r>
      <w:r>
        <w:t xml:space="preserve"> </w:t>
      </w:r>
      <w:r>
        <w:rPr>
          <w:iCs/>
          <w:i/>
        </w:rPr>
        <w:t xml:space="preserve">Int J Clin Pract</w:t>
      </w:r>
      <w:r>
        <w:t xml:space="preserve"> </w:t>
      </w:r>
      <w:r>
        <w:t xml:space="preserve">· Pramlintide in the treatment of diabetes. PMID 17109671</w:t>
      </w:r>
    </w:p>
    <w:p>
      <w:pPr>
        <w:numPr>
          <w:ilvl w:val="0"/>
          <w:numId w:val="1387"/>
        </w:numPr>
        <w:pStyle w:val="Compact"/>
      </w:pPr>
      <w:r>
        <w:t xml:space="preserve">2006 · Edelman S ·</w:t>
      </w:r>
      <w:r>
        <w:t xml:space="preserve"> </w:t>
      </w:r>
      <w:r>
        <w:rPr>
          <w:iCs/>
          <w:i/>
        </w:rPr>
        <w:t xml:space="preserve">Diabetes Care</w:t>
      </w:r>
      <w:r>
        <w:t xml:space="preserve"> </w:t>
      </w:r>
      <w:r>
        <w:t xml:space="preserve">· A double-blind, placebo-controlled trial assessing pramlintide treatment in the setting of intensive insulin therapy in type 1 diabetes. PMID 17003291</w:t>
      </w:r>
    </w:p>
    <w:p>
      <w:pPr>
        <w:numPr>
          <w:ilvl w:val="0"/>
          <w:numId w:val="1387"/>
        </w:numPr>
        <w:pStyle w:val="Compact"/>
      </w:pPr>
      <w:r>
        <w:t xml:space="preserve">2005 · Amiel SA ·</w:t>
      </w:r>
      <w:r>
        <w:t xml:space="preserve"> </w:t>
      </w:r>
      <w:r>
        <w:rPr>
          <w:iCs/>
          <w:i/>
        </w:rPr>
        <w:t xml:space="preserve">Diabetes Obes Metab</w:t>
      </w:r>
      <w:r>
        <w:t xml:space="preserve"> </w:t>
      </w:r>
      <w:r>
        <w:t xml:space="preserve">· The effect of pramlintide on hormonal, metabolic or symptomatic responses to insulin-induced hypoglycaemia in patients with type 1 diabetes. PMID 16050943</w:t>
      </w:r>
    </w:p>
    <w:p>
      <w:pPr>
        <w:numPr>
          <w:ilvl w:val="0"/>
          <w:numId w:val="1387"/>
        </w:numPr>
        <w:pStyle w:val="Compact"/>
      </w:pPr>
      <w:r>
        <w:t xml:space="preserve">2005 · Ratner R ·</w:t>
      </w:r>
      <w:r>
        <w:t xml:space="preserve"> </w:t>
      </w:r>
      <w:r>
        <w:rPr>
          <w:iCs/>
          <w:i/>
        </w:rPr>
        <w:t xml:space="preserve">Exp Clin Endocrinol Diabetes</w:t>
      </w:r>
      <w:r>
        <w:t xml:space="preserve"> </w:t>
      </w:r>
      <w:r>
        <w:t xml:space="preserve">· Adjunctive therapy with pramlintide lowers HbA1c without concomitant weight gain and increased risk of severe hypoglycemia in patients with type 1 diabetes approaching glycemic targets. PMID 15891954</w:t>
      </w:r>
    </w:p>
    <w:p>
      <w:pPr>
        <w:numPr>
          <w:ilvl w:val="0"/>
          <w:numId w:val="1387"/>
        </w:numPr>
        <w:pStyle w:val="Compact"/>
      </w:pPr>
      <w:r>
        <w:t xml:space="preserve">2005 · Chapman I ·</w:t>
      </w:r>
      <w:r>
        <w:t xml:space="preserve"> </w:t>
      </w:r>
      <w:r>
        <w:rPr>
          <w:iCs/>
          <w:i/>
        </w:rPr>
        <w:t xml:space="preserve">Diabetologia</w:t>
      </w:r>
      <w:r>
        <w:t xml:space="preserve"> </w:t>
      </w:r>
      <w:r>
        <w:t xml:space="preserve">· Effect of pramlintide on satiety and food intake in obese subjects and subjects with type 2 diabetes. PMID 15843914</w:t>
      </w:r>
    </w:p>
    <w:p>
      <w:pPr>
        <w:numPr>
          <w:ilvl w:val="0"/>
          <w:numId w:val="1387"/>
        </w:numPr>
        <w:pStyle w:val="Compact"/>
      </w:pPr>
      <w:r>
        <w:t xml:space="preserve">2005 · Weyer C ·</w:t>
      </w:r>
      <w:r>
        <w:t xml:space="preserve"> </w:t>
      </w:r>
      <w:r>
        <w:rPr>
          <w:iCs/>
          <w:i/>
        </w:rPr>
        <w:t xml:space="preserve">Am J Health Syst Pharm</w:t>
      </w:r>
      <w:r>
        <w:t xml:space="preserve"> </w:t>
      </w:r>
      <w:r>
        <w:t xml:space="preserve">· Properties of pramlintide and insulin upon mixing. PMID 15821274</w:t>
      </w:r>
    </w:p>
    <w:p>
      <w:pPr>
        <w:numPr>
          <w:ilvl w:val="0"/>
          <w:numId w:val="1387"/>
        </w:numPr>
        <w:pStyle w:val="Compact"/>
      </w:pPr>
      <w:r>
        <w:t xml:space="preserve">2005 · Heptulla RA ·</w:t>
      </w:r>
      <w:r>
        <w:t xml:space="preserve"> </w:t>
      </w:r>
      <w:r>
        <w:rPr>
          <w:iCs/>
          <w:i/>
        </w:rPr>
        <w:t xml:space="preserve">Diabetes</w:t>
      </w:r>
      <w:r>
        <w:t xml:space="preserve"> </w:t>
      </w:r>
      <w:r>
        <w:t xml:space="preserve">· The role of amylin and glucagon in the dampening of glycemic excursions in children with type 1 diabetes. PMID 15793249</w:t>
      </w:r>
    </w:p>
    <w:p>
      <w:pPr>
        <w:numPr>
          <w:ilvl w:val="0"/>
          <w:numId w:val="1387"/>
        </w:numPr>
        <w:pStyle w:val="Compact"/>
      </w:pPr>
      <w:r>
        <w:t xml:space="preserve">2005 · Ceriello A ·</w:t>
      </w:r>
      <w:r>
        <w:t xml:space="preserve"> </w:t>
      </w:r>
      <w:r>
        <w:rPr>
          <w:iCs/>
          <w:i/>
        </w:rPr>
        <w:t xml:space="preserve">Diabetes Care</w:t>
      </w:r>
      <w:r>
        <w:t xml:space="preserve"> </w:t>
      </w:r>
      <w:r>
        <w:t xml:space="preserve">· Effects of pramlintide on postprandial glucose excursions and measures of oxidative stress in patients with type 1 diabetes. PMID 15735200</w:t>
      </w:r>
    </w:p>
    <w:p>
      <w:pPr>
        <w:numPr>
          <w:ilvl w:val="0"/>
          <w:numId w:val="1387"/>
        </w:numPr>
        <w:pStyle w:val="Compact"/>
      </w:pPr>
      <w:r>
        <w:t xml:space="preserve">2004 · Ratner RE ·</w:t>
      </w:r>
      <w:r>
        <w:t xml:space="preserve"> </w:t>
      </w:r>
      <w:r>
        <w:rPr>
          <w:iCs/>
          <w:i/>
        </w:rPr>
        <w:t xml:space="preserve">Diabet Med</w:t>
      </w:r>
      <w:r>
        <w:t xml:space="preserve"> </w:t>
      </w:r>
      <w:r>
        <w:t xml:space="preserve">· Amylin replacement with pramlintide as an adjunct to insulin therapy improves long-term glycaemic and weight control in Type 1 diabetes mellitus: a 1-year, randomized controlled trial. PMID 15498087</w:t>
      </w:r>
    </w:p>
    <w:p>
      <w:pPr>
        <w:numPr>
          <w:ilvl w:val="0"/>
          <w:numId w:val="1387"/>
        </w:numPr>
        <w:pStyle w:val="Compact"/>
      </w:pPr>
      <w:r>
        <w:t xml:space="preserve">2004 · Heise T ·</w:t>
      </w:r>
      <w:r>
        <w:t xml:space="preserve"> </w:t>
      </w:r>
      <w:r>
        <w:rPr>
          <w:iCs/>
          <w:i/>
        </w:rPr>
        <w:t xml:space="preserve">Metabolism</w:t>
      </w:r>
      <w:r>
        <w:t xml:space="preserve"> </w:t>
      </w:r>
      <w:r>
        <w:t xml:space="preserve">· Effect of pramlintide on symptom, catecholamine, and glucagon responses to hypoglycemia in healthy subjects. PMID 15334389</w:t>
      </w:r>
    </w:p>
    <w:p>
      <w:pPr>
        <w:numPr>
          <w:ilvl w:val="0"/>
          <w:numId w:val="1387"/>
        </w:numPr>
        <w:pStyle w:val="Compact"/>
      </w:pPr>
      <w:r>
        <w:t xml:space="preserve">2004 · Hollander P ·</w:t>
      </w:r>
      <w:r>
        <w:t xml:space="preserve"> </w:t>
      </w:r>
      <w:r>
        <w:rPr>
          <w:iCs/>
          <w:i/>
        </w:rPr>
        <w:t xml:space="preserve">Obes Res</w:t>
      </w:r>
      <w:r>
        <w:t xml:space="preserve"> </w:t>
      </w:r>
      <w:r>
        <w:t xml:space="preserve">· Effect of pramlintide on weight in overweight and obese insulin-treated type 2 diabetes patients. PMID 15090634</w:t>
      </w:r>
    </w:p>
    <w:p>
      <w:pPr>
        <w:numPr>
          <w:ilvl w:val="0"/>
          <w:numId w:val="1387"/>
        </w:numPr>
        <w:pStyle w:val="Compact"/>
      </w:pPr>
      <w:r>
        <w:t xml:space="preserve">2004 · Maggs DG ·</w:t>
      </w:r>
      <w:r>
        <w:t xml:space="preserve"> </w:t>
      </w:r>
      <w:r>
        <w:rPr>
          <w:iCs/>
          <w:i/>
        </w:rPr>
        <w:t xml:space="preserve">Diabetes Metab Res Rev</w:t>
      </w:r>
      <w:r>
        <w:t xml:space="preserve"> </w:t>
      </w:r>
      <w:r>
        <w:t xml:space="preserve">· Pramlintide reduces postprandial glucose excursions when added to insulin lispro in subjects with type 2 diabetes: a dose-timing study. PMID 14737746</w:t>
      </w:r>
    </w:p>
    <w:p>
      <w:pPr>
        <w:numPr>
          <w:ilvl w:val="0"/>
          <w:numId w:val="1387"/>
        </w:numPr>
        <w:pStyle w:val="Compact"/>
      </w:pPr>
      <w:r>
        <w:t xml:space="preserve">2003 · Maggs D ·</w:t>
      </w:r>
      <w:r>
        <w:t xml:space="preserve"> </w:t>
      </w:r>
      <w:r>
        <w:rPr>
          <w:iCs/>
          <w:i/>
        </w:rPr>
        <w:t xml:space="preserve">Metabolism</w:t>
      </w:r>
      <w:r>
        <w:t xml:space="preserve"> </w:t>
      </w:r>
      <w:r>
        <w:t xml:space="preserve">· Effect of pramlintide on A1C and body weight in insulin-treated African Americans and Hispanics with type 2 diabetes: a pooled post hoc analysis. PMID 14669170</w:t>
      </w:r>
    </w:p>
    <w:p>
      <w:pPr>
        <w:numPr>
          <w:ilvl w:val="0"/>
          <w:numId w:val="1387"/>
        </w:numPr>
        <w:pStyle w:val="Compact"/>
      </w:pPr>
      <w:r>
        <w:t xml:space="preserve">2003 · Weyer C ·</w:t>
      </w:r>
      <w:r>
        <w:t xml:space="preserve"> </w:t>
      </w:r>
      <w:r>
        <w:rPr>
          <w:iCs/>
          <w:i/>
        </w:rPr>
        <w:t xml:space="preserve">Diabetes Care</w:t>
      </w:r>
      <w:r>
        <w:t xml:space="preserve"> </w:t>
      </w:r>
      <w:r>
        <w:t xml:space="preserve">· Pramlintide reduces postprandial glucose excursions when added to regular insulin or insulin lispro in subjects with type 1 diabetes: a dose-timing study. PMID 14578242</w:t>
      </w:r>
    </w:p>
    <w:p>
      <w:pPr>
        <w:numPr>
          <w:ilvl w:val="0"/>
          <w:numId w:val="1387"/>
        </w:numPr>
        <w:pStyle w:val="Compact"/>
      </w:pPr>
      <w:r>
        <w:t xml:space="preserve">2003 · Hollander PA ·</w:t>
      </w:r>
      <w:r>
        <w:t xml:space="preserve"> </w:t>
      </w:r>
      <w:r>
        <w:rPr>
          <w:iCs/>
          <w:i/>
        </w:rPr>
        <w:t xml:space="preserve">Diabetes Care</w:t>
      </w:r>
      <w:r>
        <w:t xml:space="preserve"> </w:t>
      </w:r>
      <w:r>
        <w:t xml:space="preserve">· Pramlintide as an adjunct to insulin therapy improves long-term glycemic and weight control in patients with type 2 diabetes: a 1-year randomized controlled trial. PMID 12610038</w:t>
      </w:r>
    </w:p>
    <w:p>
      <w:pPr>
        <w:numPr>
          <w:ilvl w:val="0"/>
          <w:numId w:val="1387"/>
        </w:numPr>
        <w:pStyle w:val="Compact"/>
      </w:pPr>
      <w:r>
        <w:t xml:space="preserve">2003 · Levetan C ·</w:t>
      </w:r>
      <w:r>
        <w:t xml:space="preserve"> </w:t>
      </w:r>
      <w:r>
        <w:rPr>
          <w:iCs/>
          <w:i/>
        </w:rPr>
        <w:t xml:space="preserve">Diabetes Care</w:t>
      </w:r>
      <w:r>
        <w:t xml:space="preserve"> </w:t>
      </w:r>
      <w:r>
        <w:t xml:space="preserve">· Impact of pramlintide on glucose fluctuations and postprandial glucose, glucagon, and triglyceride excursions among patients with type 1 diabetes intensively treated with insulin pumps. PMID 12502651</w:t>
      </w:r>
    </w:p>
    <w:p>
      <w:pPr>
        <w:numPr>
          <w:ilvl w:val="0"/>
          <w:numId w:val="1387"/>
        </w:numPr>
        <w:pStyle w:val="Compact"/>
      </w:pPr>
      <w:r>
        <w:t xml:space="preserve">2002 · Fineman M ·</w:t>
      </w:r>
      <w:r>
        <w:t xml:space="preserve"> </w:t>
      </w:r>
      <w:r>
        <w:rPr>
          <w:iCs/>
          <w:i/>
        </w:rPr>
        <w:t xml:space="preserve">Horm Metab Res</w:t>
      </w:r>
      <w:r>
        <w:t xml:space="preserve"> </w:t>
      </w:r>
      <w:r>
        <w:t xml:space="preserve">· The human amylin analog, pramlintide, reduces postprandial hyperglucagonemia in patients with type 2 diabetes mellitus. PMID 12384827</w:t>
      </w:r>
    </w:p>
    <w:p>
      <w:pPr>
        <w:numPr>
          <w:ilvl w:val="0"/>
          <w:numId w:val="1387"/>
        </w:numPr>
        <w:pStyle w:val="Compact"/>
      </w:pPr>
      <w:r>
        <w:t xml:space="preserve">2002 · Ratner RE ·</w:t>
      </w:r>
      <w:r>
        <w:t xml:space="preserve"> </w:t>
      </w:r>
      <w:r>
        <w:rPr>
          <w:iCs/>
          <w:i/>
        </w:rPr>
        <w:t xml:space="preserve">Diabetes Technol Ther</w:t>
      </w:r>
      <w:r>
        <w:t xml:space="preserve"> </w:t>
      </w:r>
      <w:r>
        <w:t xml:space="preserve">· Adjunctive therapy with the amylin analogue pramlintide leads to a combined improvement in glycemic and weight control in insulin-treated subjects with type 2 diabetes. PMID 12017421</w:t>
      </w:r>
    </w:p>
    <w:p>
      <w:pPr>
        <w:numPr>
          <w:ilvl w:val="0"/>
          <w:numId w:val="1387"/>
        </w:numPr>
        <w:pStyle w:val="Compact"/>
      </w:pPr>
      <w:r>
        <w:t xml:space="preserve">2002 · Fineman MS ·</w:t>
      </w:r>
      <w:r>
        <w:t xml:space="preserve"> </w:t>
      </w:r>
      <w:r>
        <w:rPr>
          <w:iCs/>
          <w:i/>
        </w:rPr>
        <w:t xml:space="preserve">Metabolism</w:t>
      </w:r>
      <w:r>
        <w:t xml:space="preserve"> </w:t>
      </w:r>
      <w:r>
        <w:t xml:space="preserve">· The human amylin analog, pramlintide, corrects postprandial hyperglucagonemia in patients with type 1 diabetes. PMID 11979398</w:t>
      </w:r>
    </w:p>
    <w:p>
      <w:pPr>
        <w:numPr>
          <w:ilvl w:val="0"/>
          <w:numId w:val="1387"/>
        </w:numPr>
        <w:pStyle w:val="Compact"/>
      </w:pPr>
      <w:r>
        <w:t xml:space="preserve">2002 · Vella A ·</w:t>
      </w:r>
      <w:r>
        <w:t xml:space="preserve"> </w:t>
      </w:r>
      <w:r>
        <w:rPr>
          <w:iCs/>
          <w:i/>
        </w:rPr>
        <w:t xml:space="preserve">Neurogastroenterol Motil</w:t>
      </w:r>
      <w:r>
        <w:t xml:space="preserve"> </w:t>
      </w:r>
      <w:r>
        <w:t xml:space="preserve">· Effects of pramlintide, an amylin analogue, on gastric emptying in type 1 and 2 diabetes mellitus. PMID 11975712</w:t>
      </w:r>
    </w:p>
    <w:p>
      <w:pPr>
        <w:numPr>
          <w:ilvl w:val="0"/>
          <w:numId w:val="1387"/>
        </w:numPr>
        <w:pStyle w:val="Compact"/>
      </w:pPr>
      <w:r>
        <w:t xml:space="preserve">2002 · Whitehouse F ·</w:t>
      </w:r>
      <w:r>
        <w:t xml:space="preserve"> </w:t>
      </w:r>
      <w:r>
        <w:rPr>
          <w:iCs/>
          <w:i/>
        </w:rPr>
        <w:t xml:space="preserve">Diabetes Care</w:t>
      </w:r>
      <w:r>
        <w:t xml:space="preserve"> </w:t>
      </w:r>
      <w:r>
        <w:t xml:space="preserve">· A randomized study and open-label extension evaluating the long-term efficacy of pramlintide as an adjunct to insulin therapy in type 1 diabetes. PMID 11919132</w:t>
      </w:r>
    </w:p>
    <w:p>
      <w:pPr>
        <w:numPr>
          <w:ilvl w:val="0"/>
          <w:numId w:val="1387"/>
        </w:numPr>
        <w:pStyle w:val="Compact"/>
      </w:pPr>
      <w:r>
        <w:t xml:space="preserve">2000 · Samsom M ·</w:t>
      </w:r>
      <w:r>
        <w:t xml:space="preserve"> </w:t>
      </w:r>
      <w:r>
        <w:rPr>
          <w:iCs/>
          <w:i/>
        </w:rPr>
        <w:t xml:space="preserve">Am J Physiol Gastrointest Liver Physiol</w:t>
      </w:r>
      <w:r>
        <w:t xml:space="preserve"> </w:t>
      </w:r>
      <w:r>
        <w:t xml:space="preserve">· Pramlintide, an amylin analog, selectively delays gastric emptying: potential role of vagal inhibition. PMID 10859225</w:t>
      </w:r>
    </w:p>
    <w:p>
      <w:pPr>
        <w:numPr>
          <w:ilvl w:val="0"/>
          <w:numId w:val="1387"/>
        </w:numPr>
        <w:pStyle w:val="Compact"/>
      </w:pPr>
      <w:r>
        <w:t xml:space="preserve">1999 · Orskov L ·</w:t>
      </w:r>
      <w:r>
        <w:t xml:space="preserve"> </w:t>
      </w:r>
      <w:r>
        <w:rPr>
          <w:iCs/>
          <w:i/>
        </w:rPr>
        <w:t xml:space="preserve">Diabet Med</w:t>
      </w:r>
      <w:r>
        <w:t xml:space="preserve"> </w:t>
      </w:r>
      <w:r>
        <w:t xml:space="preserve">· Effects of the amylin analogue pramlintide on hepatic glucagon responses and intermediary metabolism in Type 1 diabetic subjects. PMID 10547215</w:t>
      </w:r>
    </w:p>
    <w:p>
      <w:pPr>
        <w:numPr>
          <w:ilvl w:val="0"/>
          <w:numId w:val="1387"/>
        </w:numPr>
        <w:pStyle w:val="Compact"/>
      </w:pPr>
      <w:r>
        <w:t xml:space="preserve">1999 · Nyholm B ·</w:t>
      </w:r>
      <w:r>
        <w:t xml:space="preserve"> </w:t>
      </w:r>
      <w:r>
        <w:rPr>
          <w:iCs/>
          <w:i/>
        </w:rPr>
        <w:t xml:space="preserve">Metabolism</w:t>
      </w:r>
      <w:r>
        <w:t xml:space="preserve"> </w:t>
      </w:r>
      <w:r>
        <w:t xml:space="preserve">· The amylin analog pramlintide improves glycemic control and reduces postprandial glucagon concentrations in patients with type 1 diabetes mellitus. PMID 10421239</w:t>
      </w:r>
    </w:p>
    <w:p>
      <w:pPr>
        <w:numPr>
          <w:ilvl w:val="0"/>
          <w:numId w:val="1387"/>
        </w:numPr>
        <w:pStyle w:val="Compact"/>
      </w:pPr>
      <w:r>
        <w:t xml:space="preserve">1998 · Kong MF ·</w:t>
      </w:r>
      <w:r>
        <w:t xml:space="preserve"> </w:t>
      </w:r>
      <w:r>
        <w:rPr>
          <w:iCs/>
          <w:i/>
        </w:rPr>
        <w:t xml:space="preserve">Diabetologia</w:t>
      </w:r>
      <w:r>
        <w:t xml:space="preserve"> </w:t>
      </w:r>
      <w:r>
        <w:t xml:space="preserve">· The effect of single doses of pramlintide on gastric emptying of two meals in men with IDDM. PMID 9628276</w:t>
      </w:r>
    </w:p>
    <w:p>
      <w:pPr>
        <w:numPr>
          <w:ilvl w:val="0"/>
          <w:numId w:val="1387"/>
        </w:numPr>
        <w:pStyle w:val="Compact"/>
      </w:pPr>
      <w:r>
        <w:t xml:space="preserve">1998 · Thompson RG ·</w:t>
      </w:r>
      <w:r>
        <w:t xml:space="preserve"> </w:t>
      </w:r>
      <w:r>
        <w:rPr>
          <w:iCs/>
          <w:i/>
        </w:rPr>
        <w:t xml:space="preserve">Diabetes Care</w:t>
      </w:r>
      <w:r>
        <w:t xml:space="preserve"> </w:t>
      </w:r>
      <w:r>
        <w:t xml:space="preserve">· Pramlintide, a synthetic analog of human amylin, improves the metabolic profile of patients with type 2 diabetes using insulin. The Pramlintide in Type 2 Diabetes Group. PMID 9614619</w:t>
      </w:r>
    </w:p>
    <w:p>
      <w:pPr>
        <w:numPr>
          <w:ilvl w:val="0"/>
          <w:numId w:val="1387"/>
        </w:numPr>
        <w:pStyle w:val="Compact"/>
      </w:pPr>
      <w:r>
        <w:t xml:space="preserve">1997 · Thompson RG ·</w:t>
      </w:r>
      <w:r>
        <w:t xml:space="preserve"> </w:t>
      </w:r>
      <w:r>
        <w:rPr>
          <w:iCs/>
          <w:i/>
        </w:rPr>
        <w:t xml:space="preserve">Diabetologia</w:t>
      </w:r>
      <w:r>
        <w:t xml:space="preserve"> </w:t>
      </w:r>
      <w:r>
        <w:t xml:space="preserve">· Effects of 4 weeks’ administration of pramlintide, a human amylin analogue, on glycaemia control in patients with IDDM: effects on plasma glucose profiles and serum fructosamine concentrations. PMID 9389419</w:t>
      </w:r>
    </w:p>
    <w:p>
      <w:pPr>
        <w:numPr>
          <w:ilvl w:val="0"/>
          <w:numId w:val="1387"/>
        </w:numPr>
        <w:pStyle w:val="Compact"/>
      </w:pPr>
      <w:r>
        <w:t xml:space="preserve">1997 · Thompson RG ·</w:t>
      </w:r>
      <w:r>
        <w:t xml:space="preserve"> </w:t>
      </w:r>
      <w:r>
        <w:rPr>
          <w:iCs/>
          <w:i/>
        </w:rPr>
        <w:t xml:space="preserve">Diabet Med</w:t>
      </w:r>
      <w:r>
        <w:t xml:space="preserve"> </w:t>
      </w:r>
      <w:r>
        <w:t xml:space="preserve">· Pramlintide: a human amylin analogue reduced postprandial plasma glucose, insulin, and C-peptide concentrations in patients with type 2 diabetes. PMID 9223392</w:t>
      </w:r>
    </w:p>
    <w:p>
      <w:pPr>
        <w:numPr>
          <w:ilvl w:val="0"/>
          <w:numId w:val="1387"/>
        </w:numPr>
        <w:pStyle w:val="Compact"/>
      </w:pPr>
      <w:r>
        <w:t xml:space="preserve">1997 · Thompson RG ·</w:t>
      </w:r>
      <w:r>
        <w:t xml:space="preserve"> </w:t>
      </w:r>
      <w:r>
        <w:rPr>
          <w:iCs/>
          <w:i/>
        </w:rPr>
        <w:t xml:space="preserve">Diabetes</w:t>
      </w:r>
      <w:r>
        <w:t xml:space="preserve"> </w:t>
      </w:r>
      <w:r>
        <w:t xml:space="preserve">· Effects of pramlintide, an analog of human amylin, on plasma glucose profiles in patients with IDDM: results of a multicenter trial. PMID 9075803</w:t>
      </w:r>
    </w:p>
    <w:p>
      <w:pPr>
        <w:numPr>
          <w:ilvl w:val="0"/>
          <w:numId w:val="1387"/>
        </w:numPr>
        <w:pStyle w:val="Compact"/>
      </w:pPr>
      <w:r>
        <w:t xml:space="preserve">1997 · Kong MF ·</w:t>
      </w:r>
      <w:r>
        <w:t xml:space="preserve"> </w:t>
      </w:r>
      <w:r>
        <w:rPr>
          <w:iCs/>
          <w:i/>
        </w:rPr>
        <w:t xml:space="preserve">Diabetologia</w:t>
      </w:r>
      <w:r>
        <w:t xml:space="preserve"> </w:t>
      </w:r>
      <w:r>
        <w:t xml:space="preserve">· Infusion of pramlintide, a human amylin analogue, delays gastric emptying in men with IDDM. PMID 9028722</w:t>
      </w:r>
    </w:p>
    <w:p>
      <w:pPr>
        <w:numPr>
          <w:ilvl w:val="0"/>
          <w:numId w:val="1387"/>
        </w:numPr>
        <w:pStyle w:val="Compact"/>
      </w:pPr>
      <w:r>
        <w:t xml:space="preserve">1996 · Kolterman OG ·</w:t>
      </w:r>
      <w:r>
        <w:t xml:space="preserve"> </w:t>
      </w:r>
      <w:r>
        <w:rPr>
          <w:iCs/>
          <w:i/>
        </w:rPr>
        <w:t xml:space="preserve">Diabetologia</w:t>
      </w:r>
      <w:r>
        <w:t xml:space="preserve"> </w:t>
      </w:r>
      <w:r>
        <w:t xml:space="preserve">· Effect of 14 days’ subcutaneous administration of the human amylin analogue, pramlintide (AC137), on an intravenous insulin challenge and response to a standard liquid meal in patients with IDDM. PMID 8778001</w:t>
      </w:r>
    </w:p>
    <w:bookmarkEnd w:id="1127"/>
    <w:bookmarkStart w:id="1128" w:name="setmelanotida-15"/>
    <w:p>
      <w:pPr>
        <w:pStyle w:val="Heading2"/>
      </w:pPr>
      <w:r>
        <w:t xml:space="preserve">Setmelanotida (15)</w:t>
      </w:r>
    </w:p>
    <w:p>
      <w:pPr>
        <w:numPr>
          <w:ilvl w:val="0"/>
          <w:numId w:val="1388"/>
        </w:numPr>
        <w:pStyle w:val="Compact"/>
      </w:pPr>
      <w:r>
        <w:t xml:space="preserve">2026 · Miller JL ·</w:t>
      </w:r>
      <w:r>
        <w:t xml:space="preserve"> </w:t>
      </w:r>
      <w:r>
        <w:rPr>
          <w:iCs/>
          <w:i/>
        </w:rPr>
        <w:t xml:space="preserve">N Engl J Med</w:t>
      </w:r>
      <w:r>
        <w:t xml:space="preserve"> </w:t>
      </w:r>
      <w:r>
        <w:t xml:space="preserve">· Setmelanotide for the Treatment of Acquired Hypothalamic Obesity. PMID 42418774</w:t>
      </w:r>
    </w:p>
    <w:p>
      <w:pPr>
        <w:numPr>
          <w:ilvl w:val="0"/>
          <w:numId w:val="1388"/>
        </w:numPr>
        <w:pStyle w:val="Compact"/>
      </w:pPr>
      <w:r>
        <w:t xml:space="preserve">2026 · Argente J ·</w:t>
      </w:r>
      <w:r>
        <w:t xml:space="preserve"> </w:t>
      </w:r>
      <w:r>
        <w:rPr>
          <w:iCs/>
          <w:i/>
        </w:rPr>
        <w:t xml:space="preserve">Obesity (Silver Spring)</w:t>
      </w:r>
      <w:r>
        <w:t xml:space="preserve"> </w:t>
      </w:r>
      <w:r>
        <w:t xml:space="preserve">· Setmelanotide in Bardet-Biedl Syndrome: A 52-Week Comparison of Phase 3 Trial Participants With a Matched Registry Cohort. PMID 41703984</w:t>
      </w:r>
    </w:p>
    <w:p>
      <w:pPr>
        <w:numPr>
          <w:ilvl w:val="0"/>
          <w:numId w:val="1388"/>
        </w:numPr>
        <w:pStyle w:val="Compact"/>
      </w:pPr>
      <w:r>
        <w:t xml:space="preserve">2025 · Haqq AM ·</w:t>
      </w:r>
      <w:r>
        <w:t xml:space="preserve"> </w:t>
      </w:r>
      <w:r>
        <w:rPr>
          <w:iCs/>
          <w:i/>
        </w:rPr>
        <w:t xml:space="preserve">J Clin Endocrinol Metab</w:t>
      </w:r>
      <w:r>
        <w:t xml:space="preserve"> </w:t>
      </w:r>
      <w:r>
        <w:t xml:space="preserve">· Impact of Setmelanotide on Metabolic Syndrome Risk in Patients With Bardet-Biedl Syndrome. PMID 39919037</w:t>
      </w:r>
    </w:p>
    <w:p>
      <w:pPr>
        <w:numPr>
          <w:ilvl w:val="0"/>
          <w:numId w:val="1388"/>
        </w:numPr>
        <w:pStyle w:val="Compact"/>
      </w:pPr>
      <w:r>
        <w:t xml:space="preserve">2025 · Argente J ·</w:t>
      </w:r>
      <w:r>
        <w:t xml:space="preserve"> </w:t>
      </w:r>
      <w:r>
        <w:rPr>
          <w:iCs/>
          <w:i/>
        </w:rPr>
        <w:t xml:space="preserve">Lancet Diabetes Endocrinol</w:t>
      </w:r>
      <w:r>
        <w:t xml:space="preserve"> </w:t>
      </w:r>
      <w:r>
        <w:t xml:space="preserve">· Setmelanotide in patients aged 2-5 years with rare MC4R pathway-associated obesity (VENTURE): a 1 year, open-label, multicenter, phase 3 trial. PMID 39549719</w:t>
      </w:r>
    </w:p>
    <w:p>
      <w:pPr>
        <w:numPr>
          <w:ilvl w:val="0"/>
          <w:numId w:val="1388"/>
        </w:numPr>
        <w:pStyle w:val="Compact"/>
      </w:pPr>
      <w:r>
        <w:t xml:space="preserve">2024 · Delplanque J ·</w:t>
      </w:r>
      <w:r>
        <w:t xml:space="preserve"> </w:t>
      </w:r>
      <w:r>
        <w:rPr>
          <w:iCs/>
          <w:i/>
        </w:rPr>
        <w:t xml:space="preserve">Am J Hum Genet</w:t>
      </w:r>
      <w:r>
        <w:t xml:space="preserve"> </w:t>
      </w:r>
      <w:r>
        <w:t xml:space="preserve">· Monoallelic pathogenic variants in LEPR do not cause obesity. PMID 39561769</w:t>
      </w:r>
    </w:p>
    <w:p>
      <w:pPr>
        <w:numPr>
          <w:ilvl w:val="0"/>
          <w:numId w:val="1388"/>
        </w:numPr>
        <w:pStyle w:val="Compact"/>
      </w:pPr>
      <w:r>
        <w:t xml:space="preserve">2024 · Roth CL ·</w:t>
      </w:r>
      <w:r>
        <w:t xml:space="preserve"> </w:t>
      </w:r>
      <w:r>
        <w:rPr>
          <w:iCs/>
          <w:i/>
        </w:rPr>
        <w:t xml:space="preserve">Lancet Diabetes Endocrinol</w:t>
      </w:r>
      <w:r>
        <w:t xml:space="preserve"> </w:t>
      </w:r>
      <w:r>
        <w:t xml:space="preserve">· Setmelanotide for the treatment of acquired hypothalamic obesity: a phase 2, open-label, multicentre trial. PMID 38697184</w:t>
      </w:r>
    </w:p>
    <w:p>
      <w:pPr>
        <w:numPr>
          <w:ilvl w:val="0"/>
          <w:numId w:val="1388"/>
        </w:numPr>
        <w:pStyle w:val="Compact"/>
      </w:pPr>
      <w:r>
        <w:t xml:space="preserve">2023 · van Santen HM ·</w:t>
      </w:r>
      <w:r>
        <w:t xml:space="preserve"> </w:t>
      </w:r>
      <w:r>
        <w:rPr>
          <w:iCs/>
          <w:i/>
        </w:rPr>
        <w:t xml:space="preserve">Front Endocrinol (Lausanne)</w:t>
      </w:r>
      <w:r>
        <w:t xml:space="preserve"> </w:t>
      </w:r>
      <w:r>
        <w:t xml:space="preserve">· Could setmelanotide be the game-changer for acquired hypothalamic obesity?. PMID 38239988</w:t>
      </w:r>
    </w:p>
    <w:p>
      <w:pPr>
        <w:numPr>
          <w:ilvl w:val="0"/>
          <w:numId w:val="1388"/>
        </w:numPr>
        <w:pStyle w:val="Compact"/>
      </w:pPr>
      <w:r>
        <w:t xml:space="preserve">2023 · Forsythe E ·</w:t>
      </w:r>
      <w:r>
        <w:t xml:space="preserve"> </w:t>
      </w:r>
      <w:r>
        <w:rPr>
          <w:iCs/>
          <w:i/>
        </w:rPr>
        <w:t xml:space="preserve">Orphanet J Rare Dis</w:t>
      </w:r>
      <w:r>
        <w:t xml:space="preserve"> </w:t>
      </w:r>
      <w:r>
        <w:t xml:space="preserve">· Quality of life improvements following one year of setmelanotide in children and adult patients with Bardet-Biedl syndrome: phase 3 trial results. PMID 36647077</w:t>
      </w:r>
    </w:p>
    <w:p>
      <w:pPr>
        <w:numPr>
          <w:ilvl w:val="0"/>
          <w:numId w:val="1388"/>
        </w:numPr>
        <w:pStyle w:val="Compact"/>
      </w:pPr>
      <w:r>
        <w:t xml:space="preserve">2022 · Haqq AM ·</w:t>
      </w:r>
      <w:r>
        <w:t xml:space="preserve"> </w:t>
      </w:r>
      <w:r>
        <w:rPr>
          <w:iCs/>
          <w:i/>
        </w:rPr>
        <w:t xml:space="preserve">Lancet Diabetes Endocrinol</w:t>
      </w:r>
      <w:r>
        <w:t xml:space="preserve"> </w:t>
      </w:r>
      <w:r>
        <w:t xml:space="preserve">· Efficacy and safety of setmelanotide, a melanocortin-4 receptor agonist, in patients with Bardet-Biedl syndrome and Alström syndrome: a multicentre, randomised, double-blind, placebo-controlled, phase 3 trial with an open-label period. PMID 36356613</w:t>
      </w:r>
    </w:p>
    <w:p>
      <w:pPr>
        <w:numPr>
          <w:ilvl w:val="0"/>
          <w:numId w:val="1388"/>
        </w:numPr>
        <w:pStyle w:val="Compact"/>
      </w:pPr>
      <w:r>
        <w:t xml:space="preserve">2022 · Kühnen P ·</w:t>
      </w:r>
      <w:r>
        <w:t xml:space="preserve"> </w:t>
      </w:r>
      <w:r>
        <w:rPr>
          <w:iCs/>
          <w:i/>
        </w:rPr>
        <w:t xml:space="preserve">Orphanet J Rare Dis</w:t>
      </w:r>
      <w:r>
        <w:t xml:space="preserve"> </w:t>
      </w:r>
      <w:r>
        <w:t xml:space="preserve">· Quality of life outcomes in two phase 3 trials of setmelanotide in patients with obesity due to LEPR or POMC deficiency. PMID 35123544</w:t>
      </w:r>
    </w:p>
    <w:p>
      <w:pPr>
        <w:numPr>
          <w:ilvl w:val="0"/>
          <w:numId w:val="1388"/>
        </w:numPr>
        <w:pStyle w:val="Compact"/>
      </w:pPr>
      <w:r>
        <w:t xml:space="preserve">2021 · Kanti V ·</w:t>
      </w:r>
      <w:r>
        <w:t xml:space="preserve"> </w:t>
      </w:r>
      <w:r>
        <w:rPr>
          <w:iCs/>
          <w:i/>
        </w:rPr>
        <w:t xml:space="preserve">Skin Pharmacol Physiol</w:t>
      </w:r>
      <w:r>
        <w:t xml:space="preserve"> </w:t>
      </w:r>
      <w:r>
        <w:t xml:space="preserve">· A Melanocortin-4 Receptor Agonist Induces Skin and Hair Pigmentation in Patients with Monogenic Mutations in the Leptin-Melanocortin Pathway. PMID 34058738</w:t>
      </w:r>
    </w:p>
    <w:p>
      <w:pPr>
        <w:numPr>
          <w:ilvl w:val="0"/>
          <w:numId w:val="1388"/>
        </w:numPr>
        <w:pStyle w:val="Compact"/>
      </w:pPr>
      <w:r>
        <w:t xml:space="preserve">2020 · Clément K ·</w:t>
      </w:r>
      <w:r>
        <w:t xml:space="preserve"> </w:t>
      </w:r>
      <w:r>
        <w:rPr>
          <w:iCs/>
          <w:i/>
        </w:rPr>
        <w:t xml:space="preserve">Lancet Diabetes Endocrinol</w:t>
      </w:r>
      <w:r>
        <w:t xml:space="preserve"> </w:t>
      </w:r>
      <w:r>
        <w:t xml:space="preserve">· Efficacy and safety of setmelanotide, an MC4R agonist, in individuals with severe obesity due to LEPR or POMC deficiency: single-arm, open-label, multicentre, phase 3 trials. PMID 33137293</w:t>
      </w:r>
    </w:p>
    <w:p>
      <w:pPr>
        <w:numPr>
          <w:ilvl w:val="0"/>
          <w:numId w:val="1388"/>
        </w:numPr>
        <w:pStyle w:val="Compact"/>
      </w:pPr>
      <w:r>
        <w:t xml:space="preserve">2018 · Clément K ·</w:t>
      </w:r>
      <w:r>
        <w:t xml:space="preserve"> </w:t>
      </w:r>
      <w:r>
        <w:rPr>
          <w:iCs/>
          <w:i/>
        </w:rPr>
        <w:t xml:space="preserve">Nat Med</w:t>
      </w:r>
      <w:r>
        <w:t xml:space="preserve"> </w:t>
      </w:r>
      <w:r>
        <w:t xml:space="preserve">· MC4R agonism promotes durable weight loss in patients with leptin receptor deficiency. PMID 29736023</w:t>
      </w:r>
    </w:p>
    <w:p>
      <w:pPr>
        <w:numPr>
          <w:ilvl w:val="0"/>
          <w:numId w:val="1388"/>
        </w:numPr>
        <w:pStyle w:val="Compact"/>
      </w:pPr>
      <w:r>
        <w:t xml:space="preserve">2017 · Collet TH ·</w:t>
      </w:r>
      <w:r>
        <w:t xml:space="preserve"> </w:t>
      </w:r>
      <w:r>
        <w:rPr>
          <w:iCs/>
          <w:i/>
        </w:rPr>
        <w:t xml:space="preserve">Mol Metab</w:t>
      </w:r>
      <w:r>
        <w:t xml:space="preserve"> </w:t>
      </w:r>
      <w:r>
        <w:t xml:space="preserve">· Evaluation of a melanocortin-4 receptor (MC4R) agonist (Setmelanotide) in MC4R deficiency. PMID 29031731</w:t>
      </w:r>
    </w:p>
    <w:p>
      <w:pPr>
        <w:numPr>
          <w:ilvl w:val="0"/>
          <w:numId w:val="1388"/>
        </w:numPr>
        <w:pStyle w:val="Compact"/>
      </w:pPr>
      <w:r>
        <w:t xml:space="preserve">2016 · Kühnen P ·</w:t>
      </w:r>
      <w:r>
        <w:t xml:space="preserve"> </w:t>
      </w:r>
      <w:r>
        <w:rPr>
          <w:iCs/>
          <w:i/>
        </w:rPr>
        <w:t xml:space="preserve">N Engl J Med</w:t>
      </w:r>
      <w:r>
        <w:t xml:space="preserve"> </w:t>
      </w:r>
      <w:r>
        <w:t xml:space="preserve">· Proopiomelanocortin Deficiency Treated with a Melanocortin-4 Receptor Agonist. PMID 27468060</w:t>
      </w:r>
    </w:p>
    <w:bookmarkEnd w:id="1128"/>
    <w:bookmarkStart w:id="1129" w:name="aod-9604-0"/>
    <w:p>
      <w:pPr>
        <w:pStyle w:val="Heading2"/>
      </w:pPr>
      <w:r>
        <w:t xml:space="preserve">AOD-9604 (0)</w:t>
      </w:r>
    </w:p>
    <w:p>
      <w:pPr>
        <w:pStyle w:val="FirstParagraph"/>
      </w:pPr>
      <w:r>
        <w:t xml:space="preserve">No se encontraron publicaciones de estudios clínicos en humanos.</w:t>
      </w:r>
    </w:p>
    <w:bookmarkEnd w:id="1129"/>
    <w:bookmarkStart w:id="1130" w:name="orforglipron-a-modo-de-comparación-20"/>
    <w:p>
      <w:pPr>
        <w:pStyle w:val="Heading2"/>
      </w:pPr>
      <w:r>
        <w:t xml:space="preserve">Orforglipron (a modo de comparación) (20)</w:t>
      </w:r>
    </w:p>
    <w:p>
      <w:pPr>
        <w:numPr>
          <w:ilvl w:val="0"/>
          <w:numId w:val="1389"/>
        </w:numPr>
        <w:pStyle w:val="Compact"/>
      </w:pPr>
      <w:r>
        <w:t xml:space="preserve">2026 · Klein KR ·</w:t>
      </w:r>
      <w:r>
        <w:t xml:space="preserve"> </w:t>
      </w:r>
      <w:r>
        <w:rPr>
          <w:iCs/>
          <w:i/>
        </w:rPr>
        <w:t xml:space="preserve">Lancet</w:t>
      </w:r>
      <w:r>
        <w:t xml:space="preserve"> </w:t>
      </w:r>
      <w:r>
        <w:t xml:space="preserve">· Cardiovascular safety of orforglipron versus insulin glargine in adults with type 2 diabetes at increased cardiovascular risk (ACHIEVE-4): a phase 3, event-driven, randomised, open-label, non-inferiority, active comparator trial. PMID 42815506</w:t>
      </w:r>
    </w:p>
    <w:p>
      <w:pPr>
        <w:numPr>
          <w:ilvl w:val="0"/>
          <w:numId w:val="1389"/>
        </w:numPr>
        <w:pStyle w:val="Compact"/>
      </w:pPr>
      <w:r>
        <w:t xml:space="preserve">2026 · Yabe D ·</w:t>
      </w:r>
      <w:r>
        <w:t xml:space="preserve"> </w:t>
      </w:r>
      <w:r>
        <w:rPr>
          <w:iCs/>
          <w:i/>
        </w:rPr>
        <w:t xml:space="preserve">Lancet Diabetes Endocrinol</w:t>
      </w:r>
      <w:r>
        <w:t xml:space="preserve"> </w:t>
      </w:r>
      <w:r>
        <w:t xml:space="preserve">· Long-term safety of oral orforglipron in Japanese participants with type 2 diabetes (ACHIEVE-J): a multicentre, randomised, open-label, parallel-group phase 3 trial. PMID 42607698</w:t>
      </w:r>
    </w:p>
    <w:p>
      <w:pPr>
        <w:numPr>
          <w:ilvl w:val="0"/>
          <w:numId w:val="138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89"/>
        </w:numPr>
        <w:pStyle w:val="Compact"/>
      </w:pPr>
      <w:r>
        <w:t xml:space="preserve">2026 · Welch M ·</w:t>
      </w:r>
      <w:r>
        <w:t xml:space="preserve"> </w:t>
      </w:r>
      <w:r>
        <w:rPr>
          <w:iCs/>
          <w:i/>
        </w:rPr>
        <w:t xml:space="preserve">Lancet</w:t>
      </w:r>
      <w:r>
        <w:t xml:space="preserve"> </w:t>
      </w:r>
      <w:r>
        <w:t xml:space="preserve">· Orforglipron compared with dapagliflozin in adults with type 2 diabetes and inadequate glycaemic control with metformin (ACHIEVE-2): a multicentre, randomised, non-inferiority, open-label, phase 3 trial. PMID 42259339</w:t>
      </w:r>
    </w:p>
    <w:p>
      <w:pPr>
        <w:numPr>
          <w:ilvl w:val="0"/>
          <w:numId w:val="1389"/>
        </w:numPr>
        <w:pStyle w:val="Compact"/>
      </w:pPr>
      <w:r>
        <w:t xml:space="preserve">2026 · Giorgino F ·</w:t>
      </w:r>
      <w:r>
        <w:t xml:space="preserve"> </w:t>
      </w:r>
      <w:r>
        <w:rPr>
          <w:iCs/>
          <w:i/>
        </w:rPr>
        <w:t xml:space="preserve">JAMA</w:t>
      </w:r>
      <w:r>
        <w:t xml:space="preserve"> </w:t>
      </w:r>
      <w:r>
        <w:t xml:space="preserve">· Orforglipron Added to Titrated Insulin Glargine in Type 2 Diabetes: The ACHIEVE-5 Randomized Clinical Trial. PMID 42251769</w:t>
      </w:r>
    </w:p>
    <w:p>
      <w:pPr>
        <w:numPr>
          <w:ilvl w:val="0"/>
          <w:numId w:val="138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9"/>
        </w:numPr>
        <w:pStyle w:val="Compact"/>
      </w:pPr>
      <w:r>
        <w:t xml:space="preserve">2026 · Ma X ·</w:t>
      </w:r>
      <w:r>
        <w:t xml:space="preserve"> </w:t>
      </w:r>
      <w:r>
        <w:rPr>
          <w:iCs/>
          <w:i/>
        </w:rPr>
        <w:t xml:space="preserve">Diabetes Obes Metab</w:t>
      </w:r>
      <w:r>
        <w:t xml:space="preserve"> </w:t>
      </w:r>
      <w:r>
        <w:t xml:space="preserve">· Pharmacokinetic Bioequivalence of Orforglipron Tablets and Capsules in Healthy Participants With Obesity or Overweight. PMID 41994902</w:t>
      </w:r>
    </w:p>
    <w:p>
      <w:pPr>
        <w:numPr>
          <w:ilvl w:val="0"/>
          <w:numId w:val="138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89"/>
        </w:numPr>
        <w:pStyle w:val="Compact"/>
      </w:pPr>
      <w:r>
        <w:t xml:space="preserve">2026 · Ohwaki K ·</w:t>
      </w:r>
      <w:r>
        <w:t xml:space="preserve"> </w:t>
      </w:r>
      <w:r>
        <w:rPr>
          <w:iCs/>
          <w:i/>
        </w:rPr>
        <w:t xml:space="preserve">J Diabetes Investig</w:t>
      </w:r>
      <w:r>
        <w:t xml:space="preserve"> </w:t>
      </w:r>
      <w:r>
        <w:t xml:space="preserve">· A phase 1 single and multiple ascending dose study of orforglipron in Japanese participants with type 2 diabetes. PMID 41325139</w:t>
      </w:r>
    </w:p>
    <w:p>
      <w:pPr>
        <w:numPr>
          <w:ilvl w:val="0"/>
          <w:numId w:val="1389"/>
        </w:numPr>
        <w:pStyle w:val="Compact"/>
      </w:pPr>
      <w:r>
        <w:t xml:space="preserve">2026 · Horn DB ·</w:t>
      </w:r>
      <w:r>
        <w:t xml:space="preserve"> </w:t>
      </w:r>
      <w:r>
        <w:rPr>
          <w:iCs/>
          <w:i/>
        </w:rPr>
        <w:t xml:space="preserve">Lancet</w:t>
      </w:r>
      <w:r>
        <w:t xml:space="preserve"> </w:t>
      </w:r>
      <w:r>
        <w:t xml:space="preserve">· Orforglipron, an oral small-molecule GLP-1 receptor agonist, for the treatment of obesity in people with type 2 diabetes (ATTAIN-2): a phase 3, double-blind, randomised, multicentre, placebo-controlled trial. PMID 41275875</w:t>
      </w:r>
    </w:p>
    <w:p>
      <w:pPr>
        <w:numPr>
          <w:ilvl w:val="0"/>
          <w:numId w:val="1389"/>
        </w:numPr>
        <w:pStyle w:val="Compact"/>
      </w:pPr>
      <w:r>
        <w:t xml:space="preserve">2026 · Morse BL ·</w:t>
      </w:r>
      <w:r>
        <w:t xml:space="preserve"> </w:t>
      </w:r>
      <w:r>
        <w:rPr>
          <w:iCs/>
          <w:i/>
        </w:rPr>
        <w:t xml:space="preserve">Clin Pharmacol Drug Dev</w:t>
      </w:r>
      <w:r>
        <w:t xml:space="preserve"> </w:t>
      </w:r>
      <w:r>
        <w:t xml:space="preserve">· Disposition and Absolute Bioavailability of Orally Administered Orforglipron in Healthy Participants. PMID 40888509</w:t>
      </w:r>
    </w:p>
    <w:p>
      <w:pPr>
        <w:numPr>
          <w:ilvl w:val="0"/>
          <w:numId w:val="1389"/>
        </w:numPr>
        <w:pStyle w:val="Compact"/>
      </w:pPr>
      <w:r>
        <w:t xml:space="preserve">2025 · Wharton S ·</w:t>
      </w:r>
      <w:r>
        <w:t xml:space="preserve"> </w:t>
      </w:r>
      <w:r>
        <w:rPr>
          <w:iCs/>
          <w:i/>
        </w:rPr>
        <w:t xml:space="preserve">N Engl J Med</w:t>
      </w:r>
      <w:r>
        <w:t xml:space="preserve"> </w:t>
      </w:r>
      <w:r>
        <w:t xml:space="preserve">· Orforglipron, an Oral Small-Molecule GLP-1 Receptor Agonist for Obesity Treatment. PMID 40960239</w:t>
      </w:r>
    </w:p>
    <w:p>
      <w:pPr>
        <w:numPr>
          <w:ilvl w:val="0"/>
          <w:numId w:val="1389"/>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89"/>
        </w:numPr>
        <w:pStyle w:val="Compact"/>
      </w:pPr>
      <w:r>
        <w:t xml:space="preserve">2025 · Rosenstock J ·</w:t>
      </w:r>
      <w:r>
        <w:t xml:space="preserve"> </w:t>
      </w:r>
      <w:r>
        <w:rPr>
          <w:iCs/>
          <w:i/>
        </w:rPr>
        <w:t xml:space="preserve">N Engl J Med</w:t>
      </w:r>
      <w:r>
        <w:t xml:space="preserve"> </w:t>
      </w:r>
      <w:r>
        <w:t xml:space="preserve">· Orforglipron, an Oral Small-Molecule GLP-1 Receptor Agonist, in Early Type 2 Diabetes. PMID 40544435</w:t>
      </w:r>
    </w:p>
    <w:p>
      <w:pPr>
        <w:numPr>
          <w:ilvl w:val="0"/>
          <w:numId w:val="1389"/>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89"/>
        </w:numPr>
        <w:pStyle w:val="Compact"/>
      </w:pPr>
      <w:r>
        <w:t xml:space="preserve">2024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37997518</w:t>
      </w:r>
    </w:p>
    <w:p>
      <w:pPr>
        <w:numPr>
          <w:ilvl w:val="0"/>
          <w:numId w:val="138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89"/>
        </w:numPr>
        <w:pStyle w:val="Compact"/>
      </w:pPr>
      <w:r>
        <w:t xml:space="preserve">2023 · Wharton S ·</w:t>
      </w:r>
      <w:r>
        <w:t xml:space="preserve"> </w:t>
      </w:r>
      <w:r>
        <w:rPr>
          <w:iCs/>
          <w:i/>
        </w:rPr>
        <w:t xml:space="preserve">N Engl J Med</w:t>
      </w:r>
      <w:r>
        <w:t xml:space="preserve"> </w:t>
      </w:r>
      <w:r>
        <w:t xml:space="preserve">· Daily Oral GLP-1 Receptor Agonist Orforglipron for Adults with Obesity. PMID 37351564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1a, blinded, placebo-controlled, randomized, single- and multiple-ascending-dose study in healthy participants. PMID 37344954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37264711</w:t>
      </w:r>
    </w:p>
    <w:bookmarkEnd w:id="1130"/>
    <w:bookmarkStart w:id="1131" w:name="bpc-157-0"/>
    <w:p>
      <w:pPr>
        <w:pStyle w:val="Heading2"/>
      </w:pPr>
      <w:r>
        <w:t xml:space="preserve">BPC-157 (0)</w:t>
      </w:r>
    </w:p>
    <w:p>
      <w:pPr>
        <w:pStyle w:val="FirstParagraph"/>
      </w:pPr>
      <w:r>
        <w:t xml:space="preserve">No se encontraron publicaciones de estudios clínicos en humanos.</w:t>
      </w:r>
    </w:p>
    <w:bookmarkEnd w:id="1131"/>
    <w:bookmarkStart w:id="1132" w:name="tb-500-y-timosina-beta-4-9"/>
    <w:p>
      <w:pPr>
        <w:pStyle w:val="Heading2"/>
      </w:pPr>
      <w:r>
        <w:t xml:space="preserve">TB-500 y timosina beta 4 (9)</w:t>
      </w:r>
    </w:p>
    <w:p>
      <w:pPr>
        <w:numPr>
          <w:ilvl w:val="0"/>
          <w:numId w:val="1390"/>
        </w:numPr>
        <w:pStyle w:val="Compact"/>
      </w:pPr>
      <w:r>
        <w:t xml:space="preserve">2021 · Wang X ·</w:t>
      </w:r>
      <w:r>
        <w:t xml:space="preserve"> </w:t>
      </w:r>
      <w:r>
        <w:rPr>
          <w:iCs/>
          <w:i/>
        </w:rPr>
        <w:t xml:space="preserve">J Cell Mol Med</w:t>
      </w:r>
      <w:r>
        <w:t xml:space="preserve"> </w:t>
      </w:r>
      <w:r>
        <w:t xml:space="preserve">· A first-in-human, randomized, double-blind, single- and multiple-dose, phase I study of recombinant human thymosin β4 in healthy Chinese volunteers. PMID 34346165</w:t>
      </w:r>
    </w:p>
    <w:p>
      <w:pPr>
        <w:numPr>
          <w:ilvl w:val="0"/>
          <w:numId w:val="1390"/>
        </w:numPr>
        <w:pStyle w:val="Compact"/>
      </w:pPr>
      <w:r>
        <w:t xml:space="preserve">2020 · Pathak AK ·</w:t>
      </w:r>
      <w:r>
        <w:t xml:space="preserve"> </w:t>
      </w:r>
      <w:r>
        <w:rPr>
          <w:iCs/>
          <w:i/>
        </w:rPr>
        <w:t xml:space="preserve">Sci Rep</w:t>
      </w:r>
      <w:r>
        <w:t xml:space="preserve"> </w:t>
      </w:r>
      <w:r>
        <w:t xml:space="preserve">· Logistic regression analysis of environmental and other variables and incidences of tuberculosis in respiratory patients. PMID 33318598</w:t>
      </w:r>
    </w:p>
    <w:p>
      <w:pPr>
        <w:numPr>
          <w:ilvl w:val="0"/>
          <w:numId w:val="1390"/>
        </w:numPr>
        <w:pStyle w:val="Compact"/>
      </w:pPr>
      <w:r>
        <w:t xml:space="preserve">2016 · Zhu J ·</w:t>
      </w:r>
      <w:r>
        <w:t xml:space="preserve"> </w:t>
      </w:r>
      <w:r>
        <w:rPr>
          <w:iCs/>
          <w:i/>
        </w:rPr>
        <w:t xml:space="preserve">Cytotherapy</w:t>
      </w:r>
      <w:r>
        <w:t xml:space="preserve"> </w:t>
      </w:r>
      <w:r>
        <w:t xml:space="preserve">· Safety and efficacy of autologous thymosin β4 pre-treated endothelial progenitor cell transplantation in patients with acute ST segment elevation myocardial infarction: A pilot study. PMID 27288307</w:t>
      </w:r>
    </w:p>
    <w:p>
      <w:pPr>
        <w:numPr>
          <w:ilvl w:val="0"/>
          <w:numId w:val="1390"/>
        </w:numPr>
        <w:pStyle w:val="Compact"/>
      </w:pPr>
      <w:r>
        <w:t xml:space="preserve">2015 · Choudry FA ·</w:t>
      </w:r>
      <w:r>
        <w:t xml:space="preserve"> </w:t>
      </w:r>
      <w:r>
        <w:rPr>
          <w:iCs/>
          <w:i/>
        </w:rPr>
        <w:t xml:space="preserve">Regen Med</w:t>
      </w:r>
      <w:r>
        <w:t xml:space="preserve"> </w:t>
      </w:r>
      <w:r>
        <w:t xml:space="preserve">· Increases in plasma Tβ4 after intracardiac cell therapy in chronic ischemic heart failure is associated with symptomatic improvement. PMID 26022762</w:t>
      </w:r>
    </w:p>
    <w:p>
      <w:pPr>
        <w:numPr>
          <w:ilvl w:val="0"/>
          <w:numId w:val="1390"/>
        </w:numPr>
        <w:pStyle w:val="Compact"/>
      </w:pPr>
      <w:r>
        <w:t xml:space="preserve">2015 · Sosne G ·</w:t>
      </w:r>
      <w:r>
        <w:t xml:space="preserve"> </w:t>
      </w:r>
      <w:r>
        <w:rPr>
          <w:iCs/>
          <w:i/>
        </w:rPr>
        <w:t xml:space="preserve">Cornea</w:t>
      </w:r>
      <w:r>
        <w:t xml:space="preserve"> </w:t>
      </w:r>
      <w:r>
        <w:t xml:space="preserve">· Thymosin β4 significantly improves signs and symptoms of severe dry eye in a phase 2 randomized trial. PMID 25826322</w:t>
      </w:r>
    </w:p>
    <w:p>
      <w:pPr>
        <w:numPr>
          <w:ilvl w:val="0"/>
          <w:numId w:val="1390"/>
        </w:numPr>
        <w:pStyle w:val="Compact"/>
      </w:pPr>
      <w:r>
        <w:t xml:space="preserve">2014 · Suzuki Y ·</w:t>
      </w:r>
      <w:r>
        <w:t xml:space="preserve"> </w:t>
      </w:r>
      <w:r>
        <w:rPr>
          <w:iCs/>
          <w:i/>
        </w:rPr>
        <w:t xml:space="preserve">Biol Pharm Bull</w:t>
      </w:r>
      <w:r>
        <w:t xml:space="preserve"> </w:t>
      </w:r>
      <w:r>
        <w:t xml:space="preserve">· Significant decrease in plasma N-acetyl-seryl-aspartyl-lysyl-proline level in patients with end stage renal disease after kidney transplantation. PMID 24882420</w:t>
      </w:r>
    </w:p>
    <w:p>
      <w:pPr>
        <w:numPr>
          <w:ilvl w:val="0"/>
          <w:numId w:val="1390"/>
        </w:numPr>
        <w:pStyle w:val="Compact"/>
      </w:pPr>
      <w:r>
        <w:t xml:space="preserve">2010 · Ruff D ·</w:t>
      </w:r>
      <w:r>
        <w:t xml:space="preserve"> </w:t>
      </w:r>
      <w:r>
        <w:rPr>
          <w:iCs/>
          <w:i/>
        </w:rPr>
        <w:t xml:space="preserve">Ann N Y Acad Sci</w:t>
      </w:r>
      <w:r>
        <w:t xml:space="preserve"> </w:t>
      </w:r>
      <w:r>
        <w:t xml:space="preserve">· A randomized, placebo-controlled, single and multiple dose study of intravenous thymosin beta4 in healthy volunteers. PMID 20536472</w:t>
      </w:r>
    </w:p>
    <w:p>
      <w:pPr>
        <w:numPr>
          <w:ilvl w:val="0"/>
          <w:numId w:val="1390"/>
        </w:numPr>
        <w:pStyle w:val="Compact"/>
      </w:pPr>
      <w:r>
        <w:t xml:space="preserve">2010 · Guarnera G ·</w:t>
      </w:r>
      <w:r>
        <w:t xml:space="preserve"> </w:t>
      </w:r>
      <w:r>
        <w:rPr>
          <w:iCs/>
          <w:i/>
        </w:rPr>
        <w:t xml:space="preserve">Ann N Y Acad Sci</w:t>
      </w:r>
      <w:r>
        <w:t xml:space="preserve"> </w:t>
      </w:r>
      <w:r>
        <w:t xml:space="preserve">· The effect of thymosin treatment of venous ulcers. PMID 20536470</w:t>
      </w:r>
    </w:p>
    <w:p>
      <w:pPr>
        <w:numPr>
          <w:ilvl w:val="0"/>
          <w:numId w:val="1390"/>
        </w:numPr>
        <w:pStyle w:val="Compact"/>
      </w:pPr>
      <w:r>
        <w:t xml:space="preserve">2007 · Guarnera G ·</w:t>
      </w:r>
      <w:r>
        <w:t xml:space="preserve"> </w:t>
      </w:r>
      <w:r>
        <w:rPr>
          <w:iCs/>
          <w:i/>
        </w:rPr>
        <w:t xml:space="preserve">Ann N Y Acad Sci</w:t>
      </w:r>
      <w:r>
        <w:t xml:space="preserve"> </w:t>
      </w:r>
      <w:r>
        <w:t xml:space="preserve">· Thymosin beta-4 and venous ulcers: clinical remarks on a European prospective, randomized study on safety, tolerability, and enhancement on healing. PMID 17495250</w:t>
      </w:r>
    </w:p>
    <w:bookmarkEnd w:id="1132"/>
    <w:bookmarkStart w:id="1133" w:name="timosina-alfa-1-timalfasina-90"/>
    <w:p>
      <w:pPr>
        <w:pStyle w:val="Heading2"/>
      </w:pPr>
      <w:r>
        <w:t xml:space="preserve">Timosina alfa 1 (timalfasina) (90)</w:t>
      </w:r>
    </w:p>
    <w:p>
      <w:pPr>
        <w:numPr>
          <w:ilvl w:val="0"/>
          <w:numId w:val="1391"/>
        </w:numPr>
        <w:pStyle w:val="Compact"/>
      </w:pPr>
      <w:r>
        <w:t xml:space="preserve">2026 · Zhou Y ·</w:t>
      </w:r>
      <w:r>
        <w:t xml:space="preserve"> </w:t>
      </w:r>
      <w:r>
        <w:rPr>
          <w:iCs/>
          <w:i/>
        </w:rPr>
        <w:t xml:space="preserve">Radiat Oncol</w:t>
      </w:r>
      <w:r>
        <w:t xml:space="preserve"> </w:t>
      </w:r>
      <w:r>
        <w:t xml:space="preserve">· Preliminary results from a phase II trial of spatially fractionated radiotherapy combined with immunotherapy and anti-angiogenic therapy in patients with bulky solid tumors: early evidence of promising efficacy and favorable safety. PMID 42063096</w:t>
      </w:r>
    </w:p>
    <w:p>
      <w:pPr>
        <w:numPr>
          <w:ilvl w:val="0"/>
          <w:numId w:val="1391"/>
        </w:numPr>
        <w:pStyle w:val="Compact"/>
      </w:pPr>
      <w:r>
        <w:t xml:space="preserve">2026 · Li ZH ·</w:t>
      </w:r>
      <w:r>
        <w:t xml:space="preserve"> </w:t>
      </w:r>
      <w:r>
        <w:rPr>
          <w:iCs/>
          <w:i/>
        </w:rPr>
        <w:t xml:space="preserve">Immunopharmacol Immunotoxicol</w:t>
      </w:r>
      <w:r>
        <w:t xml:space="preserve"> </w:t>
      </w:r>
      <w:r>
        <w:t xml:space="preserve">· Thymosin α1 improves the outcomes of patients with hepatitis B virus-related acute-on-chronic liver failure by restoring immune balance. PMID 41887933</w:t>
      </w:r>
    </w:p>
    <w:p>
      <w:pPr>
        <w:numPr>
          <w:ilvl w:val="0"/>
          <w:numId w:val="1391"/>
        </w:numPr>
        <w:pStyle w:val="Compact"/>
      </w:pPr>
      <w:r>
        <w:t xml:space="preserve">2026 · Xu H ·</w:t>
      </w:r>
      <w:r>
        <w:t xml:space="preserve"> </w:t>
      </w:r>
      <w:r>
        <w:rPr>
          <w:iCs/>
          <w:i/>
        </w:rPr>
        <w:t xml:space="preserve">BMC Med</w:t>
      </w:r>
      <w:r>
        <w:t xml:space="preserve"> </w:t>
      </w:r>
      <w:r>
        <w:t xml:space="preserve">· Neoadjuvant immunochemotherapy plus thymalfasin in locally advanced gastric cancer: a prospective clinical trial. PMID 41749205</w:t>
      </w:r>
    </w:p>
    <w:p>
      <w:pPr>
        <w:numPr>
          <w:ilvl w:val="0"/>
          <w:numId w:val="1391"/>
        </w:numPr>
        <w:pStyle w:val="Compact"/>
      </w:pPr>
      <w:r>
        <w:t xml:space="preserve">2025 · Yu J ·</w:t>
      </w:r>
      <w:r>
        <w:t xml:space="preserve"> </w:t>
      </w:r>
      <w:r>
        <w:rPr>
          <w:iCs/>
          <w:i/>
        </w:rPr>
        <w:t xml:space="preserve">Cancer Immunol Immunother</w:t>
      </w:r>
      <w:r>
        <w:t xml:space="preserve"> </w:t>
      </w:r>
      <w:r>
        <w:t xml:space="preserve">· Hypofractionated radiotherapy combined with a PD-1 inhibitor, granulocyte macrophage-colony stimulating factor, and thymosin-α1 in advanced metastatic solid tumors: a multicenter Phase II clinical trial. PMID 39904914</w:t>
      </w:r>
    </w:p>
    <w:p>
      <w:pPr>
        <w:numPr>
          <w:ilvl w:val="0"/>
          <w:numId w:val="1391"/>
        </w:numPr>
        <w:pStyle w:val="Compact"/>
      </w:pPr>
      <w:r>
        <w:t xml:space="preserve">2025 · Wu J ·</w:t>
      </w:r>
      <w:r>
        <w:t xml:space="preserve"> </w:t>
      </w:r>
      <w:r>
        <w:rPr>
          <w:iCs/>
          <w:i/>
        </w:rPr>
        <w:t xml:space="preserve">BMJ</w:t>
      </w:r>
      <w:r>
        <w:t xml:space="preserve"> </w:t>
      </w:r>
      <w:r>
        <w:t xml:space="preserve">· The efficacy and safety of thymosin α1 for sepsis (TESTS): multicentre, double blinded, randomised, placebo controlled, phase 3 trial. PMID 39814420</w:t>
      </w:r>
    </w:p>
    <w:p>
      <w:pPr>
        <w:numPr>
          <w:ilvl w:val="0"/>
          <w:numId w:val="1391"/>
        </w:numPr>
        <w:pStyle w:val="Compact"/>
      </w:pPr>
      <w:r>
        <w:t xml:space="preserve">2024 · Huang X ·</w:t>
      </w:r>
      <w:r>
        <w:t xml:space="preserve"> </w:t>
      </w:r>
      <w:r>
        <w:rPr>
          <w:iCs/>
          <w:i/>
        </w:rPr>
        <w:t xml:space="preserve">Gut Liver</w:t>
      </w:r>
      <w:r>
        <w:t xml:space="preserve"> </w:t>
      </w:r>
      <w:r>
        <w:t xml:space="preserve">· Immune-Enhancing Treatment among Acute Necrotizing Pancreatitis Patients with Metabolic Abnormalities: A Post Hoc Analysis of a Randomized Clinical Trial. PMID 38356344</w:t>
      </w:r>
    </w:p>
    <w:p>
      <w:pPr>
        <w:numPr>
          <w:ilvl w:val="0"/>
          <w:numId w:val="1391"/>
        </w:numPr>
        <w:pStyle w:val="Compact"/>
      </w:pPr>
      <w:r>
        <w:t xml:space="preserve">2024 · Niu W ·</w:t>
      </w:r>
      <w:r>
        <w:t xml:space="preserve"> </w:t>
      </w:r>
      <w:r>
        <w:rPr>
          <w:iCs/>
          <w:i/>
        </w:rPr>
        <w:t xml:space="preserve">Biotechnol Genet Eng Rev</w:t>
      </w:r>
      <w:r>
        <w:t xml:space="preserve"> </w:t>
      </w:r>
      <w:r>
        <w:t xml:space="preserve">· A Prospective and Randomized Control Study on Effects of Thymalfasin for Injection on Perioperative Immune Function and Long-term Prognosis of Patients with Colorectal Cancer. PMID 37248723</w:t>
      </w:r>
    </w:p>
    <w:p>
      <w:pPr>
        <w:numPr>
          <w:ilvl w:val="0"/>
          <w:numId w:val="1391"/>
        </w:numPr>
        <w:pStyle w:val="Compact"/>
      </w:pPr>
      <w:r>
        <w:t xml:space="preserve">2023 · Tuthill CW ·</w:t>
      </w:r>
      <w:r>
        <w:t xml:space="preserve"> </w:t>
      </w:r>
      <w:r>
        <w:rPr>
          <w:iCs/>
          <w:i/>
        </w:rPr>
        <w:t xml:space="preserve">Int Immunopharmacol</w:t>
      </w:r>
      <w:r>
        <w:t xml:space="preserve"> </w:t>
      </w:r>
      <w:r>
        <w:t xml:space="preserve">· A pilot trial of Thymalfasin (Ta1) to prevent covid-19 infection and morbidities in renal dialysis patients: Preliminary report. PMID 36881981</w:t>
      </w:r>
    </w:p>
    <w:p>
      <w:pPr>
        <w:numPr>
          <w:ilvl w:val="0"/>
          <w:numId w:val="1391"/>
        </w:numPr>
        <w:pStyle w:val="Compact"/>
      </w:pPr>
      <w:r>
        <w:t xml:space="preserve">2022 · Bai L ·</w:t>
      </w:r>
      <w:r>
        <w:t xml:space="preserve"> </w:t>
      </w:r>
      <w:r>
        <w:rPr>
          <w:iCs/>
          <w:i/>
        </w:rPr>
        <w:t xml:space="preserve">Altern Ther Health Med</w:t>
      </w:r>
      <w:r>
        <w:t xml:space="preserve"> </w:t>
      </w:r>
      <w:r>
        <w:t xml:space="preserve">· Value of Thymosin α1 Combined With Blood Purification to Increase Successful Rescues of Shock Patients. PMID 35951068</w:t>
      </w:r>
    </w:p>
    <w:p>
      <w:pPr>
        <w:numPr>
          <w:ilvl w:val="0"/>
          <w:numId w:val="1391"/>
        </w:numPr>
        <w:pStyle w:val="Compact"/>
      </w:pPr>
      <w:r>
        <w:t xml:space="preserve">2022 · Liu F ·</w:t>
      </w:r>
      <w:r>
        <w:t xml:space="preserve"> </w:t>
      </w:r>
      <w:r>
        <w:rPr>
          <w:iCs/>
          <w:i/>
        </w:rPr>
        <w:t xml:space="preserve">Int J Radiat Oncol Biol Phys</w:t>
      </w:r>
      <w:r>
        <w:t xml:space="preserve"> </w:t>
      </w:r>
      <w:r>
        <w:t xml:space="preserve">· Efficacy of Thymosin α1 in Management of Radiation Pneumonitis in Patients With Locally Advanced Non-Small Cell Lung Cancer Treated With Concurrent Chemoradiotherapy: A Phase 2 Clinical Trial (GASTO-1043). PMID 35870709</w:t>
      </w:r>
    </w:p>
    <w:p>
      <w:pPr>
        <w:numPr>
          <w:ilvl w:val="0"/>
          <w:numId w:val="1391"/>
        </w:numPr>
        <w:pStyle w:val="Compact"/>
      </w:pPr>
      <w:r>
        <w:t xml:space="preserve">2022 · Ke L ·</w:t>
      </w:r>
      <w:r>
        <w:t xml:space="preserve"> </w:t>
      </w:r>
      <w:r>
        <w:rPr>
          <w:iCs/>
          <w:i/>
        </w:rPr>
        <w:t xml:space="preserve">Intensive Care Med</w:t>
      </w:r>
      <w:r>
        <w:t xml:space="preserve"> </w:t>
      </w:r>
      <w:r>
        <w:t xml:space="preserve">· Immune enhancement in patients with predicted severe acute necrotising pancreatitis: a multicentre double-blind randomised controlled trial. PMID 35713670</w:t>
      </w:r>
    </w:p>
    <w:p>
      <w:pPr>
        <w:numPr>
          <w:ilvl w:val="0"/>
          <w:numId w:val="1391"/>
        </w:numPr>
        <w:pStyle w:val="Compact"/>
      </w:pPr>
      <w:r>
        <w:t xml:space="preserve">2022 · Chen JF ·</w:t>
      </w:r>
      <w:r>
        <w:t xml:space="preserve"> </w:t>
      </w:r>
      <w:r>
        <w:rPr>
          <w:iCs/>
          <w:i/>
        </w:rPr>
        <w:t xml:space="preserve">Hepatol Int</w:t>
      </w:r>
      <w:r>
        <w:t xml:space="preserve"> </w:t>
      </w:r>
      <w:r>
        <w:t xml:space="preserve">· Safety and efficacy of Thymosin α1 in the treatment of hepatitis B virus-related acute-on-chronic liver failure: a randomized controlled trial. PMID 35616850</w:t>
      </w:r>
    </w:p>
    <w:p>
      <w:pPr>
        <w:numPr>
          <w:ilvl w:val="0"/>
          <w:numId w:val="1391"/>
        </w:numPr>
        <w:pStyle w:val="Compact"/>
      </w:pPr>
      <w:r>
        <w:t xml:space="preserve">2022 · Chu C ·</w:t>
      </w:r>
      <w:r>
        <w:t xml:space="preserve"> </w:t>
      </w:r>
      <w:r>
        <w:rPr>
          <w:iCs/>
          <w:i/>
        </w:rPr>
        <w:t xml:space="preserve">Int J Radiat Oncol Biol Phys</w:t>
      </w:r>
      <w:r>
        <w:t xml:space="preserve"> </w:t>
      </w:r>
      <w:r>
        <w:t xml:space="preserve">· Hypofractionated Radiation Therapy Combined With Weekly Chemotherapy in Patients With Unresectable or Recurrent Thymic Epithelial Tumor: A Prospective, Single-Arm Phase 2 Study (GASTO-1042). PMID 35598797</w:t>
      </w:r>
    </w:p>
    <w:p>
      <w:pPr>
        <w:numPr>
          <w:ilvl w:val="0"/>
          <w:numId w:val="1391"/>
        </w:numPr>
        <w:pStyle w:val="Compact"/>
      </w:pPr>
      <w:r>
        <w:t xml:space="preserve">2021 · Meng Z ·</w:t>
      </w:r>
      <w:r>
        <w:t xml:space="preserve"> </w:t>
      </w:r>
      <w:r>
        <w:rPr>
          <w:iCs/>
          <w:i/>
        </w:rPr>
        <w:t xml:space="preserve">Curr Top Med Chem</w:t>
      </w:r>
      <w:r>
        <w:t xml:space="preserve"> </w:t>
      </w:r>
      <w:r>
        <w:t xml:space="preserve">· The Effect of Recombinant Human Interferon Alpha Nasal Drops to Prevent COVID-19 Pneumonia for Medical Staff in an Epidemic Area. PMID 33970846</w:t>
      </w:r>
    </w:p>
    <w:p>
      <w:pPr>
        <w:numPr>
          <w:ilvl w:val="0"/>
          <w:numId w:val="1391"/>
        </w:numPr>
        <w:pStyle w:val="Compact"/>
      </w:pPr>
      <w:r>
        <w:t xml:space="preserve">2019 · Ma Y ·</w:t>
      </w:r>
      <w:r>
        <w:t xml:space="preserve"> </w:t>
      </w:r>
      <w:r>
        <w:rPr>
          <w:iCs/>
          <w:i/>
        </w:rPr>
        <w:t xml:space="preserve">Cell Mol Biol (Noisy-le-grand)</w:t>
      </w:r>
      <w:r>
        <w:t xml:space="preserve"> </w:t>
      </w:r>
      <w:r>
        <w:t xml:space="preserve">· The effect of thymopentin add-on in hepatitis B e antigen positive chronic hepatitis B after virus suppression by peginterferon plus entecavir therapy. PMID 30860474</w:t>
      </w:r>
    </w:p>
    <w:p>
      <w:pPr>
        <w:numPr>
          <w:ilvl w:val="0"/>
          <w:numId w:val="1391"/>
        </w:numPr>
        <w:pStyle w:val="Compact"/>
      </w:pPr>
      <w:r>
        <w:t xml:space="preserve">2018 · Wu X ·</w:t>
      </w:r>
      <w:r>
        <w:t xml:space="preserve"> </w:t>
      </w:r>
      <w:r>
        <w:rPr>
          <w:iCs/>
          <w:i/>
        </w:rPr>
        <w:t xml:space="preserve">Expert Opin Biol Ther</w:t>
      </w:r>
      <w:r>
        <w:t xml:space="preserve"> </w:t>
      </w:r>
      <w:r>
        <w:t xml:space="preserve">· Combination of entecavir with thymosin alpha-1 in HBV-related compensated cirrhosis: a prospective multicenter randomized open-label study. PMID 30063860</w:t>
      </w:r>
    </w:p>
    <w:p>
      <w:pPr>
        <w:numPr>
          <w:ilvl w:val="0"/>
          <w:numId w:val="1391"/>
        </w:numPr>
        <w:pStyle w:val="Compact"/>
      </w:pPr>
      <w:r>
        <w:t xml:space="preserve">2017 · Fang SJ ·</w:t>
      </w:r>
      <w:r>
        <w:t xml:space="preserve"> </w:t>
      </w:r>
      <w:r>
        <w:rPr>
          <w:iCs/>
          <w:i/>
        </w:rPr>
        <w:t xml:space="preserve">Zhonghua Yi Xue Za Zhi</w:t>
      </w:r>
      <w:r>
        <w:t xml:space="preserve"> </w:t>
      </w:r>
      <w:r>
        <w:t xml:space="preserve">· [Effect of transcatheter arterial chemoembolization combined with thymosin alpha 1 on the autophagy of immune cells from advanced hepatocellular carcinoma]. PMID 28693071</w:t>
      </w:r>
    </w:p>
    <w:p>
      <w:pPr>
        <w:numPr>
          <w:ilvl w:val="0"/>
          <w:numId w:val="1391"/>
        </w:numPr>
        <w:pStyle w:val="Compact"/>
      </w:pPr>
      <w:r>
        <w:t xml:space="preserve">2016 · Al-Mahtab M ·</w:t>
      </w:r>
      <w:r>
        <w:t xml:space="preserve"> </w:t>
      </w:r>
      <w:r>
        <w:rPr>
          <w:iCs/>
          <w:i/>
        </w:rPr>
        <w:t xml:space="preserve">PLoS One</w:t>
      </w:r>
      <w:r>
        <w:t xml:space="preserve"> </w:t>
      </w:r>
      <w:r>
        <w:t xml:space="preserve">· Safety and Efficacy of Nucleic Acid Polymers in Monotherapy and Combined with Immunotherapy in Treatment-Naive Bangladeshi Patients with HBeAg+ Chronic Hepatitis B Infection. PMID 27257978</w:t>
      </w:r>
    </w:p>
    <w:p>
      <w:pPr>
        <w:numPr>
          <w:ilvl w:val="0"/>
          <w:numId w:val="1391"/>
        </w:numPr>
        <w:pStyle w:val="Compact"/>
      </w:pPr>
      <w:r>
        <w:t xml:space="preserve">2015 · Zhang SS ·</w:t>
      </w:r>
      <w:r>
        <w:t xml:space="preserve"> </w:t>
      </w:r>
      <w:r>
        <w:rPr>
          <w:iCs/>
          <w:i/>
        </w:rPr>
        <w:t xml:space="preserve">Sichuan Da Xue Xue Bao Yi Xue Ban</w:t>
      </w:r>
      <w:r>
        <w:t xml:space="preserve"> </w:t>
      </w:r>
      <w:r>
        <w:t xml:space="preserve">· [Prevention Effect of Thymosin-alpha1 Aganist Early Ventilator-associated Pneumonia in Patients with Mechanical Ventilation]. PMID 26867337</w:t>
      </w:r>
    </w:p>
    <w:p>
      <w:pPr>
        <w:numPr>
          <w:ilvl w:val="0"/>
          <w:numId w:val="1391"/>
        </w:numPr>
        <w:pStyle w:val="Compact"/>
      </w:pPr>
      <w:r>
        <w:t xml:space="preserve">2015 · Xiao QS ·</w:t>
      </w:r>
      <w:r>
        <w:t xml:space="preserve"> </w:t>
      </w:r>
      <w:r>
        <w:rPr>
          <w:iCs/>
          <w:i/>
        </w:rPr>
        <w:t xml:space="preserve">Zhongguo Zhong Xi Yi Jie He Za Zhi</w:t>
      </w:r>
      <w:r>
        <w:t xml:space="preserve"> </w:t>
      </w:r>
      <w:r>
        <w:t xml:space="preserve">· [Effect of Acupuncture on Prognosis and Immune Function of Sepsis Patients]. PMID 26380438</w:t>
      </w:r>
    </w:p>
    <w:p>
      <w:pPr>
        <w:numPr>
          <w:ilvl w:val="0"/>
          <w:numId w:val="1391"/>
        </w:numPr>
        <w:pStyle w:val="Compact"/>
      </w:pPr>
      <w:r>
        <w:t xml:space="preserve">2015 · Jia Z ·</w:t>
      </w:r>
      <w:r>
        <w:t xml:space="preserve"> </w:t>
      </w:r>
      <w:r>
        <w:rPr>
          <w:iCs/>
          <w:i/>
        </w:rPr>
        <w:t xml:space="preserve">Immunopharmacol Immunotoxicol</w:t>
      </w:r>
      <w:r>
        <w:t xml:space="preserve"> </w:t>
      </w:r>
      <w:r>
        <w:t xml:space="preserve">· Thymosin α1 plus routine treatment inhibit inflammatory reaction and improve the quality of life in AECOPD patients. PMID 26250523</w:t>
      </w:r>
    </w:p>
    <w:p>
      <w:pPr>
        <w:numPr>
          <w:ilvl w:val="0"/>
          <w:numId w:val="1391"/>
        </w:numPr>
        <w:pStyle w:val="Compact"/>
      </w:pPr>
      <w:r>
        <w:t xml:space="preserve">2015 · Qiu SJ ·</w:t>
      </w:r>
      <w:r>
        <w:t xml:space="preserve"> </w:t>
      </w:r>
      <w:r>
        <w:rPr>
          <w:iCs/>
          <w:i/>
        </w:rPr>
        <w:t xml:space="preserve">Expert Opin Biol Ther</w:t>
      </w:r>
      <w:r>
        <w:t xml:space="preserve"> </w:t>
      </w:r>
      <w:r>
        <w:t xml:space="preserve">· A multicenter, randomized, observation-controlled clinical trial to evaluate the efficacy and safety of thymalfasin adjuvant therapy in patients with HBV-related HCC after curative resection - first announcement of the protocol. PMID 26094695</w:t>
      </w:r>
    </w:p>
    <w:p>
      <w:pPr>
        <w:numPr>
          <w:ilvl w:val="0"/>
          <w:numId w:val="1391"/>
        </w:numPr>
        <w:pStyle w:val="Compact"/>
      </w:pPr>
      <w:r>
        <w:t xml:space="preserve">2013 · Wu J ·</w:t>
      </w:r>
      <w:r>
        <w:t xml:space="preserve"> </w:t>
      </w:r>
      <w:r>
        <w:rPr>
          <w:iCs/>
          <w:i/>
        </w:rPr>
        <w:t xml:space="preserve">Crit Care</w:t>
      </w:r>
      <w:r>
        <w:t xml:space="preserve"> </w:t>
      </w:r>
      <w:r>
        <w:t xml:space="preserve">· The efficacy of thymosin alpha 1 for severe sepsis (ETASS): a multicenter, single-blind, randomized and controlled trial. PMID 23327199</w:t>
      </w:r>
    </w:p>
    <w:p>
      <w:pPr>
        <w:numPr>
          <w:ilvl w:val="0"/>
          <w:numId w:val="1391"/>
        </w:numPr>
        <w:pStyle w:val="Compact"/>
      </w:pPr>
      <w:r>
        <w:t xml:space="preserve">2012 · Kim BH ·</w:t>
      </w:r>
      <w:r>
        <w:t xml:space="preserve"> </w:t>
      </w:r>
      <w:r>
        <w:rPr>
          <w:iCs/>
          <w:i/>
        </w:rPr>
        <w:t xml:space="preserve">Scand J Gastroenterol</w:t>
      </w:r>
      <w:r>
        <w:t xml:space="preserve"> </w:t>
      </w:r>
      <w:r>
        <w:t xml:space="preserve">· Efficacy of thymosin α-1 plus peginterferon α-2a combination therapy compared with peginterferon α-2a monotherapy in HBeAg-positive chronic hepatitis B: a prospective, multicenter, randomized, open-label study. PMID 22726105</w:t>
      </w:r>
    </w:p>
    <w:p>
      <w:pPr>
        <w:numPr>
          <w:ilvl w:val="0"/>
          <w:numId w:val="1391"/>
        </w:numPr>
        <w:pStyle w:val="Compact"/>
      </w:pPr>
      <w:r>
        <w:t xml:space="preserve">2012 · Ciancio A ·</w:t>
      </w:r>
      <w:r>
        <w:t xml:space="preserve"> </w:t>
      </w:r>
      <w:r>
        <w:rPr>
          <w:iCs/>
          <w:i/>
        </w:rPr>
        <w:t xml:space="preserve">J Viral Hepat</w:t>
      </w:r>
      <w:r>
        <w:t xml:space="preserve"> </w:t>
      </w:r>
      <w:r>
        <w:t xml:space="preserve">· Thymosin alpha-1 with peginterferon alfa-2a/ribavirin for chronic hepatitis C not responsive to IFN/ribavirin: an adjuvant role?. PMID 22233415</w:t>
      </w:r>
    </w:p>
    <w:p>
      <w:pPr>
        <w:numPr>
          <w:ilvl w:val="0"/>
          <w:numId w:val="1391"/>
        </w:numPr>
        <w:pStyle w:val="Compact"/>
      </w:pPr>
      <w:r>
        <w:t xml:space="preserve">2011 · Wang X ·</w:t>
      </w:r>
      <w:r>
        <w:t xml:space="preserve"> </w:t>
      </w:r>
      <w:r>
        <w:rPr>
          <w:iCs/>
          <w:i/>
        </w:rPr>
        <w:t xml:space="preserve">Inflammation</w:t>
      </w:r>
      <w:r>
        <w:t xml:space="preserve"> </w:t>
      </w:r>
      <w:r>
        <w:t xml:space="preserve">· Thymosin alpha 1 is associated with improved cellular immunity and reduced infection rate in severe acute pancreatitis patients in a double-blind randomized control study. PMID 20549321</w:t>
      </w:r>
    </w:p>
    <w:p>
      <w:pPr>
        <w:numPr>
          <w:ilvl w:val="0"/>
          <w:numId w:val="1391"/>
        </w:numPr>
        <w:pStyle w:val="Compact"/>
      </w:pPr>
      <w:r>
        <w:t xml:space="preserve">2010 · Jiang YF ·</w:t>
      </w:r>
      <w:r>
        <w:t xml:space="preserve"> </w:t>
      </w:r>
      <w:r>
        <w:rPr>
          <w:iCs/>
          <w:i/>
        </w:rPr>
        <w:t xml:space="preserve">J Int Med Res</w:t>
      </w:r>
      <w:r>
        <w:t xml:space="preserve"> </w:t>
      </w:r>
      <w:r>
        <w:t xml:space="preserve">· Effect of thymosin-α(1) on T-helper 1 cell and T-helper 2 cell cytokine synthesis in patients with hepatitis B virus e antigen-positive chronic hepatitis B. PMID 21227010</w:t>
      </w:r>
    </w:p>
    <w:p>
      <w:pPr>
        <w:numPr>
          <w:ilvl w:val="0"/>
          <w:numId w:val="1391"/>
        </w:numPr>
        <w:pStyle w:val="Compact"/>
      </w:pPr>
      <w:r>
        <w:t xml:space="preserve">2010 · Maio M ·</w:t>
      </w:r>
      <w:r>
        <w:t xml:space="preserve"> </w:t>
      </w:r>
      <w:r>
        <w:rPr>
          <w:iCs/>
          <w:i/>
        </w:rPr>
        <w:t xml:space="preserve">J Clin Oncol</w:t>
      </w:r>
      <w:r>
        <w:t xml:space="preserve"> </w:t>
      </w:r>
      <w:r>
        <w:t xml:space="preserve">· Large randomized study of thymosin alpha 1, interferon alfa, or both in combination with dacarbazine in patients with metastatic melanoma. PMID 20194853</w:t>
      </w:r>
    </w:p>
    <w:p>
      <w:pPr>
        <w:numPr>
          <w:ilvl w:val="0"/>
          <w:numId w:val="1391"/>
        </w:numPr>
        <w:pStyle w:val="Compact"/>
      </w:pPr>
      <w:r>
        <w:t xml:space="preserve">2009 · Zhou LX ·</w:t>
      </w:r>
      <w:r>
        <w:t xml:space="preserve"> </w:t>
      </w:r>
      <w:r>
        <w:rPr>
          <w:iCs/>
          <w:i/>
        </w:rPr>
        <w:t xml:space="preserve">Zhonghua Yi Xue Za Zhi</w:t>
      </w:r>
      <w:r>
        <w:t xml:space="preserve"> </w:t>
      </w:r>
      <w:r>
        <w:t xml:space="preserve">· [Immune and inflammation confusion in severe sepsis and effects of bi-immunomodulation therapy: a prospective, randomized, controlled clinical trial]. PMID 19595251</w:t>
      </w:r>
    </w:p>
    <w:p>
      <w:pPr>
        <w:numPr>
          <w:ilvl w:val="0"/>
          <w:numId w:val="1391"/>
        </w:numPr>
        <w:pStyle w:val="Compact"/>
      </w:pPr>
      <w:r>
        <w:t xml:space="preserve">2009 · Chen H ·</w:t>
      </w:r>
      <w:r>
        <w:t xml:space="preserve"> </w:t>
      </w:r>
      <w:r>
        <w:rPr>
          <w:iCs/>
          <w:i/>
        </w:rPr>
        <w:t xml:space="preserve">Chin Med J (Engl)</w:t>
      </w:r>
      <w:r>
        <w:t xml:space="preserve"> </w:t>
      </w:r>
      <w:r>
        <w:t xml:space="preserve">· Treatment of patients with severe sepsis using ulinastatin and thymosin alpha1: a prospective, randomized, controlled pilot study. PMID 19493408</w:t>
      </w:r>
    </w:p>
    <w:p>
      <w:pPr>
        <w:numPr>
          <w:ilvl w:val="0"/>
          <w:numId w:val="1391"/>
        </w:numPr>
        <w:pStyle w:val="Compact"/>
      </w:pPr>
      <w:r>
        <w:t xml:space="preserve">2009 · Su L ·</w:t>
      </w:r>
      <w:r>
        <w:t xml:space="preserve"> </w:t>
      </w:r>
      <w:r>
        <w:rPr>
          <w:iCs/>
          <w:i/>
        </w:rPr>
        <w:t xml:space="preserve">Zhongguo Wei Zhong Bing Ji Jiu Yi Xue</w:t>
      </w:r>
      <w:r>
        <w:t xml:space="preserve"> </w:t>
      </w:r>
      <w:r>
        <w:t xml:space="preserve">· [Clinical effects of ulinastatin and thymosin alpha1 on immune-modulation in septic patients]. PMID 19278583</w:t>
      </w:r>
    </w:p>
    <w:p>
      <w:pPr>
        <w:numPr>
          <w:ilvl w:val="0"/>
          <w:numId w:val="1391"/>
        </w:numPr>
        <w:pStyle w:val="Compact"/>
      </w:pPr>
      <w:r>
        <w:t xml:space="preserve">2009 · Li YN ·</w:t>
      </w:r>
      <w:r>
        <w:t xml:space="preserve"> </w:t>
      </w:r>
      <w:r>
        <w:rPr>
          <w:iCs/>
          <w:i/>
        </w:rPr>
        <w:t xml:space="preserve">Zhongguo Wei Zhong Bing Ji Jiu Yi Xue</w:t>
      </w:r>
      <w:r>
        <w:t xml:space="preserve"> </w:t>
      </w:r>
      <w:r>
        <w:t xml:space="preserve">· [Effect of continuous blood purification and thymosin alpha1 on the cellular immunity in patients with severe sepsis: a prospective, randomized, controlled clinical trial]. PMID 19278581</w:t>
      </w:r>
    </w:p>
    <w:p>
      <w:pPr>
        <w:numPr>
          <w:ilvl w:val="0"/>
          <w:numId w:val="1391"/>
        </w:numPr>
        <w:pStyle w:val="Compact"/>
      </w:pPr>
      <w:r>
        <w:t xml:space="preserve">2009 · Li Yumin ·</w:t>
      </w:r>
      <w:r>
        <w:t xml:space="preserve"> </w:t>
      </w:r>
      <w:r>
        <w:rPr>
          <w:iCs/>
          <w:i/>
        </w:rPr>
        <w:t xml:space="preserve">J Intensive Care Med</w:t>
      </w:r>
      <w:r>
        <w:t xml:space="preserve"> </w:t>
      </w:r>
      <w:r>
        <w:t xml:space="preserve">· A new immunomodulatory therapy for severe sepsis: Ulinastatin Plus Thymosin {alpha} 1. PMID 19033321</w:t>
      </w:r>
    </w:p>
    <w:p>
      <w:pPr>
        <w:numPr>
          <w:ilvl w:val="0"/>
          <w:numId w:val="1391"/>
        </w:numPr>
        <w:pStyle w:val="Compact"/>
      </w:pPr>
      <w:r>
        <w:t xml:space="preserve">2008 · Poo JL ·</w:t>
      </w:r>
      <w:r>
        <w:t xml:space="preserve"> </w:t>
      </w:r>
      <w:r>
        <w:rPr>
          <w:iCs/>
          <w:i/>
        </w:rPr>
        <w:t xml:space="preserve">Ann Hepatol</w:t>
      </w:r>
      <w:r>
        <w:t xml:space="preserve"> </w:t>
      </w:r>
      <w:r>
        <w:t xml:space="preserve">· Efficacy of triple therapy with thymalfasin, peginterferon alpha-2a, and ribavirin for the treatment of hispanic chronic HCV nonresponders. PMID 19034238</w:t>
      </w:r>
    </w:p>
    <w:p>
      <w:pPr>
        <w:numPr>
          <w:ilvl w:val="0"/>
          <w:numId w:val="1391"/>
        </w:numPr>
        <w:pStyle w:val="Compact"/>
      </w:pPr>
      <w:r>
        <w:t xml:space="preserve">2008 · Zheng BX ·</w:t>
      </w:r>
      <w:r>
        <w:t xml:space="preserve"> </w:t>
      </w:r>
      <w:r>
        <w:rPr>
          <w:iCs/>
          <w:i/>
        </w:rPr>
        <w:t xml:space="preserve">Sichuan Da Xue Xue Bao Yi Xue Ban</w:t>
      </w:r>
      <w:r>
        <w:t xml:space="preserve"> </w:t>
      </w:r>
      <w:r>
        <w:t xml:space="preserve">· [The prophylactic effect of thymosin alpha 1 on the acute exacerbation of chronic obstructive pulmonary disease]. PMID 18798500</w:t>
      </w:r>
    </w:p>
    <w:p>
      <w:pPr>
        <w:numPr>
          <w:ilvl w:val="0"/>
          <w:numId w:val="1391"/>
        </w:numPr>
        <w:pStyle w:val="Compact"/>
      </w:pPr>
      <w:r>
        <w:t xml:space="preserve">2008 · Zhang Y ·</w:t>
      </w:r>
      <w:r>
        <w:t xml:space="preserve"> </w:t>
      </w:r>
      <w:r>
        <w:rPr>
          <w:iCs/>
          <w:i/>
        </w:rPr>
        <w:t xml:space="preserve">J Infect Dis</w:t>
      </w:r>
      <w:r>
        <w:t xml:space="preserve"> </w:t>
      </w:r>
      <w:r>
        <w:t xml:space="preserve">· Thymosin alpha1- and ulinastatin-based immunomodulatory strategy for sepsis arising from intra-abdominal infection due to carbapenem-resistant bacteria. PMID 18613793</w:t>
      </w:r>
    </w:p>
    <w:p>
      <w:pPr>
        <w:numPr>
          <w:ilvl w:val="0"/>
          <w:numId w:val="1391"/>
        </w:numPr>
        <w:pStyle w:val="Compact"/>
      </w:pPr>
      <w:r>
        <w:t xml:space="preserve">2008 · Loo WT ·</w:t>
      </w:r>
      <w:r>
        <w:t xml:space="preserve"> </w:t>
      </w:r>
      <w:r>
        <w:rPr>
          <w:iCs/>
          <w:i/>
        </w:rPr>
        <w:t xml:space="preserve">Am J Emerg Med</w:t>
      </w:r>
      <w:r>
        <w:t xml:space="preserve"> </w:t>
      </w:r>
      <w:r>
        <w:t xml:space="preserve">· Thymosin alpha 1 provides short-term and long-term benefits in the reimplantation of avulsed teeth: a double-blind randomized control pilot study. PMID 18534287</w:t>
      </w:r>
    </w:p>
    <w:p>
      <w:pPr>
        <w:numPr>
          <w:ilvl w:val="0"/>
          <w:numId w:val="1391"/>
        </w:numPr>
        <w:pStyle w:val="Compact"/>
      </w:pPr>
      <w:r>
        <w:t xml:space="preserve">2008 · Lee HW ·</w:t>
      </w:r>
      <w:r>
        <w:t xml:space="preserve"> </w:t>
      </w:r>
      <w:r>
        <w:rPr>
          <w:iCs/>
          <w:i/>
        </w:rPr>
        <w:t xml:space="preserve">J Gastroenterol Hepatol</w:t>
      </w:r>
      <w:r>
        <w:t xml:space="preserve"> </w:t>
      </w:r>
      <w:r>
        <w:t xml:space="preserve">· Combination therapy of thymosin alpha-1 and lamivudine for HBeAg positive chronic hepatitis B: A prospective randomized, comparative pilot study. PMID 18410608</w:t>
      </w:r>
    </w:p>
    <w:p>
      <w:pPr>
        <w:numPr>
          <w:ilvl w:val="0"/>
          <w:numId w:val="1391"/>
        </w:numPr>
        <w:pStyle w:val="Compact"/>
      </w:pPr>
      <w:r>
        <w:t xml:space="preserve">2007 · Wang L ·</w:t>
      </w:r>
      <w:r>
        <w:t xml:space="preserve"> </w:t>
      </w:r>
      <w:r>
        <w:rPr>
          <w:iCs/>
          <w:i/>
        </w:rPr>
        <w:t xml:space="preserve">Zhonghua Nei Ke Za Zhi</w:t>
      </w:r>
      <w:r>
        <w:t xml:space="preserve"> </w:t>
      </w:r>
      <w:r>
        <w:t xml:space="preserve">· [Combination therapy of thymosin alpha1 and high dose dexamethasone in patients with chronic idiopathic thrombocytopenic purpura]. PMID 17637261</w:t>
      </w:r>
    </w:p>
    <w:p>
      <w:pPr>
        <w:numPr>
          <w:ilvl w:val="0"/>
          <w:numId w:val="1391"/>
        </w:numPr>
        <w:pStyle w:val="Compact"/>
      </w:pPr>
      <w:r>
        <w:t xml:space="preserve">2007 · Ershler WB ·</w:t>
      </w:r>
      <w:r>
        <w:t xml:space="preserve"> </w:t>
      </w:r>
      <w:r>
        <w:rPr>
          <w:iCs/>
          <w:i/>
        </w:rPr>
        <w:t xml:space="preserve">Ann N Y Acad Sci</w:t>
      </w:r>
      <w:r>
        <w:t xml:space="preserve"> </w:t>
      </w:r>
      <w:r>
        <w:t xml:space="preserve">· Thymosin alpha 1 as an adjunct to influenza vaccination in the elderly: rationale and trial summaries. PMID 17600281</w:t>
      </w:r>
    </w:p>
    <w:p>
      <w:pPr>
        <w:numPr>
          <w:ilvl w:val="0"/>
          <w:numId w:val="1391"/>
        </w:numPr>
        <w:pStyle w:val="Compact"/>
      </w:pPr>
      <w:r>
        <w:t xml:space="preserve">2007 · Cooperative Group of immunomodulatory Therapy of Sepsis ·</w:t>
      </w:r>
      <w:r>
        <w:t xml:space="preserve"> </w:t>
      </w:r>
      <w:r>
        <w:rPr>
          <w:iCs/>
          <w:i/>
        </w:rPr>
        <w:t xml:space="preserve">Zhonghua Yi Xue Za Zhi</w:t>
      </w:r>
      <w:r>
        <w:t xml:space="preserve"> </w:t>
      </w:r>
      <w:r>
        <w:t xml:space="preserve">· [Clinical trial with a new immunomodulatory strategy: treatment of severe sepsis with Ulinastatin and Maipuxin]. PMID 17459221</w:t>
      </w:r>
    </w:p>
    <w:p>
      <w:pPr>
        <w:numPr>
          <w:ilvl w:val="0"/>
          <w:numId w:val="1391"/>
        </w:numPr>
        <w:pStyle w:val="Compact"/>
      </w:pPr>
      <w:r>
        <w:t xml:space="preserve">2007 · Ma LN ·</w:t>
      </w:r>
      <w:r>
        <w:t xml:space="preserve"> </w:t>
      </w:r>
      <w:r>
        <w:rPr>
          <w:iCs/>
          <w:i/>
        </w:rPr>
        <w:t xml:space="preserve">Zhonghua Gan Zang Bing Za Zhi</w:t>
      </w:r>
      <w:r>
        <w:t xml:space="preserve"> </w:t>
      </w:r>
      <w:r>
        <w:t xml:space="preserve">· [A clinical study of thymosin alpha1 as an auxiliary in treating spontaneous peritonitis in patients with liver cirrhosis]. PMID 17407720</w:t>
      </w:r>
    </w:p>
    <w:p>
      <w:pPr>
        <w:numPr>
          <w:ilvl w:val="0"/>
          <w:numId w:val="1391"/>
        </w:numPr>
        <w:pStyle w:val="Compact"/>
      </w:pPr>
      <w:r>
        <w:t xml:space="preserve">2007 · Chen J ·</w:t>
      </w:r>
      <w:r>
        <w:t xml:space="preserve"> </w:t>
      </w:r>
      <w:r>
        <w:rPr>
          <w:iCs/>
          <w:i/>
        </w:rPr>
        <w:t xml:space="preserve">Zhongguo Wei Zhong Bing Ji Jiu Yi Xue</w:t>
      </w:r>
      <w:r>
        <w:t xml:space="preserve"> </w:t>
      </w:r>
      <w:r>
        <w:t xml:space="preserve">· [Effects of thymosin-alpha1 on cell immunity function in patients with septic shock]. PMID 17376268</w:t>
      </w:r>
    </w:p>
    <w:p>
      <w:pPr>
        <w:numPr>
          <w:ilvl w:val="0"/>
          <w:numId w:val="1391"/>
        </w:numPr>
        <w:pStyle w:val="Compact"/>
      </w:pPr>
      <w:r>
        <w:t xml:space="preserve">2006 · Chien RN ·</w:t>
      </w:r>
      <w:r>
        <w:t xml:space="preserve"> </w:t>
      </w:r>
      <w:r>
        <w:rPr>
          <w:iCs/>
          <w:i/>
        </w:rPr>
        <w:t xml:space="preserve">J Viral Hepat</w:t>
      </w:r>
      <w:r>
        <w:t xml:space="preserve"> </w:t>
      </w:r>
      <w:r>
        <w:t xml:space="preserve">· Hepatitis B virus genotype B is associated with better response to thymosin alpha1 therapy than genotype C. PMID 17109685</w:t>
      </w:r>
    </w:p>
    <w:p>
      <w:pPr>
        <w:numPr>
          <w:ilvl w:val="0"/>
          <w:numId w:val="1391"/>
        </w:numPr>
        <w:pStyle w:val="Compact"/>
      </w:pPr>
      <w:r>
        <w:t xml:space="preserve">2006 · Huang SW ·</w:t>
      </w:r>
      <w:r>
        <w:t xml:space="preserve"> </w:t>
      </w:r>
      <w:r>
        <w:rPr>
          <w:iCs/>
          <w:i/>
        </w:rPr>
        <w:t xml:space="preserve">Zhongguo Wei Zhong Bing Ji Jiu Yi Xue</w:t>
      </w:r>
      <w:r>
        <w:t xml:space="preserve"> </w:t>
      </w:r>
      <w:r>
        <w:t xml:space="preserve">· [Clinical study and long-term evaluation of immunomodulation therapy on trauma, severe sepsis and multiple organ dysfunction syndrome patients]. PMID 17092412</w:t>
      </w:r>
    </w:p>
    <w:p>
      <w:pPr>
        <w:numPr>
          <w:ilvl w:val="0"/>
          <w:numId w:val="1391"/>
        </w:numPr>
        <w:pStyle w:val="Compact"/>
      </w:pPr>
      <w:r>
        <w:t xml:space="preserve">2006 · You J ·</w:t>
      </w:r>
      <w:r>
        <w:t xml:space="preserve"> </w:t>
      </w:r>
      <w:r>
        <w:rPr>
          <w:iCs/>
          <w:i/>
        </w:rPr>
        <w:t xml:space="preserve">World J Gastroenterol</w:t>
      </w:r>
      <w:r>
        <w:t xml:space="preserve"> </w:t>
      </w:r>
      <w:r>
        <w:t xml:space="preserve">· Efficacy of thymosin alpha-1 and interferon alpha in treatment of chronic viral hepatitis B: a randomized controlled study. PMID 17075991</w:t>
      </w:r>
    </w:p>
    <w:p>
      <w:pPr>
        <w:numPr>
          <w:ilvl w:val="0"/>
          <w:numId w:val="1391"/>
        </w:numPr>
        <w:pStyle w:val="Compact"/>
      </w:pPr>
      <w:r>
        <w:t xml:space="preserve">2006 · Lim SG ·</w:t>
      </w:r>
      <w:r>
        <w:t xml:space="preserve"> </w:t>
      </w:r>
      <w:r>
        <w:rPr>
          <w:iCs/>
          <w:i/>
        </w:rPr>
        <w:t xml:space="preserve">Antivir Ther</w:t>
      </w:r>
      <w:r>
        <w:t xml:space="preserve"> </w:t>
      </w:r>
      <w:r>
        <w:t xml:space="preserve">· A randomized, placebo-controlled trial of thymosin-alpha1 and lymphoblastoid interferon for HBeAg-positive chronic hepatitis B. PMID 16640105</w:t>
      </w:r>
    </w:p>
    <w:p>
      <w:pPr>
        <w:numPr>
          <w:ilvl w:val="0"/>
          <w:numId w:val="1391"/>
        </w:numPr>
        <w:pStyle w:val="Compact"/>
      </w:pPr>
      <w:r>
        <w:t xml:space="preserve">2006 · Shuqun C ·</w:t>
      </w:r>
      <w:r>
        <w:t xml:space="preserve"> </w:t>
      </w:r>
      <w:r>
        <w:rPr>
          <w:iCs/>
          <w:i/>
        </w:rPr>
        <w:t xml:space="preserve">Hepatogastroenterology</w:t>
      </w:r>
      <w:r>
        <w:t xml:space="preserve"> </w:t>
      </w:r>
      <w:r>
        <w:t xml:space="preserve">· Antiviral therapy using lamivudine and thymosin alpha1 for hepatocellular carcinoma coexisting with chronic hepatitis B infection. PMID 16608033</w:t>
      </w:r>
    </w:p>
    <w:p>
      <w:pPr>
        <w:numPr>
          <w:ilvl w:val="0"/>
          <w:numId w:val="1391"/>
        </w:numPr>
        <w:pStyle w:val="Compact"/>
      </w:pPr>
      <w:r>
        <w:t xml:space="preserve">2006 · Huang DP ·</w:t>
      </w:r>
      <w:r>
        <w:t xml:space="preserve"> </w:t>
      </w:r>
      <w:r>
        <w:rPr>
          <w:iCs/>
          <w:i/>
        </w:rPr>
        <w:t xml:space="preserve">Nan Fang Yi Ke Da Xue Xue Bao</w:t>
      </w:r>
      <w:r>
        <w:t xml:space="preserve"> </w:t>
      </w:r>
      <w:r>
        <w:t xml:space="preserve">· [Prevention and management of lung infections with thymosin alpha1 in critical patients with tracheotomy]. PMID 16495194</w:t>
      </w:r>
    </w:p>
    <w:p>
      <w:pPr>
        <w:numPr>
          <w:ilvl w:val="0"/>
          <w:numId w:val="1391"/>
        </w:numPr>
        <w:pStyle w:val="Compact"/>
      </w:pPr>
      <w:r>
        <w:t xml:space="preserve">2005 · Cui SN ·</w:t>
      </w:r>
      <w:r>
        <w:t xml:space="preserve"> </w:t>
      </w:r>
      <w:r>
        <w:rPr>
          <w:iCs/>
          <w:i/>
        </w:rPr>
        <w:t xml:space="preserve">Zhonghua Shi Yan He Lin Chuang Bing Du Xue Za Zhi</w:t>
      </w:r>
      <w:r>
        <w:t xml:space="preserve"> </w:t>
      </w:r>
      <w:r>
        <w:t xml:space="preserve">· [Antiviral therapy of chronic hepatitis B patients resistant to lamivudine]. PMID 16416004</w:t>
      </w:r>
    </w:p>
    <w:p>
      <w:pPr>
        <w:numPr>
          <w:ilvl w:val="0"/>
          <w:numId w:val="1391"/>
        </w:numPr>
        <w:pStyle w:val="Compact"/>
      </w:pPr>
      <w:r>
        <w:t xml:space="preserve">2005 · Cheng SQ ·</w:t>
      </w:r>
      <w:r>
        <w:t xml:space="preserve"> </w:t>
      </w:r>
      <w:r>
        <w:rPr>
          <w:iCs/>
          <w:i/>
        </w:rPr>
        <w:t xml:space="preserve">Zhonghua Zhong Liu Za Zhi</w:t>
      </w:r>
      <w:r>
        <w:t xml:space="preserve"> </w:t>
      </w:r>
      <w:r>
        <w:t xml:space="preserve">· [Anti-viral therapy using lamivudine and thymosin is helpful to prevent recurrence in hepatocellular carcinoma with coexisting active hepatitis B]. PMID 15946554</w:t>
      </w:r>
    </w:p>
    <w:p>
      <w:pPr>
        <w:numPr>
          <w:ilvl w:val="0"/>
          <w:numId w:val="1391"/>
        </w:numPr>
        <w:pStyle w:val="Compact"/>
      </w:pPr>
      <w:r>
        <w:t xml:space="preserve">2005 · Iino S ·</w:t>
      </w:r>
      <w:r>
        <w:t xml:space="preserve"> </w:t>
      </w:r>
      <w:r>
        <w:rPr>
          <w:iCs/>
          <w:i/>
        </w:rPr>
        <w:t xml:space="preserve">J Viral Hepat</w:t>
      </w:r>
      <w:r>
        <w:t xml:space="preserve"> </w:t>
      </w:r>
      <w:r>
        <w:t xml:space="preserve">· The efficacy and safety of thymosin alpha-1 in Japanese patients with chronic hepatitis B; results from a randomized clinical trial. PMID 15850471</w:t>
      </w:r>
    </w:p>
    <w:p>
      <w:pPr>
        <w:numPr>
          <w:ilvl w:val="0"/>
          <w:numId w:val="1391"/>
        </w:numPr>
        <w:pStyle w:val="Compact"/>
      </w:pPr>
      <w:r>
        <w:t xml:space="preserve">2005 · You J ·</w:t>
      </w:r>
      <w:r>
        <w:t xml:space="preserve"> </w:t>
      </w:r>
      <w:r>
        <w:rPr>
          <w:iCs/>
          <w:i/>
        </w:rPr>
        <w:t xml:space="preserve">J Chin Med Assoc</w:t>
      </w:r>
      <w:r>
        <w:t xml:space="preserve"> </w:t>
      </w:r>
      <w:r>
        <w:t xml:space="preserve">· A randomized, controlled, clinical study of thymosin alpha-1 versus interferon-alpha in [corrected] patients with chronic hepatitis B lacking HBeAg in China [corrected]. PMID 15759817</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15641209</w:t>
      </w:r>
    </w:p>
    <w:p>
      <w:pPr>
        <w:numPr>
          <w:ilvl w:val="0"/>
          <w:numId w:val="1391"/>
        </w:numPr>
        <w:pStyle w:val="Compact"/>
      </w:pPr>
      <w:r>
        <w:t xml:space="preserve">2004 · Poo JL ·</w:t>
      </w:r>
      <w:r>
        <w:t xml:space="preserve"> </w:t>
      </w:r>
      <w:r>
        <w:rPr>
          <w:iCs/>
          <w:i/>
        </w:rPr>
        <w:t xml:space="preserve">J Gastroenterol Hepatol</w:t>
      </w:r>
      <w:r>
        <w:t xml:space="preserve"> </w:t>
      </w:r>
      <w:r>
        <w:t xml:space="preserve">· Triple combination of thymalfasin, peginterferon alfa-2a and ribavirin in patients with chronic hepatitis C who have failed prior interferon and ribavirin treatment: 24-week interim results of a pilot study. PMID 15546256</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15546255</w:t>
      </w:r>
    </w:p>
    <w:p>
      <w:pPr>
        <w:numPr>
          <w:ilvl w:val="0"/>
          <w:numId w:val="1391"/>
        </w:numPr>
        <w:pStyle w:val="Compact"/>
      </w:pPr>
      <w:r>
        <w:t xml:space="preserve">2004 · Chien RN ·</w:t>
      </w:r>
      <w:r>
        <w:t xml:space="preserve"> </w:t>
      </w:r>
      <w:r>
        <w:rPr>
          <w:iCs/>
          <w:i/>
        </w:rPr>
        <w:t xml:space="preserve">Expert Rev Anti Infect Ther</w:t>
      </w:r>
      <w:r>
        <w:t xml:space="preserve"> </w:t>
      </w:r>
      <w:r>
        <w:t xml:space="preserve">· Thymalfasin for the treatment of chronic hepatitis B. PMID 15482167</w:t>
      </w:r>
    </w:p>
    <w:p>
      <w:pPr>
        <w:numPr>
          <w:ilvl w:val="0"/>
          <w:numId w:val="1391"/>
        </w:numPr>
        <w:pStyle w:val="Compact"/>
      </w:pPr>
      <w:r>
        <w:t xml:space="preserve">2004 · Shuqun C ·</w:t>
      </w:r>
      <w:r>
        <w:t xml:space="preserve"> </w:t>
      </w:r>
      <w:r>
        <w:rPr>
          <w:iCs/>
          <w:i/>
        </w:rPr>
        <w:t xml:space="preserve">Hepatogastroenterology</w:t>
      </w:r>
      <w:r>
        <w:t xml:space="preserve"> </w:t>
      </w:r>
      <w:r>
        <w:t xml:space="preserve">· Combination transcatheter hepatic arterial chemoembolization with thymosin alpha1 on recurrence prevention of hepatocellular carcinoma. PMID 15362772</w:t>
      </w:r>
    </w:p>
    <w:p>
      <w:pPr>
        <w:numPr>
          <w:ilvl w:val="0"/>
          <w:numId w:val="1391"/>
        </w:numPr>
        <w:pStyle w:val="Compact"/>
      </w:pPr>
      <w:r>
        <w:t xml:space="preserve">2004 · Lei CL ·</w:t>
      </w:r>
      <w:r>
        <w:t xml:space="preserve"> </w:t>
      </w:r>
      <w:r>
        <w:rPr>
          <w:iCs/>
          <w:i/>
        </w:rPr>
        <w:t xml:space="preserve">Zhonghua Shi Yan He Lin Chuang Bing Du Xue Za Zhi</w:t>
      </w:r>
      <w:r>
        <w:t xml:space="preserve"> </w:t>
      </w:r>
      <w:r>
        <w:t xml:space="preserve">· [Clinical trial of sequential antiviral therapy for patients with chronic hepatitis B in China]. PMID 15340532</w:t>
      </w:r>
    </w:p>
    <w:p>
      <w:pPr>
        <w:numPr>
          <w:ilvl w:val="0"/>
          <w:numId w:val="1391"/>
        </w:numPr>
        <w:pStyle w:val="Compact"/>
      </w:pPr>
      <w:r>
        <w:t xml:space="preserve">2004 · Cheng SQ ·</w:t>
      </w:r>
      <w:r>
        <w:t xml:space="preserve"> </w:t>
      </w:r>
      <w:r>
        <w:rPr>
          <w:iCs/>
          <w:i/>
        </w:rPr>
        <w:t xml:space="preserve">Zhonghua Zhong Liu Za Zhi</w:t>
      </w:r>
      <w:r>
        <w:t xml:space="preserve"> </w:t>
      </w:r>
      <w:r>
        <w:t xml:space="preserve">· [Transcatheter hepatic arterial chemoembolization and thymosin alpha1 in postoperative treatment of hepatocellular carcinoma]. PMID 15312371</w:t>
      </w:r>
    </w:p>
    <w:p>
      <w:pPr>
        <w:numPr>
          <w:ilvl w:val="0"/>
          <w:numId w:val="1391"/>
        </w:numPr>
        <w:pStyle w:val="Compact"/>
      </w:pPr>
      <w:r>
        <w:t xml:space="preserve">2004 · Andreone P ·</w:t>
      </w:r>
      <w:r>
        <w:t xml:space="preserve"> </w:t>
      </w:r>
      <w:r>
        <w:rPr>
          <w:iCs/>
          <w:i/>
        </w:rPr>
        <w:t xml:space="preserve">J Viral Hepat</w:t>
      </w:r>
      <w:r>
        <w:t xml:space="preserve"> </w:t>
      </w:r>
      <w:r>
        <w:t xml:space="preserve">· Thymosin-alpha 1 plus interferon-alpha for naive patients with chronic hepatitis C: results of a randomized controlled pilot trial. PMID 14738560</w:t>
      </w:r>
    </w:p>
    <w:p>
      <w:pPr>
        <w:numPr>
          <w:ilvl w:val="0"/>
          <w:numId w:val="1391"/>
        </w:numPr>
        <w:pStyle w:val="Compact"/>
      </w:pPr>
      <w:r>
        <w:t xml:space="preserve">2003 · Chadwick D ·</w:t>
      </w:r>
      <w:r>
        <w:t xml:space="preserve"> </w:t>
      </w:r>
      <w:r>
        <w:rPr>
          <w:iCs/>
          <w:i/>
        </w:rPr>
        <w:t xml:space="preserve">Clin Exp Immunol</w:t>
      </w:r>
      <w:r>
        <w:t xml:space="preserve"> </w:t>
      </w:r>
      <w:r>
        <w:t xml:space="preserve">· A pilot study of the safety and efficacy of thymosin alpha 1 in augmenting immune reconstitution in HIV-infected patients with low CD4 counts taking highly active antiretroviral therapy. PMID 14632754</w:t>
      </w:r>
    </w:p>
    <w:p>
      <w:pPr>
        <w:numPr>
          <w:ilvl w:val="0"/>
          <w:numId w:val="1391"/>
        </w:numPr>
        <w:pStyle w:val="Compact"/>
      </w:pPr>
      <w:r>
        <w:t xml:space="preserve">2003 · Arase Y ·</w:t>
      </w:r>
      <w:r>
        <w:t xml:space="preserve"> </w:t>
      </w:r>
      <w:r>
        <w:rPr>
          <w:iCs/>
          <w:i/>
        </w:rPr>
        <w:t xml:space="preserve">Intern Med</w:t>
      </w:r>
      <w:r>
        <w:t xml:space="preserve"> </w:t>
      </w:r>
      <w:r>
        <w:t xml:space="preserve">· A pilot study of thymosin alpha1 therapy for chronic hepatitis B patients. PMID 14606705</w:t>
      </w:r>
    </w:p>
    <w:p>
      <w:pPr>
        <w:numPr>
          <w:ilvl w:val="0"/>
          <w:numId w:val="1391"/>
        </w:numPr>
        <w:pStyle w:val="Compact"/>
      </w:pPr>
      <w:r>
        <w:t xml:space="preserve">2003 · Saruc M ·</w:t>
      </w:r>
      <w:r>
        <w:t xml:space="preserve"> </w:t>
      </w:r>
      <w:r>
        <w:rPr>
          <w:iCs/>
          <w:i/>
        </w:rPr>
        <w:t xml:space="preserve">J Pharm Sci</w:t>
      </w:r>
      <w:r>
        <w:t xml:space="preserve"> </w:t>
      </w:r>
      <w:r>
        <w:t xml:space="preserve">· Long-term outcomes of thymosin-alpha 1 and interferon alpha-2b combination therapy in patients with hepatitis B e antigen (HBeAg) negative chronic hepatitis B. PMID 12820143</w:t>
      </w:r>
    </w:p>
    <w:p>
      <w:pPr>
        <w:numPr>
          <w:ilvl w:val="0"/>
          <w:numId w:val="1391"/>
        </w:numPr>
        <w:pStyle w:val="Compact"/>
      </w:pPr>
      <w:r>
        <w:t xml:space="preserve">2002 · Lau GK ·</w:t>
      </w:r>
      <w:r>
        <w:t xml:space="preserve"> </w:t>
      </w:r>
      <w:r>
        <w:rPr>
          <w:iCs/>
          <w:i/>
        </w:rPr>
        <w:t xml:space="preserve">J Viral Hepat</w:t>
      </w:r>
      <w:r>
        <w:t xml:space="preserve"> </w:t>
      </w:r>
      <w:r>
        <w:t xml:space="preserve">· Thymosin-alpha1 and famciclovir combination therapy activates T-cell response in patients with chronic hepatitis B virus infection in immune-tolerant phase. PMID 12081605</w:t>
      </w:r>
    </w:p>
    <w:p>
      <w:pPr>
        <w:numPr>
          <w:ilvl w:val="0"/>
          <w:numId w:val="1391"/>
        </w:numPr>
        <w:pStyle w:val="Compact"/>
      </w:pPr>
      <w:r>
        <w:t xml:space="preserve">2002 · Amarapurkar D ·</w:t>
      </w:r>
      <w:r>
        <w:t xml:space="preserve"> </w:t>
      </w:r>
      <w:r>
        <w:rPr>
          <w:iCs/>
          <w:i/>
        </w:rPr>
        <w:t xml:space="preserve">Indian J Gastroenterol</w:t>
      </w:r>
      <w:r>
        <w:t xml:space="preserve"> </w:t>
      </w:r>
      <w:r>
        <w:t xml:space="preserve">· Thymosin alpha in the treatment of chronic hepatitis B: an uncontrolled open-label trial. PMID 11990327</w:t>
      </w:r>
    </w:p>
    <w:p>
      <w:pPr>
        <w:numPr>
          <w:ilvl w:val="0"/>
          <w:numId w:val="1391"/>
        </w:numPr>
        <w:pStyle w:val="Compact"/>
      </w:pPr>
      <w:r>
        <w:t xml:space="preserve">2001 · Kullavanuaya P ·</w:t>
      </w:r>
      <w:r>
        <w:t xml:space="preserve"> </w:t>
      </w:r>
      <w:r>
        <w:rPr>
          <w:iCs/>
          <w:i/>
        </w:rPr>
        <w:t xml:space="preserve">J Med Assoc Thai</w:t>
      </w:r>
      <w:r>
        <w:t xml:space="preserve"> </w:t>
      </w:r>
      <w:r>
        <w:t xml:space="preserve">· The combined treatment of interferon alpha-2a and thymosin alpha 1 for chronic hepatitis C: the 48 weeks end of treatment results. PMID 11529376</w:t>
      </w:r>
    </w:p>
    <w:p>
      <w:pPr>
        <w:numPr>
          <w:ilvl w:val="0"/>
          <w:numId w:val="1391"/>
        </w:numPr>
        <w:pStyle w:val="Compact"/>
      </w:pPr>
      <w:r>
        <w:t xml:space="preserve">2000 · Rasi G ·</w:t>
      </w:r>
      <w:r>
        <w:t xml:space="preserve"> </w:t>
      </w:r>
      <w:r>
        <w:rPr>
          <w:iCs/>
          <w:i/>
        </w:rPr>
        <w:t xml:space="preserve">Melanoma Res</w:t>
      </w:r>
      <w:r>
        <w:t xml:space="preserve"> </w:t>
      </w:r>
      <w:r>
        <w:t xml:space="preserve">· Combined treatment with thymosin-alpha1 and low dose interferon-alpha after dacarbazine in advanced melanoma. PMID 10803720</w:t>
      </w:r>
    </w:p>
    <w:p>
      <w:pPr>
        <w:numPr>
          <w:ilvl w:val="0"/>
          <w:numId w:val="1391"/>
        </w:numPr>
        <w:pStyle w:val="Compact"/>
      </w:pPr>
      <w:r>
        <w:t xml:space="preserve">2000 · Zavaglia C ·</w:t>
      </w:r>
      <w:r>
        <w:t xml:space="preserve"> </w:t>
      </w:r>
      <w:r>
        <w:rPr>
          <w:iCs/>
          <w:i/>
        </w:rPr>
        <w:t xml:space="preserve">Dig Dis Sci</w:t>
      </w:r>
      <w:r>
        <w:t xml:space="preserve"> </w:t>
      </w:r>
      <w:r>
        <w:t xml:space="preserve">· A randomized, controlled study of thymosin-alpha1 therapy in patients with anti-HBe, HBV-DNA-positive chronic hepatitis B. PMID 10759236</w:t>
      </w:r>
    </w:p>
    <w:p>
      <w:pPr>
        <w:numPr>
          <w:ilvl w:val="0"/>
          <w:numId w:val="1391"/>
        </w:numPr>
        <w:pStyle w:val="Compact"/>
      </w:pPr>
      <w:r>
        <w:t xml:space="preserve">2000 · Molinero P ·</w:t>
      </w:r>
      <w:r>
        <w:t xml:space="preserve"> </w:t>
      </w:r>
      <w:r>
        <w:rPr>
          <w:iCs/>
          <w:i/>
        </w:rPr>
        <w:t xml:space="preserve">J Neuroimmunol</w:t>
      </w:r>
      <w:r>
        <w:t xml:space="preserve"> </w:t>
      </w:r>
      <w:r>
        <w:t xml:space="preserve">· Melatonin is responsible for the nocturnal increase observed in serum and thymus of thymosin alpha1 and thymulin concentrations: observations in rats and humans. PMID 10696913</w:t>
      </w:r>
    </w:p>
    <w:p>
      <w:pPr>
        <w:numPr>
          <w:ilvl w:val="0"/>
          <w:numId w:val="1391"/>
        </w:numPr>
        <w:pStyle w:val="Compact"/>
      </w:pPr>
      <w:r>
        <w:t xml:space="preserve">1999 · Mutchnick MG ·</w:t>
      </w:r>
      <w:r>
        <w:t xml:space="preserve"> </w:t>
      </w:r>
      <w:r>
        <w:rPr>
          <w:iCs/>
          <w:i/>
        </w:rPr>
        <w:t xml:space="preserve">J Viral Hepat</w:t>
      </w:r>
      <w:r>
        <w:t xml:space="preserve"> </w:t>
      </w:r>
      <w:r>
        <w:t xml:space="preserve">· Thymosin alpha1 treatment of chronic hepatitis B: results of a phase III multicentre, randomized, double-blind and placebo-controlled study. PMID 10607256</w:t>
      </w:r>
    </w:p>
    <w:p>
      <w:pPr>
        <w:numPr>
          <w:ilvl w:val="0"/>
          <w:numId w:val="1391"/>
        </w:numPr>
        <w:pStyle w:val="Compact"/>
      </w:pPr>
      <w:r>
        <w:t xml:space="preserve">1999 · Rost KL ·</w:t>
      </w:r>
      <w:r>
        <w:t xml:space="preserve"> </w:t>
      </w:r>
      <w:r>
        <w:rPr>
          <w:iCs/>
          <w:i/>
        </w:rPr>
        <w:t xml:space="preserve">Int J Clin Pharmacol Ther</w:t>
      </w:r>
      <w:r>
        <w:t xml:space="preserve"> </w:t>
      </w:r>
      <w:r>
        <w:t xml:space="preserve">· Pharmacokinetics of thymosin alpha1 after subcutaneous injection of three different formulations in healthy volunteers. PMID 10027483</w:t>
      </w:r>
    </w:p>
    <w:p>
      <w:pPr>
        <w:numPr>
          <w:ilvl w:val="0"/>
          <w:numId w:val="1391"/>
        </w:numPr>
        <w:pStyle w:val="Compact"/>
      </w:pPr>
      <w:r>
        <w:t xml:space="preserve">1998 · Moscarella S ·</w:t>
      </w:r>
      <w:r>
        <w:t xml:space="preserve"> </w:t>
      </w:r>
      <w:r>
        <w:rPr>
          <w:iCs/>
          <w:i/>
        </w:rPr>
        <w:t xml:space="preserve">Liver</w:t>
      </w:r>
      <w:r>
        <w:t xml:space="preserve"> </w:t>
      </w:r>
      <w:r>
        <w:t xml:space="preserve">· Interferon and thymosin combination therapy in naive patients with chronic hepatitis C: preliminary results. PMID 9831367</w:t>
      </w:r>
    </w:p>
    <w:p>
      <w:pPr>
        <w:numPr>
          <w:ilvl w:val="0"/>
          <w:numId w:val="1391"/>
        </w:numPr>
        <w:pStyle w:val="Compact"/>
      </w:pPr>
      <w:r>
        <w:t xml:space="preserve">1998 · Chien RN ·</w:t>
      </w:r>
      <w:r>
        <w:t xml:space="preserve"> </w:t>
      </w:r>
      <w:r>
        <w:rPr>
          <w:iCs/>
          <w:i/>
        </w:rPr>
        <w:t xml:space="preserve">Hepatology</w:t>
      </w:r>
      <w:r>
        <w:t xml:space="preserve"> </w:t>
      </w:r>
      <w:r>
        <w:t xml:space="preserve">· Efficacy of thymosin alpha1 in patients with chronic hepatitis B: a randomized, controlled trial. PMID 9581695</w:t>
      </w:r>
    </w:p>
    <w:p>
      <w:pPr>
        <w:numPr>
          <w:ilvl w:val="0"/>
          <w:numId w:val="1391"/>
        </w:numPr>
        <w:pStyle w:val="Compact"/>
      </w:pPr>
      <w:r>
        <w:t xml:space="preserve">1998 · Sherman KE ·</w:t>
      </w:r>
      <w:r>
        <w:t xml:space="preserve"> </w:t>
      </w:r>
      <w:r>
        <w:rPr>
          <w:iCs/>
          <w:i/>
        </w:rPr>
        <w:t xml:space="preserve">Hepatology</w:t>
      </w:r>
      <w:r>
        <w:t xml:space="preserve"> </w:t>
      </w:r>
      <w:r>
        <w:t xml:space="preserve">· Combination therapy with thymosin alpha1 and interferon for the treatment of chronic hepatitis C infection: a randomized, placebo-controlled double-blind trial. PMID 9537454</w:t>
      </w:r>
    </w:p>
    <w:p>
      <w:pPr>
        <w:numPr>
          <w:ilvl w:val="0"/>
          <w:numId w:val="1391"/>
        </w:numPr>
        <w:pStyle w:val="Compact"/>
      </w:pPr>
      <w:r>
        <w:t xml:space="preserve">1996 · Zavaglia C ·</w:t>
      </w:r>
      <w:r>
        <w:t xml:space="preserve"> </w:t>
      </w:r>
      <w:r>
        <w:rPr>
          <w:iCs/>
          <w:i/>
        </w:rPr>
        <w:t xml:space="preserve">J Clin Gastroenterol</w:t>
      </w:r>
      <w:r>
        <w:t xml:space="preserve"> </w:t>
      </w:r>
      <w:r>
        <w:t xml:space="preserve">· A pilot study of thymosin-alpha 1 therapy for chronic hepatitis D. PMID 8877652</w:t>
      </w:r>
    </w:p>
    <w:p>
      <w:pPr>
        <w:numPr>
          <w:ilvl w:val="0"/>
          <w:numId w:val="1391"/>
        </w:numPr>
        <w:pStyle w:val="Compact"/>
      </w:pPr>
      <w:r>
        <w:t xml:space="preserve">1996 · Andreone P ·</w:t>
      </w:r>
      <w:r>
        <w:t xml:space="preserve"> </w:t>
      </w:r>
      <w:r>
        <w:rPr>
          <w:iCs/>
          <w:i/>
        </w:rPr>
        <w:t xml:space="preserve">Liver</w:t>
      </w:r>
      <w:r>
        <w:t xml:space="preserve"> </w:t>
      </w:r>
      <w:r>
        <w:t xml:space="preserve">· A double-blind, placebo-controlled, pilot trial of thymosin alpha 1 for the treatment of chronic hepatitis C. PMID 8873009</w:t>
      </w:r>
    </w:p>
    <w:p>
      <w:pPr>
        <w:numPr>
          <w:ilvl w:val="0"/>
          <w:numId w:val="1391"/>
        </w:numPr>
        <w:pStyle w:val="Compact"/>
      </w:pPr>
      <w:r>
        <w:t xml:space="preserve">1996 · Rasi G ·</w:t>
      </w:r>
      <w:r>
        <w:t xml:space="preserve"> </w:t>
      </w:r>
      <w:r>
        <w:rPr>
          <w:iCs/>
          <w:i/>
        </w:rPr>
        <w:t xml:space="preserve">J Viral Hepat</w:t>
      </w:r>
      <w:r>
        <w:t xml:space="preserve"> </w:t>
      </w:r>
      <w:r>
        <w:t xml:space="preserve">· Combination low-dose lymphoblastoid interferon and thymosin alpha 1 therapy in the treatment of chronic hepatitis B. PMID 8871880</w:t>
      </w:r>
    </w:p>
    <w:p>
      <w:pPr>
        <w:numPr>
          <w:ilvl w:val="0"/>
          <w:numId w:val="1391"/>
        </w:numPr>
        <w:pStyle w:val="Compact"/>
      </w:pPr>
      <w:r>
        <w:t xml:space="preserve">1996 · Andreone P ·</w:t>
      </w:r>
      <w:r>
        <w:t xml:space="preserve"> </w:t>
      </w:r>
      <w:r>
        <w:rPr>
          <w:iCs/>
          <w:i/>
        </w:rPr>
        <w:t xml:space="preserve">Hepatology</w:t>
      </w:r>
      <w:r>
        <w:t xml:space="preserve"> </w:t>
      </w:r>
      <w:r>
        <w:t xml:space="preserve">· A randomized controlled trial of thymosin-alpha1 versus interferon alfa treatment in patients with hepatitis B e antigen antibody–and hepatitis B virus DNA–positive chronic hepatitis B. PMID 8855175</w:t>
      </w:r>
    </w:p>
    <w:p>
      <w:pPr>
        <w:numPr>
          <w:ilvl w:val="0"/>
          <w:numId w:val="1391"/>
        </w:numPr>
        <w:pStyle w:val="Compact"/>
      </w:pPr>
      <w:r>
        <w:t xml:space="preserve">1996 · Salvati F ·</w:t>
      </w:r>
      <w:r>
        <w:t xml:space="preserve"> </w:t>
      </w:r>
      <w:r>
        <w:rPr>
          <w:iCs/>
          <w:i/>
        </w:rPr>
        <w:t xml:space="preserve">Anticancer Res</w:t>
      </w:r>
      <w:r>
        <w:t xml:space="preserve"> </w:t>
      </w:r>
      <w:r>
        <w:t xml:space="preserve">· Combined treatment with thymosin-alpha1 and low-dose interferon-alpha after ifosfamide in non-small cell lung cancer: a phase-II controlled trial. PMID 8687090</w:t>
      </w:r>
    </w:p>
    <w:p>
      <w:pPr>
        <w:numPr>
          <w:ilvl w:val="0"/>
          <w:numId w:val="1391"/>
        </w:numPr>
        <w:pStyle w:val="Compact"/>
      </w:pPr>
      <w:r>
        <w:t xml:space="preserve">1996 · Ramachandran R ·</w:t>
      </w:r>
      <w:r>
        <w:t xml:space="preserve"> </w:t>
      </w:r>
      <w:r>
        <w:rPr>
          <w:iCs/>
          <w:i/>
        </w:rPr>
        <w:t xml:space="preserve">J Infect Dis</w:t>
      </w:r>
      <w:r>
        <w:t xml:space="preserve"> </w:t>
      </w:r>
      <w:r>
        <w:t xml:space="preserve">· Polyethylene glycol-modified interleukin-2 and thymosin alpha 1 in human immunodeficiency virus type 1 infection. PMID 8603940</w:t>
      </w:r>
    </w:p>
    <w:p>
      <w:pPr>
        <w:numPr>
          <w:ilvl w:val="0"/>
          <w:numId w:val="1391"/>
        </w:numPr>
        <w:pStyle w:val="Compact"/>
      </w:pPr>
      <w:r>
        <w:t xml:space="preserve">1995 · Garaci E ·</w:t>
      </w:r>
      <w:r>
        <w:t xml:space="preserve"> </w:t>
      </w:r>
      <w:r>
        <w:rPr>
          <w:iCs/>
          <w:i/>
        </w:rPr>
        <w:t xml:space="preserve">Eur J Cancer</w:t>
      </w:r>
      <w:r>
        <w:t xml:space="preserve"> </w:t>
      </w:r>
      <w:r>
        <w:t xml:space="preserve">· Sequential chemoimmunotherapy for advanced non-small cell lung cancer using cisplatin, etoposide, thymosin-alpha 1 and interferon-alpha 2a. PMID 8652276</w:t>
      </w:r>
    </w:p>
    <w:p>
      <w:pPr>
        <w:numPr>
          <w:ilvl w:val="0"/>
          <w:numId w:val="1391"/>
        </w:numPr>
        <w:pStyle w:val="Compact"/>
      </w:pPr>
      <w:r>
        <w:t xml:space="preserve">1995 · Naz RK ·</w:t>
      </w:r>
      <w:r>
        <w:t xml:space="preserve"> </w:t>
      </w:r>
      <w:r>
        <w:rPr>
          <w:iCs/>
          <w:i/>
        </w:rPr>
        <w:t xml:space="preserve">Arch Androl</w:t>
      </w:r>
      <w:r>
        <w:t xml:space="preserve"> </w:t>
      </w:r>
      <w:r>
        <w:t xml:space="preserve">· Treatment with thymosin alpha-1 increases fertilizing capacity of sperm of infertile men: a multicenter trial. PMID 8579476</w:t>
      </w:r>
    </w:p>
    <w:p>
      <w:pPr>
        <w:numPr>
          <w:ilvl w:val="0"/>
          <w:numId w:val="1391"/>
        </w:numPr>
        <w:pStyle w:val="Compact"/>
      </w:pPr>
      <w:r>
        <w:t xml:space="preserve">1994 · Garaci E ·</w:t>
      </w:r>
      <w:r>
        <w:t xml:space="preserve"> </w:t>
      </w:r>
      <w:r>
        <w:rPr>
          <w:iCs/>
          <w:i/>
        </w:rPr>
        <w:t xml:space="preserve">Int J Clin Lab Res</w:t>
      </w:r>
      <w:r>
        <w:t xml:space="preserve"> </w:t>
      </w:r>
      <w:r>
        <w:t xml:space="preserve">· Combination treatment with zidovudine, thymosin alpha 1 and interferon-alpha in human immunodeficiency virus infection. PMID 7910053</w:t>
      </w:r>
    </w:p>
    <w:p>
      <w:pPr>
        <w:numPr>
          <w:ilvl w:val="0"/>
          <w:numId w:val="1391"/>
        </w:numPr>
        <w:pStyle w:val="Compact"/>
      </w:pPr>
      <w:r>
        <w:t xml:space="preserve">1994 · Lopez M ·</w:t>
      </w:r>
      <w:r>
        <w:t xml:space="preserve"> </w:t>
      </w:r>
      <w:r>
        <w:rPr>
          <w:iCs/>
          <w:i/>
        </w:rPr>
        <w:t xml:space="preserve">Ann Oncol</w:t>
      </w:r>
      <w:r>
        <w:t xml:space="preserve"> </w:t>
      </w:r>
      <w:r>
        <w:t xml:space="preserve">· Biochemotherapy with thymosin alpha 1, interleukin-2 and dacarbazine in patients with metastatic melanoma: clinical and immunological effects. PMID 7826907</w:t>
      </w:r>
    </w:p>
    <w:p>
      <w:pPr>
        <w:numPr>
          <w:ilvl w:val="0"/>
          <w:numId w:val="1391"/>
        </w:numPr>
        <w:pStyle w:val="Compact"/>
      </w:pPr>
      <w:r>
        <w:t xml:space="preserve">1991 · Mutchnick MG ·</w:t>
      </w:r>
      <w:r>
        <w:t xml:space="preserve"> </w:t>
      </w:r>
      <w:r>
        <w:rPr>
          <w:iCs/>
          <w:i/>
        </w:rPr>
        <w:t xml:space="preserve">Hepatology</w:t>
      </w:r>
      <w:r>
        <w:t xml:space="preserve"> </w:t>
      </w:r>
      <w:r>
        <w:t xml:space="preserve">· Thymosin treatment of chronic hepatitis B: a placebo-controlled pilot trial. PMID 1874487</w:t>
      </w:r>
    </w:p>
    <w:p>
      <w:pPr>
        <w:numPr>
          <w:ilvl w:val="0"/>
          <w:numId w:val="1391"/>
        </w:numPr>
        <w:pStyle w:val="Compact"/>
      </w:pPr>
      <w:r>
        <w:t xml:space="preserve">1989 · Gravenstein S ·</w:t>
      </w:r>
      <w:r>
        <w:t xml:space="preserve"> </w:t>
      </w:r>
      <w:r>
        <w:rPr>
          <w:iCs/>
          <w:i/>
        </w:rPr>
        <w:t xml:space="preserve">J Am Geriatr Soc</w:t>
      </w:r>
      <w:r>
        <w:t xml:space="preserve"> </w:t>
      </w:r>
      <w:r>
        <w:t xml:space="preserve">· Augmentation of influenza antibody response in elderly men by thymosin alpha one. A double-blind placebo-controlled clinical study. PMID 2642497</w:t>
      </w:r>
    </w:p>
    <w:p>
      <w:pPr>
        <w:numPr>
          <w:ilvl w:val="0"/>
          <w:numId w:val="1391"/>
        </w:numPr>
        <w:pStyle w:val="Compact"/>
      </w:pPr>
      <w:r>
        <w:t xml:space="preserve">1985 · Schulof RS ·</w:t>
      </w:r>
      <w:r>
        <w:t xml:space="preserve"> </w:t>
      </w:r>
      <w:r>
        <w:rPr>
          <w:iCs/>
          <w:i/>
        </w:rPr>
        <w:t xml:space="preserve">J Biol Response Mod</w:t>
      </w:r>
      <w:r>
        <w:t xml:space="preserve"> </w:t>
      </w:r>
      <w:r>
        <w:t xml:space="preserve">· A randomized trial to evaluate the immunorestorative properties of synthetic thymosin-alpha 1 in patients with lung cancer. PMID 3998766</w:t>
      </w:r>
    </w:p>
    <w:p>
      <w:pPr>
        <w:numPr>
          <w:ilvl w:val="0"/>
          <w:numId w:val="1391"/>
        </w:numPr>
        <w:pStyle w:val="Compact"/>
      </w:pPr>
      <w:r>
        <w:t xml:space="preserve">1985 · Schulof RS ·</w:t>
      </w:r>
      <w:r>
        <w:t xml:space="preserve"> </w:t>
      </w:r>
      <w:r>
        <w:rPr>
          <w:iCs/>
          <w:i/>
        </w:rPr>
        <w:t xml:space="preserve">Cancer</w:t>
      </w:r>
      <w:r>
        <w:t xml:space="preserve"> </w:t>
      </w:r>
      <w:r>
        <w:t xml:space="preserve">· T-cell abnormalities after mediastinal irradiation for lung cancer. The in vitro influence of synthetic thymosin alpha-1. PMID 3155644</w:t>
      </w:r>
    </w:p>
    <w:p>
      <w:pPr>
        <w:numPr>
          <w:ilvl w:val="0"/>
          <w:numId w:val="1391"/>
        </w:numPr>
        <w:pStyle w:val="Compact"/>
      </w:pPr>
      <w:r>
        <w:t xml:space="preserve">1984 · Naylor PH ·</w:t>
      </w:r>
      <w:r>
        <w:t xml:space="preserve"> </w:t>
      </w:r>
      <w:r>
        <w:rPr>
          <w:iCs/>
          <w:i/>
        </w:rPr>
        <w:t xml:space="preserve">Ann N Y Acad Sci</w:t>
      </w:r>
      <w:r>
        <w:t xml:space="preserve"> </w:t>
      </w:r>
      <w:r>
        <w:t xml:space="preserve">· Thymosin in the early diagnosis and treatment of high risk homosexuals and hemophiliacs with AIDS-like immune dysfunction. PMID 6398657</w:t>
      </w:r>
    </w:p>
    <w:bookmarkEnd w:id="1133"/>
    <w:bookmarkStart w:id="1134" w:name="kpv-0"/>
    <w:p>
      <w:pPr>
        <w:pStyle w:val="Heading2"/>
      </w:pPr>
      <w:r>
        <w:t xml:space="preserve">KPV (0)</w:t>
      </w:r>
    </w:p>
    <w:p>
      <w:pPr>
        <w:pStyle w:val="FirstParagraph"/>
      </w:pPr>
      <w:r>
        <w:t xml:space="preserve">No se encontraron publicaciones de estudios clínicos en humanos.</w:t>
      </w:r>
    </w:p>
    <w:bookmarkEnd w:id="1134"/>
    <w:bookmarkStart w:id="1135" w:name="ll-37-91"/>
    <w:p>
      <w:pPr>
        <w:pStyle w:val="Heading2"/>
      </w:pPr>
      <w:r>
        <w:t xml:space="preserve">LL-37 (91)</w:t>
      </w:r>
    </w:p>
    <w:p>
      <w:pPr>
        <w:numPr>
          <w:ilvl w:val="0"/>
          <w:numId w:val="1392"/>
        </w:numPr>
        <w:pStyle w:val="Compact"/>
      </w:pPr>
      <w:r>
        <w:t xml:space="preserve">2026 · Song S ·</w:t>
      </w:r>
      <w:r>
        <w:t xml:space="preserve"> </w:t>
      </w:r>
      <w:r>
        <w:rPr>
          <w:iCs/>
          <w:i/>
        </w:rPr>
        <w:t xml:space="preserve">Probiotics Antimicrob Proteins</w:t>
      </w:r>
      <w:r>
        <w:t xml:space="preserve"> </w:t>
      </w:r>
      <w:r>
        <w:t xml:space="preserve">· Assessing the Safety and Probiotic Potential of Bifidobacterium longum subsp. infantis BI45: A Comprehensive Study from Genomic Analysis to Randomized Controlled Clinical Trial in Healthy Adults. PMID 42118446</w:t>
      </w:r>
    </w:p>
    <w:p>
      <w:pPr>
        <w:numPr>
          <w:ilvl w:val="0"/>
          <w:numId w:val="1392"/>
        </w:numPr>
        <w:pStyle w:val="Compact"/>
      </w:pPr>
      <w:r>
        <w:t xml:space="preserve">2026 · Jin M ·</w:t>
      </w:r>
      <w:r>
        <w:t xml:space="preserve"> </w:t>
      </w:r>
      <w:r>
        <w:rPr>
          <w:iCs/>
          <w:i/>
        </w:rPr>
        <w:t xml:space="preserve">Food Chem Toxicol</w:t>
      </w:r>
      <w:r>
        <w:t xml:space="preserve"> </w:t>
      </w:r>
      <w:r>
        <w:t xml:space="preserve">· Limosilactobacillus fermentum LF61: A multidimensional study on safety and functionality from genomics to clinical application. PMID 41655688</w:t>
      </w:r>
    </w:p>
    <w:p>
      <w:pPr>
        <w:numPr>
          <w:ilvl w:val="0"/>
          <w:numId w:val="1392"/>
        </w:numPr>
        <w:pStyle w:val="Compact"/>
      </w:pPr>
      <w:r>
        <w:t xml:space="preserve">2026 · Ito R ·</w:t>
      </w:r>
      <w:r>
        <w:t xml:space="preserve"> </w:t>
      </w:r>
      <w:r>
        <w:rPr>
          <w:iCs/>
          <w:i/>
        </w:rPr>
        <w:t xml:space="preserve">Eur J Appl Physiol</w:t>
      </w:r>
      <w:r>
        <w:t xml:space="preserve"> </w:t>
      </w:r>
      <w:r>
        <w:t xml:space="preserve">· Acute effects of continuous and interval cycling on salivary SIgA and anti-microbial peptide secretions: a randomized crossover trial. PMID 40810749</w:t>
      </w:r>
    </w:p>
    <w:p>
      <w:pPr>
        <w:numPr>
          <w:ilvl w:val="0"/>
          <w:numId w:val="1392"/>
        </w:numPr>
        <w:pStyle w:val="Compact"/>
      </w:pPr>
      <w:r>
        <w:t xml:space="preserve">2025 · Welling A ·</w:t>
      </w:r>
      <w:r>
        <w:t xml:space="preserve"> </w:t>
      </w:r>
      <w:r>
        <w:rPr>
          <w:iCs/>
          <w:i/>
        </w:rPr>
        <w:t xml:space="preserve">Eur Spine J</w:t>
      </w:r>
      <w:r>
        <w:t xml:space="preserve"> </w:t>
      </w:r>
      <w:r>
        <w:t xml:space="preserve">· Impact of 3-dimensional myofascial release on tumor necrosis factor (TNF) alpha biomarker in nonspecific low back pain: a randomised controlled trial. PMID 40853451</w:t>
      </w:r>
    </w:p>
    <w:p>
      <w:pPr>
        <w:numPr>
          <w:ilvl w:val="0"/>
          <w:numId w:val="1392"/>
        </w:numPr>
        <w:pStyle w:val="Compact"/>
      </w:pPr>
      <w:r>
        <w:t xml:space="preserve">2025 · Kamboj K ·</w:t>
      </w:r>
      <w:r>
        <w:t xml:space="preserve"> </w:t>
      </w:r>
      <w:r>
        <w:rPr>
          <w:iCs/>
          <w:i/>
        </w:rPr>
        <w:t xml:space="preserve">Front Immunol</w:t>
      </w:r>
      <w:r>
        <w:t xml:space="preserve"> </w:t>
      </w:r>
      <w:r>
        <w:t xml:space="preserve">· Effect of cholecalciferol on immune and vascular function in non-diabetic chronic kidney disease. PMID 40342405</w:t>
      </w:r>
    </w:p>
    <w:p>
      <w:pPr>
        <w:numPr>
          <w:ilvl w:val="0"/>
          <w:numId w:val="1392"/>
        </w:numPr>
        <w:pStyle w:val="Compact"/>
      </w:pPr>
      <w:r>
        <w:t xml:space="preserve">2025 · Gonçalves AM ·</w:t>
      </w:r>
      <w:r>
        <w:t xml:space="preserve"> </w:t>
      </w:r>
      <w:r>
        <w:rPr>
          <w:iCs/>
          <w:i/>
        </w:rPr>
        <w:t xml:space="preserve">Nutrients</w:t>
      </w:r>
      <w:r>
        <w:t xml:space="preserve"> </w:t>
      </w:r>
      <w:r>
        <w:t xml:space="preserve">· The Immunomodulatory Activity of High Doses of Vitamin D in Critical Care Patients with Severe SARS-CoV-2 Pneumonia-A Randomized Controlled Trial. PMID 39940396</w:t>
      </w:r>
    </w:p>
    <w:p>
      <w:pPr>
        <w:numPr>
          <w:ilvl w:val="0"/>
          <w:numId w:val="1392"/>
        </w:numPr>
        <w:pStyle w:val="Compact"/>
      </w:pPr>
      <w:r>
        <w:t xml:space="preserve">2025 · Picosse F ·</w:t>
      </w:r>
      <w:r>
        <w:t xml:space="preserve"> </w:t>
      </w:r>
      <w:r>
        <w:rPr>
          <w:iCs/>
          <w:i/>
        </w:rPr>
        <w:t xml:space="preserve">Int J Dermatol</w:t>
      </w:r>
      <w:r>
        <w:t xml:space="preserve"> </w:t>
      </w:r>
      <w:r>
        <w:t xml:space="preserve">· A comparative exploration of immunohistochemical markers in patients with papulopustular rosacea undergoing treatment with oral isotretinoin versus doxycycline. PMID 39097930</w:t>
      </w:r>
    </w:p>
    <w:p>
      <w:pPr>
        <w:numPr>
          <w:ilvl w:val="0"/>
          <w:numId w:val="1392"/>
        </w:numPr>
        <w:pStyle w:val="Compact"/>
      </w:pPr>
      <w:r>
        <w:t xml:space="preserve">2024 · Reyes ML ·</w:t>
      </w:r>
      <w:r>
        <w:t xml:space="preserve"> </w:t>
      </w:r>
      <w:r>
        <w:rPr>
          <w:iCs/>
          <w:i/>
        </w:rPr>
        <w:t xml:space="preserve">J Pediatr</w:t>
      </w:r>
      <w:r>
        <w:t xml:space="preserve"> </w:t>
      </w:r>
      <w:r>
        <w:t xml:space="preserve">· Weekly Vitamin D Supplementation to Prevent Acute Respiratory Infections in Young Children at Different Latitudes: A Randomized Controlled Trial. PMID 39181322</w:t>
      </w:r>
    </w:p>
    <w:p>
      <w:pPr>
        <w:numPr>
          <w:ilvl w:val="0"/>
          <w:numId w:val="1392"/>
        </w:numPr>
        <w:pStyle w:val="Compact"/>
      </w:pPr>
      <w:r>
        <w:t xml:space="preserve">2024 · Ito R ·</w:t>
      </w:r>
      <w:r>
        <w:t xml:space="preserve"> </w:t>
      </w:r>
      <w:r>
        <w:rPr>
          <w:iCs/>
          <w:i/>
        </w:rPr>
        <w:t xml:space="preserve">Am J Physiol Regul Integr Comp Physiol</w:t>
      </w:r>
      <w:r>
        <w:t xml:space="preserve"> </w:t>
      </w:r>
      <w:r>
        <w:t xml:space="preserve">· Acute salivary antimicrobial peptide secretion response to different exercise intensities and durations. PMID 39155711</w:t>
      </w:r>
    </w:p>
    <w:p>
      <w:pPr>
        <w:numPr>
          <w:ilvl w:val="0"/>
          <w:numId w:val="1392"/>
        </w:numPr>
        <w:pStyle w:val="Compact"/>
      </w:pPr>
      <w:r>
        <w:t xml:space="preserve">2024 · Ashoor TM ·</w:t>
      </w:r>
      <w:r>
        <w:t xml:space="preserve"> </w:t>
      </w:r>
      <w:r>
        <w:rPr>
          <w:iCs/>
          <w:i/>
        </w:rPr>
        <w:t xml:space="preserve">J Intensive Care Med</w:t>
      </w:r>
      <w:r>
        <w:t xml:space="preserve"> </w:t>
      </w:r>
      <w:r>
        <w:t xml:space="preserve">· Outcomes of High-Dose Versus Low-Dose Vitamin D on Prognosis of Sepsis Requiring Mechanical Ventilation: A Randomized Controlled Trial. PMID 38706151</w:t>
      </w:r>
    </w:p>
    <w:p>
      <w:pPr>
        <w:numPr>
          <w:ilvl w:val="0"/>
          <w:numId w:val="1392"/>
        </w:numPr>
        <w:pStyle w:val="Compact"/>
      </w:pPr>
      <w:r>
        <w:t xml:space="preserve">2024 · Borzutzky A ·</w:t>
      </w:r>
      <w:r>
        <w:t xml:space="preserve"> </w:t>
      </w:r>
      <w:r>
        <w:rPr>
          <w:iCs/>
          <w:i/>
        </w:rPr>
        <w:t xml:space="preserve">J Eur Acad Dermatol Venereol</w:t>
      </w:r>
      <w:r>
        <w:t xml:space="preserve"> </w:t>
      </w:r>
      <w:r>
        <w:t xml:space="preserve">· Effect of weekly vitamin D supplementation on the severity of atopic dermatitis and type 2 immunity biomarkers in children: A randomized controlled trial. PMID 38483248</w:t>
      </w:r>
    </w:p>
    <w:p>
      <w:pPr>
        <w:numPr>
          <w:ilvl w:val="0"/>
          <w:numId w:val="1392"/>
        </w:numPr>
        <w:pStyle w:val="Compact"/>
      </w:pPr>
      <w:r>
        <w:t xml:space="preserve">2024 · Chen K ·</w:t>
      </w:r>
      <w:r>
        <w:t xml:space="preserve"> </w:t>
      </w:r>
      <w:r>
        <w:rPr>
          <w:iCs/>
          <w:i/>
        </w:rPr>
        <w:t xml:space="preserve">Eur J Clin Nutr</w:t>
      </w:r>
      <w:r>
        <w:t xml:space="preserve"> </w:t>
      </w:r>
      <w:r>
        <w:t xml:space="preserve">· Adjudicative efficacy of Bifidobacterium animalis subsp. lactis BLa80 in treating acute diarrhea in children: a randomized, double-blinded, placebo-controlled study. PMID 38467857</w:t>
      </w:r>
    </w:p>
    <w:p>
      <w:pPr>
        <w:numPr>
          <w:ilvl w:val="0"/>
          <w:numId w:val="1392"/>
        </w:numPr>
        <w:pStyle w:val="Compact"/>
      </w:pPr>
      <w:r>
        <w:t xml:space="preserve">2023 · Zhao Y ·</w:t>
      </w:r>
      <w:r>
        <w:t xml:space="preserve"> </w:t>
      </w:r>
      <w:r>
        <w:rPr>
          <w:iCs/>
          <w:i/>
        </w:rPr>
        <w:t xml:space="preserve">J Med Virol</w:t>
      </w:r>
      <w:r>
        <w:t xml:space="preserve"> </w:t>
      </w:r>
      <w:r>
        <w:t xml:space="preserve">· Efficacy and safety of Oral LL-37 against the Omicron BA.5.1.3 variant of SARS-COV-2: A randomized trial. PMID 37605995</w:t>
      </w:r>
    </w:p>
    <w:p>
      <w:pPr>
        <w:numPr>
          <w:ilvl w:val="0"/>
          <w:numId w:val="1392"/>
        </w:numPr>
        <w:pStyle w:val="Compact"/>
      </w:pPr>
      <w:r>
        <w:t xml:space="preserve">2023 · Miranda E ·</w:t>
      </w:r>
      <w:r>
        <w:t xml:space="preserve"> </w:t>
      </w:r>
      <w:r>
        <w:rPr>
          <w:iCs/>
          <w:i/>
        </w:rPr>
        <w:t xml:space="preserve">Arch Dermatol Res</w:t>
      </w:r>
      <w:r>
        <w:t xml:space="preserve"> </w:t>
      </w:r>
      <w:r>
        <w:t xml:space="preserve">· Efficacy of LL-37 cream in enhancing healing of diabetic foot ulcer: a randomized double-blind controlled trial. PMID 37480520</w:t>
      </w:r>
    </w:p>
    <w:p>
      <w:pPr>
        <w:numPr>
          <w:ilvl w:val="0"/>
          <w:numId w:val="1392"/>
        </w:numPr>
        <w:pStyle w:val="Compact"/>
      </w:pPr>
      <w:r>
        <w:t xml:space="preserve">2023 · George R ·</w:t>
      </w:r>
      <w:r>
        <w:t xml:space="preserve"> </w:t>
      </w:r>
      <w:r>
        <w:rPr>
          <w:iCs/>
          <w:i/>
        </w:rPr>
        <w:t xml:space="preserve">J Drugs Dermatol</w:t>
      </w:r>
      <w:r>
        <w:t xml:space="preserve"> </w:t>
      </w:r>
      <w:r>
        <w:t xml:space="preserve">· Reduction of Erythema in Moderate-Severe Rosacea by a Low Molecular Weight Heparan Sulfate Analog (HSA). PMID 37276169</w:t>
      </w:r>
    </w:p>
    <w:p>
      <w:pPr>
        <w:numPr>
          <w:ilvl w:val="0"/>
          <w:numId w:val="1392"/>
        </w:numPr>
        <w:pStyle w:val="Compact"/>
      </w:pPr>
      <w:r>
        <w:t xml:space="preserve">2022 · Fujita K ·</w:t>
      </w:r>
      <w:r>
        <w:t xml:space="preserve"> </w:t>
      </w:r>
      <w:r>
        <w:rPr>
          <w:iCs/>
          <w:i/>
        </w:rPr>
        <w:t xml:space="preserve">BMC Pulm Med</w:t>
      </w:r>
      <w:r>
        <w:t xml:space="preserve"> </w:t>
      </w:r>
      <w:r>
        <w:t xml:space="preserve">· Comparison of frailty in patients with nontuberculous mycobacterial lung disease and bronchiectasis: a prospective cohort study. PMID 36329435</w:t>
      </w:r>
    </w:p>
    <w:p>
      <w:pPr>
        <w:numPr>
          <w:ilvl w:val="0"/>
          <w:numId w:val="1392"/>
        </w:numPr>
        <w:pStyle w:val="Compact"/>
      </w:pPr>
      <w:r>
        <w:t xml:space="preserve">2021 · Mahlapuu M ·</w:t>
      </w:r>
      <w:r>
        <w:t xml:space="preserve"> </w:t>
      </w:r>
      <w:r>
        <w:rPr>
          <w:iCs/>
          <w:i/>
        </w:rPr>
        <w:t xml:space="preserve">Wound Repair Regen</w:t>
      </w:r>
      <w:r>
        <w:t xml:space="preserve"> </w:t>
      </w:r>
      <w:r>
        <w:t xml:space="preserve">· Evaluation of LL-37 in healing of hard-to-heal venous leg ulcers: A multicentric prospective randomized placebo-controlled clinical trial. PMID 34687253</w:t>
      </w:r>
    </w:p>
    <w:p>
      <w:pPr>
        <w:numPr>
          <w:ilvl w:val="0"/>
          <w:numId w:val="1392"/>
        </w:numPr>
        <w:pStyle w:val="Compact"/>
      </w:pPr>
      <w:r>
        <w:t xml:space="preserve">2021 · Chen K ·</w:t>
      </w:r>
      <w:r>
        <w:t xml:space="preserve"> </w:t>
      </w:r>
      <w:r>
        <w:rPr>
          <w:iCs/>
          <w:i/>
        </w:rPr>
        <w:t xml:space="preserve">Benef Microbes</w:t>
      </w:r>
      <w:r>
        <w:t xml:space="preserve"> </w:t>
      </w:r>
      <w:r>
        <w:t xml:space="preserve">· Efficacy of Bifidobacterium animalis subsp. lactis, BB-12(®) on infant colic - a randomised, double-blinded, placebo-controlled study. PMID 34550055</w:t>
      </w:r>
    </w:p>
    <w:p>
      <w:pPr>
        <w:numPr>
          <w:ilvl w:val="0"/>
          <w:numId w:val="1392"/>
        </w:numPr>
        <w:pStyle w:val="Compact"/>
      </w:pPr>
      <w:r>
        <w:t xml:space="preserve">2021 · Sarker P ·</w:t>
      </w:r>
      <w:r>
        <w:t xml:space="preserve"> </w:t>
      </w:r>
      <w:r>
        <w:rPr>
          <w:iCs/>
          <w:i/>
        </w:rPr>
        <w:t xml:space="preserve">J Infect Dis</w:t>
      </w:r>
      <w:r>
        <w:t xml:space="preserve"> </w:t>
      </w:r>
      <w:r>
        <w:t xml:space="preserve">· Functional Antibodies and Innate Immune Responses to WRSS1, a Live Oral Shigella sonnei Vaccine Candidate, in Bangladeshi Adults and Children. PMID 34374425</w:t>
      </w:r>
    </w:p>
    <w:p>
      <w:pPr>
        <w:numPr>
          <w:ilvl w:val="0"/>
          <w:numId w:val="1392"/>
        </w:numPr>
        <w:pStyle w:val="Compact"/>
      </w:pPr>
      <w:r>
        <w:t xml:space="preserve">2021 · Chen K ·</w:t>
      </w:r>
      <w:r>
        <w:t xml:space="preserve"> </w:t>
      </w:r>
      <w:r>
        <w:rPr>
          <w:iCs/>
          <w:i/>
        </w:rPr>
        <w:t xml:space="preserve">Nutrition</w:t>
      </w:r>
      <w:r>
        <w:t xml:space="preserve"> </w:t>
      </w:r>
      <w:r>
        <w:t xml:space="preserve">· Dose effect of bovine lactoferrin fortification on diarrhea and respiratory tract infections in weaned infants with anemia: A randomized, controlled trial. PMID 34102559</w:t>
      </w:r>
    </w:p>
    <w:p>
      <w:pPr>
        <w:numPr>
          <w:ilvl w:val="0"/>
          <w:numId w:val="1392"/>
        </w:numPr>
        <w:pStyle w:val="Compact"/>
      </w:pPr>
      <w:r>
        <w:t xml:space="preserve">2021 · Gregório PC ·</w:t>
      </w:r>
      <w:r>
        <w:t xml:space="preserve"> </w:t>
      </w:r>
      <w:r>
        <w:rPr>
          <w:iCs/>
          <w:i/>
        </w:rPr>
        <w:t xml:space="preserve">Clinics (Sao Paulo)</w:t>
      </w:r>
      <w:r>
        <w:t xml:space="preserve"> </w:t>
      </w:r>
      <w:r>
        <w:t xml:space="preserve">· In vitro anti-inflammatory effects of vitamin D supplementation may be blurred in hemodialysis patients. PMID 33624705</w:t>
      </w:r>
    </w:p>
    <w:p>
      <w:pPr>
        <w:numPr>
          <w:ilvl w:val="0"/>
          <w:numId w:val="1392"/>
        </w:numPr>
        <w:pStyle w:val="Compact"/>
      </w:pPr>
      <w:r>
        <w:t xml:space="preserve">2021 · Farsi F ·</w:t>
      </w:r>
      <w:r>
        <w:t xml:space="preserve"> </w:t>
      </w:r>
      <w:r>
        <w:rPr>
          <w:iCs/>
          <w:i/>
        </w:rPr>
        <w:t xml:space="preserve">Eur J Nutr</w:t>
      </w:r>
      <w:r>
        <w:t xml:space="preserve"> </w:t>
      </w:r>
      <w:r>
        <w:t xml:space="preserve">· A randomized controlled trial on the coloprotective effect of coenzyme Q10 on immune-inflammatory cytokines, oxidative status, antimicrobial peptides, and microRNA-146a expression in patients with mild-to-moderate ulcerative colitis. PMID 33620550</w:t>
      </w:r>
    </w:p>
    <w:p>
      <w:pPr>
        <w:numPr>
          <w:ilvl w:val="0"/>
          <w:numId w:val="1392"/>
        </w:numPr>
        <w:pStyle w:val="Compact"/>
      </w:pPr>
      <w:r>
        <w:t xml:space="preserve">2021 · Harrison SE ·</w:t>
      </w:r>
      <w:r>
        <w:t xml:space="preserve"> </w:t>
      </w:r>
      <w:r>
        <w:rPr>
          <w:iCs/>
          <w:i/>
        </w:rPr>
        <w:t xml:space="preserve">Med Sci Sports Exerc</w:t>
      </w:r>
      <w:r>
        <w:t xml:space="preserve"> </w:t>
      </w:r>
      <w:r>
        <w:t xml:space="preserve">· Influence of Vitamin D Supplementation by Simulated Sunlight or Oral D3 on Respiratory Infection during Military Training. PMID 33481482</w:t>
      </w:r>
    </w:p>
    <w:p>
      <w:pPr>
        <w:numPr>
          <w:ilvl w:val="0"/>
          <w:numId w:val="1392"/>
        </w:numPr>
        <w:pStyle w:val="Compact"/>
      </w:pPr>
      <w:r>
        <w:t xml:space="preserve">2020 · Entrenas Castillo M ·</w:t>
      </w:r>
      <w:r>
        <w:t xml:space="preserve"> </w:t>
      </w:r>
      <w:r>
        <w:rPr>
          <w:iCs/>
          <w:i/>
        </w:rPr>
        <w:t xml:space="preserve">J Steroid Biochem Mol Biol</w:t>
      </w:r>
      <w:r>
        <w:t xml:space="preserve"> </w:t>
      </w:r>
      <w:r>
        <w:t xml:space="preserve">·</w:t>
      </w:r>
      <w:r>
        <w:t xml:space="preserve"> </w:t>
      </w:r>
      <w:r>
        <w:t xml:space="preserve">“</w:t>
      </w:r>
      <w:r>
        <w:t xml:space="preserve">Effect of calcifediol treatment and best available therapy versus best available therapy on intensive care unit admission and mortality among patients hospitalized for COVID-19: A pilot randomized clinical study</w:t>
      </w:r>
      <w:r>
        <w:t xml:space="preserve">”</w:t>
      </w:r>
      <w:r>
        <w:t xml:space="preserve">. PMID 32871238</w:t>
      </w:r>
    </w:p>
    <w:p>
      <w:pPr>
        <w:numPr>
          <w:ilvl w:val="0"/>
          <w:numId w:val="1392"/>
        </w:numPr>
        <w:pStyle w:val="Compact"/>
      </w:pPr>
      <w:r>
        <w:t xml:space="preserve">2020 · Vargas Buonfiglio LG ·</w:t>
      </w:r>
      <w:r>
        <w:t xml:space="preserve"> </w:t>
      </w:r>
      <w:r>
        <w:rPr>
          <w:iCs/>
          <w:i/>
        </w:rPr>
        <w:t xml:space="preserve">Nutrients</w:t>
      </w:r>
      <w:r>
        <w:t xml:space="preserve"> </w:t>
      </w:r>
      <w:r>
        <w:t xml:space="preserve">· Seasonal Antimicrobial Activity of the Airway: Post-Hoc Analysis of a Randomized Placebo-Controlled Double-Blind Trial. PMID 32867053</w:t>
      </w:r>
    </w:p>
    <w:p>
      <w:pPr>
        <w:numPr>
          <w:ilvl w:val="0"/>
          <w:numId w:val="1392"/>
        </w:numPr>
        <w:pStyle w:val="Compact"/>
      </w:pPr>
      <w:r>
        <w:t xml:space="preserve">2020 · Banke IJ ·</w:t>
      </w:r>
      <w:r>
        <w:t xml:space="preserve"> </w:t>
      </w:r>
      <w:r>
        <w:rPr>
          <w:iCs/>
          <w:i/>
        </w:rPr>
        <w:t xml:space="preserve">Eur J Med Res</w:t>
      </w:r>
      <w:r>
        <w:t xml:space="preserve"> </w:t>
      </w:r>
      <w:r>
        <w:t xml:space="preserve">· Antimicrobial peptides in human synovial membrane as (low-grade) periprosthetic joint infection biomarkers. PMID 32799924</w:t>
      </w:r>
    </w:p>
    <w:p>
      <w:pPr>
        <w:numPr>
          <w:ilvl w:val="0"/>
          <w:numId w:val="1392"/>
        </w:numPr>
        <w:pStyle w:val="Compact"/>
      </w:pPr>
      <w:r>
        <w:t xml:space="preserve">2020 · Nocerino R ·</w:t>
      </w:r>
      <w:r>
        <w:t xml:space="preserve"> </w:t>
      </w:r>
      <w:r>
        <w:rPr>
          <w:iCs/>
          <w:i/>
        </w:rPr>
        <w:t xml:space="preserve">Aliment Pharmacol Ther</w:t>
      </w:r>
      <w:r>
        <w:t xml:space="preserve"> </w:t>
      </w:r>
      <w:r>
        <w:t xml:space="preserve">· The therapeutic efficacy of Bifidobacterium animalis subsp. lactis BB-12(®) in infant colic: A randomised, double blind, placebo-controlled trial. PMID 31797399</w:t>
      </w:r>
    </w:p>
    <w:p>
      <w:pPr>
        <w:numPr>
          <w:ilvl w:val="0"/>
          <w:numId w:val="1392"/>
        </w:numPr>
        <w:pStyle w:val="Compact"/>
      </w:pPr>
      <w:r>
        <w:t xml:space="preserve">2019 · Huang X ·</w:t>
      </w:r>
      <w:r>
        <w:t xml:space="preserve"> </w:t>
      </w:r>
      <w:r>
        <w:rPr>
          <w:iCs/>
          <w:i/>
        </w:rPr>
        <w:t xml:space="preserve">Sci Rep</w:t>
      </w:r>
      <w:r>
        <w:t xml:space="preserve"> </w:t>
      </w:r>
      <w:r>
        <w:t xml:space="preserve">· Differential DAMP release was observed in the sputum of COPD, asthma and asthma-COPD overlap (ACO) patients. PMID 31848359</w:t>
      </w:r>
    </w:p>
    <w:p>
      <w:pPr>
        <w:numPr>
          <w:ilvl w:val="0"/>
          <w:numId w:val="1392"/>
        </w:numPr>
        <w:pStyle w:val="Compact"/>
      </w:pPr>
      <w:r>
        <w:t xml:space="preserve">2019 · Missailidis C ·</w:t>
      </w:r>
      <w:r>
        <w:t xml:space="preserve"> </w:t>
      </w:r>
      <w:r>
        <w:rPr>
          <w:iCs/>
          <w:i/>
        </w:rPr>
        <w:t xml:space="preserve">Nutrients</w:t>
      </w:r>
      <w:r>
        <w:t xml:space="preserve"> </w:t>
      </w:r>
      <w:r>
        <w:t xml:space="preserve">· Vitamin D and Phenylbutyrate Supplementation Does Not Modulate Gut Derived Immune Activation in HIV-1. PMID 31330899</w:t>
      </w:r>
    </w:p>
    <w:p>
      <w:pPr>
        <w:numPr>
          <w:ilvl w:val="0"/>
          <w:numId w:val="1392"/>
        </w:numPr>
        <w:pStyle w:val="Compact"/>
      </w:pPr>
      <w:r>
        <w:t xml:space="preserve">2019 · Scott JM ·</w:t>
      </w:r>
      <w:r>
        <w:t xml:space="preserve"> </w:t>
      </w:r>
      <w:r>
        <w:rPr>
          <w:iCs/>
          <w:i/>
        </w:rPr>
        <w:t xml:space="preserve">Scand J Med Sci Sports</w:t>
      </w:r>
      <w:r>
        <w:t xml:space="preserve"> </w:t>
      </w:r>
      <w:r>
        <w:t xml:space="preserve">· Effects of vitamin D supplementation on salivary immune responses during Marine Corps basic training. PMID 31099085</w:t>
      </w:r>
    </w:p>
    <w:p>
      <w:pPr>
        <w:numPr>
          <w:ilvl w:val="0"/>
          <w:numId w:val="1392"/>
        </w:numPr>
        <w:pStyle w:val="Compact"/>
      </w:pPr>
      <w:r>
        <w:t xml:space="preserve">2019 · Cao Y ·</w:t>
      </w:r>
      <w:r>
        <w:t xml:space="preserve"> </w:t>
      </w:r>
      <w:r>
        <w:rPr>
          <w:iCs/>
          <w:i/>
        </w:rPr>
        <w:t xml:space="preserve">Clin Exp Allergy</w:t>
      </w:r>
      <w:r>
        <w:t xml:space="preserve"> </w:t>
      </w:r>
      <w:r>
        <w:t xml:space="preserve">· LL-37 promotes neutrophil extracellular trap formation in chronic rhinosinusitis with nasal polyps. PMID 31046155</w:t>
      </w:r>
    </w:p>
    <w:p>
      <w:pPr>
        <w:numPr>
          <w:ilvl w:val="0"/>
          <w:numId w:val="1392"/>
        </w:numPr>
        <w:pStyle w:val="Compact"/>
      </w:pPr>
      <w:r>
        <w:t xml:space="preserve">2019 · Goncalves-Mendes N ·</w:t>
      </w:r>
      <w:r>
        <w:t xml:space="preserve"> </w:t>
      </w:r>
      <w:r>
        <w:rPr>
          <w:iCs/>
          <w:i/>
        </w:rPr>
        <w:t xml:space="preserve">Front Immunol</w:t>
      </w:r>
      <w:r>
        <w:t xml:space="preserve"> </w:t>
      </w:r>
      <w:r>
        <w:t xml:space="preserve">· Impact of Vitamin D Supplementation on Influenza Vaccine Response and Immune Functions in Deficient Elderly Persons: A Randomized Placebo-Controlled Trial. PMID 30800121</w:t>
      </w:r>
    </w:p>
    <w:p>
      <w:pPr>
        <w:numPr>
          <w:ilvl w:val="0"/>
          <w:numId w:val="1392"/>
        </w:numPr>
        <w:pStyle w:val="Compact"/>
      </w:pPr>
      <w:r>
        <w:t xml:space="preserve">2019 · Tangpricha V ·</w:t>
      </w:r>
      <w:r>
        <w:t xml:space="preserve"> </w:t>
      </w:r>
      <w:r>
        <w:rPr>
          <w:iCs/>
          <w:i/>
        </w:rPr>
        <w:t xml:space="preserve">Am J Clin Nutr</w:t>
      </w:r>
      <w:r>
        <w:t xml:space="preserve"> </w:t>
      </w:r>
      <w:r>
        <w:t xml:space="preserve">· Vitamin D for the Immune System in Cystic Fibrosis (DISC): a double-blind, multicenter, randomized, placebo-controlled clinical trial. PMID 30793177</w:t>
      </w:r>
    </w:p>
    <w:p>
      <w:pPr>
        <w:numPr>
          <w:ilvl w:val="0"/>
          <w:numId w:val="1392"/>
        </w:numPr>
        <w:pStyle w:val="Compact"/>
      </w:pPr>
      <w:r>
        <w:t xml:space="preserve">2019 · Hauger H ·</w:t>
      </w:r>
      <w:r>
        <w:t xml:space="preserve"> </w:t>
      </w:r>
      <w:r>
        <w:rPr>
          <w:iCs/>
          <w:i/>
        </w:rPr>
        <w:t xml:space="preserve">Eur J Nutr</w:t>
      </w:r>
      <w:r>
        <w:t xml:space="preserve"> </w:t>
      </w:r>
      <w:r>
        <w:t xml:space="preserve">· Winter cholecalciferol supplementation at 55°N has little effect on markers of innate immune defense in healthy children aged 4-8 years: a secondary analysis from a randomized controlled trial. PMID 29572676</w:t>
      </w:r>
    </w:p>
    <w:p>
      <w:pPr>
        <w:numPr>
          <w:ilvl w:val="0"/>
          <w:numId w:val="1392"/>
        </w:numPr>
        <w:pStyle w:val="Compact"/>
      </w:pPr>
      <w:r>
        <w:t xml:space="preserve">2018 · Savonius O ·</w:t>
      </w:r>
      <w:r>
        <w:t xml:space="preserve"> </w:t>
      </w:r>
      <w:r>
        <w:rPr>
          <w:iCs/>
          <w:i/>
        </w:rPr>
        <w:t xml:space="preserve">Acta Paediatr</w:t>
      </w:r>
      <w:r>
        <w:t xml:space="preserve"> </w:t>
      </w:r>
      <w:r>
        <w:t xml:space="preserve">· Vitamin D was not associated with survival or cerebrospinal fluid cathelicidin levels in children with bacterial meningitis. PMID 29751358</w:t>
      </w:r>
    </w:p>
    <w:p>
      <w:pPr>
        <w:numPr>
          <w:ilvl w:val="0"/>
          <w:numId w:val="1392"/>
        </w:numPr>
        <w:pStyle w:val="Compact"/>
      </w:pPr>
      <w:r>
        <w:t xml:space="preserve">2018 · Ramos-Martínez E ·</w:t>
      </w:r>
      <w:r>
        <w:t xml:space="preserve"> </w:t>
      </w:r>
      <w:r>
        <w:rPr>
          <w:iCs/>
          <w:i/>
        </w:rPr>
        <w:t xml:space="preserve">Cytokine</w:t>
      </w:r>
      <w:r>
        <w:t xml:space="preserve"> </w:t>
      </w:r>
      <w:r>
        <w:t xml:space="preserve">· Reduction of respiratory infections in asthma patients supplemented with vitamin D is related to increased serum IL-10 and IFNγ levels and cathelicidin expression. PMID 29402723</w:t>
      </w:r>
    </w:p>
    <w:p>
      <w:pPr>
        <w:numPr>
          <w:ilvl w:val="0"/>
          <w:numId w:val="1392"/>
        </w:numPr>
        <w:pStyle w:val="Compact"/>
      </w:pPr>
      <w:r>
        <w:t xml:space="preserve">2018 · Savonius O ·</w:t>
      </w:r>
      <w:r>
        <w:t xml:space="preserve"> </w:t>
      </w:r>
      <w:r>
        <w:rPr>
          <w:iCs/>
          <w:i/>
        </w:rPr>
        <w:t xml:space="preserve">Pediatr Infect Dis J</w:t>
      </w:r>
      <w:r>
        <w:t xml:space="preserve"> </w:t>
      </w:r>
      <w:r>
        <w:t xml:space="preserve">· Cerebrospinal Fluid Cathelicidin Correlates With the Bacterial Load and Outcomes in Childhood Bacterial Meningitis. PMID 28827496</w:t>
      </w:r>
    </w:p>
    <w:p>
      <w:pPr>
        <w:numPr>
          <w:ilvl w:val="0"/>
          <w:numId w:val="1392"/>
        </w:numPr>
        <w:pStyle w:val="Compact"/>
      </w:pPr>
      <w:r>
        <w:t xml:space="preserve">2018 · Alvarez JA ·</w:t>
      </w:r>
      <w:r>
        <w:t xml:space="preserve"> </w:t>
      </w:r>
      <w:r>
        <w:rPr>
          <w:iCs/>
          <w:i/>
        </w:rPr>
        <w:t xml:space="preserve">J Steroid Biochem Mol Biol</w:t>
      </w:r>
      <w:r>
        <w:t xml:space="preserve"> </w:t>
      </w:r>
      <w:r>
        <w:t xml:space="preserve">· Vitamin D deficiency is associated with an oxidized plasma cysteine redox potential in critically Ill children. PMID 27641738</w:t>
      </w:r>
    </w:p>
    <w:p>
      <w:pPr>
        <w:numPr>
          <w:ilvl w:val="0"/>
          <w:numId w:val="1392"/>
        </w:numPr>
        <w:pStyle w:val="Compact"/>
      </w:pPr>
      <w:r>
        <w:t xml:space="preserve">2017 · Sigal GB ·</w:t>
      </w:r>
      <w:r>
        <w:t xml:space="preserve"> </w:t>
      </w:r>
      <w:r>
        <w:rPr>
          <w:iCs/>
          <w:i/>
        </w:rPr>
        <w:t xml:space="preserve">EBioMedicine</w:t>
      </w:r>
      <w:r>
        <w:t xml:space="preserve"> </w:t>
      </w:r>
      <w:r>
        <w:t xml:space="preserve">· Biomarkers of Tuberculosis Severity and Treatment Effect: A Directed Screen of 70 Host Markers in a Randomized Clinical Trial. PMID 29100778</w:t>
      </w:r>
    </w:p>
    <w:p>
      <w:pPr>
        <w:numPr>
          <w:ilvl w:val="0"/>
          <w:numId w:val="1392"/>
        </w:numPr>
        <w:pStyle w:val="Compact"/>
      </w:pPr>
      <w:r>
        <w:t xml:space="preserve">2017 · Wirth PJ ·</w:t>
      </w:r>
      <w:r>
        <w:t xml:space="preserve"> </w:t>
      </w:r>
      <w:r>
        <w:rPr>
          <w:iCs/>
          <w:i/>
        </w:rPr>
        <w:t xml:space="preserve">Skin Therapy Lett</w:t>
      </w:r>
      <w:r>
        <w:t xml:space="preserve"> </w:t>
      </w:r>
      <w:r>
        <w:t xml:space="preserve">· Real-World Efficacy of Azelaic Acid 15% Gel for the Reduction of Inflammatory Lesions of Rosacea. PMID 29091380</w:t>
      </w:r>
    </w:p>
    <w:p>
      <w:pPr>
        <w:numPr>
          <w:ilvl w:val="0"/>
          <w:numId w:val="1392"/>
        </w:numPr>
        <w:pStyle w:val="Compact"/>
      </w:pPr>
      <w:r>
        <w:t xml:space="preserve">2017 · Uruska A ·</w:t>
      </w:r>
      <w:r>
        <w:t xml:space="preserve"> </w:t>
      </w:r>
      <w:r>
        <w:rPr>
          <w:iCs/>
          <w:i/>
        </w:rPr>
        <w:t xml:space="preserve">Clin Biochem</w:t>
      </w:r>
      <w:r>
        <w:t xml:space="preserve"> </w:t>
      </w:r>
      <w:r>
        <w:t xml:space="preserve">· Is cathelicidin a novel marker of diabetic microangiopathy in patients with type 1 diabetes?. PMID 28964758</w:t>
      </w:r>
    </w:p>
    <w:p>
      <w:pPr>
        <w:numPr>
          <w:ilvl w:val="0"/>
          <w:numId w:val="1392"/>
        </w:numPr>
        <w:pStyle w:val="Compact"/>
      </w:pPr>
      <w:r>
        <w:t xml:space="preserve">2017 · Majewski K ·</w:t>
      </w:r>
      <w:r>
        <w:t xml:space="preserve"> </w:t>
      </w:r>
      <w:r>
        <w:rPr>
          <w:iCs/>
          <w:i/>
        </w:rPr>
        <w:t xml:space="preserve">J Biol Regul Homeost Agents</w:t>
      </w:r>
      <w:r>
        <w:t xml:space="preserve"> </w:t>
      </w:r>
      <w:r>
        <w:t xml:space="preserve">· Serum level of cathelicidin LL-37 in patients with active tuberculosis and other infectious diseases. PMID 28956425</w:t>
      </w:r>
    </w:p>
    <w:p>
      <w:pPr>
        <w:numPr>
          <w:ilvl w:val="0"/>
          <w:numId w:val="1392"/>
        </w:numPr>
        <w:pStyle w:val="Compact"/>
      </w:pPr>
      <w:r>
        <w:t xml:space="preserve">2017 · Corsello G ·</w:t>
      </w:r>
      <w:r>
        <w:t xml:space="preserve"> </w:t>
      </w:r>
      <w:r>
        <w:rPr>
          <w:iCs/>
          <w:i/>
        </w:rPr>
        <w:t xml:space="preserve">Nutrients</w:t>
      </w:r>
      <w:r>
        <w:t xml:space="preserve"> </w:t>
      </w:r>
      <w:r>
        <w:t xml:space="preserve">· Preventive Effect of Cow’s Milk Fermented with Lactobacillus paracasei CBA L74 on Common Infectious Diseases in Children: A Multicenter Randomized Controlled Trial. PMID 28654019</w:t>
      </w:r>
    </w:p>
    <w:p>
      <w:pPr>
        <w:numPr>
          <w:ilvl w:val="0"/>
          <w:numId w:val="1392"/>
        </w:numPr>
        <w:pStyle w:val="Compact"/>
      </w:pPr>
      <w:r>
        <w:t xml:space="preserve">2017 · Han JE ·</w:t>
      </w:r>
      <w:r>
        <w:t xml:space="preserve"> </w:t>
      </w:r>
      <w:r>
        <w:rPr>
          <w:iCs/>
          <w:i/>
        </w:rPr>
        <w:t xml:space="preserve">Nutrition</w:t>
      </w:r>
      <w:r>
        <w:t xml:space="preserve"> </w:t>
      </w:r>
      <w:r>
        <w:t xml:space="preserve">· Impact of high-dose vitamin D(3) on plasma free 25-hydroxyvitamin D concentrations and antimicrobial peptides in critically ill mechanically ventilated adults. PMID 28526374</w:t>
      </w:r>
    </w:p>
    <w:p>
      <w:pPr>
        <w:numPr>
          <w:ilvl w:val="0"/>
          <w:numId w:val="1392"/>
        </w:numPr>
        <w:pStyle w:val="Compact"/>
      </w:pPr>
      <w:r>
        <w:t xml:space="preserve">2017 · Nakatsuji T ·</w:t>
      </w:r>
      <w:r>
        <w:t xml:space="preserve"> </w:t>
      </w:r>
      <w:r>
        <w:rPr>
          <w:iCs/>
          <w:i/>
        </w:rPr>
        <w:t xml:space="preserve">Sci Transl Med</w:t>
      </w:r>
      <w:r>
        <w:t xml:space="preserve"> </w:t>
      </w:r>
      <w:r>
        <w:t xml:space="preserve">· Antimicrobials from human skin commensal bacteria protect against Staphylococcus aureus and are deficient in atopic dermatitis. PMID 28228596</w:t>
      </w:r>
    </w:p>
    <w:p>
      <w:pPr>
        <w:numPr>
          <w:ilvl w:val="0"/>
          <w:numId w:val="1392"/>
        </w:numPr>
        <w:pStyle w:val="Compact"/>
      </w:pPr>
      <w:r>
        <w:t xml:space="preserve">2017 · Majewski K ·</w:t>
      </w:r>
      <w:r>
        <w:t xml:space="preserve"> </w:t>
      </w:r>
      <w:r>
        <w:rPr>
          <w:iCs/>
          <w:i/>
        </w:rPr>
        <w:t xml:space="preserve">Clin Invest Med</w:t>
      </w:r>
      <w:r>
        <w:t xml:space="preserve"> </w:t>
      </w:r>
      <w:r>
        <w:t xml:space="preserve">· Circulating cathelicidin LL-37 in adult patients with pulmonary infectious diseases. PMID 28218580</w:t>
      </w:r>
    </w:p>
    <w:p>
      <w:pPr>
        <w:numPr>
          <w:ilvl w:val="0"/>
          <w:numId w:val="1392"/>
        </w:numPr>
        <w:pStyle w:val="Compact"/>
      </w:pPr>
      <w:r>
        <w:t xml:space="preserve">2017 · Mathapathi MS ·</w:t>
      </w:r>
      <w:r>
        <w:t xml:space="preserve"> </w:t>
      </w:r>
      <w:r>
        <w:rPr>
          <w:iCs/>
          <w:i/>
        </w:rPr>
        <w:t xml:space="preserve">Exp Dermatol</w:t>
      </w:r>
      <w:r>
        <w:t xml:space="preserve"> </w:t>
      </w:r>
      <w:r>
        <w:t xml:space="preserve">· Niacinamide leave-on formulation provides long-lasting protection against bacteria in vivo. PMID 28094872</w:t>
      </w:r>
    </w:p>
    <w:p>
      <w:pPr>
        <w:numPr>
          <w:ilvl w:val="0"/>
          <w:numId w:val="1392"/>
        </w:numPr>
        <w:pStyle w:val="Compact"/>
      </w:pPr>
      <w:r>
        <w:t xml:space="preserve">2017 · Todd JJ ·</w:t>
      </w:r>
      <w:r>
        <w:t xml:space="preserve"> </w:t>
      </w:r>
      <w:r>
        <w:rPr>
          <w:iCs/>
          <w:i/>
        </w:rPr>
        <w:t xml:space="preserve">Scand J Med Sci Sports</w:t>
      </w:r>
      <w:r>
        <w:t xml:space="preserve"> </w:t>
      </w:r>
      <w:r>
        <w:t xml:space="preserve">· Oral spray wintertime vitamin D(3) supplementation has no impact on inflammation in Gaelic footballers. PMID 27704631</w:t>
      </w:r>
    </w:p>
    <w:p>
      <w:pPr>
        <w:numPr>
          <w:ilvl w:val="0"/>
          <w:numId w:val="1392"/>
        </w:numPr>
        <w:pStyle w:val="Compact"/>
      </w:pPr>
      <w:r>
        <w:t xml:space="preserve">2017 · Nocerino R ·</w:t>
      </w:r>
      <w:r>
        <w:t xml:space="preserve"> </w:t>
      </w:r>
      <w:r>
        <w:rPr>
          <w:iCs/>
          <w:i/>
        </w:rPr>
        <w:t xml:space="preserve">Clin Nutr</w:t>
      </w:r>
      <w:r>
        <w:t xml:space="preserve"> </w:t>
      </w:r>
      <w:r>
        <w:t xml:space="preserve">· Cow’s milk and rice fermented with Lactobacillus paracasei CBA L74 prevent infectious diseases in children: A randomized controlled trial. PMID 26732025</w:t>
      </w:r>
    </w:p>
    <w:p>
      <w:pPr>
        <w:numPr>
          <w:ilvl w:val="0"/>
          <w:numId w:val="1392"/>
        </w:numPr>
        <w:pStyle w:val="Compact"/>
      </w:pPr>
      <w:r>
        <w:t xml:space="preserve">2016 · Gupta P ·</w:t>
      </w:r>
      <w:r>
        <w:t xml:space="preserve"> </w:t>
      </w:r>
      <w:r>
        <w:rPr>
          <w:iCs/>
          <w:i/>
        </w:rPr>
        <w:t xml:space="preserve">Indian Pediatr</w:t>
      </w:r>
      <w:r>
        <w:t xml:space="preserve"> </w:t>
      </w:r>
      <w:r>
        <w:t xml:space="preserve">· Vitamin D Supplementation for Treatment and Prevention of Pneumonia in Under-five Children: A Randomized Double-blind Placebo Controlled Trial. PMID 27889723</w:t>
      </w:r>
    </w:p>
    <w:p>
      <w:pPr>
        <w:numPr>
          <w:ilvl w:val="0"/>
          <w:numId w:val="1392"/>
        </w:numPr>
        <w:pStyle w:val="Compact"/>
      </w:pPr>
      <w:r>
        <w:t xml:space="preserve">2016 · Zheng JQ ·</w:t>
      </w:r>
      <w:r>
        <w:t xml:space="preserve"> </w:t>
      </w:r>
      <w:r>
        <w:rPr>
          <w:iCs/>
          <w:i/>
        </w:rPr>
        <w:t xml:space="preserve">Nutrients</w:t>
      </w:r>
      <w:r>
        <w:t xml:space="preserve"> </w:t>
      </w:r>
      <w:r>
        <w:t xml:space="preserve">· Cholecalciferol Additively Reduces Serum Parathyroid Hormone and Increases Vitamin D and Cathelicidin Levels in Paricalcitol-Treated Secondary Hyperparathyroid Hemodialysis Patients. PMID 27827962</w:t>
      </w:r>
    </w:p>
    <w:p>
      <w:pPr>
        <w:numPr>
          <w:ilvl w:val="0"/>
          <w:numId w:val="1392"/>
        </w:numPr>
        <w:pStyle w:val="Compact"/>
      </w:pPr>
      <w:r>
        <w:t xml:space="preserve">2016 · Sharifi A ·</w:t>
      </w:r>
      <w:r>
        <w:t xml:space="preserve"> </w:t>
      </w:r>
      <w:r>
        <w:rPr>
          <w:iCs/>
          <w:i/>
        </w:rPr>
        <w:t xml:space="preserve">Saudi J Gastroenterol</w:t>
      </w:r>
      <w:r>
        <w:t xml:space="preserve"> </w:t>
      </w:r>
      <w:r>
        <w:t xml:space="preserve">· A randomized controlled trial on the effect of vitamin D3 on inflammation and cathelicidin gene expression in ulcerative colitis patients. PMID 27488327</w:t>
      </w:r>
    </w:p>
    <w:p>
      <w:pPr>
        <w:numPr>
          <w:ilvl w:val="0"/>
          <w:numId w:val="1392"/>
        </w:numPr>
        <w:pStyle w:val="Compact"/>
      </w:pPr>
      <w:r>
        <w:t xml:space="preserve">2016 · Two AM ·</w:t>
      </w:r>
      <w:r>
        <w:t xml:space="preserve"> </w:t>
      </w:r>
      <w:r>
        <w:rPr>
          <w:iCs/>
          <w:i/>
        </w:rPr>
        <w:t xml:space="preserve">J Invest Dermatol</w:t>
      </w:r>
      <w:r>
        <w:t xml:space="preserve"> </w:t>
      </w:r>
      <w:r>
        <w:t xml:space="preserve">· The Cutaneous Microbiome and Aspects of Skin Antimicrobial Defense System Resist Acute Treatment with Topical Skin Cleansers. PMID 27377698</w:t>
      </w:r>
    </w:p>
    <w:p>
      <w:pPr>
        <w:numPr>
          <w:ilvl w:val="0"/>
          <w:numId w:val="1392"/>
        </w:numPr>
        <w:pStyle w:val="Compact"/>
      </w:pPr>
      <w:r>
        <w:t xml:space="preserve">2016 · Di Nardo A ·</w:t>
      </w:r>
      <w:r>
        <w:t xml:space="preserve"> </w:t>
      </w:r>
      <w:r>
        <w:rPr>
          <w:iCs/>
          <w:i/>
        </w:rPr>
        <w:t xml:space="preserve">J Am Acad Dermatol</w:t>
      </w:r>
      <w:r>
        <w:t xml:space="preserve"> </w:t>
      </w:r>
      <w:r>
        <w:t xml:space="preserve">· Improved clinical outcome and biomarkers in adults with papulopustular rosacea treated with doxycycline modified-release capsules in a randomized trial. PMID 26951940</w:t>
      </w:r>
    </w:p>
    <w:p>
      <w:pPr>
        <w:numPr>
          <w:ilvl w:val="0"/>
          <w:numId w:val="1392"/>
        </w:numPr>
        <w:pStyle w:val="Compact"/>
      </w:pPr>
      <w:r>
        <w:t xml:space="preserve">2016 · He CS ·</w:t>
      </w:r>
      <w:r>
        <w:t xml:space="preserve"> </w:t>
      </w:r>
      <w:r>
        <w:rPr>
          <w:iCs/>
          <w:i/>
        </w:rPr>
        <w:t xml:space="preserve">J Sports Sci</w:t>
      </w:r>
      <w:r>
        <w:t xml:space="preserve"> </w:t>
      </w:r>
      <w:r>
        <w:t xml:space="preserve">· The effect of 14 weeks of vitamin D3 supplementation on antimicrobial peptides and proteins in athletes. PMID 25861808</w:t>
      </w:r>
    </w:p>
    <w:p>
      <w:pPr>
        <w:numPr>
          <w:ilvl w:val="0"/>
          <w:numId w:val="1392"/>
        </w:numPr>
        <w:pStyle w:val="Compact"/>
      </w:pPr>
      <w:r>
        <w:t xml:space="preserve">2015 · Udompataikul M ·</w:t>
      </w:r>
      <w:r>
        <w:t xml:space="preserve"> </w:t>
      </w:r>
      <w:r>
        <w:rPr>
          <w:iCs/>
          <w:i/>
        </w:rPr>
        <w:t xml:space="preserve">J Med Assoc Thai</w:t>
      </w:r>
      <w:r>
        <w:t xml:space="preserve"> </w:t>
      </w:r>
      <w:r>
        <w:t xml:space="preserve">· The Effects of Oral Vitamin D Supplement on Atopic Dermatitis: A Clinical Trial with Staphylococcus aureus Colonization Determination. PMID 26817206</w:t>
      </w:r>
    </w:p>
    <w:p>
      <w:pPr>
        <w:numPr>
          <w:ilvl w:val="0"/>
          <w:numId w:val="1392"/>
        </w:numPr>
        <w:pStyle w:val="Compact"/>
      </w:pPr>
      <w:r>
        <w:t xml:space="preserve">2015 · Thijs W ·</w:t>
      </w:r>
      <w:r>
        <w:t xml:space="preserve"> </w:t>
      </w:r>
      <w:r>
        <w:rPr>
          <w:iCs/>
          <w:i/>
        </w:rPr>
        <w:t xml:space="preserve">PLoS One</w:t>
      </w:r>
      <w:r>
        <w:t xml:space="preserve"> </w:t>
      </w:r>
      <w:r>
        <w:t xml:space="preserve">· Nasal Levels of Antimicrobial Peptides in Allergic Asthma Patients and Healthy Controls: Differences and Effect of a Short 1,25(OH)2 Vitamin D3 Treatment. PMID 26545199</w:t>
      </w:r>
    </w:p>
    <w:p>
      <w:pPr>
        <w:numPr>
          <w:ilvl w:val="0"/>
          <w:numId w:val="1392"/>
        </w:numPr>
        <w:pStyle w:val="Compact"/>
      </w:pPr>
      <w:r>
        <w:t xml:space="preserve">2015 · Mily A ·</w:t>
      </w:r>
      <w:r>
        <w:t xml:space="preserve"> </w:t>
      </w:r>
      <w:r>
        <w:rPr>
          <w:iCs/>
          <w:i/>
        </w:rPr>
        <w:t xml:space="preserve">PLoS One</w:t>
      </w:r>
      <w:r>
        <w:t xml:space="preserve"> </w:t>
      </w:r>
      <w:r>
        <w:t xml:space="preserve">· Significant Effects of Oral Phenylbutyrate and Vitamin D3 Adjunctive Therapy in Pulmonary Tuberculosis: A Randomized Controlled Trial. PMID 26394045</w:t>
      </w:r>
    </w:p>
    <w:p>
      <w:pPr>
        <w:numPr>
          <w:ilvl w:val="0"/>
          <w:numId w:val="1392"/>
        </w:numPr>
        <w:pStyle w:val="Compact"/>
      </w:pPr>
      <w:r>
        <w:t xml:space="preserve">2015 · Nair P ·</w:t>
      </w:r>
      <w:r>
        <w:t xml:space="preserve"> </w:t>
      </w:r>
      <w:r>
        <w:rPr>
          <w:iCs/>
          <w:i/>
        </w:rPr>
        <w:t xml:space="preserve">Crit Care Med</w:t>
      </w:r>
      <w:r>
        <w:t xml:space="preserve"> </w:t>
      </w:r>
      <w:r>
        <w:t xml:space="preserve">· A Randomized Study of a Single Dose of Intramuscular Cholecalciferol in Critically Ill Adults. PMID 26186566</w:t>
      </w:r>
    </w:p>
    <w:p>
      <w:pPr>
        <w:numPr>
          <w:ilvl w:val="0"/>
          <w:numId w:val="1392"/>
        </w:numPr>
        <w:pStyle w:val="Compact"/>
      </w:pPr>
      <w:r>
        <w:t xml:space="preserve">2015 · Quraishi SA ·</w:t>
      </w:r>
      <w:r>
        <w:t xml:space="preserve"> </w:t>
      </w:r>
      <w:r>
        <w:rPr>
          <w:iCs/>
          <w:i/>
        </w:rPr>
        <w:t xml:space="preserve">Crit Care Med</w:t>
      </w:r>
      <w:r>
        <w:t xml:space="preserve"> </w:t>
      </w:r>
      <w:r>
        <w:t xml:space="preserve">· Effect of Cholecalciferol Supplementation on Vitamin D Status and Cathelicidin Levels in Sepsis: A Randomized, Placebo-Controlled Trial. PMID 26086941</w:t>
      </w:r>
    </w:p>
    <w:p>
      <w:pPr>
        <w:numPr>
          <w:ilvl w:val="0"/>
          <w:numId w:val="1392"/>
        </w:numPr>
        <w:pStyle w:val="Compact"/>
      </w:pPr>
      <w:r>
        <w:t xml:space="preserve">2015 · Lachmann R ·</w:t>
      </w:r>
      <w:r>
        <w:t xml:space="preserve"> </w:t>
      </w:r>
      <w:r>
        <w:rPr>
          <w:iCs/>
          <w:i/>
        </w:rPr>
        <w:t xml:space="preserve">AIDS</w:t>
      </w:r>
      <w:r>
        <w:t xml:space="preserve"> </w:t>
      </w:r>
      <w:r>
        <w:t xml:space="preserve">· A comparative phase 1 clinical trial to identify anti-infective mechanisms of vitamin D in people with HIV infection. PMID 25870995</w:t>
      </w:r>
    </w:p>
    <w:p>
      <w:pPr>
        <w:numPr>
          <w:ilvl w:val="0"/>
          <w:numId w:val="1392"/>
        </w:numPr>
        <w:pStyle w:val="Compact"/>
      </w:pPr>
      <w:r>
        <w:t xml:space="preserve">2015 · Lim R ·</w:t>
      </w:r>
      <w:r>
        <w:t xml:space="preserve"> </w:t>
      </w:r>
      <w:r>
        <w:rPr>
          <w:iCs/>
          <w:i/>
        </w:rPr>
        <w:t xml:space="preserve">J Reprod Immunol</w:t>
      </w:r>
      <w:r>
        <w:t xml:space="preserve"> </w:t>
      </w:r>
      <w:r>
        <w:t xml:space="preserve">· Human cathelicidin antimicrobial protein 18 (hCAP18/LL-37) is increased in foetal membranes and myometrium after spontaneous labour and delivery. PMID 25435436</w:t>
      </w:r>
    </w:p>
    <w:p>
      <w:pPr>
        <w:numPr>
          <w:ilvl w:val="0"/>
          <w:numId w:val="1392"/>
        </w:numPr>
        <w:pStyle w:val="Compact"/>
      </w:pPr>
      <w:r>
        <w:t xml:space="preserve">2015 · Gad GI ·</w:t>
      </w:r>
      <w:r>
        <w:t xml:space="preserve"> </w:t>
      </w:r>
      <w:r>
        <w:rPr>
          <w:iCs/>
          <w:i/>
        </w:rPr>
        <w:t xml:space="preserve">J Matern Fetal Neonatal Med</w:t>
      </w:r>
      <w:r>
        <w:t xml:space="preserve"> </w:t>
      </w:r>
      <w:r>
        <w:t xml:space="preserve">· Diagnostic value of anti-microbial peptide, cathelicidin in congenital pneumonia. PMID 25354286</w:t>
      </w:r>
    </w:p>
    <w:p>
      <w:pPr>
        <w:numPr>
          <w:ilvl w:val="0"/>
          <w:numId w:val="1392"/>
        </w:numPr>
        <w:pStyle w:val="Compact"/>
      </w:pPr>
      <w:r>
        <w:t xml:space="preserve">2014 · Montreekachon P ·</w:t>
      </w:r>
      <w:r>
        <w:t xml:space="preserve"> </w:t>
      </w:r>
      <w:r>
        <w:rPr>
          <w:iCs/>
          <w:i/>
        </w:rPr>
        <w:t xml:space="preserve">Asian Pac J Allergy Immunol</w:t>
      </w:r>
      <w:r>
        <w:t xml:space="preserve"> </w:t>
      </w:r>
      <w:r>
        <w:t xml:space="preserve">· Favorable interleukin-8 induction in human gingival epithelial cells by the antimicrobial peptide LL-37. PMID 25268344</w:t>
      </w:r>
    </w:p>
    <w:p>
      <w:pPr>
        <w:numPr>
          <w:ilvl w:val="0"/>
          <w:numId w:val="1392"/>
        </w:numPr>
        <w:pStyle w:val="Compact"/>
      </w:pPr>
      <w:r>
        <w:t xml:space="preserve">2014 · Raqib R ·</w:t>
      </w:r>
      <w:r>
        <w:t xml:space="preserve"> </w:t>
      </w:r>
      <w:r>
        <w:rPr>
          <w:iCs/>
          <w:i/>
        </w:rPr>
        <w:t xml:space="preserve">Br J Nutr</w:t>
      </w:r>
      <w:r>
        <w:t xml:space="preserve"> </w:t>
      </w:r>
      <w:r>
        <w:t xml:space="preserve">· Prenatal vitamin D₃ supplementation suppresses LL-37 peptide expression in ex vivo activated neonatal macrophages but not their killing capacity. PMID 25089537</w:t>
      </w:r>
    </w:p>
    <w:p>
      <w:pPr>
        <w:numPr>
          <w:ilvl w:val="0"/>
          <w:numId w:val="1392"/>
        </w:numPr>
        <w:pStyle w:val="Compact"/>
      </w:pPr>
      <w:r>
        <w:t xml:space="preserve">2014 · Grönberg A ·</w:t>
      </w:r>
      <w:r>
        <w:t xml:space="preserve"> </w:t>
      </w:r>
      <w:r>
        <w:rPr>
          <w:iCs/>
          <w:i/>
        </w:rPr>
        <w:t xml:space="preserve">Wound Repair Regen</w:t>
      </w:r>
      <w:r>
        <w:t xml:space="preserve"> </w:t>
      </w:r>
      <w:r>
        <w:t xml:space="preserve">· Treatment with LL-37 is safe and effective in enhancing healing of hard-to-heal venous leg ulcers: a randomized, placebo-controlled clinical trial. PMID 25041740</w:t>
      </w:r>
    </w:p>
    <w:p>
      <w:pPr>
        <w:numPr>
          <w:ilvl w:val="0"/>
          <w:numId w:val="1392"/>
        </w:numPr>
        <w:pStyle w:val="Compact"/>
      </w:pPr>
      <w:r>
        <w:t xml:space="preserve">2014 · Leaf DE ·</w:t>
      </w:r>
      <w:r>
        <w:t xml:space="preserve"> </w:t>
      </w:r>
      <w:r>
        <w:rPr>
          <w:iCs/>
          <w:i/>
        </w:rPr>
        <w:t xml:space="preserve">Am J Respir Crit Care Med</w:t>
      </w:r>
      <w:r>
        <w:t xml:space="preserve"> </w:t>
      </w:r>
      <w:r>
        <w:t xml:space="preserve">· Randomized controlled trial of calcitriol in severe sepsis. PMID 25029202</w:t>
      </w:r>
    </w:p>
    <w:p>
      <w:pPr>
        <w:numPr>
          <w:ilvl w:val="0"/>
          <w:numId w:val="1392"/>
        </w:numPr>
        <w:pStyle w:val="Compact"/>
      </w:pPr>
      <w:r>
        <w:t xml:space="preserve">2014 · Koziel J ·</w:t>
      </w:r>
      <w:r>
        <w:t xml:space="preserve"> </w:t>
      </w:r>
      <w:r>
        <w:rPr>
          <w:iCs/>
          <w:i/>
        </w:rPr>
        <w:t xml:space="preserve">J Immunol</w:t>
      </w:r>
      <w:r>
        <w:t xml:space="preserve"> </w:t>
      </w:r>
      <w:r>
        <w:t xml:space="preserve">· Citrullination alters immunomodulatory function of LL-37 essential for prevention of endotoxin-induced sepsis. PMID 24771854</w:t>
      </w:r>
    </w:p>
    <w:p>
      <w:pPr>
        <w:numPr>
          <w:ilvl w:val="0"/>
          <w:numId w:val="1392"/>
        </w:numPr>
        <w:pStyle w:val="Compact"/>
      </w:pPr>
      <w:r>
        <w:t xml:space="preserve">2014 · Limoli DH ·</w:t>
      </w:r>
      <w:r>
        <w:t xml:space="preserve"> </w:t>
      </w:r>
      <w:r>
        <w:rPr>
          <w:iCs/>
          <w:i/>
        </w:rPr>
        <w:t xml:space="preserve">PLoS Pathog</w:t>
      </w:r>
      <w:r>
        <w:t xml:space="preserve"> </w:t>
      </w:r>
      <w:r>
        <w:t xml:space="preserve">· Cationic antimicrobial peptides promote microbial mutagenesis and pathoadaptation in chronic infections. PMID 24763694</w:t>
      </w:r>
    </w:p>
    <w:p>
      <w:pPr>
        <w:numPr>
          <w:ilvl w:val="0"/>
          <w:numId w:val="1392"/>
        </w:numPr>
        <w:pStyle w:val="Compact"/>
      </w:pPr>
      <w:r>
        <w:t xml:space="preserve">2014 · Wheelwright M ·</w:t>
      </w:r>
      <w:r>
        <w:t xml:space="preserve"> </w:t>
      </w:r>
      <w:r>
        <w:rPr>
          <w:iCs/>
          <w:i/>
        </w:rPr>
        <w:t xml:space="preserve">J Immunol</w:t>
      </w:r>
      <w:r>
        <w:t xml:space="preserve"> </w:t>
      </w:r>
      <w:r>
        <w:t xml:space="preserve">· All-trans retinoic acid-triggered antimicrobial activity against Mycobacterium tuberculosis is dependent on NPC2. PMID 24501203</w:t>
      </w:r>
    </w:p>
    <w:p>
      <w:pPr>
        <w:numPr>
          <w:ilvl w:val="0"/>
          <w:numId w:val="1392"/>
        </w:numPr>
        <w:pStyle w:val="Compact"/>
      </w:pPr>
      <w:r>
        <w:t xml:space="preserve">2014 · Das M ·</w:t>
      </w:r>
      <w:r>
        <w:t xml:space="preserve"> </w:t>
      </w:r>
      <w:r>
        <w:rPr>
          <w:iCs/>
          <w:i/>
        </w:rPr>
        <w:t xml:space="preserve">Eur J Clin Nutr</w:t>
      </w:r>
      <w:r>
        <w:t xml:space="preserve"> </w:t>
      </w:r>
      <w:r>
        <w:t xml:space="preserve">· Effect of vitamin D supplementation on cathelicidin, IFN-γ, IL-4 and Th1/Th2 transcription factors in young healthy females. PMID 24398649</w:t>
      </w:r>
    </w:p>
    <w:p>
      <w:pPr>
        <w:numPr>
          <w:ilvl w:val="0"/>
          <w:numId w:val="1392"/>
        </w:numPr>
        <w:pStyle w:val="Compact"/>
      </w:pPr>
      <w:r>
        <w:t xml:space="preserve">2014 · Hata TR ·</w:t>
      </w:r>
      <w:r>
        <w:t xml:space="preserve"> </w:t>
      </w:r>
      <w:r>
        <w:rPr>
          <w:iCs/>
          <w:i/>
        </w:rPr>
        <w:t xml:space="preserve">J Eur Acad Dermatol Venereol</w:t>
      </w:r>
      <w:r>
        <w:t xml:space="preserve"> </w:t>
      </w:r>
      <w:r>
        <w:t xml:space="preserve">· A randomized controlled double-blind investigation of the effects of vitamin D dietary supplementation in subjects with atopic dermatitis. PMID 23638978</w:t>
      </w:r>
    </w:p>
    <w:p>
      <w:pPr>
        <w:numPr>
          <w:ilvl w:val="0"/>
          <w:numId w:val="1392"/>
        </w:numPr>
        <w:pStyle w:val="Compact"/>
      </w:pPr>
      <w:r>
        <w:t xml:space="preserve">2013 · Mily A ·</w:t>
      </w:r>
      <w:r>
        <w:t xml:space="preserve"> </w:t>
      </w:r>
      <w:r>
        <w:rPr>
          <w:iCs/>
          <w:i/>
        </w:rPr>
        <w:t xml:space="preserve">BMC Pulm Med</w:t>
      </w:r>
      <w:r>
        <w:t xml:space="preserve"> </w:t>
      </w:r>
      <w:r>
        <w:t xml:space="preserve">· Oral intake of phenylbutyrate with or without vitamin D3 upregulates the cathelicidin LL-37 in human macrophages: a dose finding study for treatment of tuberculosis. PMID 23590701</w:t>
      </w:r>
    </w:p>
    <w:p>
      <w:pPr>
        <w:numPr>
          <w:ilvl w:val="0"/>
          <w:numId w:val="1392"/>
        </w:numPr>
        <w:pStyle w:val="Compact"/>
      </w:pPr>
      <w:r>
        <w:t xml:space="preserve">2013 · Gollwitzer H ·</w:t>
      </w:r>
      <w:r>
        <w:t xml:space="preserve"> </w:t>
      </w:r>
      <w:r>
        <w:rPr>
          <w:iCs/>
          <w:i/>
        </w:rPr>
        <w:t xml:space="preserve">J Bone Joint Surg Am</w:t>
      </w:r>
      <w:r>
        <w:t xml:space="preserve"> </w:t>
      </w:r>
      <w:r>
        <w:t xml:space="preserve">· Antimicrobial peptides and proinflammatory cytokines in periprosthetic joint infection. PMID 23553300</w:t>
      </w:r>
    </w:p>
    <w:p>
      <w:pPr>
        <w:numPr>
          <w:ilvl w:val="0"/>
          <w:numId w:val="1392"/>
        </w:numPr>
        <w:pStyle w:val="Compact"/>
      </w:pPr>
      <w:r>
        <w:t xml:space="preserve">2013 · Alvarez JA ·</w:t>
      </w:r>
      <w:r>
        <w:t xml:space="preserve"> </w:t>
      </w:r>
      <w:r>
        <w:rPr>
          <w:iCs/>
          <w:i/>
        </w:rPr>
        <w:t xml:space="preserve">Eur J Clin Nutr</w:t>
      </w:r>
      <w:r>
        <w:t xml:space="preserve"> </w:t>
      </w:r>
      <w:r>
        <w:t xml:space="preserve">· Effects of high-dose cholecalciferol on serum markers of inflammation and immunity in patients with early chronic kidney disease. PMID 23361158</w:t>
      </w:r>
    </w:p>
    <w:p>
      <w:pPr>
        <w:numPr>
          <w:ilvl w:val="0"/>
          <w:numId w:val="1392"/>
        </w:numPr>
        <w:pStyle w:val="Compact"/>
      </w:pPr>
      <w:r>
        <w:t xml:space="preserve">2013 · Klug-Micu GM ·</w:t>
      </w:r>
      <w:r>
        <w:t xml:space="preserve"> </w:t>
      </w:r>
      <w:r>
        <w:rPr>
          <w:iCs/>
          <w:i/>
        </w:rPr>
        <w:t xml:space="preserve">Immunology</w:t>
      </w:r>
      <w:r>
        <w:t xml:space="preserve"> </w:t>
      </w:r>
      <w:r>
        <w:t xml:space="preserve">· CD40 ligand and interferon-γ induce an antimicrobial response against Mycobacterium tuberculosis in human monocytes. PMID 23289765</w:t>
      </w:r>
    </w:p>
    <w:p>
      <w:pPr>
        <w:numPr>
          <w:ilvl w:val="0"/>
          <w:numId w:val="1392"/>
        </w:numPr>
        <w:pStyle w:val="Compact"/>
      </w:pPr>
      <w:r>
        <w:t xml:space="preserve">2012 · Campbell GR ·</w:t>
      </w:r>
      <w:r>
        <w:t xml:space="preserve"> </w:t>
      </w:r>
      <w:r>
        <w:rPr>
          <w:iCs/>
          <w:i/>
        </w:rPr>
        <w:t xml:space="preserve">PLoS Pathog</w:t>
      </w:r>
      <w:r>
        <w:t xml:space="preserve"> </w:t>
      </w:r>
      <w:r>
        <w:t xml:space="preserve">· Toll-like receptor 8 ligands activate a vitamin D mediated autophagic response that inhibits human immunodeficiency virus type 1. PMID 23166493</w:t>
      </w:r>
    </w:p>
    <w:p>
      <w:pPr>
        <w:numPr>
          <w:ilvl w:val="0"/>
          <w:numId w:val="1392"/>
        </w:numPr>
        <w:pStyle w:val="Compact"/>
      </w:pPr>
      <w:r>
        <w:t xml:space="preserve">2012 · Grossmann RE ·</w:t>
      </w:r>
      <w:r>
        <w:t xml:space="preserve"> </w:t>
      </w:r>
      <w:r>
        <w:rPr>
          <w:iCs/>
          <w:i/>
        </w:rPr>
        <w:t xml:space="preserve">Eur J Clin Nutr</w:t>
      </w:r>
      <w:r>
        <w:t xml:space="preserve"> </w:t>
      </w:r>
      <w:r>
        <w:t xml:space="preserve">· Impact of vitamin D supplementation on markers of inflammation in adults with cystic fibrosis hospitalized for a pulmonary exacerbation. PMID 22805498</w:t>
      </w:r>
    </w:p>
    <w:p>
      <w:pPr>
        <w:numPr>
          <w:ilvl w:val="0"/>
          <w:numId w:val="1392"/>
        </w:numPr>
        <w:pStyle w:val="Compact"/>
      </w:pPr>
      <w:r>
        <w:t xml:space="preserve">2012 · Raqib R ·</w:t>
      </w:r>
      <w:r>
        <w:t xml:space="preserve"> </w:t>
      </w:r>
      <w:r>
        <w:rPr>
          <w:iCs/>
          <w:i/>
        </w:rPr>
        <w:t xml:space="preserve">BMC Infect Dis</w:t>
      </w:r>
      <w:r>
        <w:t xml:space="preserve"> </w:t>
      </w:r>
      <w:r>
        <w:t xml:space="preserve">· Efficacy of sodium butyrate adjunct therapy in shigellosis: a randomized, double-blind, placebo-controlled clinical trial. PMID 22574737</w:t>
      </w:r>
    </w:p>
    <w:p>
      <w:pPr>
        <w:numPr>
          <w:ilvl w:val="0"/>
          <w:numId w:val="1392"/>
        </w:numPr>
        <w:pStyle w:val="Compact"/>
      </w:pPr>
      <w:r>
        <w:t xml:space="preserve">2012 · Nijnik A ·</w:t>
      </w:r>
      <w:r>
        <w:t xml:space="preserve"> </w:t>
      </w:r>
      <w:r>
        <w:rPr>
          <w:iCs/>
          <w:i/>
        </w:rPr>
        <w:t xml:space="preserve">J Leukoc Biol</w:t>
      </w:r>
      <w:r>
        <w:t xml:space="preserve"> </w:t>
      </w:r>
      <w:r>
        <w:t xml:space="preserve">· The role of the Src family kinase Lyn in the immunomodulatory activities of cathelicidin peptide LL-37 on monocytic cells. PMID 22246800</w:t>
      </w:r>
    </w:p>
    <w:p>
      <w:pPr>
        <w:numPr>
          <w:ilvl w:val="0"/>
          <w:numId w:val="1392"/>
        </w:numPr>
        <w:pStyle w:val="Compact"/>
      </w:pPr>
      <w:r>
        <w:t xml:space="preserve">2011 · Usui T ·</w:t>
      </w:r>
      <w:r>
        <w:t xml:space="preserve"> </w:t>
      </w:r>
      <w:r>
        <w:rPr>
          <w:iCs/>
          <w:i/>
        </w:rPr>
        <w:t xml:space="preserve">Eur J Appl Physiol</w:t>
      </w:r>
      <w:r>
        <w:t xml:space="preserve"> </w:t>
      </w:r>
      <w:r>
        <w:t xml:space="preserve">· Changes in salivary antimicrobial peptides, immunoglobulin A and cortisol after prolonged strenuous exercise. PMID 21249386</w:t>
      </w:r>
    </w:p>
    <w:p>
      <w:pPr>
        <w:numPr>
          <w:ilvl w:val="0"/>
          <w:numId w:val="1392"/>
        </w:numPr>
        <w:pStyle w:val="Compact"/>
      </w:pPr>
      <w:r>
        <w:t xml:space="preserve">2010 · Muratov V ·</w:t>
      </w:r>
      <w:r>
        <w:t xml:space="preserve"> </w:t>
      </w:r>
      <w:r>
        <w:rPr>
          <w:iCs/>
          <w:i/>
        </w:rPr>
        <w:t xml:space="preserve">J Clin Apher</w:t>
      </w:r>
      <w:r>
        <w:t xml:space="preserve"> </w:t>
      </w:r>
      <w:r>
        <w:t xml:space="preserve">· Safety and tolerability of a modified filter-type device for leukocytapheresis using ACD-A as anticoagulant in patients with mild to moderately active ulcerative colitis. Results of a pilot study. PMID 20806415</w:t>
      </w:r>
    </w:p>
    <w:p>
      <w:pPr>
        <w:numPr>
          <w:ilvl w:val="0"/>
          <w:numId w:val="1392"/>
        </w:numPr>
        <w:pStyle w:val="Compact"/>
      </w:pPr>
      <w:r>
        <w:t xml:space="preserve">2010 · Dhaliwal W ·</w:t>
      </w:r>
      <w:r>
        <w:t xml:space="preserve"> </w:t>
      </w:r>
      <w:r>
        <w:rPr>
          <w:iCs/>
          <w:i/>
        </w:rPr>
        <w:t xml:space="preserve">J Infect Dis</w:t>
      </w:r>
      <w:r>
        <w:t xml:space="preserve"> </w:t>
      </w:r>
      <w:r>
        <w:t xml:space="preserve">· Intestinal antimicrobial gene expression: impact of micronutrients in malnourished adults during a randomized trial. PMID 20695797</w:t>
      </w:r>
    </w:p>
    <w:p>
      <w:pPr>
        <w:numPr>
          <w:ilvl w:val="0"/>
          <w:numId w:val="1392"/>
        </w:numPr>
        <w:pStyle w:val="Compact"/>
      </w:pPr>
      <w:r>
        <w:t xml:space="preserve">2010 · Yamshchikov AV ·</w:t>
      </w:r>
      <w:r>
        <w:t xml:space="preserve"> </w:t>
      </w:r>
      <w:r>
        <w:rPr>
          <w:iCs/>
          <w:i/>
        </w:rPr>
        <w:t xml:space="preserve">Am J Clin Nutr</w:t>
      </w:r>
      <w:r>
        <w:t xml:space="preserve"> </w:t>
      </w:r>
      <w:r>
        <w:t xml:space="preserve">· Vitamin D status and antimicrobial peptide cathelicidin (LL-37) concentrations in patients with active pulmonary tuberculosis. PMID 20610636</w:t>
      </w:r>
    </w:p>
    <w:p>
      <w:pPr>
        <w:numPr>
          <w:ilvl w:val="0"/>
          <w:numId w:val="1392"/>
        </w:numPr>
        <w:pStyle w:val="Compact"/>
      </w:pPr>
      <w:r>
        <w:t xml:space="preserve">2010 · Park KY ·</w:t>
      </w:r>
      <w:r>
        <w:t xml:space="preserve"> </w:t>
      </w:r>
      <w:r>
        <w:rPr>
          <w:iCs/>
          <w:i/>
        </w:rPr>
        <w:t xml:space="preserve">J Korean Med Sci</w:t>
      </w:r>
      <w:r>
        <w:t xml:space="preserve"> </w:t>
      </w:r>
      <w:r>
        <w:t xml:space="preserve">· Changes of antimicrobial peptides and transepidermal water loss after topical application of tacrolimus and ceramide-dominant emollient in patients with atopic dermatitis. PMID 20436715</w:t>
      </w:r>
    </w:p>
    <w:p>
      <w:pPr>
        <w:numPr>
          <w:ilvl w:val="0"/>
          <w:numId w:val="1392"/>
        </w:numPr>
        <w:pStyle w:val="Compact"/>
      </w:pPr>
      <w:r>
        <w:t xml:space="preserve">2010 · Heilborn JD ·</w:t>
      </w:r>
      <w:r>
        <w:t xml:space="preserve"> </w:t>
      </w:r>
      <w:r>
        <w:rPr>
          <w:iCs/>
          <w:i/>
        </w:rPr>
        <w:t xml:space="preserve">Exp Dermatol</w:t>
      </w:r>
      <w:r>
        <w:t xml:space="preserve"> </w:t>
      </w:r>
      <w:r>
        <w:t xml:space="preserve">· Topical treatment with the vitamin D analogue calcipotriol enhances the upregulation of the antimicrobial protein hCAP18/LL-37 during wounding in human skin in vivo. PMID 19878298</w:t>
      </w:r>
    </w:p>
    <w:p>
      <w:pPr>
        <w:numPr>
          <w:ilvl w:val="0"/>
          <w:numId w:val="1392"/>
        </w:numPr>
        <w:pStyle w:val="Compact"/>
      </w:pPr>
      <w:r>
        <w:t xml:space="preserve">2009 · Misawa Y ·</w:t>
      </w:r>
      <w:r>
        <w:t xml:space="preserve"> </w:t>
      </w:r>
      <w:r>
        <w:rPr>
          <w:iCs/>
          <w:i/>
        </w:rPr>
        <w:t xml:space="preserve">Int J Hematol</w:t>
      </w:r>
      <w:r>
        <w:t xml:space="preserve"> </w:t>
      </w:r>
      <w:r>
        <w:t xml:space="preserve">· Vitamin D(3) induces expression of human cathelicidin antimicrobial peptide 18 in newborns. PMID 19943126</w:t>
      </w:r>
    </w:p>
    <w:p>
      <w:pPr>
        <w:numPr>
          <w:ilvl w:val="0"/>
          <w:numId w:val="1392"/>
        </w:numPr>
        <w:pStyle w:val="Compact"/>
      </w:pPr>
      <w:r>
        <w:t xml:space="preserve">2009 · Levinson P ·</w:t>
      </w:r>
      <w:r>
        <w:t xml:space="preserve"> </w:t>
      </w:r>
      <w:r>
        <w:rPr>
          <w:iCs/>
          <w:i/>
        </w:rPr>
        <w:t xml:space="preserve">AIDS</w:t>
      </w:r>
      <w:r>
        <w:t xml:space="preserve"> </w:t>
      </w:r>
      <w:r>
        <w:t xml:space="preserve">· Levels of innate immune factors in genital fluids: association of alpha defensins and LL-37 with genital infections and increased HIV acquisition. PMID 19114868</w:t>
      </w:r>
    </w:p>
    <w:p>
      <w:pPr>
        <w:numPr>
          <w:ilvl w:val="0"/>
          <w:numId w:val="1392"/>
        </w:numPr>
        <w:pStyle w:val="Compact"/>
      </w:pPr>
      <w:r>
        <w:t xml:space="preserve">2008 · Hata TR ·</w:t>
      </w:r>
      <w:r>
        <w:t xml:space="preserve"> </w:t>
      </w:r>
      <w:r>
        <w:rPr>
          <w:iCs/>
          <w:i/>
        </w:rPr>
        <w:t xml:space="preserve">J Allergy Clin Immunol</w:t>
      </w:r>
      <w:r>
        <w:t xml:space="preserve"> </w:t>
      </w:r>
      <w:r>
        <w:t xml:space="preserve">· Administration of oral vitamin D induces cathelicidin production in atopic individuals. PMID 19014773</w:t>
      </w:r>
    </w:p>
    <w:p>
      <w:pPr>
        <w:numPr>
          <w:ilvl w:val="0"/>
          <w:numId w:val="1392"/>
        </w:numPr>
        <w:pStyle w:val="Compact"/>
      </w:pPr>
      <w:r>
        <w:t xml:space="preserve">2007 · Christensen RD ·</w:t>
      </w:r>
      <w:r>
        <w:t xml:space="preserve"> </w:t>
      </w:r>
      <w:r>
        <w:rPr>
          <w:iCs/>
          <w:i/>
        </w:rPr>
        <w:t xml:space="preserve">J Perinatol</w:t>
      </w:r>
      <w:r>
        <w:t xml:space="preserve"> </w:t>
      </w:r>
      <w:r>
        <w:t xml:space="preserve">· ETCare: a randomized, controlled, masked trial comparing two solutions for upper airway care in the NICU. PMID 17568755</w:t>
      </w:r>
    </w:p>
    <w:p>
      <w:pPr>
        <w:numPr>
          <w:ilvl w:val="0"/>
          <w:numId w:val="1392"/>
        </w:numPr>
        <w:pStyle w:val="Compact"/>
      </w:pPr>
      <w:r>
        <w:t xml:space="preserve">2006 · Schauber J ·</w:t>
      </w:r>
      <w:r>
        <w:t xml:space="preserve"> </w:t>
      </w:r>
      <w:r>
        <w:rPr>
          <w:iCs/>
          <w:i/>
        </w:rPr>
        <w:t xml:space="preserve">Mol Nutr Food Res</w:t>
      </w:r>
      <w:r>
        <w:t xml:space="preserve"> </w:t>
      </w:r>
      <w:r>
        <w:t xml:space="preserve">· Human rectal mucosal gene expression after consumption of digestible and non-digestible carbohydrates. PMID 17039460</w:t>
      </w:r>
    </w:p>
    <w:bookmarkEnd w:id="1135"/>
    <w:bookmarkStart w:id="1136" w:name="ara-290-cibinetida-5"/>
    <w:p>
      <w:pPr>
        <w:pStyle w:val="Heading2"/>
      </w:pPr>
      <w:r>
        <w:t xml:space="preserve">ARA-290 (cibinetida) (5)</w:t>
      </w:r>
    </w:p>
    <w:p>
      <w:pPr>
        <w:numPr>
          <w:ilvl w:val="0"/>
          <w:numId w:val="1393"/>
        </w:numPr>
        <w:pStyle w:val="Compact"/>
      </w:pPr>
      <w:r>
        <w:t xml:space="preserve">2017 · Culver DA ·</w:t>
      </w:r>
      <w:r>
        <w:t xml:space="preserve"> </w:t>
      </w:r>
      <w:r>
        <w:rPr>
          <w:iCs/>
          <w:i/>
        </w:rPr>
        <w:t xml:space="preserve">Invest Ophthalmol Vis Sci</w:t>
      </w:r>
      <w:r>
        <w:t xml:space="preserve"> </w:t>
      </w:r>
      <w:r>
        <w:t xml:space="preserve">· Cibinetide Improves Corneal Nerve Fiber Abundance in Patients With Sarcoidosis-Associated Small Nerve Fiber Loss and Neuropathic Pain. PMID 28475703</w:t>
      </w:r>
    </w:p>
    <w:p>
      <w:pPr>
        <w:numPr>
          <w:ilvl w:val="0"/>
          <w:numId w:val="1393"/>
        </w:numPr>
        <w:pStyle w:val="Compact"/>
      </w:pPr>
      <w:r>
        <w:t xml:space="preserve">2015 · Cerit H ·</w:t>
      </w:r>
      <w:r>
        <w:t xml:space="preserve"> </w:t>
      </w:r>
      <w:r>
        <w:rPr>
          <w:iCs/>
          <w:i/>
        </w:rPr>
        <w:t xml:space="preserve">Eur Neuropsychopharmacol</w:t>
      </w:r>
      <w:r>
        <w:t xml:space="preserve"> </w:t>
      </w:r>
      <w:r>
        <w:t xml:space="preserve">· Testing the antidepressant properties of the peptide ARA290 in a human neuropsychological model of drug action. PMID 26431906</w:t>
      </w:r>
    </w:p>
    <w:p>
      <w:pPr>
        <w:numPr>
          <w:ilvl w:val="0"/>
          <w:numId w:val="1393"/>
        </w:numPr>
        <w:pStyle w:val="Compact"/>
      </w:pPr>
      <w:r>
        <w:t xml:space="preserve">2015 · Brines M ·</w:t>
      </w:r>
      <w:r>
        <w:t xml:space="preserve"> </w:t>
      </w:r>
      <w:r>
        <w:rPr>
          <w:iCs/>
          <w:i/>
        </w:rPr>
        <w:t xml:space="preserve">Mol Med</w:t>
      </w:r>
      <w:r>
        <w:t xml:space="preserve"> </w:t>
      </w:r>
      <w:r>
        <w:t xml:space="preserve">· ARA 290, a nonerythropoietic peptide engineered from erythropoietin, improves metabolic control and neuropathic symptoms in patients with type 2 diabetes. PMID 25387363</w:t>
      </w:r>
    </w:p>
    <w:p>
      <w:pPr>
        <w:numPr>
          <w:ilvl w:val="0"/>
          <w:numId w:val="1393"/>
        </w:numPr>
        <w:pStyle w:val="Compact"/>
      </w:pPr>
      <w:r>
        <w:t xml:space="preserve">2013 · Dahan A ·</w:t>
      </w:r>
      <w:r>
        <w:t xml:space="preserve"> </w:t>
      </w:r>
      <w:r>
        <w:rPr>
          <w:iCs/>
          <w:i/>
        </w:rPr>
        <w:t xml:space="preserve">Mol Med</w:t>
      </w:r>
      <w:r>
        <w:t xml:space="preserve"> </w:t>
      </w:r>
      <w:r>
        <w:t xml:space="preserve">· ARA 290 improves symptoms in patients with sarcoidosis-associated small nerve fiber loss and increases corneal nerve fiber density. PMID 24136731</w:t>
      </w:r>
    </w:p>
    <w:p>
      <w:pPr>
        <w:numPr>
          <w:ilvl w:val="0"/>
          <w:numId w:val="1393"/>
        </w:numPr>
        <w:pStyle w:val="Compact"/>
      </w:pPr>
      <w:r>
        <w:t xml:space="preserve">2012 · Heij L ·</w:t>
      </w:r>
      <w:r>
        <w:t xml:space="preserve"> </w:t>
      </w:r>
      <w:r>
        <w:rPr>
          <w:iCs/>
          <w:i/>
        </w:rPr>
        <w:t xml:space="preserve">Mol Med</w:t>
      </w:r>
      <w:r>
        <w:t xml:space="preserve"> </w:t>
      </w:r>
      <w:r>
        <w:t xml:space="preserve">· Safety and efficacy of ARA 290 in sarcoidosis patients with symptoms of small fiber neuropathy: a randomized, double-blind pilot study. PMID 23168581</w:t>
      </w:r>
    </w:p>
    <w:bookmarkEnd w:id="1136"/>
    <w:bookmarkStart w:id="1137" w:name="larazotida-4"/>
    <w:p>
      <w:pPr>
        <w:pStyle w:val="Heading2"/>
      </w:pPr>
      <w:r>
        <w:t xml:space="preserve">Larazotida (4)</w:t>
      </w:r>
    </w:p>
    <w:p>
      <w:pPr>
        <w:numPr>
          <w:ilvl w:val="0"/>
          <w:numId w:val="1394"/>
        </w:numPr>
        <w:pStyle w:val="Compact"/>
      </w:pPr>
      <w:r>
        <w:t xml:space="preserve">2025 · Yonker LM ·</w:t>
      </w:r>
      <w:r>
        <w:t xml:space="preserve"> </w:t>
      </w:r>
      <w:r>
        <w:rPr>
          <w:iCs/>
          <w:i/>
        </w:rPr>
        <w:t xml:space="preserve">Sci Transl Med</w:t>
      </w:r>
      <w:r>
        <w:t xml:space="preserve"> </w:t>
      </w:r>
      <w:r>
        <w:t xml:space="preserve">· Viral spike antigen clearance and augmented recovery in children with post-COVID multisystem inflammatory syndrome treated with larazotide. PMID 40737433</w:t>
      </w:r>
    </w:p>
    <w:p>
      <w:pPr>
        <w:numPr>
          <w:ilvl w:val="0"/>
          <w:numId w:val="1394"/>
        </w:numPr>
        <w:pStyle w:val="Compact"/>
      </w:pPr>
      <w:r>
        <w:t xml:space="preserve">2015 · Leffler DA ·</w:t>
      </w:r>
      <w:r>
        <w:t xml:space="preserve"> </w:t>
      </w:r>
      <w:r>
        <w:rPr>
          <w:iCs/>
          <w:i/>
        </w:rPr>
        <w:t xml:space="preserve">Gastroenterology</w:t>
      </w:r>
      <w:r>
        <w:t xml:space="preserve"> </w:t>
      </w:r>
      <w:r>
        <w:t xml:space="preserve">· Larazotide acetate for persistent symptoms of celiac disease despite a gluten-free diet: a randomized controlled trial. PMID 25683116</w:t>
      </w:r>
    </w:p>
    <w:p>
      <w:pPr>
        <w:numPr>
          <w:ilvl w:val="0"/>
          <w:numId w:val="1394"/>
        </w:numPr>
        <w:pStyle w:val="Compact"/>
      </w:pPr>
      <w:r>
        <w:t xml:space="preserve">2013 · Kelly CP ·</w:t>
      </w:r>
      <w:r>
        <w:t xml:space="preserve"> </w:t>
      </w:r>
      <w:r>
        <w:rPr>
          <w:iCs/>
          <w:i/>
        </w:rPr>
        <w:t xml:space="preserve">Aliment Pharmacol Ther</w:t>
      </w:r>
      <w:r>
        <w:t xml:space="preserve"> </w:t>
      </w:r>
      <w:r>
        <w:t xml:space="preserve">· Larazotide acetate in patients with coeliac disease undergoing a gluten challenge: a randomised placebo-controlled study. PMID 23163616</w:t>
      </w:r>
    </w:p>
    <w:p>
      <w:pPr>
        <w:numPr>
          <w:ilvl w:val="0"/>
          <w:numId w:val="1394"/>
        </w:numPr>
        <w:pStyle w:val="Compact"/>
      </w:pPr>
      <w:r>
        <w:t xml:space="preserve">2012 · Leffler DA ·</w:t>
      </w:r>
      <w:r>
        <w:t xml:space="preserve"> </w:t>
      </w:r>
      <w:r>
        <w:rPr>
          <w:iCs/>
          <w:i/>
        </w:rPr>
        <w:t xml:space="preserve">Am J Gastroenterol</w:t>
      </w:r>
      <w:r>
        <w:t xml:space="preserve"> </w:t>
      </w:r>
      <w:r>
        <w:t xml:space="preserve">· A randomized, double-blind study of larazotide acetate to prevent the activation of celiac disease during gluten challenge. PMID 22825365</w:t>
      </w:r>
    </w:p>
    <w:bookmarkEnd w:id="1137"/>
    <w:bookmarkStart w:id="1138" w:name="timalina-y-timógeno-17"/>
    <w:p>
      <w:pPr>
        <w:pStyle w:val="Heading2"/>
      </w:pPr>
      <w:r>
        <w:t xml:space="preserve">Timalina y timógeno (17)</w:t>
      </w:r>
    </w:p>
    <w:p>
      <w:pPr>
        <w:numPr>
          <w:ilvl w:val="0"/>
          <w:numId w:val="1395"/>
        </w:numPr>
        <w:pStyle w:val="Compact"/>
      </w:pPr>
      <w:r>
        <w:t xml:space="preserve">2015 · Litvinenko GI ·</w:t>
      </w:r>
      <w:r>
        <w:t xml:space="preserve"> </w:t>
      </w:r>
      <w:r>
        <w:rPr>
          <w:iCs/>
          <w:i/>
        </w:rPr>
        <w:t xml:space="preserve">Bull Exp Biol Med</w:t>
      </w:r>
      <w:r>
        <w:t xml:space="preserve"> </w:t>
      </w:r>
      <w:r>
        <w:t xml:space="preserve">· Chrono- and Immunocorrection of Inflammatory Disorders of Internal Reproductive Organs in Women of Reproductive Age. PMID 26033592</w:t>
      </w:r>
    </w:p>
    <w:p>
      <w:pPr>
        <w:numPr>
          <w:ilvl w:val="0"/>
          <w:numId w:val="1395"/>
        </w:numPr>
        <w:pStyle w:val="Compact"/>
      </w:pPr>
      <w:r>
        <w:t xml:space="preserve">2011 · Smirnov VS ·</w:t>
      </w:r>
      <w:r>
        <w:t xml:space="preserve"> </w:t>
      </w:r>
      <w:r>
        <w:rPr>
          <w:iCs/>
          <w:i/>
        </w:rPr>
        <w:t xml:space="preserve">Adv Gerontol</w:t>
      </w:r>
      <w:r>
        <w:t xml:space="preserve"> </w:t>
      </w:r>
      <w:r>
        <w:t xml:space="preserve">· [Application thymogen for preoperative preparation of elderly patients with tumor processes in abdominal cavity]. PMID 21957588</w:t>
      </w:r>
    </w:p>
    <w:p>
      <w:pPr>
        <w:numPr>
          <w:ilvl w:val="0"/>
          <w:numId w:val="1395"/>
        </w:numPr>
        <w:pStyle w:val="Compact"/>
      </w:pPr>
      <w:r>
        <w:t xml:space="preserve">2004 · Kopchak VM ·</w:t>
      </w:r>
      <w:r>
        <w:t xml:space="preserve"> </w:t>
      </w:r>
      <w:r>
        <w:rPr>
          <w:iCs/>
          <w:i/>
        </w:rPr>
        <w:t xml:space="preserve">Klin Khir</w:t>
      </w:r>
      <w:r>
        <w:t xml:space="preserve"> </w:t>
      </w:r>
      <w:r>
        <w:t xml:space="preserve">· [The application efficacy of immunomodulators in complex of treatment of an acute necrotic pancreatitis]. PMID 15560588</w:t>
      </w:r>
    </w:p>
    <w:p>
      <w:pPr>
        <w:numPr>
          <w:ilvl w:val="0"/>
          <w:numId w:val="1395"/>
        </w:numPr>
        <w:pStyle w:val="Compact"/>
      </w:pPr>
      <w:r>
        <w:t xml:space="preserve">2003 · Khavinson VKh ·</w:t>
      </w:r>
      <w:r>
        <w:t xml:space="preserve"> </w:t>
      </w:r>
      <w:r>
        <w:rPr>
          <w:iCs/>
          <w:i/>
        </w:rPr>
        <w:t xml:space="preserve">Neuro Endocrinol Lett</w:t>
      </w:r>
      <w:r>
        <w:t xml:space="preserve"> </w:t>
      </w:r>
      <w:r>
        <w:t xml:space="preserve">· Peptides of pineal gland and thymus prolong human life. PMID 14523363</w:t>
      </w:r>
    </w:p>
    <w:p>
      <w:pPr>
        <w:numPr>
          <w:ilvl w:val="0"/>
          <w:numId w:val="1395"/>
        </w:numPr>
        <w:pStyle w:val="Compact"/>
      </w:pPr>
      <w:r>
        <w:t xml:space="preserve">2000 · Potiĭ VV ·</w:t>
      </w:r>
      <w:r>
        <w:t xml:space="preserve"> </w:t>
      </w:r>
      <w:r>
        <w:rPr>
          <w:iCs/>
          <w:i/>
        </w:rPr>
        <w:t xml:space="preserve">Klin Khir</w:t>
      </w:r>
      <w:r>
        <w:t xml:space="preserve"> </w:t>
      </w:r>
      <w:r>
        <w:t xml:space="preserve">· [Applications of immunomodulators in complex of treatment of the soft tissue purulent wounds]. PMID 11247420</w:t>
      </w:r>
    </w:p>
    <w:p>
      <w:pPr>
        <w:numPr>
          <w:ilvl w:val="0"/>
          <w:numId w:val="1395"/>
        </w:numPr>
        <w:pStyle w:val="Compact"/>
      </w:pPr>
      <w:r>
        <w:t xml:space="preserve">1999 · Medus AI ·</w:t>
      </w:r>
      <w:r>
        <w:t xml:space="preserve"> </w:t>
      </w:r>
      <w:r>
        <w:rPr>
          <w:iCs/>
          <w:i/>
        </w:rPr>
        <w:t xml:space="preserve">Voen Med Zh</w:t>
      </w:r>
      <w:r>
        <w:t xml:space="preserve"> </w:t>
      </w:r>
      <w:r>
        <w:t xml:space="preserve">· [The effect of thymogen on the state of immunity in destructive pulmonary tuberculosis]. PMID 10605346</w:t>
      </w:r>
    </w:p>
    <w:p>
      <w:pPr>
        <w:numPr>
          <w:ilvl w:val="0"/>
          <w:numId w:val="1395"/>
        </w:numPr>
        <w:pStyle w:val="Compact"/>
      </w:pPr>
      <w:r>
        <w:t xml:space="preserve">1999 · Musienko GV ·</w:t>
      </w:r>
      <w:r>
        <w:t xml:space="preserve"> </w:t>
      </w:r>
      <w:r>
        <w:rPr>
          <w:iCs/>
          <w:i/>
        </w:rPr>
        <w:t xml:space="preserve">Lik Sprava</w:t>
      </w:r>
      <w:r>
        <w:t xml:space="preserve"> </w:t>
      </w:r>
      <w:r>
        <w:t xml:space="preserve">· [Thymalin in the combined treatment of parkinsonism patients]. PMID 10424021</w:t>
      </w:r>
    </w:p>
    <w:p>
      <w:pPr>
        <w:numPr>
          <w:ilvl w:val="0"/>
          <w:numId w:val="1395"/>
        </w:numPr>
        <w:pStyle w:val="Compact"/>
      </w:pPr>
      <w:r>
        <w:t xml:space="preserve">1994 · Bushmelev VA ·</w:t>
      </w:r>
      <w:r>
        <w:t xml:space="preserve"> </w:t>
      </w:r>
      <w:r>
        <w:rPr>
          <w:iCs/>
          <w:i/>
        </w:rPr>
        <w:t xml:space="preserve">Khirurgiia (Mosk)</w:t>
      </w:r>
      <w:r>
        <w:t xml:space="preserve"> </w:t>
      </w:r>
      <w:r>
        <w:t xml:space="preserve">· [Prevention of postoperative complications in diffuse purulent peritonitis in children]. PMID 7990325</w:t>
      </w:r>
    </w:p>
    <w:p>
      <w:pPr>
        <w:numPr>
          <w:ilvl w:val="0"/>
          <w:numId w:val="1395"/>
        </w:numPr>
        <w:pStyle w:val="Compact"/>
      </w:pPr>
      <w:r>
        <w:t xml:space="preserve">1994 · Litvinova NV ·</w:t>
      </w:r>
      <w:r>
        <w:t xml:space="preserve"> </w:t>
      </w:r>
      <w:r>
        <w:rPr>
          <w:iCs/>
          <w:i/>
        </w:rPr>
        <w:t xml:space="preserve">Probl Tuberk</w:t>
      </w:r>
      <w:r>
        <w:t xml:space="preserve"> </w:t>
      </w:r>
      <w:r>
        <w:t xml:space="preserve">· [Changes of immune and non-specific reactivity in patients with chronic suppurative obstructive bronchitis in comprehensive treatment with thymogen]. PMID 7984617</w:t>
      </w:r>
    </w:p>
    <w:p>
      <w:pPr>
        <w:numPr>
          <w:ilvl w:val="0"/>
          <w:numId w:val="1395"/>
        </w:numPr>
        <w:pStyle w:val="Compact"/>
      </w:pPr>
      <w:r>
        <w:t xml:space="preserve">1994 · Ivanova LA ·</w:t>
      </w:r>
      <w:r>
        <w:t xml:space="preserve"> </w:t>
      </w:r>
      <w:r>
        <w:rPr>
          <w:iCs/>
          <w:i/>
        </w:rPr>
        <w:t xml:space="preserve">Probl Tuberk</w:t>
      </w:r>
      <w:r>
        <w:t xml:space="preserve"> </w:t>
      </w:r>
      <w:r>
        <w:t xml:space="preserve">· [Immunotherapy in the combined treatment of chronic destructive pulmonary tuberculosis]. PMID 7937662</w:t>
      </w:r>
    </w:p>
    <w:p>
      <w:pPr>
        <w:numPr>
          <w:ilvl w:val="0"/>
          <w:numId w:val="1395"/>
        </w:numPr>
        <w:pStyle w:val="Compact"/>
      </w:pPr>
      <w:r>
        <w:t xml:space="preserve">1992 · Tsvelev IuV ·</w:t>
      </w:r>
      <w:r>
        <w:t xml:space="preserve"> </w:t>
      </w:r>
      <w:r>
        <w:rPr>
          <w:iCs/>
          <w:i/>
        </w:rPr>
        <w:t xml:space="preserve">Akush Ginekol (Mosk)</w:t>
      </w:r>
      <w:r>
        <w:t xml:space="preserve"> </w:t>
      </w:r>
      <w:r>
        <w:t xml:space="preserve">· [Thymogen in the complex treatment of inflammatory diseases of the female genital system]. PMID 1476231</w:t>
      </w:r>
    </w:p>
    <w:p>
      <w:pPr>
        <w:numPr>
          <w:ilvl w:val="0"/>
          <w:numId w:val="1395"/>
        </w:numPr>
        <w:pStyle w:val="Compact"/>
      </w:pPr>
      <w:r>
        <w:t xml:space="preserve">1992 · Tkach SM ·</w:t>
      </w:r>
      <w:r>
        <w:t xml:space="preserve"> </w:t>
      </w:r>
      <w:r>
        <w:rPr>
          <w:iCs/>
          <w:i/>
        </w:rPr>
        <w:t xml:space="preserve">Lik Sprava</w:t>
      </w:r>
      <w:r>
        <w:t xml:space="preserve"> </w:t>
      </w:r>
      <w:r>
        <w:t xml:space="preserve">· [Differentiated immunocorrective therapy in nonspecific ulcerative colitis]. PMID 1441366</w:t>
      </w:r>
    </w:p>
    <w:p>
      <w:pPr>
        <w:numPr>
          <w:ilvl w:val="0"/>
          <w:numId w:val="1395"/>
        </w:numPr>
        <w:pStyle w:val="Compact"/>
      </w:pPr>
      <w:r>
        <w:t xml:space="preserve">1990 · Govorin NV ·</w:t>
      </w:r>
      <w:r>
        <w:t xml:space="preserve"> </w:t>
      </w:r>
      <w:r>
        <w:rPr>
          <w:iCs/>
          <w:i/>
        </w:rPr>
        <w:t xml:space="preserve">Zh Nevropatol Psikhiatr Im S S Korsakova</w:t>
      </w:r>
      <w:r>
        <w:t xml:space="preserve"> </w:t>
      </w:r>
      <w:r>
        <w:t xml:space="preserve">· [Use of thymic peptide thymalin in the complex treatment of therapy-resistant schizophrenia]. PMID 2163147</w:t>
      </w:r>
    </w:p>
    <w:p>
      <w:pPr>
        <w:numPr>
          <w:ilvl w:val="0"/>
          <w:numId w:val="1395"/>
        </w:numPr>
        <w:pStyle w:val="Compact"/>
      </w:pPr>
      <w:r>
        <w:t xml:space="preserve">1990 · Kogosova LS ·</w:t>
      </w:r>
      <w:r>
        <w:t xml:space="preserve"> </w:t>
      </w:r>
      <w:r>
        <w:rPr>
          <w:iCs/>
          <w:i/>
        </w:rPr>
        <w:t xml:space="preserve">Probl Tuberk</w:t>
      </w:r>
      <w:r>
        <w:t xml:space="preserve"> </w:t>
      </w:r>
      <w:r>
        <w:t xml:space="preserve">· [Effectiveness of administration of thymalin in the complex treatment of pulmonary tuberculosis]. PMID 2080155</w:t>
      </w:r>
    </w:p>
    <w:p>
      <w:pPr>
        <w:numPr>
          <w:ilvl w:val="0"/>
          <w:numId w:val="1395"/>
        </w:numPr>
        <w:pStyle w:val="Compact"/>
      </w:pPr>
      <w:r>
        <w:t xml:space="preserve">1987 · Pateiuk VG ·</w:t>
      </w:r>
      <w:r>
        <w:t xml:space="preserve"> </w:t>
      </w:r>
      <w:r>
        <w:rPr>
          <w:iCs/>
          <w:i/>
        </w:rPr>
        <w:t xml:space="preserve">Klin Med (Mosk)</w:t>
      </w:r>
      <w:r>
        <w:t xml:space="preserve"> </w:t>
      </w:r>
      <w:r>
        <w:t xml:space="preserve">· [Thymalin in the treatment of patients with erysipelas]. PMID 3312790</w:t>
      </w:r>
    </w:p>
    <w:p>
      <w:pPr>
        <w:numPr>
          <w:ilvl w:val="0"/>
          <w:numId w:val="1395"/>
        </w:numPr>
        <w:pStyle w:val="Compact"/>
      </w:pPr>
      <w:r>
        <w:t xml:space="preserve">1985 · Boĭko IN ·</w:t>
      </w:r>
      <w:r>
        <w:t xml:space="preserve"> </w:t>
      </w:r>
      <w:r>
        <w:rPr>
          <w:iCs/>
          <w:i/>
        </w:rPr>
        <w:t xml:space="preserve">Voen Med Zh</w:t>
      </w:r>
      <w:r>
        <w:t xml:space="preserve"> </w:t>
      </w:r>
      <w:r>
        <w:t xml:space="preserve">· [Effectiveness of thymalin and prodigiozan in the complex treatment of patients with dysentery]. PMID 3901509</w:t>
      </w:r>
    </w:p>
    <w:p>
      <w:pPr>
        <w:numPr>
          <w:ilvl w:val="0"/>
          <w:numId w:val="1395"/>
        </w:numPr>
        <w:pStyle w:val="Compact"/>
      </w:pPr>
      <w:r>
        <w:t xml:space="preserve">1982 · Khavinson VKh ·</w:t>
      </w:r>
      <w:r>
        <w:t xml:space="preserve"> </w:t>
      </w:r>
      <w:r>
        <w:rPr>
          <w:iCs/>
          <w:i/>
        </w:rPr>
        <w:t xml:space="preserve">Voen Med Zh</w:t>
      </w:r>
      <w:r>
        <w:t xml:space="preserve"> </w:t>
      </w:r>
      <w:r>
        <w:t xml:space="preserve">· [Experimental and clinical study of a new immunoregulator preparation thymalin]. PMID 7048731</w:t>
      </w:r>
    </w:p>
    <w:bookmarkEnd w:id="1138"/>
    <w:bookmarkStart w:id="1139" w:name="sermorelina-0"/>
    <w:p>
      <w:pPr>
        <w:pStyle w:val="Heading2"/>
      </w:pPr>
      <w:r>
        <w:t xml:space="preserve">Sermorelina (0)</w:t>
      </w:r>
    </w:p>
    <w:p>
      <w:pPr>
        <w:pStyle w:val="FirstParagraph"/>
      </w:pPr>
      <w:r>
        <w:t xml:space="preserve">No se encontraron publicaciones de estudios clínicos en humanos.</w:t>
      </w:r>
    </w:p>
    <w:bookmarkEnd w:id="1139"/>
    <w:bookmarkStart w:id="1140" w:name="tesamorelina-23"/>
    <w:p>
      <w:pPr>
        <w:pStyle w:val="Heading2"/>
      </w:pPr>
      <w:r>
        <w:t xml:space="preserve">Tesamorelina (23)</w:t>
      </w:r>
    </w:p>
    <w:p>
      <w:pPr>
        <w:numPr>
          <w:ilvl w:val="0"/>
          <w:numId w:val="1396"/>
        </w:numPr>
        <w:pStyle w:val="Compact"/>
      </w:pPr>
      <w:r>
        <w:t xml:space="preserve">2025 · Ellis RJ ·</w:t>
      </w:r>
      <w:r>
        <w:t xml:space="preserve"> </w:t>
      </w:r>
      <w:r>
        <w:rPr>
          <w:iCs/>
          <w:i/>
        </w:rPr>
        <w:t xml:space="preserve">J Infect Dis</w:t>
      </w:r>
      <w:r>
        <w:t xml:space="preserve"> </w:t>
      </w:r>
      <w:r>
        <w:t xml:space="preserve">· Effects of Tesamorelin on Neurocognitive Impairment in Persons With HIV and Abdominal Obesity. PMID 39813152</w:t>
      </w:r>
    </w:p>
    <w:p>
      <w:pPr>
        <w:numPr>
          <w:ilvl w:val="0"/>
          <w:numId w:val="1396"/>
        </w:numPr>
        <w:pStyle w:val="Compact"/>
      </w:pPr>
      <w:r>
        <w:t xml:space="preserve">2024 · Russo SC ·</w:t>
      </w:r>
      <w:r>
        <w:t xml:space="preserve"> </w:t>
      </w:r>
      <w:r>
        <w:rPr>
          <w:iCs/>
          <w:i/>
        </w:rPr>
        <w:t xml:space="preserve">AIDS</w:t>
      </w:r>
      <w:r>
        <w:t xml:space="preserve"> </w:t>
      </w:r>
      <w:r>
        <w:t xml:space="preserve">· Efficacy and safety of tesamorelin in people with HIV on integrase inhibitors. PMID 38905488</w:t>
      </w:r>
    </w:p>
    <w:p>
      <w:pPr>
        <w:numPr>
          <w:ilvl w:val="0"/>
          <w:numId w:val="1396"/>
        </w:numPr>
        <w:pStyle w:val="Compact"/>
      </w:pPr>
      <w:r>
        <w:t xml:space="preserve">2021 · Stanley TL ·</w:t>
      </w:r>
      <w:r>
        <w:t xml:space="preserve"> </w:t>
      </w:r>
      <w:r>
        <w:rPr>
          <w:iCs/>
          <w:i/>
        </w:rPr>
        <w:t xml:space="preserve">Clin Infect Dis</w:t>
      </w:r>
      <w:r>
        <w:t xml:space="preserve"> </w:t>
      </w:r>
      <w:r>
        <w:t xml:space="preserve">· Growth Hormone Releasing Hormone Reduces Circulating Markers of Immune Activation in Parallel with Effects on Hepatic Immune Pathways in Individuals with HIV-infection and Nonalcoholic Fatty Liver Disease. PMID 33852720</w:t>
      </w:r>
    </w:p>
    <w:p>
      <w:pPr>
        <w:numPr>
          <w:ilvl w:val="0"/>
          <w:numId w:val="1396"/>
        </w:numPr>
        <w:pStyle w:val="Compact"/>
      </w:pPr>
      <w:r>
        <w:t xml:space="preserve">2021 · Fourman LT ·</w:t>
      </w:r>
      <w:r>
        <w:t xml:space="preserve"> </w:t>
      </w:r>
      <w:r>
        <w:rPr>
          <w:iCs/>
          <w:i/>
        </w:rPr>
        <w:t xml:space="preserve">Clin Infect Dis</w:t>
      </w:r>
      <w:r>
        <w:t xml:space="preserve"> </w:t>
      </w:r>
      <w:r>
        <w:t xml:space="preserve">· Clinical Predictors of Liver Fibrosis Presence and Progression in Human Immunodeficiency Virus-Associated Nonalcoholic Fatty Liver Disease. PMID 32270862</w:t>
      </w:r>
    </w:p>
    <w:p>
      <w:pPr>
        <w:numPr>
          <w:ilvl w:val="0"/>
          <w:numId w:val="1396"/>
        </w:numPr>
        <w:pStyle w:val="Compact"/>
      </w:pPr>
      <w:r>
        <w:t xml:space="preserve">2020 · Fourman LT ·</w:t>
      </w:r>
      <w:r>
        <w:t xml:space="preserve"> </w:t>
      </w:r>
      <w:r>
        <w:rPr>
          <w:iCs/>
          <w:i/>
        </w:rPr>
        <w:t xml:space="preserve">JCI Insight</w:t>
      </w:r>
      <w:r>
        <w:t xml:space="preserve"> </w:t>
      </w:r>
      <w:r>
        <w:t xml:space="preserve">· Effects of tesamorelin on hepatic transcriptomic signatures in HIV-associated NAFLD. PMID 32701508</w:t>
      </w:r>
    </w:p>
    <w:p>
      <w:pPr>
        <w:numPr>
          <w:ilvl w:val="0"/>
          <w:numId w:val="1396"/>
        </w:numPr>
        <w:pStyle w:val="Compact"/>
      </w:pPr>
      <w:r>
        <w:t xml:space="preserve">2019 · Stanley TL ·</w:t>
      </w:r>
      <w:r>
        <w:t xml:space="preserve"> </w:t>
      </w:r>
      <w:r>
        <w:rPr>
          <w:iCs/>
          <w:i/>
        </w:rPr>
        <w:t xml:space="preserve">Lancet HIV</w:t>
      </w:r>
      <w:r>
        <w:t xml:space="preserve"> </w:t>
      </w:r>
      <w:r>
        <w:t xml:space="preserve">· Effects of tesamorelin on non-alcoholic fatty liver disease in HIV: a randomised, double-blind, multicentre trial. PMID 31611038</w:t>
      </w:r>
    </w:p>
    <w:p>
      <w:pPr>
        <w:numPr>
          <w:ilvl w:val="0"/>
          <w:numId w:val="1396"/>
        </w:numPr>
        <w:pStyle w:val="Compact"/>
      </w:pPr>
      <w:r>
        <w:t xml:space="preserve">2019 · Adrian S ·</w:t>
      </w:r>
      <w:r>
        <w:t xml:space="preserve"> </w:t>
      </w:r>
      <w:r>
        <w:rPr>
          <w:iCs/>
          <w:i/>
        </w:rPr>
        <w:t xml:space="preserve">J Frailty Aging</w:t>
      </w:r>
      <w:r>
        <w:t xml:space="preserve"> </w:t>
      </w:r>
      <w:r>
        <w:t xml:space="preserve">· The Growth Hormone Releasing Hormone Analogue, Tesamorelin, Decreases Muscle Fat and Increases Muscle Area in Adults with HIV. PMID 31237318</w:t>
      </w:r>
    </w:p>
    <w:p>
      <w:pPr>
        <w:numPr>
          <w:ilvl w:val="0"/>
          <w:numId w:val="1396"/>
        </w:numPr>
        <w:pStyle w:val="Compact"/>
      </w:pPr>
      <w:r>
        <w:t xml:space="preserve">2017 · Braun LR ·</w:t>
      </w:r>
      <w:r>
        <w:t xml:space="preserve"> </w:t>
      </w:r>
      <w:r>
        <w:rPr>
          <w:iCs/>
          <w:i/>
        </w:rPr>
        <w:t xml:space="preserve">Growth Horm IGF Res</w:t>
      </w:r>
      <w:r>
        <w:t xml:space="preserve"> </w:t>
      </w:r>
      <w:r>
        <w:t xml:space="preserve">· Fibroblast growth factor 21 decreases after liver fat reduction via growth hormone augmentation. PMID 29031905</w:t>
      </w:r>
    </w:p>
    <w:p>
      <w:pPr>
        <w:numPr>
          <w:ilvl w:val="0"/>
          <w:numId w:val="1396"/>
        </w:numPr>
        <w:pStyle w:val="Compact"/>
      </w:pPr>
      <w:r>
        <w:t xml:space="preserve">2017 · Clemmons DR ·</w:t>
      </w:r>
      <w:r>
        <w:t xml:space="preserve"> </w:t>
      </w:r>
      <w:r>
        <w:rPr>
          <w:iCs/>
          <w:i/>
        </w:rPr>
        <w:t xml:space="preserve">PLoS One</w:t>
      </w:r>
      <w:r>
        <w:t xml:space="preserve"> </w:t>
      </w:r>
      <w:r>
        <w:t xml:space="preserve">· Safety and metabolic effects of tesamorelin, a growth hormone-releasing factor analogue, in patients with type 2 diabetes: A randomized, placebo-controlled trial. PMID 28617838</w:t>
      </w:r>
    </w:p>
    <w:p>
      <w:pPr>
        <w:numPr>
          <w:ilvl w:val="0"/>
          <w:numId w:val="1396"/>
        </w:numPr>
        <w:pStyle w:val="Compact"/>
      </w:pPr>
      <w:r>
        <w:t xml:space="preserve">2015 · Mangili A ·</w:t>
      </w:r>
      <w:r>
        <w:t xml:space="preserve"> </w:t>
      </w:r>
      <w:r>
        <w:rPr>
          <w:iCs/>
          <w:i/>
        </w:rPr>
        <w:t xml:space="preserve">PLoS One</w:t>
      </w:r>
      <w:r>
        <w:t xml:space="preserve"> </w:t>
      </w:r>
      <w:r>
        <w:t xml:space="preserve">· Predictors of Treatment Response to Tesamorelin, a Growth Hormone-Releasing Factor Analog, in HIV-Infected Patients with Excess Abdominal Fat. PMID 26457580</w:t>
      </w:r>
    </w:p>
    <w:p>
      <w:pPr>
        <w:numPr>
          <w:ilvl w:val="0"/>
          <w:numId w:val="1396"/>
        </w:numPr>
        <w:pStyle w:val="Compact"/>
      </w:pPr>
      <w:r>
        <w:t xml:space="preserve">2015 · González-Sales M ·</w:t>
      </w:r>
      <w:r>
        <w:t xml:space="preserve"> </w:t>
      </w:r>
      <w:r>
        <w:rPr>
          <w:iCs/>
          <w:i/>
        </w:rPr>
        <w:t xml:space="preserve">J Pharmacokinet Pharmacodyn</w:t>
      </w:r>
      <w:r>
        <w:t xml:space="preserve"> </w:t>
      </w:r>
      <w:r>
        <w:t xml:space="preserve">· Population pharmacokinetic and pharmacodynamic analysis of tesamorelin in HIV-infected patients and healthy subjects. PMID 25895899</w:t>
      </w:r>
    </w:p>
    <w:p>
      <w:pPr>
        <w:numPr>
          <w:ilvl w:val="0"/>
          <w:numId w:val="1396"/>
        </w:numPr>
        <w:pStyle w:val="Compact"/>
      </w:pPr>
      <w:r>
        <w:t xml:space="preserve">2015 · González-Sales M ·</w:t>
      </w:r>
      <w:r>
        <w:t xml:space="preserve"> </w:t>
      </w:r>
      <w:r>
        <w:rPr>
          <w:iCs/>
          <w:i/>
        </w:rPr>
        <w:t xml:space="preserve">Clin Pharmacokinet</w:t>
      </w:r>
      <w:r>
        <w:t xml:space="preserve"> </w:t>
      </w:r>
      <w:r>
        <w:t xml:space="preserve">· Population pharmacokinetic analysis of tesamorelin in HIV-infected patients and healthy subjects. PMID 25358450</w:t>
      </w:r>
    </w:p>
    <w:p>
      <w:pPr>
        <w:numPr>
          <w:ilvl w:val="0"/>
          <w:numId w:val="1396"/>
        </w:numPr>
        <w:pStyle w:val="Compact"/>
      </w:pPr>
      <w:r>
        <w:t xml:space="preserve">2014 · Stanley TL ·</w:t>
      </w:r>
      <w:r>
        <w:t xml:space="preserve"> </w:t>
      </w:r>
      <w:r>
        <w:rPr>
          <w:iCs/>
          <w:i/>
        </w:rPr>
        <w:t xml:space="preserve">JAMA</w:t>
      </w:r>
      <w:r>
        <w:t xml:space="preserve"> </w:t>
      </w:r>
      <w:r>
        <w:t xml:space="preserve">· Effect of tesamorelin on visceral fat and liver fat in HIV-infected patients with abdominal fat accumulation: a randomized clinical trial. PMID 25038357</w:t>
      </w:r>
    </w:p>
    <w:p>
      <w:pPr>
        <w:numPr>
          <w:ilvl w:val="0"/>
          <w:numId w:val="1396"/>
        </w:numPr>
        <w:pStyle w:val="Compact"/>
      </w:pPr>
      <w:r>
        <w:t xml:space="preserve">2014 · Makimura H ·</w:t>
      </w:r>
      <w:r>
        <w:t xml:space="preserve"> </w:t>
      </w:r>
      <w:r>
        <w:rPr>
          <w:iCs/>
          <w:i/>
        </w:rPr>
        <w:t xml:space="preserve">J Clin Endocrinol Metab</w:t>
      </w:r>
      <w:r>
        <w:t xml:space="preserve"> </w:t>
      </w:r>
      <w:r>
        <w:t xml:space="preserve">· The effects of tesamorelin on phosphocreatine recovery in obese subjects with reduced GH. PMID 24178787</w:t>
      </w:r>
    </w:p>
    <w:p>
      <w:pPr>
        <w:numPr>
          <w:ilvl w:val="0"/>
          <w:numId w:val="1396"/>
        </w:numPr>
        <w:pStyle w:val="Compact"/>
      </w:pPr>
      <w:r>
        <w:t xml:space="preserve">2013 · Friedman SD ·</w:t>
      </w:r>
      <w:r>
        <w:t xml:space="preserve"> </w:t>
      </w:r>
      <w:r>
        <w:rPr>
          <w:iCs/>
          <w:i/>
        </w:rPr>
        <w:t xml:space="preserve">JAMA Neurol</w:t>
      </w:r>
      <w:r>
        <w:t xml:space="preserve"> </w:t>
      </w:r>
      <w:r>
        <w:t xml:space="preserve">· Growth hormone-releasing hormone effects on brain γ-aminobutyric acid levels in mild cognitive impairment and healthy aging. PMID 23689947</w:t>
      </w:r>
    </w:p>
    <w:p>
      <w:pPr>
        <w:numPr>
          <w:ilvl w:val="0"/>
          <w:numId w:val="1396"/>
        </w:numPr>
        <w:pStyle w:val="Compact"/>
      </w:pPr>
      <w:r>
        <w:t xml:space="preserve">2012 · Makimura H ·</w:t>
      </w:r>
      <w:r>
        <w:t xml:space="preserve"> </w:t>
      </w:r>
      <w:r>
        <w:rPr>
          <w:iCs/>
          <w:i/>
        </w:rPr>
        <w:t xml:space="preserve">J Clin Endocrinol Metab</w:t>
      </w:r>
      <w:r>
        <w:t xml:space="preserve"> </w:t>
      </w:r>
      <w:r>
        <w:t xml:space="preserve">· Metabolic effects of a growth hormone-releasing factor in obese subjects with reduced growth hormone secretion: a randomized controlled trial. PMID 23015655</w:t>
      </w:r>
    </w:p>
    <w:p>
      <w:pPr>
        <w:numPr>
          <w:ilvl w:val="0"/>
          <w:numId w:val="1396"/>
        </w:numPr>
        <w:pStyle w:val="Compact"/>
      </w:pPr>
      <w:r>
        <w:t xml:space="preserve">2012 · Baker LD ·</w:t>
      </w:r>
      <w:r>
        <w:t xml:space="preserve"> </w:t>
      </w:r>
      <w:r>
        <w:rPr>
          <w:iCs/>
          <w:i/>
        </w:rPr>
        <w:t xml:space="preserve">Arch Neurol</w:t>
      </w:r>
      <w:r>
        <w:t xml:space="preserve"> </w:t>
      </w:r>
      <w:r>
        <w:t xml:space="preserve">· Effects of growth hormone–releasing hormone on cognitive function in adults with mild cognitive impairment and healthy older adults: results of a controlled trial. PMID 22869065</w:t>
      </w:r>
    </w:p>
    <w:p>
      <w:pPr>
        <w:numPr>
          <w:ilvl w:val="0"/>
          <w:numId w:val="1396"/>
        </w:numPr>
        <w:pStyle w:val="Compact"/>
      </w:pPr>
      <w:r>
        <w:t xml:space="preserve">2012 · Stanley TL ·</w:t>
      </w:r>
      <w:r>
        <w:t xml:space="preserve"> </w:t>
      </w:r>
      <w:r>
        <w:rPr>
          <w:iCs/>
          <w:i/>
        </w:rPr>
        <w:t xml:space="preserve">Clin Infect Dis</w:t>
      </w:r>
      <w:r>
        <w:t xml:space="preserve"> </w:t>
      </w:r>
      <w:r>
        <w:t xml:space="preserve">· Reduction in visceral adiposity is associated with an improved metabolic profile in HIV-infected patients receiving tesamorelin. PMID 22495074</w:t>
      </w:r>
    </w:p>
    <w:p>
      <w:pPr>
        <w:numPr>
          <w:ilvl w:val="0"/>
          <w:numId w:val="1396"/>
        </w:numPr>
        <w:pStyle w:val="Compact"/>
      </w:pPr>
      <w:r>
        <w:t xml:space="preserve">2011 · Makimura H ·</w:t>
      </w:r>
      <w:r>
        <w:t xml:space="preserve"> </w:t>
      </w:r>
      <w:r>
        <w:rPr>
          <w:iCs/>
          <w:i/>
        </w:rPr>
        <w:t xml:space="preserve">Growth Horm IGF Res</w:t>
      </w:r>
      <w:r>
        <w:t xml:space="preserve"> </w:t>
      </w:r>
      <w:r>
        <w:t xml:space="preserve">· Relationship of adiponectin to endogenous GH pulse secretion parameters in response to stimulation with a growth hormone releasing factor. PMID 21531600</w:t>
      </w:r>
    </w:p>
    <w:p>
      <w:pPr>
        <w:numPr>
          <w:ilvl w:val="0"/>
          <w:numId w:val="1396"/>
        </w:numPr>
        <w:pStyle w:val="Compact"/>
      </w:pPr>
      <w:r>
        <w:t xml:space="preserve">2011 · Stanley TL ·</w:t>
      </w:r>
      <w:r>
        <w:t xml:space="preserve"> </w:t>
      </w:r>
      <w:r>
        <w:rPr>
          <w:iCs/>
          <w:i/>
        </w:rPr>
        <w:t xml:space="preserve">AIDS</w:t>
      </w:r>
      <w:r>
        <w:t xml:space="preserve"> </w:t>
      </w:r>
      <w:r>
        <w:t xml:space="preserve">· Effects of tesamorelin on inflammatory markers in HIV patients with excess abdominal fat: relationship with visceral adipose reduction. PMID 21516030</w:t>
      </w:r>
    </w:p>
    <w:p>
      <w:pPr>
        <w:numPr>
          <w:ilvl w:val="0"/>
          <w:numId w:val="1396"/>
        </w:numPr>
        <w:pStyle w:val="Compact"/>
      </w:pPr>
      <w:r>
        <w:t xml:space="preserve">2010 · Falutz J ·</w:t>
      </w:r>
      <w:r>
        <w:t xml:space="preserve"> </w:t>
      </w:r>
      <w:r>
        <w:rPr>
          <w:iCs/>
          <w:i/>
        </w:rPr>
        <w:t xml:space="preserve">J Acquir Immune Defic Syndr</w:t>
      </w:r>
      <w:r>
        <w:t xml:space="preserve"> </w:t>
      </w:r>
      <w:r>
        <w:t xml:space="preserve">· Effects of tesamorelin, a growth hormone-releasing factor, in HIV-infected patients with abdominal fat accumulation: a randomized placebo-controlled trial with a safety extension. PMID 20101189</w:t>
      </w:r>
    </w:p>
    <w:p>
      <w:pPr>
        <w:numPr>
          <w:ilvl w:val="0"/>
          <w:numId w:val="1396"/>
        </w:numPr>
        <w:pStyle w:val="Compact"/>
      </w:pPr>
      <w:r>
        <w:t xml:space="preserve">2008 · Falutz J ·</w:t>
      </w:r>
      <w:r>
        <w:t xml:space="preserve"> </w:t>
      </w:r>
      <w:r>
        <w:rPr>
          <w:iCs/>
          <w:i/>
        </w:rPr>
        <w:t xml:space="preserve">AIDS</w:t>
      </w:r>
      <w:r>
        <w:t xml:space="preserve"> </w:t>
      </w:r>
      <w:r>
        <w:t xml:space="preserve">· Long-term safety and effects of tesamorelin, a growth hormone-releasing factor analogue, in HIV patients with abdominal fat accumulation. PMID 18690162</w:t>
      </w:r>
    </w:p>
    <w:p>
      <w:pPr>
        <w:numPr>
          <w:ilvl w:val="0"/>
          <w:numId w:val="1396"/>
        </w:numPr>
        <w:pStyle w:val="Compact"/>
      </w:pPr>
      <w:r>
        <w:t xml:space="preserve">2007 · Falutz J ·</w:t>
      </w:r>
      <w:r>
        <w:t xml:space="preserve"> </w:t>
      </w:r>
      <w:r>
        <w:rPr>
          <w:iCs/>
          <w:i/>
        </w:rPr>
        <w:t xml:space="preserve">N Engl J Med</w:t>
      </w:r>
      <w:r>
        <w:t xml:space="preserve"> </w:t>
      </w:r>
      <w:r>
        <w:t xml:space="preserve">· Metabolic effects of a growth hormone-releasing factor in patients with HIV. PMID 18057338</w:t>
      </w:r>
    </w:p>
    <w:bookmarkEnd w:id="1140"/>
    <w:bookmarkStart w:id="1141" w:name="cjc-1295-2"/>
    <w:p>
      <w:pPr>
        <w:pStyle w:val="Heading2"/>
      </w:pPr>
      <w:r>
        <w:t xml:space="preserve">CJC-1295 (2)</w:t>
      </w:r>
    </w:p>
    <w:p>
      <w:pPr>
        <w:numPr>
          <w:ilvl w:val="0"/>
          <w:numId w:val="1397"/>
        </w:numPr>
        <w:pStyle w:val="Compact"/>
      </w:pPr>
      <w:r>
        <w:t xml:space="preserve">2006 · Ionescu M ·</w:t>
      </w:r>
      <w:r>
        <w:t xml:space="preserve"> </w:t>
      </w:r>
      <w:r>
        <w:rPr>
          <w:iCs/>
          <w:i/>
        </w:rPr>
        <w:t xml:space="preserve">J Clin Endocrinol Metab</w:t>
      </w:r>
      <w:r>
        <w:t xml:space="preserve"> </w:t>
      </w:r>
      <w:r>
        <w:t xml:space="preserve">· Pulsatile secretion of growth hormone (GH) persists during continuous stimulation by CJC-1295, a long-acting GH-releasing hormone analog. PMID 17018654</w:t>
      </w:r>
    </w:p>
    <w:p>
      <w:pPr>
        <w:numPr>
          <w:ilvl w:val="0"/>
          <w:numId w:val="1397"/>
        </w:numPr>
        <w:pStyle w:val="Compact"/>
      </w:pPr>
      <w:r>
        <w:t xml:space="preserve">2006 · Teichman SL ·</w:t>
      </w:r>
      <w:r>
        <w:t xml:space="preserve"> </w:t>
      </w:r>
      <w:r>
        <w:rPr>
          <w:iCs/>
          <w:i/>
        </w:rPr>
        <w:t xml:space="preserve">J Clin Endocrinol Metab</w:t>
      </w:r>
      <w:r>
        <w:t xml:space="preserve"> </w:t>
      </w:r>
      <w:r>
        <w:t xml:space="preserve">· Prolonged stimulation of growth hormone (GH) and insulin-like growth factor I secretion by CJC-1295, a long-acting analog of GH-releasing hormone, in healthy adults. PMID 16352683</w:t>
      </w:r>
    </w:p>
    <w:bookmarkEnd w:id="1141"/>
    <w:bookmarkStart w:id="1142" w:name="ipamorelina-2"/>
    <w:p>
      <w:pPr>
        <w:pStyle w:val="Heading2"/>
      </w:pPr>
      <w:r>
        <w:t xml:space="preserve">Ipamorelina (2)</w:t>
      </w:r>
    </w:p>
    <w:p>
      <w:pPr>
        <w:numPr>
          <w:ilvl w:val="0"/>
          <w:numId w:val="1398"/>
        </w:numPr>
        <w:pStyle w:val="Compact"/>
      </w:pPr>
      <w:r>
        <w:t xml:space="preserve">2014 · Beck DE ·</w:t>
      </w:r>
      <w:r>
        <w:t xml:space="preserve"> </w:t>
      </w:r>
      <w:r>
        <w:rPr>
          <w:iCs/>
          <w:i/>
        </w:rPr>
        <w:t xml:space="preserve">Int J Colorectal Dis</w:t>
      </w:r>
      <w:r>
        <w:t xml:space="preserve"> </w:t>
      </w:r>
      <w:r>
        <w:t xml:space="preserve">· Prospective, randomized, controlled, proof-of-concept study of the Ghrelin mimetic ipamorelin for the management of postoperative ileus in bowel resection patients. PMID 25331030</w:t>
      </w:r>
    </w:p>
    <w:p>
      <w:pPr>
        <w:numPr>
          <w:ilvl w:val="0"/>
          <w:numId w:val="1398"/>
        </w:numPr>
        <w:pStyle w:val="Compact"/>
      </w:pPr>
      <w:r>
        <w:t xml:space="preserve">1999 · Gobburu JV ·</w:t>
      </w:r>
      <w:r>
        <w:t xml:space="preserve"> </w:t>
      </w:r>
      <w:r>
        <w:rPr>
          <w:iCs/>
          <w:i/>
        </w:rPr>
        <w:t xml:space="preserve">Pharm Res</w:t>
      </w:r>
      <w:r>
        <w:t xml:space="preserve"> </w:t>
      </w:r>
      <w:r>
        <w:t xml:space="preserve">· Pharmacokinetic-pharmacodynamic modeling of ipamorelin, a growth hormone releasing peptide, in human volunteers. PMID 10496658</w:t>
      </w:r>
    </w:p>
    <w:bookmarkEnd w:id="1142"/>
    <w:bookmarkStart w:id="1143" w:name="ghrp-2-pralmorelina-55"/>
    <w:p>
      <w:pPr>
        <w:pStyle w:val="Heading2"/>
      </w:pPr>
      <w:r>
        <w:t xml:space="preserve">GHRP-2 (pralmorelina) (55)</w:t>
      </w:r>
    </w:p>
    <w:p>
      <w:pPr>
        <w:numPr>
          <w:ilvl w:val="0"/>
          <w:numId w:val="1399"/>
        </w:numPr>
        <w:pStyle w:val="Compact"/>
      </w:pPr>
      <w:r>
        <w:t xml:space="preserve">2016 · Arimura H ·</w:t>
      </w:r>
      <w:r>
        <w:t xml:space="preserve"> </w:t>
      </w:r>
      <w:r>
        <w:rPr>
          <w:iCs/>
          <w:i/>
        </w:rPr>
        <w:t xml:space="preserve">Endocr J</w:t>
      </w:r>
      <w:r>
        <w:t xml:space="preserve"> </w:t>
      </w:r>
      <w:r>
        <w:t xml:space="preserve">· Investigation of the clinical significance of the growth hormone-releasing peptide-2 test for the diagnosis of secondary adrenal failure. PMID 27020037</w:t>
      </w:r>
    </w:p>
    <w:p>
      <w:pPr>
        <w:numPr>
          <w:ilvl w:val="0"/>
          <w:numId w:val="1399"/>
        </w:numPr>
        <w:pStyle w:val="Compact"/>
      </w:pPr>
      <w:r>
        <w:t xml:space="preserve">2013 · Norman C ·</w:t>
      </w:r>
      <w:r>
        <w:t xml:space="preserve"> </w:t>
      </w:r>
      <w:r>
        <w:rPr>
          <w:iCs/>
          <w:i/>
        </w:rPr>
        <w:t xml:space="preserve">Am J Physiol Regul Integr Comp Physiol</w:t>
      </w:r>
      <w:r>
        <w:t xml:space="preserve"> </w:t>
      </w:r>
      <w:r>
        <w:t xml:space="preserve">· Differential pulsatile secretagogue control of GH secretion in healthy men. PMID 23485864</w:t>
      </w:r>
    </w:p>
    <w:p>
      <w:pPr>
        <w:numPr>
          <w:ilvl w:val="0"/>
          <w:numId w:val="1399"/>
        </w:numPr>
        <w:pStyle w:val="Compact"/>
      </w:pPr>
      <w:r>
        <w:t xml:space="preserve">2011 · Veldhuis JD ·</w:t>
      </w:r>
      <w:r>
        <w:t xml:space="preserve"> </w:t>
      </w:r>
      <w:r>
        <w:rPr>
          <w:iCs/>
          <w:i/>
        </w:rPr>
        <w:t xml:space="preserve">Am J Physiol Regul Integr Comp Physiol</w:t>
      </w:r>
      <w:r>
        <w:t xml:space="preserve"> </w:t>
      </w:r>
      <w:r>
        <w:t xml:space="preserve">· Regulated recovery of pulsatile growth hormone secretion from negative feedback: a preclinical investigation. PMID 21795635</w:t>
      </w:r>
    </w:p>
    <w:p>
      <w:pPr>
        <w:numPr>
          <w:ilvl w:val="0"/>
          <w:numId w:val="1399"/>
        </w:numPr>
        <w:pStyle w:val="Compact"/>
      </w:pPr>
      <w:r>
        <w:t xml:space="preserve">2011 · Veldhuis JD ·</w:t>
      </w:r>
      <w:r>
        <w:t xml:space="preserve"> </w:t>
      </w:r>
      <w:r>
        <w:rPr>
          <w:iCs/>
          <w:i/>
        </w:rPr>
        <w:t xml:space="preserve">J Clin Endocrinol Metab</w:t>
      </w:r>
      <w:r>
        <w:t xml:space="preserve"> </w:t>
      </w:r>
      <w:r>
        <w:t xml:space="preserve">· Gender, sex-steroid, and secretagogue-selective recovery from growth hormone-induced feedback in older women and men. PMID 21613353</w:t>
      </w:r>
    </w:p>
    <w:p>
      <w:pPr>
        <w:numPr>
          <w:ilvl w:val="0"/>
          <w:numId w:val="1399"/>
        </w:numPr>
        <w:pStyle w:val="Compact"/>
      </w:pPr>
      <w:r>
        <w:t xml:space="preserve">2011 · Veldhuis JD ·</w:t>
      </w:r>
      <w:r>
        <w:t xml:space="preserve"> </w:t>
      </w:r>
      <w:r>
        <w:rPr>
          <w:iCs/>
          <w:i/>
        </w:rPr>
        <w:t xml:space="preserve">Am J Physiol Endocrinol Metab</w:t>
      </w:r>
      <w:r>
        <w:t xml:space="preserve"> </w:t>
      </w:r>
      <w:r>
        <w:t xml:space="preserve">· Complex regulation of GH autofeedback under dual-peptide drive: studies under a pharmacological GH and sex steroid clamp. PMID 21467302</w:t>
      </w:r>
    </w:p>
    <w:p>
      <w:pPr>
        <w:numPr>
          <w:ilvl w:val="0"/>
          <w:numId w:val="1399"/>
        </w:numPr>
        <w:pStyle w:val="Compact"/>
      </w:pPr>
      <w:r>
        <w:t xml:space="preserve">2010 · Iranmanesh A ·</w:t>
      </w:r>
      <w:r>
        <w:t xml:space="preserve"> </w:t>
      </w:r>
      <w:r>
        <w:rPr>
          <w:iCs/>
          <w:i/>
        </w:rPr>
        <w:t xml:space="preserve">Eur J Endocrinol</w:t>
      </w:r>
      <w:r>
        <w:t xml:space="preserve"> </w:t>
      </w:r>
      <w:r>
        <w:t xml:space="preserve">· Secretagogue type, sex-steroid milieu, and abdominal visceral adiposity individually determine secretagogue-stimulated cortisol secretion. PMID 20299490</w:t>
      </w:r>
    </w:p>
    <w:p>
      <w:pPr>
        <w:numPr>
          <w:ilvl w:val="0"/>
          <w:numId w:val="1399"/>
        </w:numPr>
        <w:pStyle w:val="Compact"/>
      </w:pPr>
      <w:r>
        <w:t xml:space="preserve">2010 · Hudson SB ·</w:t>
      </w:r>
      <w:r>
        <w:t xml:space="preserve"> </w:t>
      </w:r>
      <w:r>
        <w:rPr>
          <w:iCs/>
          <w:i/>
        </w:rPr>
        <w:t xml:space="preserve">J Clin Endocrinol Metab</w:t>
      </w:r>
      <w:r>
        <w:t xml:space="preserve"> </w:t>
      </w:r>
      <w:r>
        <w:t xml:space="preserve">· Pre- versus postmenopausal age, estradiol, and peptide-secretagogue type determine pulsatile growth hormone secretion in healthy women: studies using submaximal agonist drive and an estrogen clamp. PMID 19858315</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Relative effects of estrogen, age, and visceral fat on pulsatile growth hormone secretion in healthy women. PMID 19470834</w:t>
      </w:r>
    </w:p>
    <w:p>
      <w:pPr>
        <w:numPr>
          <w:ilvl w:val="0"/>
          <w:numId w:val="1399"/>
        </w:numPr>
        <w:pStyle w:val="Compact"/>
      </w:pPr>
      <w:r>
        <w:t xml:space="preserve">2009 · Veldhuis JD ·</w:t>
      </w:r>
      <w:r>
        <w:t xml:space="preserve"> </w:t>
      </w:r>
      <w:r>
        <w:rPr>
          <w:iCs/>
          <w:i/>
        </w:rPr>
        <w:t xml:space="preserve">Eur J Endocrinol</w:t>
      </w:r>
      <w:r>
        <w:t xml:space="preserve"> </w:t>
      </w:r>
      <w:r>
        <w:t xml:space="preserve">· Preservation of GHRH and GH-releasing peptide-2 efficacy in young men with experimentally induced hypogonadism. PMID 19458139</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Factors other than sex steroids modulate GHRH and GHRP-2 efficacies in men: evaluation using a GnRH agonist/testosterone clamp. PMID 19351731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Novel relationships of age, visceral adiposity, insulin-like growth factor (IGF)-I and IGF binding protein concentrations to growth hormone (GH) releasing-hormone and GH releasing-peptide efficacies in men during experimental hypogonadal clamp. PMID 19351723</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Determinants of GH-releasing hormone and GH-releasing peptide synergy in men. PMID 19240251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Aromatase and 5alpha-reductase inhibition during an exogenous testosterone clamp unveils selective sex steroid modulation of somatostatin and growth hormone secretagogue actions in healthy older men. PMID 19088159</w:t>
      </w:r>
    </w:p>
    <w:p>
      <w:pPr>
        <w:numPr>
          <w:ilvl w:val="0"/>
          <w:numId w:val="1399"/>
        </w:numPr>
        <w:pStyle w:val="Compact"/>
      </w:pPr>
      <w:r>
        <w:t xml:space="preserve">2008 · Veldhuis JD ·</w:t>
      </w:r>
      <w:r>
        <w:t xml:space="preserve"> </w:t>
      </w:r>
      <w:r>
        <w:rPr>
          <w:iCs/>
          <w:i/>
        </w:rPr>
        <w:t xml:space="preserve">Eur J Endocrinol</w:t>
      </w:r>
      <w:r>
        <w:t xml:space="preserve"> </w:t>
      </w:r>
      <w:r>
        <w:t xml:space="preserve">· Secretagogues govern GH secretory-burst waveform and mass in healthy eugonadal and short-term hypogonadal men. PMID 18703567</w:t>
      </w:r>
    </w:p>
    <w:p>
      <w:pPr>
        <w:numPr>
          <w:ilvl w:val="0"/>
          <w:numId w:val="1399"/>
        </w:numPr>
        <w:pStyle w:val="Compact"/>
      </w:pPr>
      <w:r>
        <w:t xml:space="preserve">2008 · Paulo RC ·</w:t>
      </w:r>
      <w:r>
        <w:t xml:space="preserve"> </w:t>
      </w:r>
      <w:r>
        <w:rPr>
          <w:iCs/>
          <w:i/>
        </w:rPr>
        <w:t xml:space="preserve">J Clin Endocrinol Metab</w:t>
      </w:r>
      <w:r>
        <w:t xml:space="preserve"> </w:t>
      </w:r>
      <w:r>
        <w:t xml:space="preserve">· Gonadal status and body mass index jointly determine growth hormone (GH)-releasing hormone/GH-releasing peptide synergy in healthy men. PMID 18073313</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Peripheral estrogen receptor-alpha selectively modulates the waveform of GH secretory bursts in healthy women. PMID 17686882</w:t>
      </w:r>
    </w:p>
    <w:p>
      <w:pPr>
        <w:numPr>
          <w:ilvl w:val="0"/>
          <w:numId w:val="1399"/>
        </w:numPr>
        <w:pStyle w:val="Compact"/>
      </w:pPr>
      <w:r>
        <w:t xml:space="preserve">2007 · Chihara K ·</w:t>
      </w:r>
      <w:r>
        <w:t xml:space="preserve"> </w:t>
      </w:r>
      <w:r>
        <w:rPr>
          <w:iCs/>
          <w:i/>
        </w:rPr>
        <w:t xml:space="preserve">Eur J Endocrinol</w:t>
      </w:r>
      <w:r>
        <w:t xml:space="preserve"> </w:t>
      </w:r>
      <w:r>
        <w:t xml:space="preserve">· A simple diagnostic test using GH-releasing peptide-2 in adult GH deficiency. PMID 17609397</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Estimation of the size and shape of GH secretory bursts in healthy women using a physiological estradiol clamp and variable-waveform deconvolution model. PMID 17537842</w:t>
      </w:r>
    </w:p>
    <w:p>
      <w:pPr>
        <w:numPr>
          <w:ilvl w:val="0"/>
          <w:numId w:val="1399"/>
        </w:numPr>
        <w:pStyle w:val="Compact"/>
      </w:pPr>
      <w:r>
        <w:t xml:space="preserve">2007 · Veldhuis JD ·</w:t>
      </w:r>
      <w:r>
        <w:t xml:space="preserve"> </w:t>
      </w:r>
      <w:r>
        <w:rPr>
          <w:iCs/>
          <w:i/>
        </w:rPr>
        <w:t xml:space="preserve">J Clin Endocrinol Metab</w:t>
      </w:r>
      <w:r>
        <w:t xml:space="preserve"> </w:t>
      </w:r>
      <w:r>
        <w:t xml:space="preserve">· Tripartite control of growth hormone secretion in women during controlled estradiol repletion. PMID 17405836</w:t>
      </w:r>
    </w:p>
    <w:p>
      <w:pPr>
        <w:numPr>
          <w:ilvl w:val="0"/>
          <w:numId w:val="1399"/>
        </w:numPr>
        <w:pStyle w:val="Compact"/>
      </w:pPr>
      <w:r>
        <w:t xml:space="preserve">2006 · Salvatori R ·</w:t>
      </w:r>
      <w:r>
        <w:t xml:space="preserve"> </w:t>
      </w:r>
      <w:r>
        <w:rPr>
          <w:iCs/>
          <w:i/>
        </w:rPr>
        <w:t xml:space="preserve">J Endocrinol Invest</w:t>
      </w:r>
      <w:r>
        <w:t xml:space="preserve"> </w:t>
      </w:r>
      <w:r>
        <w:t xml:space="preserve">· GH response to hypoglycemia and clonidine in the GH-releasing hormone resistance syndrome. PMID 17114911</w:t>
      </w:r>
    </w:p>
    <w:p>
      <w:pPr>
        <w:numPr>
          <w:ilvl w:val="0"/>
          <w:numId w:val="1399"/>
        </w:numPr>
        <w:pStyle w:val="Compact"/>
      </w:pPr>
      <w:r>
        <w:t xml:space="preserve">2006 · Laferrère B ·</w:t>
      </w:r>
      <w:r>
        <w:t xml:space="preserve"> </w:t>
      </w:r>
      <w:r>
        <w:rPr>
          <w:iCs/>
          <w:i/>
        </w:rPr>
        <w:t xml:space="preserve">Obesity (Silver Spring)</w:t>
      </w:r>
      <w:r>
        <w:t xml:space="preserve"> </w:t>
      </w:r>
      <w:r>
        <w:t xml:space="preserve">· Obese subjects respond to the stimulatory effect of the ghrelin agonist growth hormone-releasing peptide-2 on food intake. PMID 16861611</w:t>
      </w:r>
    </w:p>
    <w:p>
      <w:pPr>
        <w:numPr>
          <w:ilvl w:val="0"/>
          <w:numId w:val="1399"/>
        </w:numPr>
        <w:pStyle w:val="Compact"/>
      </w:pPr>
      <w:r>
        <w:t xml:space="preserve">2005 · Veldhuis JD ·</w:t>
      </w:r>
      <w:r>
        <w:t xml:space="preserve"> </w:t>
      </w:r>
      <w:r>
        <w:rPr>
          <w:iCs/>
          <w:i/>
        </w:rPr>
        <w:t xml:space="preserve">Eur J Endocrinol</w:t>
      </w:r>
      <w:r>
        <w:t xml:space="preserve"> </w:t>
      </w:r>
      <w:r>
        <w:t xml:space="preserve">· Testosterone supplementation in healthy older men drives GH and IGF-I secretion without potentiating peptidyl secretagogue efficacy. PMID 16189179</w:t>
      </w:r>
    </w:p>
    <w:p>
      <w:pPr>
        <w:numPr>
          <w:ilvl w:val="0"/>
          <w:numId w:val="1399"/>
        </w:numPr>
        <w:pStyle w:val="Compact"/>
      </w:pPr>
      <w:r>
        <w:t xml:space="preserve">2005 · Soares-Welch C ·</w:t>
      </w:r>
      <w:r>
        <w:t xml:space="preserve"> </w:t>
      </w:r>
      <w:r>
        <w:rPr>
          <w:iCs/>
          <w:i/>
        </w:rPr>
        <w:t xml:space="preserve">Clin Endocrinol (Oxf)</w:t>
      </w:r>
      <w:r>
        <w:t xml:space="preserve"> </w:t>
      </w:r>
      <w:r>
        <w:t xml:space="preserve">· Short-term testosterone supplementation does not activate GH and IGF-I production in postmenopausal women. PMID 15963058</w:t>
      </w:r>
    </w:p>
    <w:p>
      <w:pPr>
        <w:numPr>
          <w:ilvl w:val="0"/>
          <w:numId w:val="1399"/>
        </w:numPr>
        <w:pStyle w:val="Compact"/>
      </w:pPr>
      <w:r>
        <w:t xml:space="preserve">2005 · Veldhuis JD ·</w:t>
      </w:r>
      <w:r>
        <w:t xml:space="preserve"> </w:t>
      </w:r>
      <w:r>
        <w:rPr>
          <w:iCs/>
          <w:i/>
        </w:rPr>
        <w:t xml:space="preserve">J Clin Endocrinol Metab</w:t>
      </w:r>
      <w:r>
        <w:t xml:space="preserve"> </w:t>
      </w:r>
      <w:r>
        <w:t xml:space="preserve">· Joint mechanisms of impaired growth-hormone pulse renewal in aging men. PMID 15811926</w:t>
      </w:r>
    </w:p>
    <w:p>
      <w:pPr>
        <w:numPr>
          <w:ilvl w:val="0"/>
          <w:numId w:val="1399"/>
        </w:numPr>
        <w:pStyle w:val="Compact"/>
      </w:pPr>
      <w:r>
        <w:t xml:space="preserve">2005 · Erickson D ·</w:t>
      </w:r>
      <w:r>
        <w:t xml:space="preserve"> </w:t>
      </w:r>
      <w:r>
        <w:rPr>
          <w:iCs/>
          <w:i/>
        </w:rPr>
        <w:t xml:space="preserve">J Clin Endocrinol Metab</w:t>
      </w:r>
      <w:r>
        <w:t xml:space="preserve"> </w:t>
      </w:r>
      <w:r>
        <w:t xml:space="preserve">· Determinants of dual secretagogue drive of burst-like growth hormone secretion in premenopausal women studied under a selective estradiol clamp. PMID 15613434</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Contributions of gender and systemic estradiol and testosterone concentrations to maximal secretagogue drive of burst-like growth hormone secretion in healthy middle-aged and older adults. PMID 15579792</w:t>
      </w:r>
    </w:p>
    <w:p>
      <w:pPr>
        <w:numPr>
          <w:ilvl w:val="0"/>
          <w:numId w:val="1399"/>
        </w:numPr>
        <w:pStyle w:val="Compact"/>
      </w:pPr>
      <w:r>
        <w:t xml:space="preserve">2004 · Iranmanesh A ·</w:t>
      </w:r>
      <w:r>
        <w:t xml:space="preserve"> </w:t>
      </w:r>
      <w:r>
        <w:rPr>
          <w:iCs/>
          <w:i/>
        </w:rPr>
        <w:t xml:space="preserve">J Clin Endocrinol Metab</w:t>
      </w:r>
      <w:r>
        <w:t xml:space="preserve"> </w:t>
      </w:r>
      <w:r>
        <w:t xml:space="preserve">· Activation of somatostatin-receptor subtype-2/-5 suppresses the mass, frequency, and irregularity of growth hormone (GH)-releasing peptide-2-stimulated GH secretion in men. PMID 15356066</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Short-term testosterone supplementation relieves growth hormone autonegative feedback in men. PMID 15001624</w:t>
      </w:r>
    </w:p>
    <w:p>
      <w:pPr>
        <w:numPr>
          <w:ilvl w:val="0"/>
          <w:numId w:val="1399"/>
        </w:numPr>
        <w:pStyle w:val="Compact"/>
      </w:pPr>
      <w:r>
        <w:t xml:space="preserve">2003 · Mericq V ·</w:t>
      </w:r>
      <w:r>
        <w:t xml:space="preserve"> </w:t>
      </w:r>
      <w:r>
        <w:rPr>
          <w:iCs/>
          <w:i/>
        </w:rPr>
        <w:t xml:space="preserve">J Pediatr Endocrinol Metab</w:t>
      </w:r>
      <w:r>
        <w:t xml:space="preserve"> </w:t>
      </w:r>
      <w:r>
        <w:t xml:space="preserve">· Changes in appetite and body weight in response to long-term oral administration of the ghrelin agonist GHRP-2 in growth hormone deficient children. PMID 14513874</w:t>
      </w:r>
    </w:p>
    <w:p>
      <w:pPr>
        <w:numPr>
          <w:ilvl w:val="0"/>
          <w:numId w:val="1399"/>
        </w:numPr>
        <w:pStyle w:val="Compact"/>
      </w:pPr>
      <w:r>
        <w:t xml:space="preserve">2002 · Van den Berghe G ·</w:t>
      </w:r>
      <w:r>
        <w:t xml:space="preserve"> </w:t>
      </w:r>
      <w:r>
        <w:rPr>
          <w:iCs/>
          <w:i/>
        </w:rPr>
        <w:t xml:space="preserve">Clin Endocrinol (Oxf)</w:t>
      </w:r>
      <w:r>
        <w:t xml:space="preserve"> </w:t>
      </w:r>
      <w:r>
        <w:t xml:space="preserve">· The combined administration of GH-releasing peptide-2 (GHRP-2), TRH and GnRH to men with prolonged critical illness evokes superior endocrine and metabolic effects compared to treatment with GHRP-2 alone. PMID 12030918</w:t>
      </w:r>
    </w:p>
    <w:p>
      <w:pPr>
        <w:numPr>
          <w:ilvl w:val="0"/>
          <w:numId w:val="1399"/>
        </w:numPr>
        <w:pStyle w:val="Compact"/>
      </w:pPr>
      <w:r>
        <w:t xml:space="preserve">2002 · Veldhuis JD ·</w:t>
      </w:r>
      <w:r>
        <w:t xml:space="preserve"> </w:t>
      </w:r>
      <w:r>
        <w:rPr>
          <w:iCs/>
          <w:i/>
        </w:rPr>
        <w:t xml:space="preserve">J Clin Endocrinol Metab</w:t>
      </w:r>
      <w:r>
        <w:t xml:space="preserve"> </w:t>
      </w:r>
      <w:r>
        <w:t xml:space="preserve">· Impact of estradiol supplementation on dual peptidyl drive of GH secretion in postmenopausal women. PMID 11836333</w:t>
      </w:r>
    </w:p>
    <w:p>
      <w:pPr>
        <w:numPr>
          <w:ilvl w:val="0"/>
          <w:numId w:val="1399"/>
        </w:numPr>
        <w:pStyle w:val="Compact"/>
      </w:pPr>
      <w:r>
        <w:t xml:space="preserve">2001 · Anderson SM ·</w:t>
      </w:r>
      <w:r>
        <w:t xml:space="preserve"> </w:t>
      </w:r>
      <w:r>
        <w:rPr>
          <w:iCs/>
          <w:i/>
        </w:rPr>
        <w:t xml:space="preserve">J Clin Endocrinol Metab</w:t>
      </w:r>
      <w:r>
        <w:t xml:space="preserve"> </w:t>
      </w:r>
      <w:r>
        <w:t xml:space="preserve">· E2 supplementation selectively relieves GH’s autonegative feedback on GH-releasing peptide-2-stimulated GH secretion. PMID 11739462</w:t>
      </w:r>
    </w:p>
    <w:p>
      <w:pPr>
        <w:numPr>
          <w:ilvl w:val="0"/>
          <w:numId w:val="1399"/>
        </w:numPr>
        <w:pStyle w:val="Compact"/>
      </w:pPr>
      <w:r>
        <w:t xml:space="preserve">2001 · Bowers CY ·</w:t>
      </w:r>
      <w:r>
        <w:t xml:space="preserve"> </w:t>
      </w:r>
      <w:r>
        <w:rPr>
          <w:iCs/>
          <w:i/>
        </w:rPr>
        <w:t xml:space="preserve">Endocrine</w:t>
      </w:r>
      <w:r>
        <w:t xml:space="preserve"> </w:t>
      </w:r>
      <w:r>
        <w:t xml:space="preserve">· Growth hormone/insulin-like growth factor-1 response to acute and chronic growth hormone-releasing peptide-2, growth hormone-releasing hormone 1-44NH2 and in combination in older men and women with decreased growth hormone secretion. PMID 11322505</w:t>
      </w:r>
    </w:p>
    <w:p>
      <w:pPr>
        <w:numPr>
          <w:ilvl w:val="0"/>
          <w:numId w:val="1399"/>
        </w:numPr>
        <w:pStyle w:val="Compact"/>
      </w:pPr>
      <w:r>
        <w:t xml:space="preserve">2000 · Van Dam PS ·</w:t>
      </w:r>
      <w:r>
        <w:t xml:space="preserve"> </w:t>
      </w:r>
      <w:r>
        <w:rPr>
          <w:iCs/>
          <w:i/>
        </w:rPr>
        <w:t xml:space="preserve">J Clin Endocrinol Metab</w:t>
      </w:r>
      <w:r>
        <w:t xml:space="preserve"> </w:t>
      </w:r>
      <w:r>
        <w:t xml:space="preserve">· Reduction of free fatty acids by acipimox enhances the growth hormone (GH) responses to GH-releasing peptide 2 in elderly men. PMID 11134132</w:t>
      </w:r>
    </w:p>
    <w:p>
      <w:pPr>
        <w:numPr>
          <w:ilvl w:val="0"/>
          <w:numId w:val="1399"/>
        </w:numPr>
        <w:pStyle w:val="Compact"/>
      </w:pPr>
      <w:r>
        <w:t xml:space="preserve">2000 · Wideman L ·</w:t>
      </w:r>
      <w:r>
        <w:t xml:space="preserve"> </w:t>
      </w:r>
      <w:r>
        <w:rPr>
          <w:iCs/>
          <w:i/>
        </w:rPr>
        <w:t xml:space="preserve">Am J Physiol Regul Integr Comp Physiol</w:t>
      </w:r>
      <w:r>
        <w:t xml:space="preserve"> </w:t>
      </w:r>
      <w:r>
        <w:t xml:space="preserve">· Synergy of L-arginine and GHRP-2 stimulation of growth hormone in men and women: modulation by exercise. PMID 11004017</w:t>
      </w:r>
    </w:p>
    <w:p>
      <w:pPr>
        <w:numPr>
          <w:ilvl w:val="0"/>
          <w:numId w:val="1399"/>
        </w:numPr>
        <w:pStyle w:val="Compact"/>
      </w:pPr>
      <w:r>
        <w:t xml:space="preserve">2000 · Shah N ·</w:t>
      </w:r>
      <w:r>
        <w:t xml:space="preserve"> </w:t>
      </w:r>
      <w:r>
        <w:rPr>
          <w:iCs/>
          <w:i/>
        </w:rPr>
        <w:t xml:space="preserve">J Clin Endocrinol Metab</w:t>
      </w:r>
      <w:r>
        <w:t xml:space="preserve"> </w:t>
      </w:r>
      <w:r>
        <w:t xml:space="preserve">· Oral estradiol administration modulates continuous intravenous growth hormone (GH)-releasing peptide-2-driven GH secretion in postmenopausal women. PMID 10946861</w:t>
      </w:r>
    </w:p>
    <w:p>
      <w:pPr>
        <w:numPr>
          <w:ilvl w:val="0"/>
          <w:numId w:val="1399"/>
        </w:numPr>
        <w:pStyle w:val="Compact"/>
      </w:pPr>
      <w:r>
        <w:t xml:space="preserve">2000 · Van den Berghe G ·</w:t>
      </w:r>
      <w:r>
        <w:t xml:space="preserve"> </w:t>
      </w:r>
      <w:r>
        <w:rPr>
          <w:iCs/>
          <w:i/>
        </w:rPr>
        <w:t xml:space="preserve">J Clin Endocrinol Metab</w:t>
      </w:r>
      <w:r>
        <w:t xml:space="preserve"> </w:t>
      </w:r>
      <w:r>
        <w:t xml:space="preserve">· A paradoxical gender dissociation within the growth hormone/insulin-like growth factor I axis during protracted critical illness. PMID 10634385</w:t>
      </w:r>
    </w:p>
    <w:p>
      <w:pPr>
        <w:numPr>
          <w:ilvl w:val="0"/>
          <w:numId w:val="1399"/>
        </w:numPr>
        <w:pStyle w:val="Compact"/>
      </w:pPr>
      <w:r>
        <w:t xml:space="preserve">1999 · Shah N ·</w:t>
      </w:r>
      <w:r>
        <w:t xml:space="preserve"> </w:t>
      </w:r>
      <w:r>
        <w:rPr>
          <w:iCs/>
          <w:i/>
        </w:rPr>
        <w:t xml:space="preserve">J Clin Endocrinol Metab</w:t>
      </w:r>
      <w:r>
        <w:t xml:space="preserve"> </w:t>
      </w:r>
      <w:r>
        <w:t xml:space="preserve">· Tripartite neuroendocrine activation of the human growth hormone (GH) axis in women by continuous 24-hour GH-releasing peptide infusion: pulsatile, entropic, and nyctohemeral mechanisms. PMID 10372723</w:t>
      </w:r>
    </w:p>
    <w:p>
      <w:pPr>
        <w:numPr>
          <w:ilvl w:val="0"/>
          <w:numId w:val="1399"/>
        </w:numPr>
        <w:pStyle w:val="Compact"/>
      </w:pPr>
      <w:r>
        <w:t xml:space="preserve">1999 · Meacham LR ·</w:t>
      </w:r>
      <w:r>
        <w:t xml:space="preserve"> </w:t>
      </w:r>
      <w:r>
        <w:rPr>
          <w:iCs/>
          <w:i/>
        </w:rPr>
        <w:t xml:space="preserve">Metabolism</w:t>
      </w:r>
      <w:r>
        <w:t xml:space="preserve"> </w:t>
      </w:r>
      <w:r>
        <w:t xml:space="preserve">· Preservation of growth hormone secretion in response to growth hormone-releasing peptide-2 during prednisone therapy. PMID 10337858</w:t>
      </w:r>
    </w:p>
    <w:p>
      <w:pPr>
        <w:numPr>
          <w:ilvl w:val="0"/>
          <w:numId w:val="1399"/>
        </w:numPr>
        <w:pStyle w:val="Compact"/>
      </w:pPr>
      <w:r>
        <w:t xml:space="preserve">1999 · Van den Berghe G ·</w:t>
      </w:r>
      <w:r>
        <w:t xml:space="preserve"> </w:t>
      </w:r>
      <w:r>
        <w:rPr>
          <w:iCs/>
          <w:i/>
        </w:rPr>
        <w:t xml:space="preserve">J Clin Endocrinol Metab</w:t>
      </w:r>
      <w:r>
        <w:t xml:space="preserve"> </w:t>
      </w:r>
      <w:r>
        <w:t xml:space="preserve">· Reactivation of pituitary hormone release and metabolic improvement by infusion of growth hormone-releasing peptide and thyrotropin-releasing hormone in patients with protracted critical illness. PMID 10199772</w:t>
      </w:r>
    </w:p>
    <w:p>
      <w:pPr>
        <w:numPr>
          <w:ilvl w:val="0"/>
          <w:numId w:val="1399"/>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399"/>
        </w:numPr>
        <w:pStyle w:val="Compact"/>
      </w:pPr>
      <w:r>
        <w:t xml:space="preserve">1999 · Van den Berghe G ·</w:t>
      </w:r>
      <w:r>
        <w:t xml:space="preserve"> </w:t>
      </w:r>
      <w:r>
        <w:rPr>
          <w:iCs/>
          <w:i/>
        </w:rPr>
        <w:t xml:space="preserve">Eur J Endocrinol</w:t>
      </w:r>
      <w:r>
        <w:t xml:space="preserve"> </w:t>
      </w:r>
      <w:r>
        <w:t xml:space="preserve">· Growth hormone-releasing peptide-2 infusion synchronizes growth hormone, thyrotrophin and prolactin release in prolonged critical illness. PMID 10037246</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Leptin levels in protracted critical illness: effects of growth hormone-secretagogues and thyrotropin-releasing hormone. PMID 9745404</w:t>
      </w:r>
    </w:p>
    <w:p>
      <w:pPr>
        <w:numPr>
          <w:ilvl w:val="0"/>
          <w:numId w:val="1399"/>
        </w:numPr>
        <w:pStyle w:val="Compact"/>
      </w:pPr>
      <w:r>
        <w:t xml:space="preserve">1998 · Mericq V ·</w:t>
      </w:r>
      <w:r>
        <w:t xml:space="preserve"> </w:t>
      </w:r>
      <w:r>
        <w:rPr>
          <w:iCs/>
          <w:i/>
        </w:rPr>
        <w:t xml:space="preserve">J Clin Endocrinol Metab</w:t>
      </w:r>
      <w:r>
        <w:t xml:space="preserve"> </w:t>
      </w:r>
      <w:r>
        <w:t xml:space="preserve">· Effects of eight months treatment with graded doses of a growth hormone (GH)-releasing peptide in GH-deficient children. PMID 9661608</w:t>
      </w:r>
    </w:p>
    <w:p>
      <w:pPr>
        <w:numPr>
          <w:ilvl w:val="0"/>
          <w:numId w:val="1399"/>
        </w:numPr>
        <w:pStyle w:val="Compact"/>
      </w:pPr>
      <w:r>
        <w:t xml:space="preserve">1998 · Moreno-Reyes R ·</w:t>
      </w:r>
      <w:r>
        <w:t xml:space="preserve"> </w:t>
      </w:r>
      <w:r>
        <w:rPr>
          <w:iCs/>
          <w:i/>
        </w:rPr>
        <w:t xml:space="preserve">Am J Physiol</w:t>
      </w:r>
      <w:r>
        <w:t xml:space="preserve"> </w:t>
      </w:r>
      <w:r>
        <w:t xml:space="preserve">· Evidence against a role for the growth hormone-releasing peptide axis in human slow-wave sleep regulation. PMID 9612233</w:t>
      </w:r>
    </w:p>
    <w:p>
      <w:pPr>
        <w:numPr>
          <w:ilvl w:val="0"/>
          <w:numId w:val="1399"/>
        </w:numPr>
        <w:pStyle w:val="Compact"/>
      </w:pPr>
      <w:r>
        <w:t xml:space="preserve">1998 · Pihoker C ·</w:t>
      </w:r>
      <w:r>
        <w:t xml:space="preserve"> </w:t>
      </w:r>
      <w:r>
        <w:rPr>
          <w:iCs/>
          <w:i/>
        </w:rPr>
        <w:t xml:space="preserve">J Clin Endocrinol Metab</w:t>
      </w:r>
      <w:r>
        <w:t xml:space="preserve"> </w:t>
      </w:r>
      <w:r>
        <w:t xml:space="preserve">· Pharmacokinetics and pharmacodynamics of growth hormone-releasing peptide-2: a phase I study in children. PMID 9543135</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Neuroendocrinology of prolonged critical illness: effects of exogenous thyrotropin-releasing hormone and its combination with growth hormone secretagogues. PMID 9467533</w:t>
      </w:r>
    </w:p>
    <w:p>
      <w:pPr>
        <w:numPr>
          <w:ilvl w:val="0"/>
          <w:numId w:val="1399"/>
        </w:numPr>
        <w:pStyle w:val="Compact"/>
      </w:pPr>
      <w:r>
        <w:t xml:space="preserve">1997 · Van den Berghe G ·</w:t>
      </w:r>
      <w:r>
        <w:t xml:space="preserve"> </w:t>
      </w:r>
      <w:r>
        <w:rPr>
          <w:iCs/>
          <w:i/>
        </w:rPr>
        <w:t xml:space="preserve">Clin Endocrinol (Oxf)</w:t>
      </w:r>
      <w:r>
        <w:t xml:space="preserve"> </w:t>
      </w:r>
      <w:r>
        <w:t xml:space="preserve">· Thyrotrophin and prolactin release in prolonged critical illness: dynamics of spontaneous secretion and effects of growth hormone-secretagogues. PMID 9425400</w:t>
      </w:r>
    </w:p>
    <w:p>
      <w:pPr>
        <w:numPr>
          <w:ilvl w:val="0"/>
          <w:numId w:val="1399"/>
        </w:numPr>
        <w:pStyle w:val="Compact"/>
      </w:pPr>
      <w:r>
        <w:t xml:space="preserve">1997 · Pihoker C ·</w:t>
      </w:r>
      <w:r>
        <w:t xml:space="preserve"> </w:t>
      </w:r>
      <w:r>
        <w:rPr>
          <w:iCs/>
          <w:i/>
        </w:rPr>
        <w:t xml:space="preserve">J Endocrinol</w:t>
      </w:r>
      <w:r>
        <w:t xml:space="preserve"> </w:t>
      </w:r>
      <w:r>
        <w:t xml:space="preserve">· Treatment effects of intranasal growth hormone releasing peptide-2 in children with short stature. PMID 9390009</w:t>
      </w:r>
    </w:p>
    <w:p>
      <w:pPr>
        <w:numPr>
          <w:ilvl w:val="0"/>
          <w:numId w:val="1399"/>
        </w:numPr>
        <w:pStyle w:val="Compact"/>
      </w:pPr>
      <w:r>
        <w:t xml:space="preserve">1997 · Van den Berghe G ·</w:t>
      </w:r>
      <w:r>
        <w:t xml:space="preserve"> </w:t>
      </w:r>
      <w:r>
        <w:rPr>
          <w:iCs/>
          <w:i/>
        </w:rPr>
        <w:t xml:space="preserve">J Clin Endocrinol Metab</w:t>
      </w:r>
      <w:r>
        <w:t xml:space="preserve"> </w:t>
      </w:r>
      <w:r>
        <w:t xml:space="preserve">· The somatotropic axis in critical illness: effect of continuous growth hormone (GH)-releasing hormone and GH-releasing peptide-2 infusion. PMID 9024260</w:t>
      </w:r>
    </w:p>
    <w:p>
      <w:pPr>
        <w:numPr>
          <w:ilvl w:val="0"/>
          <w:numId w:val="1399"/>
        </w:numPr>
        <w:pStyle w:val="Compact"/>
      </w:pPr>
      <w:r>
        <w:t xml:space="preserve">1996 · Van den Berghe G ·</w:t>
      </w:r>
      <w:r>
        <w:t xml:space="preserve"> </w:t>
      </w:r>
      <w:r>
        <w:rPr>
          <w:iCs/>
          <w:i/>
        </w:rPr>
        <w:t xml:space="preserve">Clin Endocrinol (Oxf)</w:t>
      </w:r>
      <w:r>
        <w:t xml:space="preserve"> </w:t>
      </w:r>
      <w:r>
        <w:t xml:space="preserve">· Pituitary responsiveness to GH-releasing hormone, GH-releasing peptide-2 and thyrotrophin-releasing hormone in critical illness. PMID 8949573</w:t>
      </w:r>
    </w:p>
    <w:p>
      <w:pPr>
        <w:numPr>
          <w:ilvl w:val="0"/>
          <w:numId w:val="1399"/>
        </w:numPr>
        <w:pStyle w:val="Compact"/>
      </w:pPr>
      <w:r>
        <w:t xml:space="preserve">1996 · Bowers CY ·</w:t>
      </w:r>
      <w:r>
        <w:t xml:space="preserve"> </w:t>
      </w:r>
      <w:r>
        <w:rPr>
          <w:iCs/>
          <w:i/>
        </w:rPr>
        <w:t xml:space="preserve">J Pediatr Endocrinol Metab</w:t>
      </w:r>
      <w:r>
        <w:t xml:space="preserve"> </w:t>
      </w:r>
      <w:r>
        <w:t xml:space="preserve">· GHRP-2, GHRH and SRIF interrelationships during chronic administration of GHRP-2 to humans. PMID 8887169</w:t>
      </w:r>
    </w:p>
    <w:p>
      <w:pPr>
        <w:numPr>
          <w:ilvl w:val="0"/>
          <w:numId w:val="1399"/>
        </w:numPr>
        <w:pStyle w:val="Compact"/>
      </w:pPr>
      <w:r>
        <w:t xml:space="preserve">1995 · Tuilpakov AN ·</w:t>
      </w:r>
      <w:r>
        <w:t xml:space="preserve"> </w:t>
      </w:r>
      <w:r>
        <w:rPr>
          <w:iCs/>
          <w:i/>
        </w:rPr>
        <w:t xml:space="preserve">Metabolism</w:t>
      </w:r>
      <w:r>
        <w:t xml:space="preserve"> </w:t>
      </w:r>
      <w:r>
        <w:t xml:space="preserve">· Growth hormone (GH)-releasing effects of synthetic peptide GH-releasing peptide-2 and GH-releasing hormone (1-29NH2) in children with GH insufficiency and idiopathic short stature. PMID 7666796</w:t>
      </w:r>
    </w:p>
    <w:p>
      <w:pPr>
        <w:numPr>
          <w:ilvl w:val="0"/>
          <w:numId w:val="1399"/>
        </w:numPr>
        <w:pStyle w:val="Compact"/>
      </w:pPr>
      <w:r>
        <w:t xml:space="preserve">1995 · Tiulpakov AN ·</w:t>
      </w:r>
      <w:r>
        <w:t xml:space="preserve"> </w:t>
      </w:r>
      <w:r>
        <w:rPr>
          <w:iCs/>
          <w:i/>
        </w:rPr>
        <w:t xml:space="preserve">Clin Endocrinol (Oxf)</w:t>
      </w:r>
      <w:r>
        <w:t xml:space="preserve"> </w:t>
      </w:r>
      <w:r>
        <w:t xml:space="preserve">· GH responses to intravenous bolus infusions of GH releasing hormone and GH releasing peptide 2 separately and in combination in adult volunteers. PMID 7586605</w:t>
      </w:r>
    </w:p>
    <w:p>
      <w:pPr>
        <w:numPr>
          <w:ilvl w:val="0"/>
          <w:numId w:val="1399"/>
        </w:numPr>
        <w:pStyle w:val="Compact"/>
      </w:pPr>
      <w:r>
        <w:t xml:space="preserve">1995 · Pihoker C ·</w:t>
      </w:r>
      <w:r>
        <w:t xml:space="preserve"> </w:t>
      </w:r>
      <w:r>
        <w:rPr>
          <w:iCs/>
          <w:i/>
        </w:rPr>
        <w:t xml:space="preserve">J Clin Endocrinol Metab</w:t>
      </w:r>
      <w:r>
        <w:t xml:space="preserve"> </w:t>
      </w:r>
      <w:r>
        <w:t xml:space="preserve">· Diagnostic studies with intravenous and intranasal growth hormone-releasing peptide-2 in children of short stature. PMID 7559885</w:t>
      </w:r>
    </w:p>
    <w:bookmarkEnd w:id="1143"/>
    <w:bookmarkStart w:id="1144" w:name="ghrp-6-40"/>
    <w:p>
      <w:pPr>
        <w:pStyle w:val="Heading2"/>
      </w:pPr>
      <w:r>
        <w:t xml:space="preserve">GHRP-6 (40)</w:t>
      </w:r>
    </w:p>
    <w:p>
      <w:pPr>
        <w:numPr>
          <w:ilvl w:val="0"/>
          <w:numId w:val="1400"/>
        </w:numPr>
        <w:pStyle w:val="Compact"/>
      </w:pPr>
      <w:r>
        <w:t xml:space="preserve">2013 · Cabrales A ·</w:t>
      </w:r>
      <w:r>
        <w:t xml:space="preserve"> </w:t>
      </w:r>
      <w:r>
        <w:rPr>
          <w:iCs/>
          <w:i/>
        </w:rPr>
        <w:t xml:space="preserve">Eur J Pharm Sci</w:t>
      </w:r>
      <w:r>
        <w:t xml:space="preserve"> </w:t>
      </w:r>
      <w:r>
        <w:t xml:space="preserve">· Pharmacokinetic study of Growth Hormone-Releasing Peptide 6 (GHRP-6) in nine male healthy volunteers. PMID 23099431</w:t>
      </w:r>
    </w:p>
    <w:p>
      <w:pPr>
        <w:numPr>
          <w:ilvl w:val="0"/>
          <w:numId w:val="1400"/>
        </w:numPr>
        <w:pStyle w:val="Compact"/>
      </w:pPr>
      <w:r>
        <w:t xml:space="preserve">2010 · Molica P ·</w:t>
      </w:r>
      <w:r>
        <w:t xml:space="preserve"> </w:t>
      </w:r>
      <w:r>
        <w:rPr>
          <w:iCs/>
          <w:i/>
        </w:rPr>
        <w:t xml:space="preserve">Pituitary</w:t>
      </w:r>
      <w:r>
        <w:t xml:space="preserve"> </w:t>
      </w:r>
      <w:r>
        <w:t xml:space="preserve">· Effects of ghrelin, GH-releasing peptide-6 (GHRP-6) and GHRH on GH, ACTH and cortisol release in hyperthyroidism before and after treatment. PMID 20602173</w:t>
      </w:r>
    </w:p>
    <w:p>
      <w:pPr>
        <w:numPr>
          <w:ilvl w:val="0"/>
          <w:numId w:val="1400"/>
        </w:numPr>
        <w:pStyle w:val="Compact"/>
      </w:pPr>
      <w:r>
        <w:t xml:space="preserve">2010 · de Sá LB ·</w:t>
      </w:r>
      <w:r>
        <w:t xml:space="preserve"> </w:t>
      </w:r>
      <w:r>
        <w:rPr>
          <w:iCs/>
          <w:i/>
        </w:rPr>
        <w:t xml:space="preserve">Metabolism</w:t>
      </w:r>
      <w:r>
        <w:t xml:space="preserve"> </w:t>
      </w:r>
      <w:r>
        <w:t xml:space="preserve">· Effects of ghrelin, growth hormone-releasing peptide-6, and growth hormone-releasing hormone on growth hormone, adrenocorticotropic hormone, and cortisol release in type 1 diabetes mellitus. PMID 20189610</w:t>
      </w:r>
    </w:p>
    <w:p>
      <w:pPr>
        <w:numPr>
          <w:ilvl w:val="0"/>
          <w:numId w:val="1400"/>
        </w:numPr>
        <w:pStyle w:val="Compact"/>
      </w:pPr>
      <w:r>
        <w:t xml:space="preserve">2010 · Alaioubi B ·</w:t>
      </w:r>
      <w:r>
        <w:t xml:space="preserve"> </w:t>
      </w:r>
      <w:r>
        <w:rPr>
          <w:iCs/>
          <w:i/>
        </w:rPr>
        <w:t xml:space="preserve">Horm Metab Res</w:t>
      </w:r>
      <w:r>
        <w:t xml:space="preserve"> </w:t>
      </w:r>
      <w:r>
        <w:t xml:space="preserve">· Diagnosis of adrenal insufficiency using the GHRP-6 Test: comparison with the insulin tolerance test in patients with hypothalamic-pituitary-adrenal disease. PMID 19946832</w:t>
      </w:r>
    </w:p>
    <w:p>
      <w:pPr>
        <w:numPr>
          <w:ilvl w:val="0"/>
          <w:numId w:val="1400"/>
        </w:numPr>
        <w:pStyle w:val="Compact"/>
      </w:pPr>
      <w:r>
        <w:t xml:space="preserve">2010 · Correa-Silva SR ·</w:t>
      </w:r>
      <w:r>
        <w:t xml:space="preserve"> </w:t>
      </w:r>
      <w:r>
        <w:rPr>
          <w:iCs/>
          <w:i/>
        </w:rPr>
        <w:t xml:space="preserve">Clin Endocrinol (Oxf)</w:t>
      </w:r>
      <w:r>
        <w:t xml:space="preserve"> </w:t>
      </w:r>
      <w:r>
        <w:t xml:space="preserve">· Adrenocorticotrophic hormone (ACTH) responsiveness to ghrelin increases after 6 months of ketoconazole use in patients with Cushing’s disease: comparison with GH-releasing peptide-6 (GHRP-6). PMID 19453623</w:t>
      </w:r>
    </w:p>
    <w:p>
      <w:pPr>
        <w:numPr>
          <w:ilvl w:val="0"/>
          <w:numId w:val="1400"/>
        </w:numPr>
        <w:pStyle w:val="Compact"/>
      </w:pPr>
      <w:r>
        <w:t xml:space="preserve">2009 · Nascif SO ·</w:t>
      </w:r>
      <w:r>
        <w:t xml:space="preserve"> </w:t>
      </w:r>
      <w:r>
        <w:rPr>
          <w:iCs/>
          <w:i/>
        </w:rPr>
        <w:t xml:space="preserve">Pituitary</w:t>
      </w:r>
      <w:r>
        <w:t xml:space="preserve"> </w:t>
      </w:r>
      <w:r>
        <w:t xml:space="preserve">· Ghrelin and GHRP-6-induced ACTH and cortisol release in thyrotoxicosis. PMID 19396632</w:t>
      </w:r>
    </w:p>
    <w:p>
      <w:pPr>
        <w:numPr>
          <w:ilvl w:val="0"/>
          <w:numId w:val="1400"/>
        </w:numPr>
        <w:pStyle w:val="Compact"/>
      </w:pPr>
      <w:r>
        <w:t xml:space="preserve">2008 · Machado MC ·</w:t>
      </w:r>
      <w:r>
        <w:t xml:space="preserve"> </w:t>
      </w:r>
      <w:r>
        <w:rPr>
          <w:iCs/>
          <w:i/>
        </w:rPr>
        <w:t xml:space="preserve">Eur J Endocrinol</w:t>
      </w:r>
      <w:r>
        <w:t xml:space="preserve"> </w:t>
      </w:r>
      <w:r>
        <w:t xml:space="preserve">· Association between tumoral GH-releasing peptide receptor type 1a mRNA expression and in vivo response to GH-releasing peptide-6 in ACTH-dependent Cushing’s syndrome patients. PMID 18426818</w:t>
      </w:r>
    </w:p>
    <w:p>
      <w:pPr>
        <w:numPr>
          <w:ilvl w:val="0"/>
          <w:numId w:val="1400"/>
        </w:numPr>
        <w:pStyle w:val="Compact"/>
      </w:pPr>
      <w:r>
        <w:t xml:space="preserve">2007 · Nascif SO ·</w:t>
      </w:r>
      <w:r>
        <w:t xml:space="preserve"> </w:t>
      </w:r>
      <w:r>
        <w:rPr>
          <w:iCs/>
          <w:i/>
        </w:rPr>
        <w:t xml:space="preserve">Pituitary</w:t>
      </w:r>
      <w:r>
        <w:t xml:space="preserve"> </w:t>
      </w:r>
      <w:r>
        <w:t xml:space="preserve">· Decreased ghrelin-induced GH release in thyrotoxicosis: comparison with GH-releasing peptide-6 (GHRP-6) and GHRH. PMID 17410412</w:t>
      </w:r>
    </w:p>
    <w:p>
      <w:pPr>
        <w:numPr>
          <w:ilvl w:val="0"/>
          <w:numId w:val="1400"/>
        </w:numPr>
        <w:pStyle w:val="Compact"/>
      </w:pPr>
      <w:r>
        <w:t xml:space="preserve">2006 · Correa-Silva SR ·</w:t>
      </w:r>
      <w:r>
        <w:t xml:space="preserve"> </w:t>
      </w:r>
      <w:r>
        <w:rPr>
          <w:iCs/>
          <w:i/>
        </w:rPr>
        <w:t xml:space="preserve">Pituitary</w:t>
      </w:r>
      <w:r>
        <w:t xml:space="preserve"> </w:t>
      </w:r>
      <w:r>
        <w:t xml:space="preserve">· Decreased GH secretion and enhanced ACTH and cortisol release after ghrelin administration in Cushing’s disease: comparison with GH-releasing peptide-6 (GHRP-6) and GHRH. PMID 16832586</w:t>
      </w:r>
    </w:p>
    <w:p>
      <w:pPr>
        <w:numPr>
          <w:ilvl w:val="0"/>
          <w:numId w:val="1400"/>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0"/>
        </w:numPr>
        <w:pStyle w:val="Compact"/>
      </w:pPr>
      <w:r>
        <w:t xml:space="preserve">2004 · Micic D ·</w:t>
      </w:r>
      <w:r>
        <w:t xml:space="preserve"> </w:t>
      </w:r>
      <w:r>
        <w:rPr>
          <w:iCs/>
          <w:i/>
        </w:rPr>
        <w:t xml:space="preserve">Diabetes Res Clin Pract</w:t>
      </w:r>
      <w:r>
        <w:t xml:space="preserve"> </w:t>
      </w:r>
      <w:r>
        <w:t xml:space="preserve">· Growth hormone response to GHRH + GHRP-6 in type 2 diabetes during euglycemic and hyperglycemic clamp. PMID 14693411</w:t>
      </w:r>
    </w:p>
    <w:p>
      <w:pPr>
        <w:numPr>
          <w:ilvl w:val="0"/>
          <w:numId w:val="1400"/>
        </w:numPr>
        <w:pStyle w:val="Compact"/>
      </w:pPr>
      <w:r>
        <w:t xml:space="preserve">2003 · Cordido F ·</w:t>
      </w:r>
      <w:r>
        <w:t xml:space="preserve"> </w:t>
      </w:r>
      <w:r>
        <w:rPr>
          <w:iCs/>
          <w:i/>
        </w:rPr>
        <w:t xml:space="preserve">Eur J Endocrinol</w:t>
      </w:r>
      <w:r>
        <w:t xml:space="preserve"> </w:t>
      </w:r>
      <w:r>
        <w:t xml:space="preserve">· Comparison between insulin tolerance test, growth hormone (GH)-releasing hormone (GHRH), GHRH plus acipimox and GHRH plus GH-releasing peptide-6 for the diagnosis of adult GH deficiency in normal subjects, obese and hypopituitary patients. PMID 12887288</w:t>
      </w:r>
    </w:p>
    <w:p>
      <w:pPr>
        <w:numPr>
          <w:ilvl w:val="0"/>
          <w:numId w:val="1400"/>
        </w:numPr>
        <w:pStyle w:val="Compact"/>
      </w:pPr>
      <w:r>
        <w:t xml:space="preserve">2003 · Micić D ·</w:t>
      </w:r>
      <w:r>
        <w:t xml:space="preserve"> </w:t>
      </w:r>
      <w:r>
        <w:rPr>
          <w:iCs/>
          <w:i/>
        </w:rPr>
        <w:t xml:space="preserve">J Endocrinol Invest</w:t>
      </w:r>
      <w:r>
        <w:t xml:space="preserve"> </w:t>
      </w:r>
      <w:r>
        <w:t xml:space="preserve">· Growth-hormone response to combined stimulation with GHRH plus GH-releasing peptide-6 in obese patients with polycystic ovary syndrome before and after short-term fasting. PMID 12841541</w:t>
      </w:r>
    </w:p>
    <w:p>
      <w:pPr>
        <w:numPr>
          <w:ilvl w:val="0"/>
          <w:numId w:val="1400"/>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0"/>
        </w:numPr>
        <w:pStyle w:val="Compact"/>
      </w:pPr>
      <w:r>
        <w:t xml:space="preserve">2003 · Martins MR ·</w:t>
      </w:r>
      <w:r>
        <w:t xml:space="preserve"> </w:t>
      </w:r>
      <w:r>
        <w:rPr>
          <w:iCs/>
          <w:i/>
        </w:rPr>
        <w:t xml:space="preserve">J Endocrinol Invest</w:t>
      </w:r>
      <w:r>
        <w:t xml:space="preserve"> </w:t>
      </w:r>
      <w:r>
        <w:t xml:space="preserve">· GH-releasing peptide (GHRP-6)-induced ACTH release in patients with addison’s disease: effect of glucocorticoid withdrawal. PMID 12739742</w:t>
      </w:r>
    </w:p>
    <w:p>
      <w:pPr>
        <w:numPr>
          <w:ilvl w:val="0"/>
          <w:numId w:val="1400"/>
        </w:numPr>
        <w:pStyle w:val="Compact"/>
      </w:pPr>
      <w:r>
        <w:t xml:space="preserve">2002 · Bhatti SF ·</w:t>
      </w:r>
      <w:r>
        <w:t xml:space="preserve"> </w:t>
      </w:r>
      <w:r>
        <w:rPr>
          <w:iCs/>
          <w:i/>
        </w:rPr>
        <w:t xml:space="preserve">Mol Cell Endocrinol</w:t>
      </w:r>
      <w:r>
        <w:t xml:space="preserve"> </w:t>
      </w:r>
      <w:r>
        <w:t xml:space="preserve">· Effects of growth hormone-releasing peptides in healthy dogs and in dogs with pituitary-dependent hyperadrenocorticism. PMID 12431802</w:t>
      </w:r>
    </w:p>
    <w:p>
      <w:pPr>
        <w:numPr>
          <w:ilvl w:val="0"/>
          <w:numId w:val="1400"/>
        </w:numPr>
        <w:pStyle w:val="Compact"/>
      </w:pPr>
      <w:r>
        <w:t xml:space="preserve">2002 · Popovic V ·</w:t>
      </w:r>
      <w:r>
        <w:t xml:space="preserve"> </w:t>
      </w:r>
      <w:r>
        <w:rPr>
          <w:iCs/>
          <w:i/>
        </w:rPr>
        <w:t xml:space="preserve">Clin Endocrinol (Oxf)</w:t>
      </w:r>
      <w:r>
        <w:t xml:space="preserve"> </w:t>
      </w:r>
      <w:r>
        <w:t xml:space="preserve">· Physical activity or food intake prior to testing did not affect the reproducibility of GH secretion elicited by GH releasing hormone plus GH-releasing hexapeptide in normal adult subjects. PMID 11849251</w:t>
      </w:r>
    </w:p>
    <w:p>
      <w:pPr>
        <w:numPr>
          <w:ilvl w:val="0"/>
          <w:numId w:val="1400"/>
        </w:numPr>
        <w:pStyle w:val="Compact"/>
      </w:pPr>
      <w:r>
        <w:t xml:space="preserve">2001 · Muller AF ·</w:t>
      </w:r>
      <w:r>
        <w:t xml:space="preserve"> </w:t>
      </w:r>
      <w:r>
        <w:rPr>
          <w:iCs/>
          <w:i/>
        </w:rPr>
        <w:t xml:space="preserve">Clin Endocrinol (Oxf)</w:t>
      </w:r>
      <w:r>
        <w:t xml:space="preserve"> </w:t>
      </w:r>
      <w:r>
        <w:t xml:space="preserve">· Effects of fasting and pegvisomant on the GH-releasing hormone and GH-releasing peptide-6 stimulated growth hormone secretion. PMID 11678828</w:t>
      </w:r>
    </w:p>
    <w:p>
      <w:pPr>
        <w:numPr>
          <w:ilvl w:val="0"/>
          <w:numId w:val="1400"/>
        </w:numPr>
        <w:pStyle w:val="Compact"/>
      </w:pPr>
      <w:r>
        <w:t xml:space="preserve">2000 · Popovic V ·</w:t>
      </w:r>
      <w:r>
        <w:t xml:space="preserve"> </w:t>
      </w:r>
      <w:r>
        <w:rPr>
          <w:iCs/>
          <w:i/>
        </w:rPr>
        <w:t xml:space="preserve">Lancet</w:t>
      </w:r>
      <w:r>
        <w:t xml:space="preserve"> </w:t>
      </w:r>
      <w:r>
        <w:t xml:space="preserve">· GH-releasing hormone and GH-releasing peptide-6 for diagnostic testing in GH-deficient adults. PMID 11030292</w:t>
      </w:r>
    </w:p>
    <w:p>
      <w:pPr>
        <w:numPr>
          <w:ilvl w:val="0"/>
          <w:numId w:val="1400"/>
        </w:numPr>
        <w:pStyle w:val="Compact"/>
      </w:pPr>
      <w:r>
        <w:t xml:space="preserve">2000 · Pinto AC ·</w:t>
      </w:r>
      <w:r>
        <w:t xml:space="preserve"> </w:t>
      </w:r>
      <w:r>
        <w:rPr>
          <w:iCs/>
          <w:i/>
        </w:rPr>
        <w:t xml:space="preserve">J Clin Endocrinol Metab</w:t>
      </w:r>
      <w:r>
        <w:t xml:space="preserve"> </w:t>
      </w:r>
      <w:r>
        <w:t xml:space="preserve">· Effects of short-term glucocorticoid deprivation on growth hormone (GH) response to GH-releasing peptide-6: studies in normal men and in patients with adrenal insufficiency. PMID 10770194</w:t>
      </w:r>
    </w:p>
    <w:p>
      <w:pPr>
        <w:numPr>
          <w:ilvl w:val="0"/>
          <w:numId w:val="1400"/>
        </w:numPr>
        <w:pStyle w:val="Compact"/>
      </w:pPr>
      <w:r>
        <w:t xml:space="preserve">1999 · Pinto AC ·</w:t>
      </w:r>
      <w:r>
        <w:t xml:space="preserve"> </w:t>
      </w:r>
      <w:r>
        <w:rPr>
          <w:iCs/>
          <w:i/>
        </w:rPr>
        <w:t xml:space="preserve">Clin Endocrinol (Oxf)</w:t>
      </w:r>
      <w:r>
        <w:t xml:space="preserve"> </w:t>
      </w:r>
      <w:r>
        <w:t xml:space="preserve">· Acute dexamethasone administration enhances GH responsiveness to GH releasing peptide-6 (GHRP-6) in man. PMID 10583306</w:t>
      </w:r>
    </w:p>
    <w:p>
      <w:pPr>
        <w:numPr>
          <w:ilvl w:val="0"/>
          <w:numId w:val="1400"/>
        </w:numPr>
        <w:pStyle w:val="Compact"/>
      </w:pPr>
      <w:r>
        <w:t xml:space="preserve">1999 · Frieboes RM ·</w:t>
      </w:r>
      <w:r>
        <w:t xml:space="preserve"> </w:t>
      </w:r>
      <w:r>
        <w:rPr>
          <w:iCs/>
          <w:i/>
        </w:rPr>
        <w:t xml:space="preserve">J Neuroendocrinol</w:t>
      </w:r>
      <w:r>
        <w:t xml:space="preserve"> </w:t>
      </w:r>
      <w:r>
        <w:t xml:space="preserve">· Effects of growth hormone-releasing peptide-6 on the nocturnal secretion of GH, ACTH and cortisol and on the sleep EEG in man: role of routes of administration. PMID 10336729</w:t>
      </w:r>
    </w:p>
    <w:p>
      <w:pPr>
        <w:numPr>
          <w:ilvl w:val="0"/>
          <w:numId w:val="1400"/>
        </w:numPr>
        <w:pStyle w:val="Compact"/>
      </w:pPr>
      <w:r>
        <w:t xml:space="preserve">1999 · Micić D ·</w:t>
      </w:r>
      <w:r>
        <w:t xml:space="preserve"> </w:t>
      </w:r>
      <w:r>
        <w:rPr>
          <w:iCs/>
          <w:i/>
        </w:rPr>
        <w:t xml:space="preserve">Metabolism</w:t>
      </w:r>
      <w:r>
        <w:t xml:space="preserve"> </w:t>
      </w:r>
      <w:r>
        <w:t xml:space="preserve">· Growth hormone (GH) response to GH-releasing peptide-6 and GH-releasing hormone in normal-weight and overweight patients with non-insulin-dependent diabetes mellitus. PMID 10206449</w:t>
      </w:r>
    </w:p>
    <w:p>
      <w:pPr>
        <w:numPr>
          <w:ilvl w:val="0"/>
          <w:numId w:val="1400"/>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0"/>
        </w:numPr>
        <w:pStyle w:val="Compact"/>
      </w:pPr>
      <w:r>
        <w:t xml:space="preserve">1998 · Micic D ·</w:t>
      </w:r>
      <w:r>
        <w:t xml:space="preserve"> </w:t>
      </w:r>
      <w:r>
        <w:rPr>
          <w:iCs/>
          <w:i/>
        </w:rPr>
        <w:t xml:space="preserve">J Clin Endocrinol Metab</w:t>
      </w:r>
      <w:r>
        <w:t xml:space="preserve"> </w:t>
      </w:r>
      <w:r>
        <w:t xml:space="preserve">· Preserved growth hormone (GH) secretion in aged and very old subjects after testing with the combined stimulus GH-releasing hormone plus GH-releasing hexapeptide-6. PMID 9661645</w:t>
      </w:r>
    </w:p>
    <w:p>
      <w:pPr>
        <w:numPr>
          <w:ilvl w:val="0"/>
          <w:numId w:val="1400"/>
        </w:numPr>
        <w:pStyle w:val="Compact"/>
      </w:pPr>
      <w:r>
        <w:t xml:space="preserve">1998 · Pandya N ·</w:t>
      </w:r>
      <w:r>
        <w:t xml:space="preserve"> </w:t>
      </w:r>
      <w:r>
        <w:rPr>
          <w:iCs/>
          <w:i/>
        </w:rPr>
        <w:t xml:space="preserve">J Clin Endocrinol Metab</w:t>
      </w:r>
      <w:r>
        <w:t xml:space="preserve"> </w:t>
      </w:r>
      <w:r>
        <w:t xml:space="preserve">· Growth hormone (GH)-releasing peptide-6 requires endogenous hypothalamic GH-releasing hormone for maximal GH stimulation. PMID 9543138</w:t>
      </w:r>
    </w:p>
    <w:p>
      <w:pPr>
        <w:numPr>
          <w:ilvl w:val="0"/>
          <w:numId w:val="1400"/>
        </w:numPr>
        <w:pStyle w:val="Compact"/>
      </w:pPr>
      <w:r>
        <w:t xml:space="preserve">1997 · Borges MH ·</w:t>
      </w:r>
      <w:r>
        <w:t xml:space="preserve"> </w:t>
      </w:r>
      <w:r>
        <w:rPr>
          <w:iCs/>
          <w:i/>
        </w:rPr>
        <w:t xml:space="preserve">Clin Endocrinol (Oxf)</w:t>
      </w:r>
      <w:r>
        <w:t xml:space="preserve"> </w:t>
      </w:r>
      <w:r>
        <w:t xml:space="preserve">· Different effects of growth hormone releasing peptide (GHRP-6) and GH-releasing hormone on GH release in endogenous and exogenous hypercortisolism. PMID 9274702</w:t>
      </w:r>
    </w:p>
    <w:p>
      <w:pPr>
        <w:numPr>
          <w:ilvl w:val="0"/>
          <w:numId w:val="1400"/>
        </w:numPr>
        <w:pStyle w:val="Compact"/>
      </w:pPr>
      <w:r>
        <w:t xml:space="preserve">1997 · Pimentel-Filho FR ·</w:t>
      </w:r>
      <w:r>
        <w:t xml:space="preserve"> </w:t>
      </w:r>
      <w:r>
        <w:rPr>
          <w:iCs/>
          <w:i/>
        </w:rPr>
        <w:t xml:space="preserve">Clin Endocrinol (Oxf)</w:t>
      </w:r>
      <w:r>
        <w:t xml:space="preserve"> </w:t>
      </w:r>
      <w:r>
        <w:t xml:space="preserve">· Growth hormone responses to GH-releasing peptide (GHRP-6) in hypothyroidism. PMID 9156038</w:t>
      </w:r>
    </w:p>
    <w:p>
      <w:pPr>
        <w:numPr>
          <w:ilvl w:val="0"/>
          <w:numId w:val="1400"/>
        </w:numPr>
        <w:pStyle w:val="Compact"/>
      </w:pPr>
      <w:r>
        <w:t xml:space="preserve">1997 · Nooitgedagt A ·</w:t>
      </w:r>
      <w:r>
        <w:t xml:space="preserve"> </w:t>
      </w:r>
      <w:r>
        <w:rPr>
          <w:iCs/>
          <w:i/>
        </w:rPr>
        <w:t xml:space="preserve">Clin Endocrinol (Oxf)</w:t>
      </w:r>
      <w:r>
        <w:t xml:space="preserve"> </w:t>
      </w:r>
      <w:r>
        <w:t xml:space="preserve">· Influence of endogenous cholinergic tone and growth hormone-releasing peptide-6 on exercise induced growth hormone release. PMID 9135702</w:t>
      </w:r>
    </w:p>
    <w:p>
      <w:pPr>
        <w:numPr>
          <w:ilvl w:val="0"/>
          <w:numId w:val="1400"/>
        </w:numPr>
        <w:pStyle w:val="Compact"/>
      </w:pPr>
      <w:r>
        <w:t xml:space="preserve">1996 · Cordido F ·</w:t>
      </w:r>
      <w:r>
        <w:t xml:space="preserve"> </w:t>
      </w:r>
      <w:r>
        <w:rPr>
          <w:iCs/>
          <w:i/>
        </w:rPr>
        <w:t xml:space="preserve">J Clin Endocrinol Metab</w:t>
      </w:r>
      <w:r>
        <w:t xml:space="preserve"> </w:t>
      </w:r>
      <w:r>
        <w:t xml:space="preserve">· Impaired growth hormone secretion in obese subjects is partially reversed by acipimox-mediated plasma free fatty acid depression. PMID 8772550</w:t>
      </w:r>
    </w:p>
    <w:p>
      <w:pPr>
        <w:numPr>
          <w:ilvl w:val="0"/>
          <w:numId w:val="1400"/>
        </w:numPr>
        <w:pStyle w:val="Compact"/>
      </w:pPr>
      <w:r>
        <w:t xml:space="preserve">1996 · Peino R ·</w:t>
      </w:r>
      <w:r>
        <w:t xml:space="preserve"> </w:t>
      </w:r>
      <w:r>
        <w:rPr>
          <w:iCs/>
          <w:i/>
        </w:rPr>
        <w:t xml:space="preserve">J Clin Endocrinol Metab</w:t>
      </w:r>
      <w:r>
        <w:t xml:space="preserve"> </w:t>
      </w:r>
      <w:r>
        <w:t xml:space="preserve">· Acipimox-mediated plasma free fatty acid depression per se stimulates growth hormone (GH) secretion in normal subjects and potentiates the response to other GH-releasing stimuli. PMID 8772549</w:t>
      </w:r>
    </w:p>
    <w:p>
      <w:pPr>
        <w:numPr>
          <w:ilvl w:val="0"/>
          <w:numId w:val="1400"/>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0"/>
        </w:numPr>
        <w:pStyle w:val="Compact"/>
      </w:pPr>
      <w:r>
        <w:t xml:space="preserve">1995 · Leal-Cerro A ·</w:t>
      </w:r>
      <w:r>
        <w:t xml:space="preserve"> </w:t>
      </w:r>
      <w:r>
        <w:rPr>
          <w:iCs/>
          <w:i/>
        </w:rPr>
        <w:t xml:space="preserve">Eur J Endocrinol</w:t>
      </w:r>
      <w:r>
        <w:t xml:space="preserve"> </w:t>
      </w:r>
      <w:r>
        <w:t xml:space="preserve">· Growth hormone (GH) responses to the combined administration of GH-releasing hormone plus GH-releasing peptide 6 in adults with GH deficiency. PMID 7788011</w:t>
      </w:r>
    </w:p>
    <w:p>
      <w:pPr>
        <w:numPr>
          <w:ilvl w:val="0"/>
          <w:numId w:val="1400"/>
        </w:numPr>
        <w:pStyle w:val="Compact"/>
      </w:pPr>
      <w:r>
        <w:t xml:space="preserve">1995 · Micic D ·</w:t>
      </w:r>
      <w:r>
        <w:t xml:space="preserve"> </w:t>
      </w:r>
      <w:r>
        <w:rPr>
          <w:iCs/>
          <w:i/>
        </w:rPr>
        <w:t xml:space="preserve">Clin Endocrinol (Oxf)</w:t>
      </w:r>
      <w:r>
        <w:t xml:space="preserve"> </w:t>
      </w:r>
      <w:r>
        <w:t xml:space="preserve">· Growth hormone secretion after the administration of GHRP-6 or GHRH combined with GHRP-6 does not decline in late adulthood. PMID 7734029</w:t>
      </w:r>
    </w:p>
    <w:p>
      <w:pPr>
        <w:numPr>
          <w:ilvl w:val="0"/>
          <w:numId w:val="1400"/>
        </w:numPr>
        <w:pStyle w:val="Compact"/>
      </w:pPr>
      <w:r>
        <w:t xml:space="preserve">1995 · Frieboes RM ·</w:t>
      </w:r>
      <w:r>
        <w:t xml:space="preserve"> </w:t>
      </w:r>
      <w:r>
        <w:rPr>
          <w:iCs/>
          <w:i/>
        </w:rPr>
        <w:t xml:space="preserve">Neuroendocrinology</w:t>
      </w:r>
      <w:r>
        <w:t xml:space="preserve"> </w:t>
      </w:r>
      <w:r>
        <w:t xml:space="preserve">· Growth hormone-releasing peptide-6 stimulates sleep, growth hormone, ACTH and cortisol release in normal man. PMID 7617137</w:t>
      </w:r>
    </w:p>
    <w:p>
      <w:pPr>
        <w:numPr>
          <w:ilvl w:val="0"/>
          <w:numId w:val="1400"/>
        </w:numPr>
        <w:pStyle w:val="Compact"/>
      </w:pPr>
      <w:r>
        <w:t xml:space="preserve">1995 · Pombo M ·</w:t>
      </w:r>
      <w:r>
        <w:t xml:space="preserve"> </w:t>
      </w:r>
      <w:r>
        <w:rPr>
          <w:iCs/>
          <w:i/>
        </w:rPr>
        <w:t xml:space="preserve">J Clin Endocrinol Metab</w:t>
      </w:r>
      <w:r>
        <w:t xml:space="preserve"> </w:t>
      </w:r>
      <w:r>
        <w:t xml:space="preserve">· Absence of growth hormone (GH) secretion after the administration of either GH-releasing hormone (GHRH), GH-releasing peptide (GHRP-6), or GHRH plus GHRP-6 in children with neonatal pituitary stalk transection. PMID 7593423</w:t>
      </w:r>
    </w:p>
    <w:p>
      <w:pPr>
        <w:numPr>
          <w:ilvl w:val="0"/>
          <w:numId w:val="1400"/>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0"/>
        </w:numPr>
        <w:pStyle w:val="Compact"/>
      </w:pPr>
      <w:r>
        <w:t xml:space="preserve">1995 · Bellone J ·</w:t>
      </w:r>
      <w:r>
        <w:t xml:space="preserve"> </w:t>
      </w:r>
      <w:r>
        <w:rPr>
          <w:iCs/>
          <w:i/>
        </w:rPr>
        <w:t xml:space="preserve">Eur J Endocrinol</w:t>
      </w:r>
      <w:r>
        <w:t xml:space="preserve"> </w:t>
      </w:r>
      <w:r>
        <w:t xml:space="preserve">· Growth hormone-releasing effect of oral growth hormone-releasing peptide 6 (GHRP-6) administration in children with short stature. PMID 7581965</w:t>
      </w:r>
    </w:p>
    <w:p>
      <w:pPr>
        <w:numPr>
          <w:ilvl w:val="0"/>
          <w:numId w:val="1400"/>
        </w:numPr>
        <w:pStyle w:val="Compact"/>
      </w:pPr>
      <w:r>
        <w:t xml:space="preserve">1994 · Ghigo E ·</w:t>
      </w:r>
      <w:r>
        <w:t xml:space="preserve"> </w:t>
      </w:r>
      <w:r>
        <w:rPr>
          <w:iCs/>
          <w:i/>
        </w:rPr>
        <w:t xml:space="preserve">J Endocrinol Invest</w:t>
      </w:r>
      <w:r>
        <w:t xml:space="preserve"> </w:t>
      </w:r>
      <w:r>
        <w:t xml:space="preserve">· Arginine enhances the growth hormone-releasing activity of a synthetic hexapeptide (GHRP-6) in elderly but not in young subjects after oral administration. PMID 8051337</w:t>
      </w:r>
    </w:p>
    <w:p>
      <w:pPr>
        <w:numPr>
          <w:ilvl w:val="0"/>
          <w:numId w:val="1400"/>
        </w:numPr>
        <w:pStyle w:val="Compact"/>
      </w:pPr>
      <w:r>
        <w:t xml:space="preserve">1994 · Ghigo E ·</w:t>
      </w:r>
      <w:r>
        <w:t xml:space="preserve"> </w:t>
      </w:r>
      <w:r>
        <w:rPr>
          <w:iCs/>
          <w:i/>
        </w:rPr>
        <w:t xml:space="preserve">Eur J Endocrinol</w:t>
      </w:r>
      <w:r>
        <w:t xml:space="preserve"> </w:t>
      </w:r>
      <w:r>
        <w:t xml:space="preserve">· Growth hormone-releasing activity of growth hormone-releasing peptide-6 is maintained after short-term oral pretreatment with the hexapeptide in normal aging. PMID 7952160</w:t>
      </w:r>
    </w:p>
    <w:bookmarkEnd w:id="1144"/>
    <w:bookmarkStart w:id="1145" w:name="hexarelina-58"/>
    <w:p>
      <w:pPr>
        <w:pStyle w:val="Heading2"/>
      </w:pPr>
      <w:r>
        <w:t xml:space="preserve">Hexarelina (58)</w:t>
      </w:r>
    </w:p>
    <w:p>
      <w:pPr>
        <w:numPr>
          <w:ilvl w:val="0"/>
          <w:numId w:val="1401"/>
        </w:numPr>
        <w:pStyle w:val="Compact"/>
      </w:pPr>
      <w:r>
        <w:t xml:space="preserve">2004 · Janssen JA ·</w:t>
      </w:r>
      <w:r>
        <w:t xml:space="preserve"> </w:t>
      </w:r>
      <w:r>
        <w:rPr>
          <w:iCs/>
          <w:i/>
        </w:rPr>
        <w:t xml:space="preserve">J Endocrinol Invest</w:t>
      </w:r>
      <w:r>
        <w:t xml:space="preserve"> </w:t>
      </w:r>
      <w:r>
        <w:t xml:space="preserve">· There are no acute cardiac effects of a single iv dose of human ghrelin in severe growth hormone deficient patients. PMID 15505990</w:t>
      </w:r>
    </w:p>
    <w:p>
      <w:pPr>
        <w:numPr>
          <w:ilvl w:val="0"/>
          <w:numId w:val="1401"/>
        </w:numPr>
        <w:pStyle w:val="Compact"/>
      </w:pPr>
      <w:r>
        <w:t xml:space="preserve">2004 · de Vries WR ·</w:t>
      </w:r>
      <w:r>
        <w:t xml:space="preserve"> </w:t>
      </w:r>
      <w:r>
        <w:rPr>
          <w:iCs/>
          <w:i/>
        </w:rPr>
        <w:t xml:space="preserve">Horm Metab Res</w:t>
      </w:r>
      <w:r>
        <w:t xml:space="preserve"> </w:t>
      </w:r>
      <w:r>
        <w:t xml:space="preserve">· Age-related differences in growth hormone (GH) regulation during strenuous exercise. PMID 15305235</w:t>
      </w:r>
    </w:p>
    <w:p>
      <w:pPr>
        <w:numPr>
          <w:ilvl w:val="0"/>
          <w:numId w:val="1401"/>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1"/>
        </w:numPr>
        <w:pStyle w:val="Compact"/>
      </w:pPr>
      <w:r>
        <w:t xml:space="preserve">2003 · Benso A ·</w:t>
      </w:r>
      <w:r>
        <w:t xml:space="preserve"> </w:t>
      </w:r>
      <w:r>
        <w:rPr>
          <w:iCs/>
          <w:i/>
        </w:rPr>
        <w:t xml:space="preserve">J Endocrinol Invest</w:t>
      </w:r>
      <w:r>
        <w:t xml:space="preserve"> </w:t>
      </w:r>
      <w:r>
        <w:t xml:space="preserve">· Effects of cortistatin-14 and somatostatin-14 on the endocrine response to hexarelin in humans. PMID 14594107</w:t>
      </w:r>
    </w:p>
    <w:p>
      <w:pPr>
        <w:numPr>
          <w:ilvl w:val="0"/>
          <w:numId w:val="1401"/>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1"/>
        </w:numPr>
        <w:pStyle w:val="Compact"/>
      </w:pPr>
      <w:r>
        <w:t xml:space="preserve">2002 · Broglio F ·</w:t>
      </w:r>
      <w:r>
        <w:t xml:space="preserve"> </w:t>
      </w:r>
      <w:r>
        <w:rPr>
          <w:iCs/>
          <w:i/>
        </w:rPr>
        <w:t xml:space="preserve">Clin Endocrinol (Oxf)</w:t>
      </w:r>
      <w:r>
        <w:t xml:space="preserve"> </w:t>
      </w:r>
      <w:r>
        <w:t xml:space="preserve">· Effects of glucose, free fatty acids or arginine load on the GH-releasing activity of ghrelin in humans. PMID 12153607</w:t>
      </w:r>
    </w:p>
    <w:p>
      <w:pPr>
        <w:numPr>
          <w:ilvl w:val="0"/>
          <w:numId w:val="1401"/>
        </w:numPr>
        <w:pStyle w:val="Compact"/>
      </w:pPr>
      <w:r>
        <w:t xml:space="preserve">2002 · Broglio F ·</w:t>
      </w:r>
      <w:r>
        <w:t xml:space="preserve"> </w:t>
      </w:r>
      <w:r>
        <w:rPr>
          <w:iCs/>
          <w:i/>
        </w:rPr>
        <w:t xml:space="preserve">Eur J Pharmacol</w:t>
      </w:r>
      <w:r>
        <w:t xml:space="preserve"> </w:t>
      </w:r>
      <w:r>
        <w:t xml:space="preserve">· Effects of acute hexarelin administration on cardiac performance in patients with coronary artery disease during by-pass surgery. PMID 12144941</w:t>
      </w:r>
    </w:p>
    <w:p>
      <w:pPr>
        <w:numPr>
          <w:ilvl w:val="0"/>
          <w:numId w:val="1401"/>
        </w:numPr>
        <w:pStyle w:val="Compact"/>
      </w:pPr>
      <w:r>
        <w:t xml:space="preserve">2002 · Maccario M ·</w:t>
      </w:r>
      <w:r>
        <w:t xml:space="preserve"> </w:t>
      </w:r>
      <w:r>
        <w:rPr>
          <w:iCs/>
          <w:i/>
        </w:rPr>
        <w:t xml:space="preserve">Eur J Endocrinol</w:t>
      </w:r>
      <w:r>
        <w:t xml:space="preserve"> </w:t>
      </w:r>
      <w:r>
        <w:t xml:space="preserve">· Impact of two or three daily subcutaneous injections of hexarelin, a synthetic growth hormone (GH) secretagogue, on 24-h GH, prolactin, adrenocorticotropin and cortisol secretion in humans. PMID 11888836</w:t>
      </w:r>
    </w:p>
    <w:p>
      <w:pPr>
        <w:numPr>
          <w:ilvl w:val="0"/>
          <w:numId w:val="1401"/>
        </w:numPr>
        <w:pStyle w:val="Compact"/>
      </w:pPr>
      <w:r>
        <w:t xml:space="preserve">2001 · Broglio F ·</w:t>
      </w:r>
      <w:r>
        <w:t xml:space="preserve"> </w:t>
      </w:r>
      <w:r>
        <w:rPr>
          <w:iCs/>
          <w:i/>
        </w:rPr>
        <w:t xml:space="preserve">J Clin Endocrinol Metab</w:t>
      </w:r>
      <w:r>
        <w:t xml:space="preserve"> </w:t>
      </w:r>
      <w:r>
        <w:t xml:space="preserve">· Ghrelin, a natural GH secretagogue produced by the stomach, induces hyperglycemia and reduces insulin secretion in humans. PMID 11600590</w:t>
      </w:r>
    </w:p>
    <w:p>
      <w:pPr>
        <w:numPr>
          <w:ilvl w:val="0"/>
          <w:numId w:val="1401"/>
        </w:numPr>
        <w:pStyle w:val="Compact"/>
      </w:pPr>
      <w:r>
        <w:t xml:space="preserve">2001 · Broglio F ·</w:t>
      </w:r>
      <w:r>
        <w:t xml:space="preserve"> </w:t>
      </w:r>
      <w:r>
        <w:rPr>
          <w:iCs/>
          <w:i/>
        </w:rPr>
        <w:t xml:space="preserve">Endocrine</w:t>
      </w:r>
      <w:r>
        <w:t xml:space="preserve"> </w:t>
      </w:r>
      <w:r>
        <w:t xml:space="preserve">· Growth hormone-independent cardiotropic activities of growth hormone-releasing peptides in normal subjects, in patients with growth hormone deficiency, and in patients with idiopathic or ischemic dilated cardiomyopathy. PMID 11322491</w:t>
      </w:r>
    </w:p>
    <w:p>
      <w:pPr>
        <w:numPr>
          <w:ilvl w:val="0"/>
          <w:numId w:val="1401"/>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1"/>
        </w:numPr>
        <w:pStyle w:val="Compact"/>
      </w:pPr>
      <w:r>
        <w:t xml:space="preserve">2001 · Arvat E ·</w:t>
      </w:r>
      <w:r>
        <w:t xml:space="preserve"> </w:t>
      </w:r>
      <w:r>
        <w:rPr>
          <w:iCs/>
          <w:i/>
        </w:rPr>
        <w:t xml:space="preserve">J Clin Endocrinol Metab</w:t>
      </w:r>
      <w:r>
        <w:t xml:space="preserve"> </w:t>
      </w:r>
      <w:r>
        <w:t xml:space="preserve">· Endocrine activities of ghrelin, a natural growth hormone secretagogue (GHS), in humans: comparison and interactions with hexarelin, a nonnatural peptidyl GHS, and GH-releasing hormone. PMID 11238504</w:t>
      </w:r>
    </w:p>
    <w:p>
      <w:pPr>
        <w:numPr>
          <w:ilvl w:val="0"/>
          <w:numId w:val="1401"/>
        </w:numPr>
        <w:pStyle w:val="Compact"/>
      </w:pPr>
      <w:r>
        <w:t xml:space="preserve">2000 · Arvat E ·</w:t>
      </w:r>
      <w:r>
        <w:t xml:space="preserve"> </w:t>
      </w:r>
      <w:r>
        <w:rPr>
          <w:iCs/>
          <w:i/>
        </w:rPr>
        <w:t xml:space="preserve">Eur J Endocrinol</w:t>
      </w:r>
      <w:r>
        <w:t xml:space="preserve"> </w:t>
      </w:r>
      <w:r>
        <w:t xml:space="preserve">· Interaction between glucagon and hexarelin, a peptidyl GH secretagogue, on somatotroph and corticotroph secretion in humans. PMID 11078983</w:t>
      </w:r>
    </w:p>
    <w:p>
      <w:pPr>
        <w:numPr>
          <w:ilvl w:val="0"/>
          <w:numId w:val="1401"/>
        </w:numPr>
        <w:pStyle w:val="Compact"/>
      </w:pPr>
      <w:r>
        <w:t xml:space="preserve">2000 · Broglio F ·</w:t>
      </w:r>
      <w:r>
        <w:t xml:space="preserve"> </w:t>
      </w:r>
      <w:r>
        <w:rPr>
          <w:iCs/>
          <w:i/>
        </w:rPr>
        <w:t xml:space="preserve">Eur J Endocrinol</w:t>
      </w:r>
      <w:r>
        <w:t xml:space="preserve"> </w:t>
      </w:r>
      <w:r>
        <w:t xml:space="preserve">· Endocrine activities of alexamorelin (Ala-His-d-2-methyl-Trp-Ala-Trp-d-Phe-Lys-NH2), a synthetic GH secretagogue, in humans. PMID 11022186</w:t>
      </w:r>
    </w:p>
    <w:p>
      <w:pPr>
        <w:numPr>
          <w:ilvl w:val="0"/>
          <w:numId w:val="1401"/>
        </w:numPr>
        <w:pStyle w:val="Compact"/>
      </w:pPr>
      <w:r>
        <w:t xml:space="preserve">2000 · Coiro V ·</w:t>
      </w:r>
      <w:r>
        <w:t xml:space="preserve"> </w:t>
      </w:r>
      <w:r>
        <w:rPr>
          <w:iCs/>
          <w:i/>
        </w:rPr>
        <w:t xml:space="preserve">J Intern Med</w:t>
      </w:r>
      <w:r>
        <w:t xml:space="preserve"> </w:t>
      </w:r>
      <w:r>
        <w:t xml:space="preserve">· Desmopressin and hexarelin tests in alcohol-induced pseudo-Cushing’s syndrome. PMID 10886488</w:t>
      </w:r>
    </w:p>
    <w:p>
      <w:pPr>
        <w:numPr>
          <w:ilvl w:val="0"/>
          <w:numId w:val="1401"/>
        </w:numPr>
        <w:pStyle w:val="Compact"/>
      </w:pPr>
      <w:r>
        <w:t xml:space="preserve">2000 · De Marinis L ·</w:t>
      </w:r>
      <w:r>
        <w:t xml:space="preserve"> </w:t>
      </w:r>
      <w:r>
        <w:rPr>
          <w:iCs/>
          <w:i/>
        </w:rPr>
        <w:t xml:space="preserve">Horm Metab Res</w:t>
      </w:r>
      <w:r>
        <w:t xml:space="preserve"> </w:t>
      </w:r>
      <w:r>
        <w:t xml:space="preserve">· Role of food intake in the modulation of hexarelin-induced growth hormone release in normal human subjects. PMID 10824712</w:t>
      </w:r>
    </w:p>
    <w:p>
      <w:pPr>
        <w:numPr>
          <w:ilvl w:val="0"/>
          <w:numId w:val="1401"/>
        </w:numPr>
        <w:pStyle w:val="Compact"/>
      </w:pPr>
      <w:r>
        <w:t xml:space="preserve">2000 · Bellone J ·</w:t>
      </w:r>
      <w:r>
        <w:t xml:space="preserve"> </w:t>
      </w:r>
      <w:r>
        <w:rPr>
          <w:iCs/>
          <w:i/>
        </w:rPr>
        <w:t xml:space="preserve">J Endocrinol Invest</w:t>
      </w:r>
      <w:r>
        <w:t xml:space="preserve"> </w:t>
      </w:r>
      <w:r>
        <w:t xml:space="preserve">· The negative GH auto-feedback in childhood: effects of rhGH and/or GHRH on the somatotroph response to GHRH or hexarelin, a peptidyl GH secretagogue, in children. PMID 10803472</w:t>
      </w:r>
    </w:p>
    <w:p>
      <w:pPr>
        <w:numPr>
          <w:ilvl w:val="0"/>
          <w:numId w:val="1401"/>
        </w:numPr>
        <w:pStyle w:val="Compact"/>
      </w:pPr>
      <w:r>
        <w:t xml:space="preserve">1999 · Ghigo E ·</w:t>
      </w:r>
      <w:r>
        <w:t xml:space="preserve"> </w:t>
      </w:r>
      <w:r>
        <w:rPr>
          <w:iCs/>
          <w:i/>
        </w:rPr>
        <w:t xml:space="preserve">J Clin Endocrinol Metab</w:t>
      </w:r>
      <w:r>
        <w:t xml:space="preserve"> </w:t>
      </w:r>
      <w:r>
        <w:t xml:space="preserve">· Effects of recombinant human insulin-like growth factor I administration on growth hormone (GH) secretion, both spontaneous and stimulated by GH-releasing hormone or hexarelin, a peptidyl GH secretagogue, in humans. PMID 9920097</w:t>
      </w:r>
    </w:p>
    <w:p>
      <w:pPr>
        <w:numPr>
          <w:ilvl w:val="0"/>
          <w:numId w:val="1401"/>
        </w:numPr>
        <w:pStyle w:val="Compact"/>
      </w:pPr>
      <w:r>
        <w:t xml:space="preserve">1999 · Grottoli S ·</w:t>
      </w:r>
      <w:r>
        <w:t xml:space="preserve"> </w:t>
      </w:r>
      <w:r>
        <w:rPr>
          <w:iCs/>
          <w:i/>
        </w:rPr>
        <w:t xml:space="preserve">Pituitary</w:t>
      </w:r>
      <w:r>
        <w:t xml:space="preserve"> </w:t>
      </w:r>
      <w:r>
        <w:t xml:space="preserve">· Effects of alprazolam, a benzodiazepine, on the ACTH-, GH- and PRL-releasing activity of hexarelin, a synthetic peptidyl GH secretagogue (GHS), in patients with simple obesity and in patients with Cushing’s disease. PMID 11081154</w:t>
      </w:r>
    </w:p>
    <w:p>
      <w:pPr>
        <w:numPr>
          <w:ilvl w:val="0"/>
          <w:numId w:val="1401"/>
        </w:numPr>
        <w:pStyle w:val="Compact"/>
      </w:pPr>
      <w:r>
        <w:t xml:space="preserve">1999 · Bisi G ·</w:t>
      </w:r>
      <w:r>
        <w:t xml:space="preserve"> </w:t>
      </w:r>
      <w:r>
        <w:rPr>
          <w:iCs/>
          <w:i/>
        </w:rPr>
        <w:t xml:space="preserve">Eur J Pharmacol</w:t>
      </w:r>
      <w:r>
        <w:t xml:space="preserve"> </w:t>
      </w:r>
      <w:r>
        <w:t xml:space="preserve">· Cardiac effects of hexarelin in hypopituitary adults. PMID 10528131</w:t>
      </w:r>
    </w:p>
    <w:p>
      <w:pPr>
        <w:numPr>
          <w:ilvl w:val="0"/>
          <w:numId w:val="1401"/>
        </w:numPr>
        <w:pStyle w:val="Compact"/>
      </w:pPr>
      <w:r>
        <w:t xml:space="preserve">1999 · Arvat E ·</w:t>
      </w:r>
      <w:r>
        <w:t xml:space="preserve"> </w:t>
      </w:r>
      <w:r>
        <w:rPr>
          <w:iCs/>
          <w:i/>
        </w:rPr>
        <w:t xml:space="preserve">Neuroendocrinology</w:t>
      </w:r>
      <w:r>
        <w:t xml:space="preserve"> </w:t>
      </w:r>
      <w:r>
        <w:t xml:space="preserve">· Corticotropin-releasing effect of hexarelin, a peptidyl GH secretagogue, in normal subjects pretreated with metyrapone or RU-486, a glucocorticoid receptor antagonist, and in patients with Addison’s disease. PMID 10516483</w:t>
      </w:r>
    </w:p>
    <w:p>
      <w:pPr>
        <w:numPr>
          <w:ilvl w:val="0"/>
          <w:numId w:val="1401"/>
        </w:numPr>
        <w:pStyle w:val="Compact"/>
      </w:pPr>
      <w:r>
        <w:t xml:space="preserve">1999 · Korbonits M ·</w:t>
      </w:r>
      <w:r>
        <w:t xml:space="preserve"> </w:t>
      </w:r>
      <w:r>
        <w:rPr>
          <w:iCs/>
          <w:i/>
        </w:rPr>
        <w:t xml:space="preserve">J Clin Endocrinol Metab</w:t>
      </w:r>
      <w:r>
        <w:t xml:space="preserve"> </w:t>
      </w:r>
      <w:r>
        <w:t xml:space="preserve">· The growth hormone secretagogue hexarelin stimulates the hypothalamo-pituitary-adrenal axis via arginine vasopressin. PMID 10404825</w:t>
      </w:r>
    </w:p>
    <w:p>
      <w:pPr>
        <w:numPr>
          <w:ilvl w:val="0"/>
          <w:numId w:val="1401"/>
        </w:numPr>
        <w:pStyle w:val="Compact"/>
      </w:pPr>
      <w:r>
        <w:t xml:space="preserve">1999 · Bisi G ·</w:t>
      </w:r>
      <w:r>
        <w:t xml:space="preserve"> </w:t>
      </w:r>
      <w:r>
        <w:rPr>
          <w:iCs/>
          <w:i/>
        </w:rPr>
        <w:t xml:space="preserve">J Endocrinol Invest</w:t>
      </w:r>
      <w:r>
        <w:t xml:space="preserve"> </w:t>
      </w:r>
      <w:r>
        <w:t xml:space="preserve">· Acute cardiovascular and hormonal effects of GH and hexarelin, a synthetic GH-releasing peptide, in humans. PMID 10342360</w:t>
      </w:r>
    </w:p>
    <w:p>
      <w:pPr>
        <w:numPr>
          <w:ilvl w:val="0"/>
          <w:numId w:val="1401"/>
        </w:numPr>
        <w:pStyle w:val="Compact"/>
      </w:pPr>
      <w:r>
        <w:t xml:space="preserve">1999 · Rahim A ·</w:t>
      </w:r>
      <w:r>
        <w:t xml:space="preserve"> </w:t>
      </w:r>
      <w:r>
        <w:rPr>
          <w:iCs/>
          <w:i/>
        </w:rPr>
        <w:t xml:space="preserve">Clin Endocrinol (Oxf)</w:t>
      </w:r>
      <w:r>
        <w:t xml:space="preserve"> </w:t>
      </w:r>
      <w:r>
        <w:t xml:space="preserve">· The effect of chronic hexarelin administration on the pituitary-adrenal axis and prolactin. PMID 10341859</w:t>
      </w:r>
    </w:p>
    <w:p>
      <w:pPr>
        <w:numPr>
          <w:ilvl w:val="0"/>
          <w:numId w:val="1401"/>
        </w:numPr>
        <w:pStyle w:val="Compact"/>
      </w:pPr>
      <w:r>
        <w:t xml:space="preserve">1999 · Jenkins RC ·</w:t>
      </w:r>
      <w:r>
        <w:t xml:space="preserve"> </w:t>
      </w:r>
      <w:r>
        <w:rPr>
          <w:iCs/>
          <w:i/>
        </w:rPr>
        <w:t xml:space="preserve">J Clin Endocrinol Metab</w:t>
      </w:r>
      <w:r>
        <w:t xml:space="preserve"> </w:t>
      </w:r>
      <w:r>
        <w:t xml:space="preserve">· The effects of dose, nutrition, and age on hexarelin-induced anterior pituitary hormone secretion in adult patients on maintenance hemodialysis. PMID 10199757</w:t>
      </w:r>
    </w:p>
    <w:p>
      <w:pPr>
        <w:numPr>
          <w:ilvl w:val="0"/>
          <w:numId w:val="1401"/>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1"/>
        </w:numPr>
        <w:pStyle w:val="Compact"/>
      </w:pPr>
      <w:r>
        <w:t xml:space="preserve">1998 · Arvat E ·</w:t>
      </w:r>
      <w:r>
        <w:t xml:space="preserve"> </w:t>
      </w:r>
      <w:r>
        <w:rPr>
          <w:iCs/>
          <w:i/>
        </w:rPr>
        <w:t xml:space="preserve">J Clin Endocrinol Metab</w:t>
      </w:r>
      <w:r>
        <w:t xml:space="preserve"> </w:t>
      </w:r>
      <w:r>
        <w:t xml:space="preserve">· Adrenocorticotropin and cortisol hyperresponsiveness to hexarelin in patients with Cushing’s disease bearing a pituitary microadenoma, but not in those with macroadenoma. PMID 9851753</w:t>
      </w:r>
    </w:p>
    <w:p>
      <w:pPr>
        <w:numPr>
          <w:ilvl w:val="0"/>
          <w:numId w:val="1401"/>
        </w:numPr>
        <w:pStyle w:val="Compact"/>
      </w:pPr>
      <w:r>
        <w:t xml:space="preserve">1998 · Maghnie M ·</w:t>
      </w:r>
      <w:r>
        <w:t xml:space="preserve"> </w:t>
      </w:r>
      <w:r>
        <w:rPr>
          <w:iCs/>
          <w:i/>
        </w:rPr>
        <w:t xml:space="preserve">J Clin Endocrinol Metab</w:t>
      </w:r>
      <w:r>
        <w:t xml:space="preserve"> </w:t>
      </w:r>
      <w:r>
        <w:t xml:space="preserve">· The growth hormone response to hexarelin in patients with different hypothalamic-pituitary abnormalities. PMID 9814463</w:t>
      </w:r>
    </w:p>
    <w:p>
      <w:pPr>
        <w:numPr>
          <w:ilvl w:val="0"/>
          <w:numId w:val="1401"/>
        </w:numPr>
        <w:pStyle w:val="Compact"/>
      </w:pPr>
      <w:r>
        <w:t xml:space="preserve">1998 · Arvat E ·</w:t>
      </w:r>
      <w:r>
        <w:t xml:space="preserve"> </w:t>
      </w:r>
      <w:r>
        <w:rPr>
          <w:iCs/>
          <w:i/>
        </w:rPr>
        <w:t xml:space="preserve">Neuroendocrinology</w:t>
      </w:r>
      <w:r>
        <w:t xml:space="preserve"> </w:t>
      </w:r>
      <w:r>
        <w:t xml:space="preserve">· Effects of dexamethasone and alprazolam, a benzodiazepine, on the stimulatory effect of hexarelin, a synthetic GHRP, on ACTH, cortisol and GH secretion in humans. PMID 9641612</w:t>
      </w:r>
    </w:p>
    <w:p>
      <w:pPr>
        <w:numPr>
          <w:ilvl w:val="0"/>
          <w:numId w:val="1401"/>
        </w:numPr>
        <w:pStyle w:val="Compact"/>
      </w:pPr>
      <w:r>
        <w:t xml:space="preserve">1998 · Arosio M ·</w:t>
      </w:r>
      <w:r>
        <w:t xml:space="preserve"> </w:t>
      </w:r>
      <w:r>
        <w:rPr>
          <w:iCs/>
          <w:i/>
        </w:rPr>
        <w:t xml:space="preserve">J Endocrinol Invest</w:t>
      </w:r>
      <w:r>
        <w:t xml:space="preserve"> </w:t>
      </w:r>
      <w:r>
        <w:t xml:space="preserve">· Lack of effect of hexarelin on TRH-induced TSH response in normal adult man. PMID 9624598</w:t>
      </w:r>
    </w:p>
    <w:p>
      <w:pPr>
        <w:numPr>
          <w:ilvl w:val="0"/>
          <w:numId w:val="1401"/>
        </w:numPr>
        <w:pStyle w:val="Compact"/>
      </w:pPr>
      <w:r>
        <w:t xml:space="preserve">1998 · Rahim A ·</w:t>
      </w:r>
      <w:r>
        <w:t xml:space="preserve"> </w:t>
      </w:r>
      <w:r>
        <w:rPr>
          <w:iCs/>
          <w:i/>
        </w:rPr>
        <w:t xml:space="preserve">J Clin Endocrinol Metab</w:t>
      </w:r>
      <w:r>
        <w:t xml:space="preserve"> </w:t>
      </w:r>
      <w:r>
        <w:t xml:space="preserve">· Growth hormone status during long-term hexarelin therapy. PMID 9589671</w:t>
      </w:r>
    </w:p>
    <w:p>
      <w:pPr>
        <w:numPr>
          <w:ilvl w:val="0"/>
          <w:numId w:val="1401"/>
        </w:numPr>
        <w:pStyle w:val="Compact"/>
      </w:pPr>
      <w:r>
        <w:t xml:space="preserve">1998 · Rahim A ·</w:t>
      </w:r>
      <w:r>
        <w:t xml:space="preserve"> </w:t>
      </w:r>
      <w:r>
        <w:rPr>
          <w:iCs/>
          <w:i/>
        </w:rPr>
        <w:t xml:space="preserve">Growth Horm IGF Res</w:t>
      </w:r>
      <w:r>
        <w:t xml:space="preserve"> </w:t>
      </w:r>
      <w:r>
        <w:t xml:space="preserve">· Does desensitization to hexarelin occur?. PMID 10990150</w:t>
      </w:r>
    </w:p>
    <w:p>
      <w:pPr>
        <w:numPr>
          <w:ilvl w:val="0"/>
          <w:numId w:val="1401"/>
        </w:numPr>
        <w:pStyle w:val="Compact"/>
      </w:pPr>
      <w:r>
        <w:t xml:space="preserve">1998 · Guzzaloni G ·</w:t>
      </w:r>
      <w:r>
        <w:t xml:space="preserve"> </w:t>
      </w:r>
      <w:r>
        <w:rPr>
          <w:iCs/>
          <w:i/>
        </w:rPr>
        <w:t xml:space="preserve">Minerva Endocrinol</w:t>
      </w:r>
      <w:r>
        <w:t xml:space="preserve"> </w:t>
      </w:r>
      <w:r>
        <w:t xml:space="preserve">· Growth hormone response to hexarelin, growth hormone-releasing hormone plus pyridostigmine and arginine plus estrogen in prepubertal and early pubertal short children. PMID 10361807</w:t>
      </w:r>
    </w:p>
    <w:p>
      <w:pPr>
        <w:numPr>
          <w:ilvl w:val="0"/>
          <w:numId w:val="1401"/>
        </w:numPr>
        <w:pStyle w:val="Compact"/>
      </w:pPr>
      <w:r>
        <w:t xml:space="preserve">1997 · Arvat E ·</w:t>
      </w:r>
      <w:r>
        <w:t xml:space="preserve"> </w:t>
      </w:r>
      <w:r>
        <w:rPr>
          <w:iCs/>
          <w:i/>
        </w:rPr>
        <w:t xml:space="preserve">Neuroendocrinology</w:t>
      </w:r>
      <w:r>
        <w:t xml:space="preserve"> </w:t>
      </w:r>
      <w:r>
        <w:t xml:space="preserve">· Hexarelin, a synthetic growth-hormone releasing peptide, shows no interaction with corticotropin-releasing hormone and vasopressin on adrenocorticotropin and cortisol secretion in humans. PMID 9430449</w:t>
      </w:r>
    </w:p>
    <w:p>
      <w:pPr>
        <w:numPr>
          <w:ilvl w:val="0"/>
          <w:numId w:val="1401"/>
        </w:numPr>
        <w:pStyle w:val="Compact"/>
      </w:pPr>
      <w:r>
        <w:t xml:space="preserve">1997 · Massoud AF ·</w:t>
      </w:r>
      <w:r>
        <w:t xml:space="preserve"> </w:t>
      </w:r>
      <w:r>
        <w:rPr>
          <w:iCs/>
          <w:i/>
        </w:rPr>
        <w:t xml:space="preserve">Clin Endocrinol (Oxf)</w:t>
      </w:r>
      <w:r>
        <w:t xml:space="preserve"> </w:t>
      </w:r>
      <w:r>
        <w:t xml:space="preserve">· Interaction of the growth hormone releasing peptide hexarelin with somatostatin. PMID 9425393</w:t>
      </w:r>
    </w:p>
    <w:p>
      <w:pPr>
        <w:numPr>
          <w:ilvl w:val="0"/>
          <w:numId w:val="1401"/>
        </w:numPr>
        <w:pStyle w:val="Compact"/>
      </w:pPr>
      <w:r>
        <w:t xml:space="preserve">1997 · Arvat E ·</w:t>
      </w:r>
      <w:r>
        <w:t xml:space="preserve"> </w:t>
      </w:r>
      <w:r>
        <w:rPr>
          <w:iCs/>
          <w:i/>
        </w:rPr>
        <w:t xml:space="preserve">Clin Endocrinol (Oxf)</w:t>
      </w:r>
      <w:r>
        <w:t xml:space="preserve"> </w:t>
      </w:r>
      <w:r>
        <w:t xml:space="preserve">· Low hexarelin dose and pyridostigmine have additive effect and potentiate to the same extent the GHRH-induced GH response in man. PMID 9404449</w:t>
      </w:r>
    </w:p>
    <w:p>
      <w:pPr>
        <w:numPr>
          <w:ilvl w:val="0"/>
          <w:numId w:val="1401"/>
        </w:numPr>
        <w:pStyle w:val="Compact"/>
      </w:pPr>
      <w:r>
        <w:t xml:space="preserve">1997 · Tolis G ·</w:t>
      </w:r>
      <w:r>
        <w:t xml:space="preserve"> </w:t>
      </w:r>
      <w:r>
        <w:rPr>
          <w:iCs/>
          <w:i/>
        </w:rPr>
        <w:t xml:space="preserve">J Pediatr Endocrinol Metab</w:t>
      </w:r>
      <w:r>
        <w:t xml:space="preserve"> </w:t>
      </w:r>
      <w:r>
        <w:t xml:space="preserve">· Growth hormone release by the novel GH releasing peptide hexarelin in patients with homozygous beta-thalassemia. PMID 9364340</w:t>
      </w:r>
    </w:p>
    <w:p>
      <w:pPr>
        <w:numPr>
          <w:ilvl w:val="0"/>
          <w:numId w:val="1401"/>
        </w:numPr>
        <w:pStyle w:val="Compact"/>
      </w:pPr>
      <w:r>
        <w:t xml:space="preserve">1997 · Giusti M ·</w:t>
      </w:r>
      <w:r>
        <w:t xml:space="preserve"> </w:t>
      </w:r>
      <w:r>
        <w:rPr>
          <w:iCs/>
          <w:i/>
        </w:rPr>
        <w:t xml:space="preserve">J Endocrinol Invest</w:t>
      </w:r>
      <w:r>
        <w:t xml:space="preserve"> </w:t>
      </w:r>
      <w:r>
        <w:t xml:space="preserve">· Hexarelin is a stronger GH-releasing peptide than GHRH in normal cycling women but not in anorexia nervosa. PMID 9258804</w:t>
      </w:r>
    </w:p>
    <w:p>
      <w:pPr>
        <w:numPr>
          <w:ilvl w:val="0"/>
          <w:numId w:val="1401"/>
        </w:numPr>
        <w:pStyle w:val="Compact"/>
      </w:pPr>
      <w:r>
        <w:t xml:space="preserve">1997 · Sartorio A ·</w:t>
      </w:r>
      <w:r>
        <w:t xml:space="preserve"> </w:t>
      </w:r>
      <w:r>
        <w:rPr>
          <w:iCs/>
          <w:i/>
        </w:rPr>
        <w:t xml:space="preserve">Clin Endocrinol (Oxf)</w:t>
      </w:r>
      <w:r>
        <w:t xml:space="preserve"> </w:t>
      </w:r>
      <w:r>
        <w:t xml:space="preserve">· Non-parametric deconvolution provides an objective assessment of GH responsiveness to GH-releasing stimuli in normal subjects. PMID 9196598</w:t>
      </w:r>
    </w:p>
    <w:p>
      <w:pPr>
        <w:numPr>
          <w:ilvl w:val="0"/>
          <w:numId w:val="1401"/>
        </w:numPr>
        <w:pStyle w:val="Compact"/>
      </w:pPr>
      <w:r>
        <w:t xml:space="preserve">1997 · Arvat E ·</w:t>
      </w:r>
      <w:r>
        <w:t xml:space="preserve"> </w:t>
      </w:r>
      <w:r>
        <w:rPr>
          <w:iCs/>
          <w:i/>
        </w:rPr>
        <w:t xml:space="preserve">Eur J Endocrinol</w:t>
      </w:r>
      <w:r>
        <w:t xml:space="preserve"> </w:t>
      </w:r>
      <w:r>
        <w:t xml:space="preserve">· Oestrogen replacement does not restore the reduced GH-releasing activity of Hexarelin, a synthetic hexapeptide, in post-menopausal women. PMID 9186268</w:t>
      </w:r>
    </w:p>
    <w:p>
      <w:pPr>
        <w:numPr>
          <w:ilvl w:val="0"/>
          <w:numId w:val="1401"/>
        </w:numPr>
        <w:pStyle w:val="Compact"/>
      </w:pPr>
      <w:r>
        <w:t xml:space="preserve">1997 · Loche S ·</w:t>
      </w:r>
      <w:r>
        <w:t xml:space="preserve"> </w:t>
      </w:r>
      <w:r>
        <w:rPr>
          <w:iCs/>
          <w:i/>
        </w:rPr>
        <w:t xml:space="preserve">Clin Endocrinol (Oxf)</w:t>
      </w:r>
      <w:r>
        <w:t xml:space="preserve"> </w:t>
      </w:r>
      <w:r>
        <w:t xml:space="preserve">· Acute administration of hexarelin stimulates GH secretion during day and night in normal men. PMID 9156035</w:t>
      </w:r>
    </w:p>
    <w:p>
      <w:pPr>
        <w:numPr>
          <w:ilvl w:val="0"/>
          <w:numId w:val="1401"/>
        </w:numPr>
        <w:pStyle w:val="Compact"/>
      </w:pPr>
      <w:r>
        <w:t xml:space="preserve">1997 · Arvat E ·</w:t>
      </w:r>
      <w:r>
        <w:t xml:space="preserve"> </w:t>
      </w:r>
      <w:r>
        <w:rPr>
          <w:iCs/>
          <w:i/>
        </w:rPr>
        <w:t xml:space="preserve">Metabolism</w:t>
      </w:r>
      <w:r>
        <w:t xml:space="preserve"> </w:t>
      </w:r>
      <w:r>
        <w:t xml:space="preserve">· Mechanisms underlying the negative growth hormone (GH) autofeedback on the GH-releasing effect of hexarelin in man. PMID 9005975</w:t>
      </w:r>
    </w:p>
    <w:p>
      <w:pPr>
        <w:numPr>
          <w:ilvl w:val="0"/>
          <w:numId w:val="1401"/>
        </w:numPr>
        <w:pStyle w:val="Compact"/>
      </w:pPr>
      <w:r>
        <w:t xml:space="preserve">1996 · Micic D ·</w:t>
      </w:r>
      <w:r>
        <w:t xml:space="preserve"> </w:t>
      </w:r>
      <w:r>
        <w:rPr>
          <w:iCs/>
          <w:i/>
        </w:rPr>
        <w:t xml:space="preserve">Clin Endocrinol (Oxf)</w:t>
      </w:r>
      <w:r>
        <w:t xml:space="preserve"> </w:t>
      </w:r>
      <w:r>
        <w:t xml:space="preserve">· The sequential administration of growth hormone-releasing hormone followed 120 minutes later by hexarelin, as an effective test to assess the pituitary GH reserve in man. PMID 8977750</w:t>
      </w:r>
    </w:p>
    <w:p>
      <w:pPr>
        <w:numPr>
          <w:ilvl w:val="0"/>
          <w:numId w:val="1401"/>
        </w:numPr>
        <w:pStyle w:val="Compact"/>
      </w:pPr>
      <w:r>
        <w:t xml:space="preserve">1996 · Massoud AF ·</w:t>
      </w:r>
      <w:r>
        <w:t xml:space="preserve"> </w:t>
      </w:r>
      <w:r>
        <w:rPr>
          <w:iCs/>
          <w:i/>
        </w:rPr>
        <w:t xml:space="preserve">J Clin Endocrinol Metab</w:t>
      </w:r>
      <w:r>
        <w:t xml:space="preserve"> </w:t>
      </w:r>
      <w:r>
        <w:t xml:space="preserve">· Hexarelin-induced growth hormone, cortisol, and prolactin release: a dose-response study. PMID 8954038</w:t>
      </w:r>
    </w:p>
    <w:p>
      <w:pPr>
        <w:numPr>
          <w:ilvl w:val="0"/>
          <w:numId w:val="1401"/>
        </w:numPr>
        <w:pStyle w:val="Compact"/>
      </w:pPr>
      <w:r>
        <w:t xml:space="preserve">1996 · Ghigo E ·</w:t>
      </w:r>
      <w:r>
        <w:t xml:space="preserve"> </w:t>
      </w:r>
      <w:r>
        <w:rPr>
          <w:iCs/>
          <w:i/>
        </w:rPr>
        <w:t xml:space="preserve">Eur J Endocrinol</w:t>
      </w:r>
      <w:r>
        <w:t xml:space="preserve"> </w:t>
      </w:r>
      <w:r>
        <w:t xml:space="preserve">· Short-term administration of intranasal or oral Hexarelin, a synthetic hexapeptide, does not desensitize the growth hormone responsiveness in human aging. PMID 8921821</w:t>
      </w:r>
    </w:p>
    <w:p>
      <w:pPr>
        <w:numPr>
          <w:ilvl w:val="0"/>
          <w:numId w:val="1401"/>
        </w:numPr>
        <w:pStyle w:val="Compact"/>
      </w:pPr>
      <w:r>
        <w:t xml:space="preserve">1996 · Arvat E ·</w:t>
      </w:r>
      <w:r>
        <w:t xml:space="preserve"> </w:t>
      </w:r>
      <w:r>
        <w:rPr>
          <w:iCs/>
          <w:i/>
        </w:rPr>
        <w:t xml:space="preserve">J Endocrinol Invest</w:t>
      </w:r>
      <w:r>
        <w:t xml:space="preserve"> </w:t>
      </w:r>
      <w:r>
        <w:t xml:space="preserve">· Influence of beta-adrenergic agonists and antagonists on the GH-releasing effect of Hexarelin in man. PMID 8851688</w:t>
      </w:r>
    </w:p>
    <w:p>
      <w:pPr>
        <w:numPr>
          <w:ilvl w:val="0"/>
          <w:numId w:val="1401"/>
        </w:numPr>
        <w:pStyle w:val="Compact"/>
      </w:pPr>
      <w:r>
        <w:t xml:space="preserve">1996 · Klinger B ·</w:t>
      </w:r>
      <w:r>
        <w:t xml:space="preserve"> </w:t>
      </w:r>
      <w:r>
        <w:rPr>
          <w:iCs/>
          <w:i/>
        </w:rPr>
        <w:t xml:space="preserve">Eur J Endocrinol</w:t>
      </w:r>
      <w:r>
        <w:t xml:space="preserve"> </w:t>
      </w:r>
      <w:r>
        <w:t xml:space="preserve">· Desensitization from long-term intranasal treatment with hexarelin does not interfere with the biological effects of this growth hormone-releasing peptide in short children. PMID 8766941</w:t>
      </w:r>
    </w:p>
    <w:p>
      <w:pPr>
        <w:numPr>
          <w:ilvl w:val="0"/>
          <w:numId w:val="1401"/>
        </w:numPr>
        <w:pStyle w:val="Compact"/>
      </w:pPr>
      <w:r>
        <w:t xml:space="preserve">1996 · Massoud AF ·</w:t>
      </w:r>
      <w:r>
        <w:t xml:space="preserve"> </w:t>
      </w:r>
      <w:r>
        <w:rPr>
          <w:iCs/>
          <w:i/>
        </w:rPr>
        <w:t xml:space="preserve">Clin Endocrinol (Oxf)</w:t>
      </w:r>
      <w:r>
        <w:t xml:space="preserve"> </w:t>
      </w:r>
      <w:r>
        <w:t xml:space="preserve">· The effect of repeated administration of hexarelin, a growth hormone releasing peptide, and growth hormone releasing hormone on growth hormone responsivity. PMID 8762732</w:t>
      </w:r>
    </w:p>
    <w:p>
      <w:pPr>
        <w:numPr>
          <w:ilvl w:val="0"/>
          <w:numId w:val="1401"/>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1"/>
        </w:numPr>
        <w:pStyle w:val="Compact"/>
      </w:pPr>
      <w:r>
        <w:t xml:space="preserve">1995 · Sartorio A ·</w:t>
      </w:r>
      <w:r>
        <w:t xml:space="preserve"> </w:t>
      </w:r>
      <w:r>
        <w:rPr>
          <w:iCs/>
          <w:i/>
        </w:rPr>
        <w:t xml:space="preserve">J Endocrinol Invest</w:t>
      </w:r>
      <w:r>
        <w:t xml:space="preserve"> </w:t>
      </w:r>
      <w:r>
        <w:t xml:space="preserve">· GH responsiveness to repeated GHRH or hexarelin administration in normal adults. PMID 8719303</w:t>
      </w:r>
    </w:p>
    <w:p>
      <w:pPr>
        <w:numPr>
          <w:ilvl w:val="0"/>
          <w:numId w:val="1401"/>
        </w:numPr>
        <w:pStyle w:val="Compact"/>
      </w:pPr>
      <w:r>
        <w:t xml:space="preserve">1995 · Laron Z ·</w:t>
      </w:r>
      <w:r>
        <w:t xml:space="preserve"> </w:t>
      </w:r>
      <w:r>
        <w:rPr>
          <w:iCs/>
          <w:i/>
        </w:rPr>
        <w:t xml:space="preserve">Clin Endocrinol (Oxf)</w:t>
      </w:r>
      <w:r>
        <w:t xml:space="preserve"> </w:t>
      </w:r>
      <w:r>
        <w:t xml:space="preserve">· Intranasal administration of the GHRP hexarelin accelerates growth in short children. PMID 8548949</w:t>
      </w:r>
    </w:p>
    <w:p>
      <w:pPr>
        <w:numPr>
          <w:ilvl w:val="0"/>
          <w:numId w:val="1401"/>
        </w:numPr>
        <w:pStyle w:val="Compact"/>
      </w:pPr>
      <w:r>
        <w:t xml:space="preserve">1995 · Massoud AF ·</w:t>
      </w:r>
      <w:r>
        <w:t xml:space="preserve"> </w:t>
      </w:r>
      <w:r>
        <w:rPr>
          <w:iCs/>
          <w:i/>
        </w:rPr>
        <w:t xml:space="preserve">Clin Endocrinol (Oxf)</w:t>
      </w:r>
      <w:r>
        <w:t xml:space="preserve"> </w:t>
      </w:r>
      <w:r>
        <w:t xml:space="preserve">· Hexarelin induced growth hormone release is influenced by exogenous growth hormone. PMID 8548947</w:t>
      </w:r>
    </w:p>
    <w:p>
      <w:pPr>
        <w:numPr>
          <w:ilvl w:val="0"/>
          <w:numId w:val="1401"/>
        </w:numPr>
        <w:pStyle w:val="Compact"/>
      </w:pPr>
      <w:r>
        <w:t xml:space="preserve">1995 · Loche S ·</w:t>
      </w:r>
      <w:r>
        <w:t xml:space="preserve"> </w:t>
      </w:r>
      <w:r>
        <w:rPr>
          <w:iCs/>
          <w:i/>
        </w:rPr>
        <w:t xml:space="preserve">J Clin Endocrinol Metab</w:t>
      </w:r>
      <w:r>
        <w:t xml:space="preserve"> </w:t>
      </w:r>
      <w:r>
        <w:t xml:space="preserve">· The effect of hexarelin on growth hormone (GH) secretion in patients with GH deficiency. PMID 7673411</w:t>
      </w:r>
    </w:p>
    <w:p>
      <w:pPr>
        <w:numPr>
          <w:ilvl w:val="0"/>
          <w:numId w:val="1401"/>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1"/>
        </w:numPr>
        <w:pStyle w:val="Compact"/>
      </w:pPr>
      <w:r>
        <w:t xml:space="preserve">1995 · Frenkel J ·</w:t>
      </w:r>
      <w:r>
        <w:t xml:space="preserve"> </w:t>
      </w:r>
      <w:r>
        <w:rPr>
          <w:iCs/>
          <w:i/>
        </w:rPr>
        <w:t xml:space="preserve">J Pediatr Endocrinol Metab</w:t>
      </w:r>
      <w:r>
        <w:t xml:space="preserve"> </w:t>
      </w:r>
      <w:r>
        <w:t xml:space="preserve">· Short term effect of intranasal administration of hexarelin–a synthetic growth hormone-releasing peptide. Preliminary communication. PMID 7584696</w:t>
      </w:r>
    </w:p>
    <w:p>
      <w:pPr>
        <w:numPr>
          <w:ilvl w:val="0"/>
          <w:numId w:val="1401"/>
        </w:numPr>
        <w:pStyle w:val="Compact"/>
      </w:pPr>
      <w:r>
        <w:t xml:space="preserve">1995 · Giustina A ·</w:t>
      </w:r>
      <w:r>
        <w:t xml:space="preserve"> </w:t>
      </w:r>
      <w:r>
        <w:rPr>
          <w:iCs/>
          <w:i/>
        </w:rPr>
        <w:t xml:space="preserve">J Endocrinol</w:t>
      </w:r>
      <w:r>
        <w:t xml:space="preserve"> </w:t>
      </w:r>
      <w:r>
        <w:t xml:space="preserve">· Comparison of the effects of growth hormone-releasing hormone and hexarelin, a novel growth hormone-releasing peptide-6 analog, on growth hormone secretion in humans with or without glucocorticoid excess. PMID 7561633</w:t>
      </w:r>
    </w:p>
    <w:p>
      <w:pPr>
        <w:numPr>
          <w:ilvl w:val="0"/>
          <w:numId w:val="1401"/>
        </w:numPr>
        <w:pStyle w:val="Compact"/>
      </w:pPr>
      <w:r>
        <w:t xml:space="preserve">1994 · Arvat E ·</w:t>
      </w:r>
      <w:r>
        <w:t xml:space="preserve"> </w:t>
      </w:r>
      <w:r>
        <w:rPr>
          <w:iCs/>
          <w:i/>
        </w:rPr>
        <w:t xml:space="preserve">J Clin Endocrinol Metab</w:t>
      </w:r>
      <w:r>
        <w:t xml:space="preserve"> </w:t>
      </w:r>
      <w:r>
        <w:t xml:space="preserve">· Arginine and growth hormone-releasing hormone restore the blunted growth hormone-releasing activity of hexarelin in elderly subjects. PMID 7962341</w:t>
      </w:r>
    </w:p>
    <w:p>
      <w:pPr>
        <w:numPr>
          <w:ilvl w:val="0"/>
          <w:numId w:val="1401"/>
        </w:numPr>
        <w:pStyle w:val="Compact"/>
      </w:pPr>
      <w:r>
        <w:t xml:space="preserve">1994 · Imbimbo BP ·</w:t>
      </w:r>
      <w:r>
        <w:t xml:space="preserve"> </w:t>
      </w:r>
      <w:r>
        <w:rPr>
          <w:iCs/>
          <w:i/>
        </w:rPr>
        <w:t xml:space="preserve">Eur J Clin Pharmacol</w:t>
      </w:r>
      <w:r>
        <w:t xml:space="preserve"> </w:t>
      </w:r>
      <w:r>
        <w:t xml:space="preserve">· Growth hormone-releasing activity of hexarelin in humans. A dose-response study. PMID 7957536</w:t>
      </w:r>
    </w:p>
    <w:bookmarkEnd w:id="1145"/>
    <w:bookmarkStart w:id="1146" w:name="macimorelina-4"/>
    <w:p>
      <w:pPr>
        <w:pStyle w:val="Heading2"/>
      </w:pPr>
      <w:r>
        <w:t xml:space="preserve">Macimorelina (4)</w:t>
      </w:r>
    </w:p>
    <w:p>
      <w:pPr>
        <w:numPr>
          <w:ilvl w:val="0"/>
          <w:numId w:val="1402"/>
        </w:numPr>
        <w:pStyle w:val="Compact"/>
      </w:pPr>
      <w:r>
        <w:t xml:space="preserve">2023 · Herodes M ·</w:t>
      </w:r>
      <w:r>
        <w:t xml:space="preserve"> </w:t>
      </w:r>
      <w:r>
        <w:rPr>
          <w:iCs/>
          <w:i/>
        </w:rPr>
        <w:t xml:space="preserve">J Cachexia Sarcopenia Muscle</w:t>
      </w:r>
      <w:r>
        <w:t xml:space="preserve"> </w:t>
      </w:r>
      <w:r>
        <w:t xml:space="preserve">· Pilot clinical trial of macimorelin to assess safety and efficacy in patients with cancer cachexia. PMID 36860137</w:t>
      </w:r>
    </w:p>
    <w:p>
      <w:pPr>
        <w:numPr>
          <w:ilvl w:val="0"/>
          <w:numId w:val="1402"/>
        </w:numPr>
        <w:pStyle w:val="Compact"/>
      </w:pPr>
      <w:r>
        <w:t xml:space="preserve">2021 · Lissy M ·</w:t>
      </w:r>
      <w:r>
        <w:t xml:space="preserve"> </w:t>
      </w:r>
      <w:r>
        <w:rPr>
          <w:iCs/>
          <w:i/>
        </w:rPr>
        <w:t xml:space="preserve">Clin Pharmacol Drug Dev</w:t>
      </w:r>
      <w:r>
        <w:t xml:space="preserve"> </w:t>
      </w:r>
      <w:r>
        <w:t xml:space="preserve">· Thorough QT/QTc Study Evaluating the Effect of Macimorelin on Cardiac Safety Parameters in Healthy Participants. PMID 32961034</w:t>
      </w:r>
    </w:p>
    <w:p>
      <w:pPr>
        <w:numPr>
          <w:ilvl w:val="0"/>
          <w:numId w:val="1402"/>
        </w:numPr>
        <w:pStyle w:val="Compact"/>
      </w:pPr>
      <w:r>
        <w:t xml:space="preserve">2020 · Klaus B ·</w:t>
      </w:r>
      <w:r>
        <w:t xml:space="preserve"> </w:t>
      </w:r>
      <w:r>
        <w:rPr>
          <w:iCs/>
          <w:i/>
        </w:rPr>
        <w:t xml:space="preserve">Growth Horm IGF Res</w:t>
      </w:r>
      <w:r>
        <w:t xml:space="preserve"> </w:t>
      </w:r>
      <w:r>
        <w:t xml:space="preserve">· Safety, tolerability, pharmacokinetics, and pharmacodynamics of macimorelin in healthy adults: Results of a single-dose, randomized controlled study. PMID 32325373</w:t>
      </w:r>
    </w:p>
    <w:p>
      <w:pPr>
        <w:numPr>
          <w:ilvl w:val="0"/>
          <w:numId w:val="1402"/>
        </w:numPr>
        <w:pStyle w:val="Compact"/>
      </w:pPr>
      <w:r>
        <w:t xml:space="preserve">2018 · Garcia JM ·</w:t>
      </w:r>
      <w:r>
        <w:t xml:space="preserve"> </w:t>
      </w:r>
      <w:r>
        <w:rPr>
          <w:iCs/>
          <w:i/>
        </w:rPr>
        <w:t xml:space="preserve">J Clin Endocrinol Metab</w:t>
      </w:r>
      <w:r>
        <w:t xml:space="preserve"> </w:t>
      </w:r>
      <w:r>
        <w:t xml:space="preserve">· Macimorelin as a Diagnostic Test for Adult GH Deficiency. PMID 29860473</w:t>
      </w:r>
    </w:p>
    <w:bookmarkEnd w:id="1146"/>
    <w:bookmarkStart w:id="1147" w:name="mecasermina-igf-1-21"/>
    <w:p>
      <w:pPr>
        <w:pStyle w:val="Heading2"/>
      </w:pPr>
      <w:r>
        <w:t xml:space="preserve">Mecasermina (IGF-1) (21)</w:t>
      </w:r>
    </w:p>
    <w:p>
      <w:pPr>
        <w:numPr>
          <w:ilvl w:val="0"/>
          <w:numId w:val="1403"/>
        </w:numPr>
        <w:pStyle w:val="Compact"/>
      </w:pPr>
      <w:r>
        <w:t xml:space="preserve">2021 · Haines MS ·</w:t>
      </w:r>
      <w:r>
        <w:t xml:space="preserve"> </w:t>
      </w:r>
      <w:r>
        <w:rPr>
          <w:iCs/>
          <w:i/>
        </w:rPr>
        <w:t xml:space="preserve">J Bone Miner Res</w:t>
      </w:r>
      <w:r>
        <w:t xml:space="preserve"> </w:t>
      </w:r>
      <w:r>
        <w:t xml:space="preserve">· Sequential Therapy With Recombinant Human IGF-1 Followed by Risedronate Increases Spine Bone Mineral Density in Women With Anorexia Nervosa: A Randomized, Placebo-Controlled Trial. PMID 34355814</w:t>
      </w:r>
    </w:p>
    <w:p>
      <w:pPr>
        <w:numPr>
          <w:ilvl w:val="0"/>
          <w:numId w:val="1403"/>
        </w:numPr>
        <w:pStyle w:val="Compact"/>
      </w:pPr>
      <w:r>
        <w:t xml:space="preserve">2021 · Singhal V ·</w:t>
      </w:r>
      <w:r>
        <w:t xml:space="preserve"> </w:t>
      </w:r>
      <w:r>
        <w:rPr>
          <w:iCs/>
          <w:i/>
        </w:rPr>
        <w:t xml:space="preserve">J Clin Endocrinol Metab</w:t>
      </w:r>
      <w:r>
        <w:t xml:space="preserve"> </w:t>
      </w:r>
      <w:r>
        <w:t xml:space="preserve">· Effect of Transdermal Estradiol and Insulin-like Growth Factor-1 on Bone Endpoints of Young Women With Anorexia Nervosa. PMID 33693703</w:t>
      </w:r>
    </w:p>
    <w:p>
      <w:pPr>
        <w:numPr>
          <w:ilvl w:val="0"/>
          <w:numId w:val="1403"/>
        </w:numPr>
        <w:pStyle w:val="Compact"/>
      </w:pPr>
      <w:r>
        <w:t xml:space="preserve">2021 · Guha N ·</w:t>
      </w:r>
      <w:r>
        <w:t xml:space="preserve"> </w:t>
      </w:r>
      <w:r>
        <w:rPr>
          <w:iCs/>
          <w:i/>
        </w:rPr>
        <w:t xml:space="preserve">Clin Endocrinol (Oxf)</w:t>
      </w:r>
      <w:r>
        <w:t xml:space="preserve"> </w:t>
      </w:r>
      <w:r>
        <w:t xml:space="preserve">· The effects of recombinant human insulin-like growth factor-1/insulin-like growth factor binding protein-3 administration on lipid and carbohydrate metabolism in recreational athletes. PMID 33249593</w:t>
      </w:r>
    </w:p>
    <w:p>
      <w:pPr>
        <w:numPr>
          <w:ilvl w:val="0"/>
          <w:numId w:val="1403"/>
        </w:numPr>
        <w:pStyle w:val="Compact"/>
      </w:pPr>
      <w:r>
        <w:t xml:space="preserve">2020 · Rutter MM ·</w:t>
      </w:r>
      <w:r>
        <w:t xml:space="preserve"> </w:t>
      </w:r>
      <w:r>
        <w:rPr>
          <w:iCs/>
          <w:i/>
        </w:rPr>
        <w:t xml:space="preserve">Muscle Nerve</w:t>
      </w:r>
      <w:r>
        <w:t xml:space="preserve"> </w:t>
      </w:r>
      <w:r>
        <w:t xml:space="preserve">· Recombinant human insulin-like growth factor-1 therapy for 6 months improves growth but not motor function in boys with Duchenne muscular dystrophy. PMID 32108355</w:t>
      </w:r>
    </w:p>
    <w:p>
      <w:pPr>
        <w:numPr>
          <w:ilvl w:val="0"/>
          <w:numId w:val="1403"/>
        </w:numPr>
        <w:pStyle w:val="Compact"/>
      </w:pPr>
      <w:r>
        <w:t xml:space="preserve">2019 · Ley D ·</w:t>
      </w:r>
      <w:r>
        <w:t xml:space="preserve"> </w:t>
      </w:r>
      <w:r>
        <w:rPr>
          <w:iCs/>
          <w:i/>
        </w:rPr>
        <w:t xml:space="preserve">J Pediatr</w:t>
      </w:r>
      <w:r>
        <w:t xml:space="preserve"> </w:t>
      </w:r>
      <w:r>
        <w:t xml:space="preserve">· rhIGF-1/rhIGFBP-3 in Preterm Infants: A Phase 2 Randomized Controlled Trial. PMID 30471715</w:t>
      </w:r>
    </w:p>
    <w:p>
      <w:pPr>
        <w:numPr>
          <w:ilvl w:val="0"/>
          <w:numId w:val="1403"/>
        </w:numPr>
        <w:pStyle w:val="Compact"/>
      </w:pPr>
      <w:r>
        <w:t xml:space="preserve">2017 · Cabrera-Salcedo C ·</w:t>
      </w:r>
      <w:r>
        <w:t xml:space="preserve"> </w:t>
      </w:r>
      <w:r>
        <w:rPr>
          <w:iCs/>
          <w:i/>
        </w:rPr>
        <w:t xml:space="preserve">J Clin Endocrinol Metab</w:t>
      </w:r>
      <w:r>
        <w:t xml:space="preserve"> </w:t>
      </w:r>
      <w:r>
        <w:t xml:space="preserve">· Pharmacokinetics of IGF-1 in PAPP-A2-Deficient Patients, Growth Response, and Effects on Glucose and Bone Density. PMID 29029190</w:t>
      </w:r>
    </w:p>
    <w:p>
      <w:pPr>
        <w:numPr>
          <w:ilvl w:val="0"/>
          <w:numId w:val="1403"/>
        </w:numPr>
        <w:pStyle w:val="Compact"/>
      </w:pPr>
      <w:r>
        <w:t xml:space="preserve">2017 · Hansen-Pupp I ·</w:t>
      </w:r>
      <w:r>
        <w:t xml:space="preserve"> </w:t>
      </w:r>
      <w:r>
        <w:rPr>
          <w:iCs/>
          <w:i/>
        </w:rPr>
        <w:t xml:space="preserve">Growth Horm IGF Res</w:t>
      </w:r>
      <w:r>
        <w:t xml:space="preserve"> </w:t>
      </w:r>
      <w:r>
        <w:t xml:space="preserve">· Continuous longitudinal infusion of rhIGF-1/rhIGFBP-3 in extremely preterm infants: Evaluation of feasibility in a phase II study. PMID 28934640</w:t>
      </w:r>
    </w:p>
    <w:p>
      <w:pPr>
        <w:numPr>
          <w:ilvl w:val="0"/>
          <w:numId w:val="1403"/>
        </w:numPr>
        <w:pStyle w:val="Compact"/>
      </w:pPr>
      <w:r>
        <w:t xml:space="preserve">2017 · Dy ME ·</w:t>
      </w:r>
      <w:r>
        <w:t xml:space="preserve"> </w:t>
      </w:r>
      <w:r>
        <w:rPr>
          <w:iCs/>
          <w:i/>
        </w:rPr>
        <w:t xml:space="preserve">Pediatr Neurol</w:t>
      </w:r>
      <w:r>
        <w:t xml:space="preserve"> </w:t>
      </w:r>
      <w:r>
        <w:t xml:space="preserve">· Defining Hand Stereotypies in Rett Syndrome: A Movement Disorders Perspective. PMID 28838622</w:t>
      </w:r>
    </w:p>
    <w:p>
      <w:pPr>
        <w:numPr>
          <w:ilvl w:val="0"/>
          <w:numId w:val="1403"/>
        </w:numPr>
        <w:pStyle w:val="Compact"/>
      </w:pPr>
      <w:r>
        <w:t xml:space="preserve">2017 · Chung JK ·</w:t>
      </w:r>
      <w:r>
        <w:t xml:space="preserve"> </w:t>
      </w:r>
      <w:r>
        <w:rPr>
          <w:iCs/>
          <w:i/>
        </w:rPr>
        <w:t xml:space="preserve">Pediatr Res</w:t>
      </w:r>
      <w:r>
        <w:t xml:space="preserve"> </w:t>
      </w:r>
      <w:r>
        <w:t xml:space="preserve">· Development and verification of a pharmacokinetic model to optimize physiologic replacement of rhIGF-1/rhIGFBP-3 in preterm infants. PMID 27870826</w:t>
      </w:r>
    </w:p>
    <w:p>
      <w:pPr>
        <w:numPr>
          <w:ilvl w:val="0"/>
          <w:numId w:val="1403"/>
        </w:numPr>
        <w:pStyle w:val="Compact"/>
      </w:pPr>
      <w:r>
        <w:t xml:space="preserve">2015 · Backeljauw PF ·</w:t>
      </w:r>
      <w:r>
        <w:t xml:space="preserve"> </w:t>
      </w:r>
      <w:r>
        <w:rPr>
          <w:iCs/>
          <w:i/>
        </w:rPr>
        <w:t xml:space="preserve">Horm Res Paediatr</w:t>
      </w:r>
      <w:r>
        <w:t xml:space="preserve"> </w:t>
      </w:r>
      <w:r>
        <w:t xml:space="preserve">· Recombinant human growth hormone plus recombinant human insulin-like growth factor-1 coadministration therapy in short children with low insulin-like growth factor-1 and growth hormone sufficiency: results from a randomized, multicenter, open-label, parallel-group, active treatment-controlled trial. PMID 25765099</w:t>
      </w:r>
    </w:p>
    <w:p>
      <w:pPr>
        <w:numPr>
          <w:ilvl w:val="0"/>
          <w:numId w:val="1403"/>
        </w:numPr>
        <w:pStyle w:val="Compact"/>
      </w:pPr>
      <w:r>
        <w:t xml:space="preserve">2011 · Heatwole CR ·</w:t>
      </w:r>
      <w:r>
        <w:t xml:space="preserve"> </w:t>
      </w:r>
      <w:r>
        <w:rPr>
          <w:iCs/>
          <w:i/>
        </w:rPr>
        <w:t xml:space="preserve">Arch Neurol</w:t>
      </w:r>
      <w:r>
        <w:t xml:space="preserve"> </w:t>
      </w:r>
      <w:r>
        <w:t xml:space="preserve">· Open-label trial of recombinant human insulin-like growth factor 1/recombinant human insulin-like growth factor binding protein 3 in myotonic dystrophy type 1. PMID 20837825</w:t>
      </w:r>
    </w:p>
    <w:p>
      <w:pPr>
        <w:numPr>
          <w:ilvl w:val="0"/>
          <w:numId w:val="1403"/>
        </w:numPr>
        <w:pStyle w:val="Compact"/>
      </w:pPr>
      <w:r>
        <w:t xml:space="preserve">2003 · Hladunewich MA ·</w:t>
      </w:r>
      <w:r>
        <w:t xml:space="preserve"> </w:t>
      </w:r>
      <w:r>
        <w:rPr>
          <w:iCs/>
          <w:i/>
        </w:rPr>
        <w:t xml:space="preserve">Kidney Int</w:t>
      </w:r>
      <w:r>
        <w:t xml:space="preserve"> </w:t>
      </w:r>
      <w:r>
        <w:t xml:space="preserve">· A randomized, placebo-controlled trial of IGF-1 for delayed graft function: a human model to study postischemic ARF. PMID 12846755</w:t>
      </w:r>
    </w:p>
    <w:p>
      <w:pPr>
        <w:numPr>
          <w:ilvl w:val="0"/>
          <w:numId w:val="1403"/>
        </w:numPr>
        <w:pStyle w:val="Compact"/>
      </w:pPr>
      <w:r>
        <w:t xml:space="preserve">2002 · Frank JA ·</w:t>
      </w:r>
      <w:r>
        <w:t xml:space="preserve"> </w:t>
      </w:r>
      <w:r>
        <w:rPr>
          <w:iCs/>
          <w:i/>
        </w:rPr>
        <w:t xml:space="preserve">Mult Scler</w:t>
      </w:r>
      <w:r>
        <w:t xml:space="preserve"> </w:t>
      </w:r>
      <w:r>
        <w:t xml:space="preserve">· A pilot study of recombinant insulin-like growth factor-1 in seven multiple sderosis patients. PMID 11936485</w:t>
      </w:r>
    </w:p>
    <w:p>
      <w:pPr>
        <w:numPr>
          <w:ilvl w:val="0"/>
          <w:numId w:val="1403"/>
        </w:numPr>
        <w:pStyle w:val="Compact"/>
      </w:pPr>
      <w:r>
        <w:t xml:space="preserve">2000 · Fouque D ·</w:t>
      </w:r>
      <w:r>
        <w:t xml:space="preserve"> </w:t>
      </w:r>
      <w:r>
        <w:rPr>
          <w:iCs/>
          <w:i/>
        </w:rPr>
        <w:t xml:space="preserve">Kidney Int</w:t>
      </w:r>
      <w:r>
        <w:t xml:space="preserve"> </w:t>
      </w:r>
      <w:r>
        <w:t xml:space="preserve">· Recombinant human insulin-like growth factor-1 induces an anabolic response in malnourished CAPD patients. PMID 10652043</w:t>
      </w:r>
    </w:p>
    <w:p>
      <w:pPr>
        <w:numPr>
          <w:ilvl w:val="0"/>
          <w:numId w:val="1403"/>
        </w:numPr>
        <w:pStyle w:val="Compact"/>
      </w:pPr>
      <w:r>
        <w:t xml:space="preserve">1999 · Rockich KT ·</w:t>
      </w:r>
      <w:r>
        <w:t xml:space="preserve"> </w:t>
      </w:r>
      <w:r>
        <w:rPr>
          <w:iCs/>
          <w:i/>
        </w:rPr>
        <w:t xml:space="preserve">Pharmacotherapy</w:t>
      </w:r>
      <w:r>
        <w:t xml:space="preserve"> </w:t>
      </w:r>
      <w:r>
        <w:t xml:space="preserve">· Effect of recombinant human growth hormone and insulin-like growth factor-1 administration on IGF-1 and IGF-binding protein-3 levels in brain injury. PMID 10600092</w:t>
      </w:r>
    </w:p>
    <w:p>
      <w:pPr>
        <w:numPr>
          <w:ilvl w:val="0"/>
          <w:numId w:val="1403"/>
        </w:numPr>
        <w:pStyle w:val="Compact"/>
      </w:pPr>
      <w:r>
        <w:t xml:space="preserve">1998 · Fouque D ·</w:t>
      </w:r>
      <w:r>
        <w:t xml:space="preserve"> </w:t>
      </w:r>
      <w:r>
        <w:rPr>
          <w:iCs/>
          <w:i/>
        </w:rPr>
        <w:t xml:space="preserve">Kidney Int</w:t>
      </w:r>
      <w:r>
        <w:t xml:space="preserve"> </w:t>
      </w:r>
      <w:r>
        <w:t xml:space="preserve">· Acute leptin regulation in end-stage renal failure: the role of growth hormone and IGF-1. PMID 9734619</w:t>
      </w:r>
    </w:p>
    <w:p>
      <w:pPr>
        <w:numPr>
          <w:ilvl w:val="0"/>
          <w:numId w:val="1403"/>
        </w:numPr>
        <w:pStyle w:val="Compact"/>
      </w:pPr>
      <w:r>
        <w:t xml:space="preserve">1998 · Nguyen BY ·</w:t>
      </w:r>
      <w:r>
        <w:t xml:space="preserve"> </w:t>
      </w:r>
      <w:r>
        <w:rPr>
          <w:iCs/>
          <w:i/>
        </w:rPr>
        <w:t xml:space="preserve">AIDS</w:t>
      </w:r>
      <w:r>
        <w:t xml:space="preserve"> </w:t>
      </w:r>
      <w:r>
        <w:t xml:space="preserve">· Pilot study of the immunologic effects of recombinant human growth hormone and recombinant insulin-like growth factor in HIV-infected patients. PMID 9631143</w:t>
      </w:r>
    </w:p>
    <w:p>
      <w:pPr>
        <w:numPr>
          <w:ilvl w:val="0"/>
          <w:numId w:val="1403"/>
        </w:numPr>
        <w:pStyle w:val="Compact"/>
      </w:pPr>
      <w:r>
        <w:t xml:space="preserve">1998 · Tabakian A ·</w:t>
      </w:r>
      <w:r>
        <w:t xml:space="preserve"> </w:t>
      </w:r>
      <w:r>
        <w:rPr>
          <w:iCs/>
          <w:i/>
        </w:rPr>
        <w:t xml:space="preserve">Miner Electrolyte Metab</w:t>
      </w:r>
      <w:r>
        <w:t xml:space="preserve"> </w:t>
      </w:r>
      <w:r>
        <w:t xml:space="preserve">· Effects of recombinant growth factors on energy expenditure in maintenance hemodialysis patients. PMID 9554567</w:t>
      </w:r>
    </w:p>
    <w:p>
      <w:pPr>
        <w:numPr>
          <w:ilvl w:val="0"/>
          <w:numId w:val="1403"/>
        </w:numPr>
        <w:pStyle w:val="Compact"/>
      </w:pPr>
      <w:r>
        <w:t xml:space="preserve">1996 · Waters D ·</w:t>
      </w:r>
      <w:r>
        <w:t xml:space="preserve"> </w:t>
      </w:r>
      <w:r>
        <w:rPr>
          <w:iCs/>
          <w:i/>
        </w:rPr>
        <w:t xml:space="preserve">Ann Intern Med</w:t>
      </w:r>
      <w:r>
        <w:t xml:space="preserve"> </w:t>
      </w:r>
      <w:r>
        <w:t xml:space="preserve">· Recombinant human growth hormone, insulin-like growth factor 1, and combination therapy in AIDS-associated wasting. A randomized, double-blind, placebo-controlled trial. PMID 8967666</w:t>
      </w:r>
    </w:p>
    <w:p>
      <w:pPr>
        <w:numPr>
          <w:ilvl w:val="0"/>
          <w:numId w:val="1403"/>
        </w:numPr>
        <w:pStyle w:val="Compact"/>
      </w:pPr>
      <w:r>
        <w:t xml:space="preserve">1995 · Fouque D ·</w:t>
      </w:r>
      <w:r>
        <w:t xml:space="preserve"> </w:t>
      </w:r>
      <w:r>
        <w:rPr>
          <w:iCs/>
          <w:i/>
        </w:rPr>
        <w:t xml:space="preserve">Kidney Int</w:t>
      </w:r>
      <w:r>
        <w:t xml:space="preserve"> </w:t>
      </w:r>
      <w:r>
        <w:t xml:space="preserve">· Impaired metabolic response to recombinant insulin-like growth factor-1 in dialysis patients. PMID 7752587</w:t>
      </w:r>
    </w:p>
    <w:p>
      <w:pPr>
        <w:numPr>
          <w:ilvl w:val="0"/>
          <w:numId w:val="1403"/>
        </w:numPr>
        <w:pStyle w:val="Compact"/>
      </w:pPr>
      <w:r>
        <w:t xml:space="preserve">1995 · Fouque D ·</w:t>
      </w:r>
      <w:r>
        <w:t xml:space="preserve"> </w:t>
      </w:r>
      <w:r>
        <w:rPr>
          <w:iCs/>
          <w:i/>
        </w:rPr>
        <w:t xml:space="preserve">Kidney Int</w:t>
      </w:r>
      <w:r>
        <w:t xml:space="preserve"> </w:t>
      </w:r>
      <w:r>
        <w:t xml:space="preserve">· Pharmacokinetics of recombinant human insulin-like growth factor-1 in dialysis patients. PMID 7752586</w:t>
      </w:r>
    </w:p>
    <w:bookmarkEnd w:id="1147"/>
    <w:bookmarkStart w:id="1148" w:name="igf-1-lr3-0"/>
    <w:p>
      <w:pPr>
        <w:pStyle w:val="Heading2"/>
      </w:pPr>
      <w:r>
        <w:t xml:space="preserve">IGF-1 LR3 (0)</w:t>
      </w:r>
    </w:p>
    <w:p>
      <w:pPr>
        <w:pStyle w:val="FirstParagraph"/>
      </w:pPr>
      <w:r>
        <w:t xml:space="preserve">No se encontraron publicaciones de estudios clínicos en humanos.</w:t>
      </w:r>
    </w:p>
    <w:bookmarkEnd w:id="1148"/>
    <w:bookmarkStart w:id="1149" w:name="ibutamoreno-mk-677-19"/>
    <w:p>
      <w:pPr>
        <w:pStyle w:val="Heading2"/>
      </w:pPr>
      <w:r>
        <w:t xml:space="preserve">Ibutamoreno (MK-677) (19)</w:t>
      </w:r>
    </w:p>
    <w:p>
      <w:pPr>
        <w:numPr>
          <w:ilvl w:val="0"/>
          <w:numId w:val="1404"/>
        </w:numPr>
        <w:pStyle w:val="Compact"/>
      </w:pPr>
      <w:r>
        <w:t xml:space="preserve">2018 · Campbell GA ·</w:t>
      </w:r>
      <w:r>
        <w:t xml:space="preserve"> </w:t>
      </w:r>
      <w:r>
        <w:rPr>
          <w:iCs/>
          <w:i/>
        </w:rPr>
        <w:t xml:space="preserve">Nephrol Dial Transplant</w:t>
      </w:r>
      <w:r>
        <w:t xml:space="preserve"> </w:t>
      </w:r>
      <w:r>
        <w:t xml:space="preserve">· Oral ghrelin receptor agonist MK-0677 increases serum insulin-like growth factor 1 in hemodialysis patients: a randomized blinded study. PMID 28340044</w:t>
      </w:r>
    </w:p>
    <w:p>
      <w:pPr>
        <w:numPr>
          <w:ilvl w:val="0"/>
          <w:numId w:val="1404"/>
        </w:numPr>
        <w:pStyle w:val="Compact"/>
      </w:pPr>
      <w:r>
        <w:t xml:space="preserve">2011 · Adunsky A ·</w:t>
      </w:r>
      <w:r>
        <w:t xml:space="preserve"> </w:t>
      </w:r>
      <w:r>
        <w:rPr>
          <w:iCs/>
          <w:i/>
        </w:rPr>
        <w:t xml:space="preserve">Arch Gerontol Geriatr</w:t>
      </w:r>
      <w:r>
        <w:t xml:space="preserve"> </w:t>
      </w:r>
      <w:r>
        <w:t xml:space="preserve">· MK-0677 (ibutamoren mesylate) for the treatment of patients recovering from hip fracture: a multicenter, randomized, placebo-controlled phase IIb study. PMID 21067829</w:t>
      </w:r>
    </w:p>
    <w:p>
      <w:pPr>
        <w:numPr>
          <w:ilvl w:val="0"/>
          <w:numId w:val="1404"/>
        </w:numPr>
        <w:pStyle w:val="Compact"/>
      </w:pPr>
      <w:r>
        <w:t xml:space="preserve">2008 · Sevigny JJ ·</w:t>
      </w:r>
      <w:r>
        <w:t xml:space="preserve"> </w:t>
      </w:r>
      <w:r>
        <w:rPr>
          <w:iCs/>
          <w:i/>
        </w:rPr>
        <w:t xml:space="preserve">Neurology</w:t>
      </w:r>
      <w:r>
        <w:t xml:space="preserve"> </w:t>
      </w:r>
      <w:r>
        <w:t xml:space="preserve">· Growth hormone secretagogue MK-677: no clinical effect on AD progression in a randomized trial. PMID 19015485</w:t>
      </w:r>
    </w:p>
    <w:p>
      <w:pPr>
        <w:numPr>
          <w:ilvl w:val="0"/>
          <w:numId w:val="1404"/>
        </w:numPr>
        <w:pStyle w:val="Compact"/>
      </w:pPr>
      <w:r>
        <w:t xml:space="preserve">2008 · Nass R ·</w:t>
      </w:r>
      <w:r>
        <w:t xml:space="preserve"> </w:t>
      </w:r>
      <w:r>
        <w:rPr>
          <w:iCs/>
          <w:i/>
        </w:rPr>
        <w:t xml:space="preserve">Ann Intern Med</w:t>
      </w:r>
      <w:r>
        <w:t xml:space="preserve"> </w:t>
      </w:r>
      <w:r>
        <w:t xml:space="preserve">· Effects of an oral ghrelin mimetic on body composition and clinical outcomes in healthy older adults: a randomized trial. PMID 18981485</w:t>
      </w:r>
    </w:p>
    <w:p>
      <w:pPr>
        <w:numPr>
          <w:ilvl w:val="0"/>
          <w:numId w:val="1404"/>
        </w:numPr>
        <w:pStyle w:val="Compact"/>
      </w:pPr>
      <w:r>
        <w:t xml:space="preserve">2004 · Bach MA ·</w:t>
      </w:r>
      <w:r>
        <w:t xml:space="preserve"> </w:t>
      </w:r>
      <w:r>
        <w:rPr>
          <w:iCs/>
          <w:i/>
        </w:rPr>
        <w:t xml:space="preserve">J Am Geriatr Soc</w:t>
      </w:r>
      <w:r>
        <w:t xml:space="preserve"> </w:t>
      </w:r>
      <w:r>
        <w:t xml:space="preserve">· The effects of MK-0677, an oral growth hormone secretagogue, in patients with hip fracture. PMID 15066065</w:t>
      </w:r>
    </w:p>
    <w:p>
      <w:pPr>
        <w:numPr>
          <w:ilvl w:val="0"/>
          <w:numId w:val="1404"/>
        </w:numPr>
        <w:pStyle w:val="Compact"/>
      </w:pPr>
      <w:r>
        <w:t xml:space="preserve">2003 · Svensson J ·</w:t>
      </w:r>
      <w:r>
        <w:t xml:space="preserve"> </w:t>
      </w:r>
      <w:r>
        <w:rPr>
          <w:iCs/>
          <w:i/>
        </w:rPr>
        <w:t xml:space="preserve">Growth Horm IGF Res</w:t>
      </w:r>
      <w:r>
        <w:t xml:space="preserve"> </w:t>
      </w:r>
      <w:r>
        <w:t xml:space="preserve">· The effect of treatment with the oral growth hormone (GH) secretagogue MK-677 on GH isoforms. PMID 12550076</w:t>
      </w:r>
    </w:p>
    <w:p>
      <w:pPr>
        <w:numPr>
          <w:ilvl w:val="0"/>
          <w:numId w:val="1404"/>
        </w:numPr>
        <w:pStyle w:val="Compact"/>
      </w:pPr>
      <w:r>
        <w:t xml:space="preserve">2001 · Codner E ·</w:t>
      </w:r>
      <w:r>
        <w:t xml:space="preserve"> </w:t>
      </w:r>
      <w:r>
        <w:rPr>
          <w:iCs/>
          <w:i/>
        </w:rPr>
        <w:t xml:space="preserve">Clin Pharmacol Ther</w:t>
      </w:r>
      <w:r>
        <w:t xml:space="preserve"> </w:t>
      </w:r>
      <w:r>
        <w:t xml:space="preserve">· Effects of oral administration of ibutamoren mesylate, a nonpeptide growth hormone secretagogue, on the growth hormone-insulin-like growth factor I axis in growth hormone-deficient children. PMID 11452249</w:t>
      </w:r>
    </w:p>
    <w:p>
      <w:pPr>
        <w:numPr>
          <w:ilvl w:val="0"/>
          <w:numId w:val="1404"/>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4"/>
        </w:numPr>
        <w:pStyle w:val="Compact"/>
      </w:pPr>
      <w:r>
        <w:t xml:space="preserve">2001 · Murphy MG ·</w:t>
      </w:r>
      <w:r>
        <w:t xml:space="preserve"> </w:t>
      </w:r>
      <w:r>
        <w:rPr>
          <w:iCs/>
          <w:i/>
        </w:rPr>
        <w:t xml:space="preserve">J Clin Endocrinol Metab</w:t>
      </w:r>
      <w:r>
        <w:t xml:space="preserve"> </w:t>
      </w:r>
      <w:r>
        <w:t xml:space="preserve">· Effect of alendronate and MK-677 (a growth hormone secretagogue), individually and in combination, on markers of bone turnover and bone mineral density in postmenopausal osteoporotic women. PMID 11238495</w:t>
      </w:r>
    </w:p>
    <w:p>
      <w:pPr>
        <w:numPr>
          <w:ilvl w:val="0"/>
          <w:numId w:val="1404"/>
        </w:numPr>
        <w:pStyle w:val="Compact"/>
      </w:pPr>
      <w:r>
        <w:t xml:space="preserve">1999 · Svensson J ·</w:t>
      </w:r>
      <w:r>
        <w:t xml:space="preserve"> </w:t>
      </w:r>
      <w:r>
        <w:rPr>
          <w:iCs/>
          <w:i/>
        </w:rPr>
        <w:t xml:space="preserve">Clin Endocrinol (Oxf)</w:t>
      </w:r>
      <w:r>
        <w:t xml:space="preserve"> </w:t>
      </w:r>
      <w:r>
        <w:t xml:space="preserve">· Discrepancy between serum leptin values and total body fat in response to the oral growth hormone secretagogue MK-677. PMID 10468903</w:t>
      </w:r>
    </w:p>
    <w:p>
      <w:pPr>
        <w:numPr>
          <w:ilvl w:val="0"/>
          <w:numId w:val="1404"/>
        </w:numPr>
        <w:pStyle w:val="Compact"/>
      </w:pPr>
      <w:r>
        <w:t xml:space="preserve">1999 · Murphy MG ·</w:t>
      </w:r>
      <w:r>
        <w:t xml:space="preserve"> </w:t>
      </w:r>
      <w:r>
        <w:rPr>
          <w:iCs/>
          <w:i/>
        </w:rPr>
        <w:t xml:space="preserve">J Bone Miner Res</w:t>
      </w:r>
      <w:r>
        <w:t xml:space="preserve"> </w:t>
      </w:r>
      <w:r>
        <w:t xml:space="preserve">· Oral administration of the growth hormone secretagogue MK-677 increases markers of bone turnover in healthy and functionally impaired elderly adults. The MK-677 Study Group. PMID 10404019</w:t>
      </w:r>
    </w:p>
    <w:p>
      <w:pPr>
        <w:numPr>
          <w:ilvl w:val="0"/>
          <w:numId w:val="1404"/>
        </w:numPr>
        <w:pStyle w:val="Compact"/>
      </w:pPr>
      <w:r>
        <w:t xml:space="preserve">1999 · Svensson J ·</w:t>
      </w:r>
      <w:r>
        <w:t xml:space="preserve"> </w:t>
      </w:r>
      <w:r>
        <w:rPr>
          <w:iCs/>
          <w:i/>
        </w:rPr>
        <w:t xml:space="preserve">J Clin Endocrinol Metab</w:t>
      </w:r>
      <w:r>
        <w:t xml:space="preserve"> </w:t>
      </w:r>
      <w:r>
        <w:t xml:space="preserve">· Treatment of obese subjects with the oral growth hormone secretagogue MK-677 affects serum concentrations of several lipoproteins, but not lipoprotein(a). PMID 10372705</w:t>
      </w:r>
    </w:p>
    <w:p>
      <w:pPr>
        <w:numPr>
          <w:ilvl w:val="0"/>
          <w:numId w:val="1404"/>
        </w:numPr>
        <w:pStyle w:val="Compact"/>
      </w:pPr>
      <w:r>
        <w:t xml:space="preserve">1998 · Svensson J ·</w:t>
      </w:r>
      <w:r>
        <w:t xml:space="preserve"> </w:t>
      </w:r>
      <w:r>
        <w:rPr>
          <w:iCs/>
          <w:i/>
        </w:rPr>
        <w:t xml:space="preserve">J Bone Miner Res</w:t>
      </w:r>
      <w:r>
        <w:t xml:space="preserve"> </w:t>
      </w:r>
      <w:r>
        <w:t xml:space="preserve">· Treatment with the oral growth hormone secretagogue MK-677 increases markers of bone formation and bone resorption in obese young males. PMID 9661080</w:t>
      </w:r>
    </w:p>
    <w:p>
      <w:pPr>
        <w:numPr>
          <w:ilvl w:val="0"/>
          <w:numId w:val="1404"/>
        </w:numPr>
        <w:pStyle w:val="Compact"/>
      </w:pPr>
      <w:r>
        <w:t xml:space="preserve">1998 · Svensson J ·</w:t>
      </w:r>
      <w:r>
        <w:t xml:space="preserve"> </w:t>
      </w:r>
      <w:r>
        <w:rPr>
          <w:iCs/>
          <w:i/>
        </w:rPr>
        <w:t xml:space="preserve">J Clin Endocrinol Metab</w:t>
      </w:r>
      <w:r>
        <w:t xml:space="preserve"> </w:t>
      </w:r>
      <w:r>
        <w:t xml:space="preserve">· Two-month treatment of obese subjects with the oral growth hormone (GH) secretagogue MK-677 increases GH secretion, fat-free mass, and energy expenditure. PMID 9467542</w:t>
      </w:r>
    </w:p>
    <w:p>
      <w:pPr>
        <w:numPr>
          <w:ilvl w:val="0"/>
          <w:numId w:val="1404"/>
        </w:numPr>
        <w:pStyle w:val="Compact"/>
      </w:pPr>
      <w:r>
        <w:t xml:space="preserve">1998 · Murphy MG ·</w:t>
      </w:r>
      <w:r>
        <w:t xml:space="preserve"> </w:t>
      </w:r>
      <w:r>
        <w:rPr>
          <w:iCs/>
          <w:i/>
        </w:rPr>
        <w:t xml:space="preserve">J Clin Endocrinol Metab</w:t>
      </w:r>
      <w:r>
        <w:t xml:space="preserve"> </w:t>
      </w:r>
      <w:r>
        <w:t xml:space="preserve">· MK-677, an orally active growth hormone secretagogue, reverses diet-induced catabolism. PMID 9467534</w:t>
      </w:r>
    </w:p>
    <w:p>
      <w:pPr>
        <w:numPr>
          <w:ilvl w:val="0"/>
          <w:numId w:val="1404"/>
        </w:numPr>
        <w:pStyle w:val="Compact"/>
      </w:pPr>
      <w:r>
        <w:t xml:space="preserve">1997 · Copinschi G ·</w:t>
      </w:r>
      <w:r>
        <w:t xml:space="preserve"> </w:t>
      </w:r>
      <w:r>
        <w:rPr>
          <w:iCs/>
          <w:i/>
        </w:rPr>
        <w:t xml:space="preserve">Neuroendocrinology</w:t>
      </w:r>
      <w:r>
        <w:t xml:space="preserve"> </w:t>
      </w:r>
      <w:r>
        <w:t xml:space="preserve">· Prolonged oral treatment with MK-677, a novel growth hormone secretagogue, improves sleep quality in man. PMID 9349662</w:t>
      </w:r>
    </w:p>
    <w:p>
      <w:pPr>
        <w:numPr>
          <w:ilvl w:val="0"/>
          <w:numId w:val="1404"/>
        </w:numPr>
        <w:pStyle w:val="Compact"/>
      </w:pPr>
      <w:r>
        <w:t xml:space="preserve">1997 · Chapman IM ·</w:t>
      </w:r>
      <w:r>
        <w:t xml:space="preserve"> </w:t>
      </w:r>
      <w:r>
        <w:rPr>
          <w:iCs/>
          <w:i/>
        </w:rPr>
        <w:t xml:space="preserve">J Clin Endocrinol Metab</w:t>
      </w:r>
      <w:r>
        <w:t xml:space="preserve"> </w:t>
      </w:r>
      <w:r>
        <w:t xml:space="preserve">· Oral administration of growth hormone (GH) releasing peptide-mimetic MK-677 stimulates the GH/insulin-like growth factor-I axis in selected GH-deficient adults. PMID 9329386</w:t>
      </w:r>
    </w:p>
    <w:p>
      <w:pPr>
        <w:numPr>
          <w:ilvl w:val="0"/>
          <w:numId w:val="1404"/>
        </w:numPr>
        <w:pStyle w:val="Compact"/>
      </w:pPr>
      <w:r>
        <w:t xml:space="preserve">1996 · Chapman IM ·</w:t>
      </w:r>
      <w:r>
        <w:t xml:space="preserve"> </w:t>
      </w:r>
      <w:r>
        <w:rPr>
          <w:iCs/>
          <w:i/>
        </w:rPr>
        <w:t xml:space="preserve">J Clin Endocrinol Metab</w:t>
      </w:r>
      <w:r>
        <w:t xml:space="preserve"> </w:t>
      </w:r>
      <w:r>
        <w:t xml:space="preserve">· Stimulation of the growth hormone (GH)-insulin-like growth factor I axis by daily oral administration of a GH secretogogue (MK-677) in healthy elderly subjects. PMID 8954023</w:t>
      </w:r>
    </w:p>
    <w:p>
      <w:pPr>
        <w:numPr>
          <w:ilvl w:val="0"/>
          <w:numId w:val="1404"/>
        </w:numPr>
        <w:pStyle w:val="Compact"/>
      </w:pPr>
      <w:r>
        <w:t xml:space="preserve">1996 · Copinschi G ·</w:t>
      </w:r>
      <w:r>
        <w:t xml:space="preserve"> </w:t>
      </w:r>
      <w:r>
        <w:rPr>
          <w:iCs/>
          <w:i/>
        </w:rPr>
        <w:t xml:space="preserve">J Clin Endocrinol Metab</w:t>
      </w:r>
      <w:r>
        <w:t xml:space="preserve"> </w:t>
      </w:r>
      <w:r>
        <w:t xml:space="preserve">· Effects of a 7-day treatment with a novel, orally active, growth hormone (GH) secretagogue, MK-677, on 24-hour GH profiles, insulin-like growth factor I, and adrenocortical function in normal young men. PMID 8768828</w:t>
      </w:r>
    </w:p>
    <w:bookmarkEnd w:id="1149"/>
    <w:bookmarkStart w:id="1150" w:name="semax-4"/>
    <w:p>
      <w:pPr>
        <w:pStyle w:val="Heading2"/>
      </w:pPr>
      <w:r>
        <w:t xml:space="preserve">Semax (4)</w:t>
      </w:r>
    </w:p>
    <w:p>
      <w:pPr>
        <w:numPr>
          <w:ilvl w:val="0"/>
          <w:numId w:val="1405"/>
        </w:numPr>
        <w:pStyle w:val="Compact"/>
      </w:pPr>
      <w:r>
        <w:t xml:space="preserve">2018 · Gusev EI ·</w:t>
      </w:r>
      <w:r>
        <w:t xml:space="preserve"> </w:t>
      </w:r>
      <w:r>
        <w:rPr>
          <w:iCs/>
          <w:i/>
        </w:rPr>
        <w:t xml:space="preserve">Zh Nevrol Psikhiatr Im S S Korsakova</w:t>
      </w:r>
      <w:r>
        <w:t xml:space="preserve"> </w:t>
      </w:r>
      <w:r>
        <w:t xml:space="preserve">· [The efficacy of semax in the tretament of patients at different stages of ischemic stroke]. PMID 29798983</w:t>
      </w:r>
    </w:p>
    <w:p>
      <w:pPr>
        <w:numPr>
          <w:ilvl w:val="0"/>
          <w:numId w:val="1405"/>
        </w:numPr>
        <w:pStyle w:val="Compact"/>
      </w:pPr>
      <w:r>
        <w:t xml:space="preserve">2007 · Serdiuk AV ·</w:t>
      </w:r>
      <w:r>
        <w:t xml:space="preserve"> </w:t>
      </w:r>
      <w:r>
        <w:rPr>
          <w:iCs/>
          <w:i/>
        </w:rPr>
        <w:t xml:space="preserve">Zh Nevrol Psikhiatr Im S S Korsakova</w:t>
      </w:r>
      <w:r>
        <w:t xml:space="preserve"> </w:t>
      </w:r>
      <w:r>
        <w:t xml:space="preserve">· [The study of chronic partial denervation and quality of life in patients with motor neuron disease treated with semax]. PMID 18379501</w:t>
      </w:r>
    </w:p>
    <w:p>
      <w:pPr>
        <w:numPr>
          <w:ilvl w:val="0"/>
          <w:numId w:val="1405"/>
        </w:numPr>
        <w:pStyle w:val="Compact"/>
      </w:pPr>
      <w:r>
        <w:t xml:space="preserve">2000 · Polunin GS ·</w:t>
      </w:r>
      <w:r>
        <w:t xml:space="preserve"> </w:t>
      </w:r>
      <w:r>
        <w:rPr>
          <w:iCs/>
          <w:i/>
        </w:rPr>
        <w:t xml:space="preserve">Vestn Oftalmol</w:t>
      </w:r>
      <w:r>
        <w:t xml:space="preserve"> </w:t>
      </w:r>
      <w:r>
        <w:t xml:space="preserve">· [Evaluation of therapeutic effect of new Russian drug semax in optic nerve disease]. PMID 10741256</w:t>
      </w:r>
    </w:p>
    <w:p>
      <w:pPr>
        <w:numPr>
          <w:ilvl w:val="0"/>
          <w:numId w:val="1405"/>
        </w:numPr>
        <w:pStyle w:val="Compact"/>
      </w:pPr>
      <w:r>
        <w:t xml:space="preserve">1997 · Gusev EI ·</w:t>
      </w:r>
      <w:r>
        <w:t xml:space="preserve"> </w:t>
      </w:r>
      <w:r>
        <w:rPr>
          <w:iCs/>
          <w:i/>
        </w:rPr>
        <w:t xml:space="preserve">Zh Nevrol Psikhiatr Im S S Korsakova</w:t>
      </w:r>
      <w:r>
        <w:t xml:space="preserve"> </w:t>
      </w:r>
      <w:r>
        <w:t xml:space="preserve">· [Effectiveness of semax in acute period of hemispheric ischemic stroke (a clinical and electrophysiological study)]. PMID 11517472</w:t>
      </w:r>
    </w:p>
    <w:bookmarkEnd w:id="1150"/>
    <w:bookmarkStart w:id="1151" w:name="selank-3"/>
    <w:p>
      <w:pPr>
        <w:pStyle w:val="Heading2"/>
      </w:pPr>
      <w:r>
        <w:t xml:space="preserve">Selank (3)</w:t>
      </w:r>
    </w:p>
    <w:p>
      <w:pPr>
        <w:numPr>
          <w:ilvl w:val="0"/>
          <w:numId w:val="1406"/>
        </w:numPr>
        <w:pStyle w:val="Compact"/>
      </w:pPr>
      <w:r>
        <w:t xml:space="preserve">2015 · Medvedev VE ·</w:t>
      </w:r>
      <w:r>
        <w:t xml:space="preserve"> </w:t>
      </w:r>
      <w:r>
        <w:rPr>
          <w:iCs/>
          <w:i/>
        </w:rPr>
        <w:t xml:space="preserve">Zh Nevrol Psikhiatr Im S S Korsakova</w:t>
      </w:r>
      <w:r>
        <w:t xml:space="preserve"> </w:t>
      </w:r>
      <w:r>
        <w:t xml:space="preserve">· [Optimization of the treatment of anxiety disorders with selank]. PMID 26356395</w:t>
      </w:r>
    </w:p>
    <w:p>
      <w:pPr>
        <w:numPr>
          <w:ilvl w:val="0"/>
          <w:numId w:val="1406"/>
        </w:numPr>
        <w:pStyle w:val="Compact"/>
      </w:pPr>
      <w:r>
        <w:t xml:space="preserve">2014 · Medvedev VE ·</w:t>
      </w:r>
      <w:r>
        <w:t xml:space="preserve"> </w:t>
      </w:r>
      <w:r>
        <w:rPr>
          <w:iCs/>
          <w:i/>
        </w:rPr>
        <w:t xml:space="preserve">Zh Nevrol Psikhiatr Im S S Korsakova</w:t>
      </w:r>
      <w:r>
        <w:t xml:space="preserve"> </w:t>
      </w:r>
      <w:r>
        <w:t xml:space="preserve">· [A comparison of the anxiolytic effect and tolerability of selank and phenazepam in the treatment of anxiety disorders]. PMID 25176261</w:t>
      </w:r>
    </w:p>
    <w:p>
      <w:pPr>
        <w:numPr>
          <w:ilvl w:val="0"/>
          <w:numId w:val="1406"/>
        </w:numPr>
        <w:pStyle w:val="Compact"/>
      </w:pPr>
      <w:r>
        <w:t xml:space="preserve">2008 · Zozulia AA ·</w:t>
      </w:r>
      <w:r>
        <w:t xml:space="preserve"> </w:t>
      </w:r>
      <w:r>
        <w:rPr>
          <w:iCs/>
          <w:i/>
        </w:rPr>
        <w:t xml:space="preserve">Zh Nevrol Psikhiatr Im S S Korsakova</w:t>
      </w:r>
      <w:r>
        <w:t xml:space="preserve"> </w:t>
      </w:r>
      <w:r>
        <w:t xml:space="preserve">· [Efficacy and possible mechanisms of action of a new peptide anxiolytic selank in the therapy of generalized anxiety disorders and neurasthenia]. PMID 18454096</w:t>
      </w:r>
    </w:p>
    <w:bookmarkEnd w:id="1151"/>
    <w:bookmarkStart w:id="1152" w:name="cerebrolisina-88"/>
    <w:p>
      <w:pPr>
        <w:pStyle w:val="Heading2"/>
      </w:pPr>
      <w:r>
        <w:t xml:space="preserve">Cerebrolisina (88)</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with reperfusion therapy in ischemic stroke: a prospective analysis of multimodal brain imaging data from the CEREHETIS trial]. PMID 40577185</w:t>
      </w:r>
    </w:p>
    <w:p>
      <w:pPr>
        <w:numPr>
          <w:ilvl w:val="0"/>
          <w:numId w:val="1407"/>
        </w:numPr>
        <w:pStyle w:val="Compact"/>
      </w:pPr>
      <w:r>
        <w:t xml:space="preserve">2025 · Staszewski J ·</w:t>
      </w:r>
      <w:r>
        <w:t xml:space="preserve"> </w:t>
      </w:r>
      <w:r>
        <w:rPr>
          <w:iCs/>
          <w:i/>
        </w:rPr>
        <w:t xml:space="preserve">Transl Stroke Res</w:t>
      </w:r>
      <w:r>
        <w:t xml:space="preserve"> </w:t>
      </w:r>
      <w:r>
        <w:t xml:space="preserve">· Efficacy of Cerebrolysin Treatment as an Add-On Therapy to Mechanical Thrombectomy in Patients with Acute Ischemic Stroke Due to Large Vessel Occlusion in Anterior Circulation: Results of a 3-Month Follow-up of a Prospective, Open Label, Single-Center Study. PMID 40325343</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and the optimal timing of anticoagulation resumption in stroke: combined post hoc survival analysis of the CEREHETIS trial]. PMID 40123141</w:t>
      </w:r>
    </w:p>
    <w:p>
      <w:pPr>
        <w:numPr>
          <w:ilvl w:val="0"/>
          <w:numId w:val="1407"/>
        </w:numPr>
        <w:pStyle w:val="Compact"/>
      </w:pPr>
      <w:r>
        <w:t xml:space="preserve">2025 · Homberg V ·</w:t>
      </w:r>
      <w:r>
        <w:t xml:space="preserve"> </w:t>
      </w:r>
      <w:r>
        <w:rPr>
          <w:iCs/>
          <w:i/>
        </w:rPr>
        <w:t xml:space="preserve">Stroke</w:t>
      </w:r>
      <w:r>
        <w:t xml:space="preserve"> </w:t>
      </w:r>
      <w:r>
        <w:t xml:space="preserve">· Speech Therapy Combined With Cerebrolysin in Enhancing Nonfluent Aphasia Recovery After Acute Ischemic Stroke: ESCAS Randomized Pilot Study. PMID 39957612</w:t>
      </w:r>
    </w:p>
    <w:p>
      <w:pPr>
        <w:numPr>
          <w:ilvl w:val="0"/>
          <w:numId w:val="1407"/>
        </w:numPr>
        <w:pStyle w:val="Compact"/>
      </w:pPr>
      <w:r>
        <w:t xml:space="preserve">2024 · Ponomareva EV ·</w:t>
      </w:r>
      <w:r>
        <w:t xml:space="preserve"> </w:t>
      </w:r>
      <w:r>
        <w:rPr>
          <w:iCs/>
          <w:i/>
        </w:rPr>
        <w:t xml:space="preserve">Zh Nevrol Psikhiatr Im S S Korsakova</w:t>
      </w:r>
      <w:r>
        <w:t xml:space="preserve"> </w:t>
      </w:r>
      <w:r>
        <w:t xml:space="preserve">· [Cerebrolysin in the preventive therapy of dementia in elderly patients with mild cognitive impairment: a three-year prospective comparative study]. PMID 39435777</w:t>
      </w:r>
    </w:p>
    <w:p>
      <w:pPr>
        <w:numPr>
          <w:ilvl w:val="0"/>
          <w:numId w:val="1407"/>
        </w:numPr>
        <w:pStyle w:val="Compact"/>
      </w:pPr>
      <w:r>
        <w:t xml:space="preserve">2023 · Firstenfeld AJ ·</w:t>
      </w:r>
      <w:r>
        <w:t xml:space="preserve"> </w:t>
      </w:r>
      <w:r>
        <w:rPr>
          <w:iCs/>
          <w:i/>
        </w:rPr>
        <w:t xml:space="preserve">J Med Life</w:t>
      </w:r>
      <w:r>
        <w:t xml:space="preserve"> </w:t>
      </w:r>
      <w:r>
        <w:t xml:space="preserve">· Add-on treatment with Cerebrolysin improves clinical symptoms in patients with ALS: results from a prospective, single-center, placebo-controlled, randomized, double-blind, phase II study. PMID 38585517</w:t>
      </w:r>
    </w:p>
    <w:p>
      <w:pPr>
        <w:numPr>
          <w:ilvl w:val="0"/>
          <w:numId w:val="1407"/>
        </w:numPr>
        <w:pStyle w:val="Compact"/>
      </w:pPr>
      <w:r>
        <w:t xml:space="preserve">2023 · Hamed SA ·</w:t>
      </w:r>
      <w:r>
        <w:t xml:space="preserve"> </w:t>
      </w:r>
      <w:r>
        <w:rPr>
          <w:iCs/>
          <w:i/>
        </w:rPr>
        <w:t xml:space="preserve">Expert Rev Clin Pharmacol</w:t>
      </w:r>
      <w:r>
        <w:t xml:space="preserve"> </w:t>
      </w:r>
      <w:r>
        <w:t xml:space="preserve">· The effectiveness of cerebrolysin, a multi-modal neurotrophic factor, for treatment of post-covid-19 persistent olfactory, gustatory and trigeminal chemosensory dysfunctions: a randomized clinical trial. PMID 37950370</w:t>
      </w:r>
    </w:p>
    <w:p>
      <w:pPr>
        <w:numPr>
          <w:ilvl w:val="0"/>
          <w:numId w:val="1407"/>
        </w:numPr>
        <w:pStyle w:val="Compact"/>
      </w:pPr>
      <w:r>
        <w:t xml:space="preserve">2023 · Khasanova DR ·</w:t>
      </w:r>
      <w:r>
        <w:t xml:space="preserve"> </w:t>
      </w:r>
      <w:r>
        <w:rPr>
          <w:iCs/>
          <w:i/>
        </w:rPr>
        <w:t xml:space="preserve">Zh Nevrol Psikhiatr Im S S Korsakova</w:t>
      </w:r>
      <w:r>
        <w:t xml:space="preserve"> </w:t>
      </w:r>
      <w:r>
        <w:t xml:space="preserve">· [Effects of simultaneous use of Cerebrolysin and alteplase on hemorrhagic transformation of brain infarction and functional outcome in stroke patients: CEREHETIS, a randomized, multicenter pilot trial]. PMID 37682097</w:t>
      </w:r>
    </w:p>
    <w:p>
      <w:pPr>
        <w:numPr>
          <w:ilvl w:val="0"/>
          <w:numId w:val="1407"/>
        </w:numPr>
        <w:pStyle w:val="Compact"/>
      </w:pPr>
      <w:r>
        <w:t xml:space="preserve">2023 · Khasanova DR ·</w:t>
      </w:r>
      <w:r>
        <w:t xml:space="preserve"> </w:t>
      </w:r>
      <w:r>
        <w:rPr>
          <w:iCs/>
          <w:i/>
        </w:rPr>
        <w:t xml:space="preserve">BMC Neurol</w:t>
      </w:r>
      <w:r>
        <w:t xml:space="preserve"> </w:t>
      </w:r>
      <w:r>
        <w:t xml:space="preserve">· Cerebrolysin as an Early Add-on to Reperfusion Therapy: Risk of Hemorrhagic Transformation after Ischemic Stroke (CEREHETIS), a prospective, randomized, multicenter pilot study. PMID 36973684</w:t>
      </w:r>
    </w:p>
    <w:p>
      <w:pPr>
        <w:numPr>
          <w:ilvl w:val="0"/>
          <w:numId w:val="1407"/>
        </w:numPr>
        <w:pStyle w:val="Compact"/>
      </w:pPr>
      <w:r>
        <w:t xml:space="preserve">2023 · Mitrović SZ ·</w:t>
      </w:r>
      <w:r>
        <w:t xml:space="preserve"> </w:t>
      </w:r>
      <w:r>
        <w:rPr>
          <w:iCs/>
          <w:i/>
        </w:rPr>
        <w:t xml:space="preserve">Medicina (Kaunas)</w:t>
      </w:r>
      <w:r>
        <w:t xml:space="preserve"> </w:t>
      </w:r>
      <w:r>
        <w:t xml:space="preserve">· Extended Poststroke Rehabilitation Combined with Cerebrolysin Promotes Upper Limb Motor Recovery in Early Subacute Phase of Rehabilitation: A Randomized Clinical Study. PMID 36837492</w:t>
      </w:r>
    </w:p>
    <w:p>
      <w:pPr>
        <w:numPr>
          <w:ilvl w:val="0"/>
          <w:numId w:val="1407"/>
        </w:numPr>
        <w:pStyle w:val="Compact"/>
      </w:pPr>
      <w:r>
        <w:t xml:space="preserve">2023 · Sharma A ·</w:t>
      </w:r>
      <w:r>
        <w:t xml:space="preserve"> </w:t>
      </w:r>
      <w:r>
        <w:rPr>
          <w:iCs/>
          <w:i/>
        </w:rPr>
        <w:t xml:space="preserve">Spine (Phila Pa 1976)</w:t>
      </w:r>
      <w:r>
        <w:t xml:space="preserve"> </w:t>
      </w:r>
      <w:r>
        <w:t xml:space="preserve">· Prospective Randomized Control Trial to Compare the Role of Injection Cerebrolysin for 10 Days Duration Against Placebo in Operated Cases of Degenerative Cervical Myelopathy. PMID 36730671</w:t>
      </w:r>
    </w:p>
    <w:p>
      <w:pPr>
        <w:numPr>
          <w:ilvl w:val="0"/>
          <w:numId w:val="1407"/>
        </w:numPr>
        <w:pStyle w:val="Compact"/>
      </w:pPr>
      <w:r>
        <w:t xml:space="preserve">2022 · Alvarez XA ·</w:t>
      </w:r>
      <w:r>
        <w:t xml:space="preserve"> </w:t>
      </w:r>
      <w:r>
        <w:rPr>
          <w:iCs/>
          <w:i/>
        </w:rPr>
        <w:t xml:space="preserve">J Alzheimers Dis</w:t>
      </w:r>
      <w:r>
        <w:t xml:space="preserve"> </w:t>
      </w:r>
      <w:r>
        <w:t xml:space="preserve">· Modulation of Amyloid-β and Tau in Alzheimer’s Disease Plasma Neuronal-Derived Extracellular Vesicles by Cerebrolysin® and Donepezil. PMID 36155516</w:t>
      </w:r>
    </w:p>
    <w:p>
      <w:pPr>
        <w:numPr>
          <w:ilvl w:val="0"/>
          <w:numId w:val="1407"/>
        </w:numPr>
        <w:pStyle w:val="Compact"/>
      </w:pPr>
      <w:r>
        <w:t xml:space="preserve">2022 · Sharma A ·</w:t>
      </w:r>
      <w:r>
        <w:t xml:space="preserve"> </w:t>
      </w:r>
      <w:r>
        <w:rPr>
          <w:iCs/>
          <w:i/>
        </w:rPr>
        <w:t xml:space="preserve">Spine (Phila Pa 1976)</w:t>
      </w:r>
      <w:r>
        <w:t xml:space="preserve"> </w:t>
      </w:r>
      <w:r>
        <w:t xml:space="preserve">· Prospective Randomized Control Pilot Study to Compare the Role of Injection Cerebrolysin in Operated cases of Degenerative Cervical Myelopathy. PMID 34889883</w:t>
      </w:r>
    </w:p>
    <w:p>
      <w:pPr>
        <w:numPr>
          <w:ilvl w:val="0"/>
          <w:numId w:val="1407"/>
        </w:numPr>
        <w:pStyle w:val="Compact"/>
      </w:pPr>
      <w:r>
        <w:t xml:space="preserve">2022 · Samir A ·</w:t>
      </w:r>
      <w:r>
        <w:t xml:space="preserve"> </w:t>
      </w:r>
      <w:r>
        <w:rPr>
          <w:iCs/>
          <w:i/>
        </w:rPr>
        <w:t xml:space="preserve">J Neonatal Perinatal Med</w:t>
      </w:r>
      <w:r>
        <w:t xml:space="preserve"> </w:t>
      </w:r>
      <w:r>
        <w:t xml:space="preserve">· Effect of cerebrolysin on neurodevelopmental outcome of high risk preterm infants: A randomized controlled trial. PMID 33935111</w:t>
      </w:r>
    </w:p>
    <w:p>
      <w:pPr>
        <w:numPr>
          <w:ilvl w:val="0"/>
          <w:numId w:val="1407"/>
        </w:numPr>
        <w:pStyle w:val="Compact"/>
      </w:pPr>
      <w:r>
        <w:t xml:space="preserve">2021 · Poljakovic Z ·</w:t>
      </w:r>
      <w:r>
        <w:t xml:space="preserve"> </w:t>
      </w:r>
      <w:r>
        <w:rPr>
          <w:iCs/>
          <w:i/>
        </w:rPr>
        <w:t xml:space="preserve">Clin Neurol Neurosurg</w:t>
      </w:r>
      <w:r>
        <w:t xml:space="preserve"> </w:t>
      </w:r>
      <w:r>
        <w:t xml:space="preserve">· Efficacy and safety of Cerebrolysin after futile recanalisation therapy in patients with severe stroke. PMID 34214867</w:t>
      </w:r>
    </w:p>
    <w:p>
      <w:pPr>
        <w:numPr>
          <w:ilvl w:val="0"/>
          <w:numId w:val="1407"/>
        </w:numPr>
        <w:pStyle w:val="Compact"/>
      </w:pPr>
      <w:r>
        <w:t xml:space="preserve">2020 · Woo PYM ·</w:t>
      </w:r>
      <w:r>
        <w:t xml:space="preserve"> </w:t>
      </w:r>
      <w:r>
        <w:rPr>
          <w:iCs/>
          <w:i/>
        </w:rPr>
        <w:t xml:space="preserve">BMC Neurol</w:t>
      </w:r>
      <w:r>
        <w:t xml:space="preserve"> </w:t>
      </w:r>
      <w:r>
        <w:t xml:space="preserve">· Randomized, placebo-controlled, double-blind, pilot trial to investigate safety and efficacy of Cerebrolysin in patients with aneurysmal subarachnoid hemorrhage. PMID 33143640</w:t>
      </w:r>
    </w:p>
    <w:p>
      <w:pPr>
        <w:numPr>
          <w:ilvl w:val="0"/>
          <w:numId w:val="1407"/>
        </w:numPr>
        <w:pStyle w:val="Compact"/>
      </w:pPr>
      <w:r>
        <w:t xml:space="preserve">2020 · Birle C ·</w:t>
      </w:r>
      <w:r>
        <w:t xml:space="preserve"> </w:t>
      </w:r>
      <w:r>
        <w:rPr>
          <w:iCs/>
          <w:i/>
        </w:rPr>
        <w:t xml:space="preserve">J Med Life</w:t>
      </w:r>
      <w:r>
        <w:t xml:space="preserve"> </w:t>
      </w:r>
      <w:r>
        <w:t xml:space="preserve">· The Effect of Cerebrolysin on the Predictive Value of Baseline Prognostic Risk Score in Moderate and Severe Traumatic Brain Injury. PMID 33072197</w:t>
      </w:r>
    </w:p>
    <w:p>
      <w:pPr>
        <w:numPr>
          <w:ilvl w:val="0"/>
          <w:numId w:val="1407"/>
        </w:numPr>
        <w:pStyle w:val="Compact"/>
      </w:pPr>
      <w:r>
        <w:t xml:space="preserve">2020 · Muresanu DF ·</w:t>
      </w:r>
      <w:r>
        <w:t xml:space="preserve"> </w:t>
      </w:r>
      <w:r>
        <w:rPr>
          <w:iCs/>
          <w:i/>
        </w:rPr>
        <w:t xml:space="preserve">Neurol Sci</w:t>
      </w:r>
      <w:r>
        <w:t xml:space="preserve"> </w:t>
      </w:r>
      <w:r>
        <w:t xml:space="preserve">· Efficacy and safety of cerebrolysin in neurorecovery after moderate-severe traumatic brain injury: results from the CAPTAIN II trial. PMID 31897941</w:t>
      </w:r>
    </w:p>
    <w:p>
      <w:pPr>
        <w:numPr>
          <w:ilvl w:val="0"/>
          <w:numId w:val="1407"/>
        </w:numPr>
        <w:pStyle w:val="Compact"/>
      </w:pPr>
      <w:r>
        <w:t xml:space="preserve">2020 · Poon W ·</w:t>
      </w:r>
      <w:r>
        <w:t xml:space="preserve"> </w:t>
      </w:r>
      <w:r>
        <w:rPr>
          <w:iCs/>
          <w:i/>
        </w:rPr>
        <w:t xml:space="preserve">Neurol Sci</w:t>
      </w:r>
      <w:r>
        <w:t xml:space="preserve"> </w:t>
      </w:r>
      <w:r>
        <w:t xml:space="preserve">· Safety and efficacy of Cerebrolysin in acute brain injury and neurorecovery: CAPTAIN I-a randomized, placebo-controlled, double-blind, Asian-Pacific trial. PMID 31494820</w:t>
      </w:r>
    </w:p>
    <w:p>
      <w:pPr>
        <w:numPr>
          <w:ilvl w:val="0"/>
          <w:numId w:val="1407"/>
        </w:numPr>
        <w:pStyle w:val="Compact"/>
      </w:pPr>
      <w:r>
        <w:t xml:space="preserve">2018 · Allam AFA ·</w:t>
      </w:r>
      <w:r>
        <w:t xml:space="preserve"> </w:t>
      </w:r>
      <w:r>
        <w:rPr>
          <w:iCs/>
          <w:i/>
        </w:rPr>
        <w:t xml:space="preserve">Spine J</w:t>
      </w:r>
      <w:r>
        <w:t xml:space="preserve"> </w:t>
      </w:r>
      <w:r>
        <w:t xml:space="preserve">· Role of Cerebrolysin in cervical spondylotic myelopathy patients: a prospective randomized study. PMID 29155000</w:t>
      </w:r>
    </w:p>
    <w:p>
      <w:pPr>
        <w:numPr>
          <w:ilvl w:val="0"/>
          <w:numId w:val="1407"/>
        </w:numPr>
        <w:pStyle w:val="Compact"/>
      </w:pPr>
      <w:r>
        <w:t xml:space="preserve">2017 · Stan A ·</w:t>
      </w:r>
      <w:r>
        <w:t xml:space="preserve"> </w:t>
      </w:r>
      <w:r>
        <w:rPr>
          <w:iCs/>
          <w:i/>
        </w:rPr>
        <w:t xml:space="preserve">J Med Life</w:t>
      </w:r>
      <w:r>
        <w:t xml:space="preserve"> </w:t>
      </w:r>
      <w:r>
        <w:t xml:space="preserve">· Cerebrolysin and early neurorehabilitation in patients with acute ischemic stroke: a prospective, randomized, placebo-controlled clinical study. PMID 29362596</w:t>
      </w:r>
    </w:p>
    <w:p>
      <w:pPr>
        <w:numPr>
          <w:ilvl w:val="0"/>
          <w:numId w:val="1407"/>
        </w:numPr>
        <w:pStyle w:val="Compact"/>
      </w:pPr>
      <w:r>
        <w:t xml:space="preserve">2017 · Karakulova YV ·</w:t>
      </w:r>
      <w:r>
        <w:t xml:space="preserve"> </w:t>
      </w:r>
      <w:r>
        <w:rPr>
          <w:iCs/>
          <w:i/>
        </w:rPr>
        <w:t xml:space="preserve">Zh Nevrol Psikhiatr Im S S Korsakova</w:t>
      </w:r>
      <w:r>
        <w:t xml:space="preserve"> </w:t>
      </w:r>
      <w:r>
        <w:t xml:space="preserve">· [Monitoring of neurotrophic factors and cognitive function in patients with traumatic brain injury]. PMID 29171486</w:t>
      </w:r>
    </w:p>
    <w:p>
      <w:pPr>
        <w:numPr>
          <w:ilvl w:val="0"/>
          <w:numId w:val="1407"/>
        </w:numPr>
        <w:pStyle w:val="Compact"/>
      </w:pPr>
      <w:r>
        <w:t xml:space="preserve">2017 · Gharagozli K ·</w:t>
      </w:r>
      <w:r>
        <w:t xml:space="preserve"> </w:t>
      </w:r>
      <w:r>
        <w:rPr>
          <w:iCs/>
          <w:i/>
        </w:rPr>
        <w:t xml:space="preserve">J Med Life</w:t>
      </w:r>
      <w:r>
        <w:t xml:space="preserve"> </w:t>
      </w:r>
      <w:r>
        <w:t xml:space="preserve">· Efficacy and safety of Cerebrolysin treatment in early recovery after acute ischemic stroke: a randomized, placebo-controlled, double-blinded, multicenter clinical trial. PMID 29075343</w:t>
      </w:r>
    </w:p>
    <w:p>
      <w:pPr>
        <w:numPr>
          <w:ilvl w:val="0"/>
          <w:numId w:val="1407"/>
        </w:numPr>
        <w:pStyle w:val="Compact"/>
      </w:pPr>
      <w:r>
        <w:t xml:space="preserve">2017 · Nasiri J ·</w:t>
      </w:r>
      <w:r>
        <w:t xml:space="preserve"> </w:t>
      </w:r>
      <w:r>
        <w:rPr>
          <w:iCs/>
          <w:i/>
        </w:rPr>
        <w:t xml:space="preserve">Acta Neurol Belg</w:t>
      </w:r>
      <w:r>
        <w:t xml:space="preserve"> </w:t>
      </w:r>
      <w:r>
        <w:t xml:space="preserve">· Effect of cerebrolysin on gross motor function of children with cerebral palsy: a clinical trial. PMID 28074392</w:t>
      </w:r>
    </w:p>
    <w:p>
      <w:pPr>
        <w:numPr>
          <w:ilvl w:val="0"/>
          <w:numId w:val="1407"/>
        </w:numPr>
        <w:pStyle w:val="Compact"/>
      </w:pPr>
      <w:r>
        <w:t xml:space="preserve">2016 · Khabirov FA ·</w:t>
      </w:r>
      <w:r>
        <w:t xml:space="preserve"> </w:t>
      </w:r>
      <w:r>
        <w:rPr>
          <w:iCs/>
          <w:i/>
        </w:rPr>
        <w:t xml:space="preserve">Zh Nevrol Psikhiatr Im S S Korsakova</w:t>
      </w:r>
      <w:r>
        <w:t xml:space="preserve"> </w:t>
      </w:r>
      <w:r>
        <w:t xml:space="preserve">· [Effect of cerebrolysin on remyelination processes in multiple sclerosis patients in stage of relapse regression]. PMID 28139626</w:t>
      </w:r>
    </w:p>
    <w:p>
      <w:pPr>
        <w:numPr>
          <w:ilvl w:val="0"/>
          <w:numId w:val="1407"/>
        </w:numPr>
        <w:pStyle w:val="Compact"/>
      </w:pPr>
      <w:r>
        <w:t xml:space="preserve">2016 · Iznak AF ·</w:t>
      </w:r>
      <w:r>
        <w:t xml:space="preserve"> </w:t>
      </w:r>
      <w:r>
        <w:rPr>
          <w:iCs/>
          <w:i/>
        </w:rPr>
        <w:t xml:space="preserve">Zh Nevrol Psikhiatr Im S S Korsakova</w:t>
      </w:r>
      <w:r>
        <w:t xml:space="preserve"> </w:t>
      </w:r>
      <w:r>
        <w:t xml:space="preserve">· [Comparative dynamics of EEG parameters in elderly depressive patients during monotherapy and combined therapy]. PMID 26977625</w:t>
      </w:r>
    </w:p>
    <w:p>
      <w:pPr>
        <w:numPr>
          <w:ilvl w:val="0"/>
          <w:numId w:val="1407"/>
        </w:numPr>
        <w:pStyle w:val="Compact"/>
      </w:pPr>
      <w:r>
        <w:t xml:space="preserve">2016 · Chang WH ·</w:t>
      </w:r>
      <w:r>
        <w:t xml:space="preserve"> </w:t>
      </w:r>
      <w:r>
        <w:rPr>
          <w:iCs/>
          <w:i/>
        </w:rPr>
        <w:t xml:space="preserve">BMC Neurol</w:t>
      </w:r>
      <w:r>
        <w:t xml:space="preserve"> </w:t>
      </w:r>
      <w:r>
        <w:t xml:space="preserve">· Cerebrolysin combined with rehabilitation promotes motor recovery in patients with severe motor impairment after stroke. PMID 26934986</w:t>
      </w:r>
    </w:p>
    <w:p>
      <w:pPr>
        <w:numPr>
          <w:ilvl w:val="0"/>
          <w:numId w:val="1407"/>
        </w:numPr>
        <w:pStyle w:val="Compact"/>
      </w:pPr>
      <w:r>
        <w:t xml:space="preserve">2016 · Muresanu DF ·</w:t>
      </w:r>
      <w:r>
        <w:t xml:space="preserve"> </w:t>
      </w:r>
      <w:r>
        <w:rPr>
          <w:iCs/>
          <w:i/>
        </w:rPr>
        <w:t xml:space="preserve">Stroke</w:t>
      </w:r>
      <w:r>
        <w:t xml:space="preserve"> </w:t>
      </w:r>
      <w:r>
        <w:t xml:space="preserve">· Cerebrolysin and Recovery After Stroke (CARS): A Randomized, Placebo-Controlled, Double-Blind, Multicenter Trial. PMID 26564102</w:t>
      </w:r>
    </w:p>
    <w:p>
      <w:pPr>
        <w:numPr>
          <w:ilvl w:val="0"/>
          <w:numId w:val="1407"/>
        </w:numPr>
        <w:pStyle w:val="Compact"/>
      </w:pPr>
      <w:r>
        <w:t xml:space="preserve">2015 · Shishkova VN ·</w:t>
      </w:r>
      <w:r>
        <w:t xml:space="preserve"> </w:t>
      </w:r>
      <w:r>
        <w:rPr>
          <w:iCs/>
          <w:i/>
        </w:rPr>
        <w:t xml:space="preserve">Zh Nevrol Psikhiatr Im S S Korsakova</w:t>
      </w:r>
      <w:r>
        <w:t xml:space="preserve"> </w:t>
      </w:r>
      <w:r>
        <w:t xml:space="preserve">· [An assessment of cerebrolysin effect on BDNF level in patients with post stroke aphasia depending on carbohydrate metabolism disorders]. PMID 26356162</w:t>
      </w:r>
    </w:p>
    <w:p>
      <w:pPr>
        <w:numPr>
          <w:ilvl w:val="0"/>
          <w:numId w:val="1407"/>
        </w:numPr>
        <w:pStyle w:val="Compact"/>
      </w:pPr>
      <w:r>
        <w:t xml:space="preserve">2014 · Talypov AE ·</w:t>
      </w:r>
      <w:r>
        <w:t xml:space="preserve"> </w:t>
      </w:r>
      <w:r>
        <w:rPr>
          <w:iCs/>
          <w:i/>
        </w:rPr>
        <w:t xml:space="preserve">Zh Nevrol Psikhiatr Im S S Korsakova</w:t>
      </w:r>
      <w:r>
        <w:t xml:space="preserve"> </w:t>
      </w:r>
      <w:r>
        <w:t xml:space="preserve">· [Cerebrolysin in the treatment of brain injuries of moderate severity]. PMID 25591645</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[An impact of neuroprotective therapy on blood rheological and morphodensitometric parameters in patients with chronic cerebral ischemia]. PMID 25591521</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[Neuroprotective treatment of chronic cerebrovascular insufficiency]. PMID 25176263</w:t>
      </w:r>
    </w:p>
    <w:p>
      <w:pPr>
        <w:numPr>
          <w:ilvl w:val="0"/>
          <w:numId w:val="1407"/>
        </w:numPr>
        <w:pStyle w:val="Compact"/>
      </w:pPr>
      <w:r>
        <w:t xml:space="preserve">2013 · Zavadenko NN ·</w:t>
      </w:r>
      <w:r>
        <w:t xml:space="preserve"> </w:t>
      </w:r>
      <w:r>
        <w:rPr>
          <w:iCs/>
          <w:i/>
        </w:rPr>
        <w:t xml:space="preserve">Zh Nevrol Psikhiatr Im S S Korsakova</w:t>
      </w:r>
      <w:r>
        <w:t xml:space="preserve"> </w:t>
      </w:r>
      <w:r>
        <w:t xml:space="preserve">· [Developmental dysphasia in children: perspectives of neurotrophic therapy]. PMID 23739513</w:t>
      </w:r>
    </w:p>
    <w:p>
      <w:pPr>
        <w:numPr>
          <w:ilvl w:val="0"/>
          <w:numId w:val="1407"/>
        </w:numPr>
        <w:pStyle w:val="Compact"/>
      </w:pPr>
      <w:r>
        <w:t xml:space="preserve">2013 · Chen CC ·</w:t>
      </w:r>
      <w:r>
        <w:t xml:space="preserve"> </w:t>
      </w:r>
      <w:r>
        <w:rPr>
          <w:iCs/>
          <w:i/>
        </w:rPr>
        <w:t xml:space="preserve">Br J Neurosurg</w:t>
      </w:r>
      <w:r>
        <w:t xml:space="preserve"> </w:t>
      </w:r>
      <w:r>
        <w:t xml:space="preserve">· Cerebrolysin enhances cognitive recovery of mild traumatic brain injury patients: double-blind, placebo-controlled, randomized study. PMID 23656173</w:t>
      </w:r>
    </w:p>
    <w:p>
      <w:pPr>
        <w:numPr>
          <w:ilvl w:val="0"/>
          <w:numId w:val="1407"/>
        </w:numPr>
        <w:pStyle w:val="Compact"/>
      </w:pPr>
      <w:r>
        <w:t xml:space="preserve">2013 · Lang W ·</w:t>
      </w:r>
      <w:r>
        <w:t xml:space="preserve"> </w:t>
      </w:r>
      <w:r>
        <w:rPr>
          <w:iCs/>
          <w:i/>
        </w:rPr>
        <w:t xml:space="preserve">Int J Stroke</w:t>
      </w:r>
      <w:r>
        <w:t xml:space="preserve"> </w:t>
      </w:r>
      <w:r>
        <w:t xml:space="preserve">· A prospective, randomized, placebo-controlled, double-blind trial about safety and efficacy of combined treatment with alteplase (rt-PA) and Cerebrolysin in acute ischaemic hemispheric stroke. PMID 23009193</w:t>
      </w:r>
    </w:p>
    <w:p>
      <w:pPr>
        <w:numPr>
          <w:ilvl w:val="0"/>
          <w:numId w:val="1407"/>
        </w:numPr>
        <w:pStyle w:val="Compact"/>
      </w:pPr>
      <w:r>
        <w:t xml:space="preserve">2012 · Xiao S ·</w:t>
      </w:r>
      <w:r>
        <w:t xml:space="preserve"> </w:t>
      </w:r>
      <w:r>
        <w:rPr>
          <w:iCs/>
          <w:i/>
        </w:rPr>
        <w:t xml:space="preserve">Aust N Z J Psychiatry</w:t>
      </w:r>
      <w:r>
        <w:t xml:space="preserve"> </w:t>
      </w:r>
      <w:r>
        <w:t xml:space="preserve">· Therapeutic effects of cerebrolysin added to risperidone in patients with schizophrenia dominated by negative symptoms. PMID 22311531</w:t>
      </w:r>
    </w:p>
    <w:p>
      <w:pPr>
        <w:numPr>
          <w:ilvl w:val="0"/>
          <w:numId w:val="1407"/>
        </w:numPr>
        <w:pStyle w:val="Compact"/>
      </w:pPr>
      <w:r>
        <w:t xml:space="preserve">2012 · Heiss WD ·</w:t>
      </w:r>
      <w:r>
        <w:t xml:space="preserve"> </w:t>
      </w:r>
      <w:r>
        <w:rPr>
          <w:iCs/>
          <w:i/>
        </w:rPr>
        <w:t xml:space="preserve">Stroke</w:t>
      </w:r>
      <w:r>
        <w:t xml:space="preserve"> </w:t>
      </w:r>
      <w:r>
        <w:t xml:space="preserve">· Cerebrolysin in patients with acute ischemic stroke in Asia: results of a double-blind, placebo-controlled randomized trial. PMID 22282884</w:t>
      </w:r>
    </w:p>
    <w:p>
      <w:pPr>
        <w:numPr>
          <w:ilvl w:val="0"/>
          <w:numId w:val="1407"/>
        </w:numPr>
        <w:pStyle w:val="Compact"/>
      </w:pPr>
      <w:r>
        <w:t xml:space="preserve">2011 · Ershov VI ·</w:t>
      </w:r>
      <w:r>
        <w:t xml:space="preserve"> </w:t>
      </w:r>
      <w:r>
        <w:rPr>
          <w:iCs/>
          <w:i/>
        </w:rPr>
        <w:t xml:space="preserve">Zh Nevrol Psikhiatr Im S S Korsakova</w:t>
      </w:r>
      <w:r>
        <w:t xml:space="preserve"> </w:t>
      </w:r>
      <w:r>
        <w:t xml:space="preserve">· [Comparative aspects of using neuroprotectors in the management of patients with ischemic stroke]. PMID 22224244</w:t>
      </w:r>
    </w:p>
    <w:p>
      <w:pPr>
        <w:numPr>
          <w:ilvl w:val="0"/>
          <w:numId w:val="1407"/>
        </w:numPr>
        <w:pStyle w:val="Compact"/>
      </w:pPr>
      <w:r>
        <w:t xml:space="preserve">2011 · Alvarez XA ·</w:t>
      </w:r>
      <w:r>
        <w:t xml:space="preserve"> </w:t>
      </w:r>
      <w:r>
        <w:rPr>
          <w:iCs/>
          <w:i/>
        </w:rPr>
        <w:t xml:space="preserve">Curr Alzheimer Res</w:t>
      </w:r>
      <w:r>
        <w:t xml:space="preserve"> </w:t>
      </w:r>
      <w:r>
        <w:t xml:space="preserve">· Combination treatment in Alzheimer’s disease: results of a randomized, controlled trial with cerebrolysin and donepezil. PMID 21679156</w:t>
      </w:r>
    </w:p>
    <w:p>
      <w:pPr>
        <w:numPr>
          <w:ilvl w:val="0"/>
          <w:numId w:val="1407"/>
        </w:numPr>
        <w:pStyle w:val="Compact"/>
      </w:pPr>
      <w:r>
        <w:t xml:space="preserve">2011 · Zhivolupov SA ·</w:t>
      </w:r>
      <w:r>
        <w:t xml:space="preserve"> </w:t>
      </w:r>
      <w:r>
        <w:rPr>
          <w:iCs/>
          <w:i/>
        </w:rPr>
        <w:t xml:space="preserve">Zh Nevrol Psikhiatr Im S S Korsakova</w:t>
      </w:r>
      <w:r>
        <w:t xml:space="preserve"> </w:t>
      </w:r>
      <w:r>
        <w:t xml:space="preserve">· [The сomparative analysis of neyromidin and cerebrolysin effects on neurodynamic processes during craniocerebral injury]. PMID 21512498</w:t>
      </w:r>
    </w:p>
    <w:p>
      <w:pPr>
        <w:numPr>
          <w:ilvl w:val="0"/>
          <w:numId w:val="1407"/>
        </w:numPr>
        <w:pStyle w:val="Compact"/>
      </w:pPr>
      <w:r>
        <w:t xml:space="preserve">2011 · Bogdanov EI ·</w:t>
      </w:r>
      <w:r>
        <w:t xml:space="preserve"> </w:t>
      </w:r>
      <w:r>
        <w:rPr>
          <w:iCs/>
          <w:i/>
        </w:rPr>
        <w:t xml:space="preserve">Zh Nevrol Psikhiatr Im S S Korsakova</w:t>
      </w:r>
      <w:r>
        <w:t xml:space="preserve"> </w:t>
      </w:r>
      <w:r>
        <w:t xml:space="preserve">· [Efficiency of cerebrolysin in the diabetic polyneuropathy in patients with insulin-dependency diabetes mellitus]. PMID 21350421</w:t>
      </w:r>
    </w:p>
    <w:p>
      <w:pPr>
        <w:numPr>
          <w:ilvl w:val="0"/>
          <w:numId w:val="1407"/>
        </w:numPr>
        <w:pStyle w:val="Compact"/>
      </w:pPr>
      <w:r>
        <w:t xml:space="preserve">2011 · Guekht AB ·</w:t>
      </w:r>
      <w:r>
        <w:t xml:space="preserve"> </w:t>
      </w:r>
      <w:r>
        <w:rPr>
          <w:iCs/>
          <w:i/>
        </w:rPr>
        <w:t xml:space="preserve">J Stroke Cerebrovasc Dis</w:t>
      </w:r>
      <w:r>
        <w:t xml:space="preserve"> </w:t>
      </w:r>
      <w:r>
        <w:t xml:space="preserve">· Cerebrolysin in vascular dementia: improvement of clinical outcome in a randomized, double-blind, placebo-controlled multicenter trial. PMID 20656516</w:t>
      </w:r>
    </w:p>
    <w:p>
      <w:pPr>
        <w:numPr>
          <w:ilvl w:val="0"/>
          <w:numId w:val="1407"/>
        </w:numPr>
        <w:pStyle w:val="Compact"/>
      </w:pPr>
      <w:r>
        <w:t xml:space="preserve">2011 · Alvarez XA ·</w:t>
      </w:r>
      <w:r>
        <w:t xml:space="preserve"> </w:t>
      </w:r>
      <w:r>
        <w:rPr>
          <w:iCs/>
          <w:i/>
        </w:rPr>
        <w:t xml:space="preserve">Eur J Neurol</w:t>
      </w:r>
      <w:r>
        <w:t xml:space="preserve"> </w:t>
      </w:r>
      <w:r>
        <w:t xml:space="preserve">· Efficacy and safety of Cerebrolysin in moderate to moderately severe Alzheimer’s disease: results of a randomized, double-blind, controlled trial investigating three dosages of Cerebrolysin. PMID 20500802</w:t>
      </w:r>
    </w:p>
    <w:p>
      <w:pPr>
        <w:numPr>
          <w:ilvl w:val="0"/>
          <w:numId w:val="1407"/>
        </w:numPr>
        <w:pStyle w:val="Compact"/>
      </w:pPr>
      <w:r>
        <w:t xml:space="preserve">2010 · Shamalov NA ·</w:t>
      </w:r>
      <w:r>
        <w:t xml:space="preserve"> </w:t>
      </w:r>
      <w:r>
        <w:rPr>
          <w:iCs/>
          <w:i/>
        </w:rPr>
        <w:t xml:space="preserve">Zh Nevrol Psikhiatr Im S S Korsakova</w:t>
      </w:r>
      <w:r>
        <w:t xml:space="preserve"> </w:t>
      </w:r>
      <w:r>
        <w:t xml:space="preserve">· [The effect of cerebrolysin in dosage 50 ml on the volume of lesion in ischemic stroke]. PMID 21626816</w:t>
      </w:r>
    </w:p>
    <w:p>
      <w:pPr>
        <w:numPr>
          <w:ilvl w:val="0"/>
          <w:numId w:val="1407"/>
        </w:numPr>
        <w:pStyle w:val="Compact"/>
      </w:pPr>
      <w:r>
        <w:t xml:space="preserve">2010 · Iznak EV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21322822</w:t>
      </w:r>
    </w:p>
    <w:p>
      <w:pPr>
        <w:numPr>
          <w:ilvl w:val="0"/>
          <w:numId w:val="1407"/>
        </w:numPr>
        <w:pStyle w:val="Compact"/>
      </w:pPr>
      <w:r>
        <w:t xml:space="preserve">2010 · Bajenaru O ·</w:t>
      </w:r>
      <w:r>
        <w:t xml:space="preserve"> </w:t>
      </w:r>
      <w:r>
        <w:rPr>
          <w:iCs/>
          <w:i/>
        </w:rPr>
        <w:t xml:space="preserve">J Med Life</w:t>
      </w:r>
      <w:r>
        <w:t xml:space="preserve"> </w:t>
      </w:r>
      <w:r>
        <w:t xml:space="preserve">· Efficacy and safety of Cerebrolysin in patients with hemorrhagic stroke. PMID 20968198</w:t>
      </w:r>
    </w:p>
    <w:p>
      <w:pPr>
        <w:numPr>
          <w:ilvl w:val="0"/>
          <w:numId w:val="1407"/>
        </w:numPr>
        <w:pStyle w:val="Compact"/>
      </w:pPr>
      <w:r>
        <w:t xml:space="preserve">2010 · Jianu DC ·</w:t>
      </w:r>
      <w:r>
        <w:t xml:space="preserve"> </w:t>
      </w:r>
      <w:r>
        <w:rPr>
          <w:iCs/>
          <w:i/>
        </w:rPr>
        <w:t xml:space="preserve">J Med Life</w:t>
      </w:r>
      <w:r>
        <w:t xml:space="preserve"> </w:t>
      </w:r>
      <w:r>
        <w:t xml:space="preserve">· Cerebrolysin adjuvant treatment in Broca’s aphasics following first acute ischemic stroke of the left middle cerebral artery. PMID 20945821</w:t>
      </w:r>
    </w:p>
    <w:p>
      <w:pPr>
        <w:numPr>
          <w:ilvl w:val="0"/>
          <w:numId w:val="1407"/>
        </w:numPr>
        <w:pStyle w:val="Compact"/>
      </w:pPr>
      <w:r>
        <w:t xml:space="preserve">2010 · Muresanu DF ·</w:t>
      </w:r>
      <w:r>
        <w:t xml:space="preserve"> </w:t>
      </w:r>
      <w:r>
        <w:rPr>
          <w:iCs/>
          <w:i/>
        </w:rPr>
        <w:t xml:space="preserve">J Neurol Sci</w:t>
      </w:r>
      <w:r>
        <w:t xml:space="preserve"> </w:t>
      </w:r>
      <w:r>
        <w:t xml:space="preserve">· Persistence of the effects of Cerebrolysin on cognition and qEEG slowing in vascular dementia patients: results of a 3-month extension study. PMID 20923712</w:t>
      </w:r>
    </w:p>
    <w:p>
      <w:pPr>
        <w:numPr>
          <w:ilvl w:val="0"/>
          <w:numId w:val="1407"/>
        </w:numPr>
        <w:pStyle w:val="Compact"/>
      </w:pPr>
      <w:r>
        <w:t xml:space="preserve">2010 ·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20559264</w:t>
      </w:r>
    </w:p>
    <w:p>
      <w:pPr>
        <w:numPr>
          <w:ilvl w:val="0"/>
          <w:numId w:val="1407"/>
        </w:numPr>
        <w:pStyle w:val="Compact"/>
      </w:pPr>
      <w:r>
        <w:t xml:space="preserve">2010 · Gavrilova SI ·</w:t>
      </w:r>
      <w:r>
        <w:t xml:space="preserve"> </w:t>
      </w:r>
      <w:r>
        <w:rPr>
          <w:iCs/>
          <w:i/>
        </w:rPr>
        <w:t xml:space="preserve">Zh Nevrol Psikhiatr Im S S Korsakova</w:t>
      </w:r>
      <w:r>
        <w:t xml:space="preserve"> </w:t>
      </w:r>
      <w:r>
        <w:t xml:space="preserve">· [Possibilities of preventive treatment of Alzheimer’s disease: results of the 3-year open prospective comparative study on efficacy and safety of the course therapy with cerebrolysin and cavinton in elderly patients with the syndrome of mild cognitive impairment]. PMID 20436440</w:t>
      </w:r>
    </w:p>
    <w:p>
      <w:pPr>
        <w:numPr>
          <w:ilvl w:val="0"/>
          <w:numId w:val="1407"/>
        </w:numPr>
        <w:pStyle w:val="Compact"/>
      </w:pPr>
      <w:r>
        <w:t xml:space="preserve">2009 · Hong Z ·</w:t>
      </w:r>
      <w:r>
        <w:t xml:space="preserve"> </w:t>
      </w:r>
      <w:r>
        <w:rPr>
          <w:iCs/>
          <w:i/>
        </w:rPr>
        <w:t xml:space="preserve">Int J Stroke</w:t>
      </w:r>
      <w:r>
        <w:t xml:space="preserve"> </w:t>
      </w:r>
      <w:r>
        <w:t xml:space="preserve">· A double-blind, placebo-controlled, randomized trial to evaluate the safety and efficacy of Cerebrolysin in patients with acute ischaemic stroke in Asia–CASTA. PMID 19765131</w:t>
      </w:r>
    </w:p>
    <w:p>
      <w:pPr>
        <w:numPr>
          <w:ilvl w:val="0"/>
          <w:numId w:val="1407"/>
        </w:numPr>
        <w:pStyle w:val="Compact"/>
      </w:pPr>
      <w:r>
        <w:t xml:space="preserve">2009 · Alvarez XA ·</w:t>
      </w:r>
      <w:r>
        <w:t xml:space="preserve"> </w:t>
      </w:r>
      <w:r>
        <w:rPr>
          <w:iCs/>
          <w:i/>
        </w:rPr>
        <w:t xml:space="preserve">Int J Neuropsychopharmacol</w:t>
      </w:r>
      <w:r>
        <w:t xml:space="preserve"> </w:t>
      </w:r>
      <w:r>
        <w:t xml:space="preserve">· Reduced TNF-α and increased IGF-I levels in the serum of Alzheimer’s disease patients treated with the neurotrophic agent cerebrolysin. PMID 19531281</w:t>
      </w:r>
    </w:p>
    <w:p>
      <w:pPr>
        <w:numPr>
          <w:ilvl w:val="0"/>
          <w:numId w:val="1407"/>
        </w:numPr>
        <w:pStyle w:val="Compact"/>
      </w:pPr>
      <w:r>
        <w:t xml:space="preserve">2009 · Maksimova MIu ·</w:t>
      </w:r>
      <w:r>
        <w:t xml:space="preserve"> </w:t>
      </w:r>
      <w:r>
        <w:rPr>
          <w:iCs/>
          <w:i/>
        </w:rPr>
        <w:t xml:space="preserve">Zh Nevrol Psikhiatr Im S S Korsakova</w:t>
      </w:r>
      <w:r>
        <w:t xml:space="preserve"> </w:t>
      </w:r>
      <w:r>
        <w:t xml:space="preserve">· [Effectiveness of cerebrolysin in hypertensive supratentorial intracranial hemorrhages: results of a randomized triple blind placebo-controled study]. PMID 19156082</w:t>
      </w:r>
    </w:p>
    <w:p>
      <w:pPr>
        <w:numPr>
          <w:ilvl w:val="0"/>
          <w:numId w:val="1407"/>
        </w:numPr>
        <w:pStyle w:val="Compact"/>
      </w:pPr>
      <w:r>
        <w:t xml:space="preserve">2008 · Kul’chikov AE ·</w:t>
      </w:r>
      <w:r>
        <w:t xml:space="preserve"> </w:t>
      </w:r>
      <w:r>
        <w:rPr>
          <w:iCs/>
          <w:i/>
        </w:rPr>
        <w:t xml:space="preserve">Eksp Klin Farmakol</w:t>
      </w:r>
      <w:r>
        <w:t xml:space="preserve"> </w:t>
      </w:r>
      <w:r>
        <w:t xml:space="preserve">· [Neuroimmunocorrection therapy for the prophylaxis of infectious complications in acute stroke patients]. PMID 19140514</w:t>
      </w:r>
    </w:p>
    <w:p>
      <w:pPr>
        <w:numPr>
          <w:ilvl w:val="0"/>
          <w:numId w:val="1407"/>
        </w:numPr>
        <w:pStyle w:val="Compact"/>
      </w:pPr>
      <w:r>
        <w:t xml:space="preserve">2008 · Serkina EV ·</w:t>
      </w:r>
      <w:r>
        <w:t xml:space="preserve"> </w:t>
      </w:r>
      <w:r>
        <w:rPr>
          <w:iCs/>
          <w:i/>
        </w:rPr>
        <w:t xml:space="preserve">Zh Nevrol Psikhiatr Im S S Korsakova</w:t>
      </w:r>
      <w:r>
        <w:t xml:space="preserve"> </w:t>
      </w:r>
      <w:r>
        <w:t xml:space="preserve">· [Cerebrolysin alleviates perinatal CNS disorders through the autoimmune modulation and antioxidant protection]. PMID 19008804</w:t>
      </w:r>
    </w:p>
    <w:p>
      <w:pPr>
        <w:numPr>
          <w:ilvl w:val="0"/>
          <w:numId w:val="1407"/>
        </w:numPr>
        <w:pStyle w:val="Compact"/>
      </w:pPr>
      <w:r>
        <w:t xml:space="preserve">2008 · Damulin IV ·</w:t>
      </w:r>
      <w:r>
        <w:t xml:space="preserve"> </w:t>
      </w:r>
      <w:r>
        <w:rPr>
          <w:iCs/>
          <w:i/>
        </w:rPr>
        <w:t xml:space="preserve">Neurosci Behav Physiol</w:t>
      </w:r>
      <w:r>
        <w:t xml:space="preserve"> </w:t>
      </w:r>
      <w:r>
        <w:t xml:space="preserve">· Effects of cerebrolysin on moderate cognitive impairments in cerebral vascular insufficiency (a clinical-electrophysiological study). PMID 18607744</w:t>
      </w:r>
    </w:p>
    <w:p>
      <w:pPr>
        <w:numPr>
          <w:ilvl w:val="0"/>
          <w:numId w:val="1407"/>
        </w:numPr>
        <w:pStyle w:val="Compact"/>
      </w:pPr>
      <w:r>
        <w:t xml:space="preserve">2008 · Alvarez XA ·</w:t>
      </w:r>
      <w:r>
        <w:t xml:space="preserve"> </w:t>
      </w:r>
      <w:r>
        <w:rPr>
          <w:iCs/>
          <w:i/>
        </w:rPr>
        <w:t xml:space="preserve">J Neural Transm (Vienna)</w:t>
      </w:r>
      <w:r>
        <w:t xml:space="preserve"> </w:t>
      </w:r>
      <w:r>
        <w:t xml:space="preserve">· Reductions in qEEG slowing over 1 year and after treatment with Cerebrolysin in patients with moderate-severe traumatic brain injury. PMID 18273537</w:t>
      </w:r>
    </w:p>
    <w:p>
      <w:pPr>
        <w:numPr>
          <w:ilvl w:val="0"/>
          <w:numId w:val="1407"/>
        </w:numPr>
        <w:pStyle w:val="Compact"/>
      </w:pPr>
      <w:r>
        <w:t xml:space="preserve">2008 · Muresanu DF ·</w:t>
      </w:r>
      <w:r>
        <w:t xml:space="preserve"> </w:t>
      </w:r>
      <w:r>
        <w:rPr>
          <w:iCs/>
          <w:i/>
        </w:rPr>
        <w:t xml:space="preserve">J Neurol Sci</w:t>
      </w:r>
      <w:r>
        <w:t xml:space="preserve"> </w:t>
      </w:r>
      <w:r>
        <w:t xml:space="preserve">· A pilot study to evaluate the effects of Cerebrolysin on cognition and qEEG in vascular dementia: cognitive improvement correlates with qEEG acceleration. PMID 18048059</w:t>
      </w:r>
    </w:p>
    <w:p>
      <w:pPr>
        <w:numPr>
          <w:ilvl w:val="0"/>
          <w:numId w:val="1407"/>
        </w:numPr>
        <w:pStyle w:val="Compact"/>
      </w:pPr>
      <w:r>
        <w:t xml:space="preserve">2007 · Damulin IV ·</w:t>
      </w:r>
      <w:r>
        <w:t xml:space="preserve"> </w:t>
      </w:r>
      <w:r>
        <w:rPr>
          <w:iCs/>
          <w:i/>
        </w:rPr>
        <w:t xml:space="preserve">Zh Nevrol Psikhiatr Im S S Korsakova</w:t>
      </w:r>
      <w:r>
        <w:t xml:space="preserve"> </w:t>
      </w:r>
      <w:r>
        <w:t xml:space="preserve">· [The effect of cerebrolysin on moderate cognitive impairment in cerebral vascular insufficiency (a clinical and electrophysiological study)]. PMID 18379494</w:t>
      </w:r>
    </w:p>
    <w:p>
      <w:pPr>
        <w:numPr>
          <w:ilvl w:val="0"/>
          <w:numId w:val="1407"/>
        </w:numPr>
        <w:pStyle w:val="Compact"/>
      </w:pPr>
      <w:r>
        <w:t xml:space="preserve">2006 · Skwortsova VI ·</w:t>
      </w:r>
      <w:r>
        <w:t xml:space="preserve"> </w:t>
      </w:r>
      <w:r>
        <w:rPr>
          <w:iCs/>
          <w:i/>
        </w:rPr>
        <w:t xml:space="preserve">Zh Nevrol Psikhiatr Im S S Korsakova</w:t>
      </w:r>
      <w:r>
        <w:t xml:space="preserve"> </w:t>
      </w:r>
      <w:r>
        <w:t xml:space="preserve">· [Results of the multicenter prospective study of cerebrolysin safety and efficacy in acute stroke]. PMID 18196634</w:t>
      </w:r>
    </w:p>
    <w:p>
      <w:pPr>
        <w:numPr>
          <w:ilvl w:val="0"/>
          <w:numId w:val="1407"/>
        </w:numPr>
        <w:pStyle w:val="Compact"/>
      </w:pPr>
      <w:r>
        <w:t xml:space="preserve">2006 · Skorokhodov AP ·</w:t>
      </w:r>
      <w:r>
        <w:t xml:space="preserve"> </w:t>
      </w:r>
      <w:r>
        <w:rPr>
          <w:iCs/>
          <w:i/>
        </w:rPr>
        <w:t xml:space="preserve">Zh Nevrol Psikhiatr Im S S Korsakova</w:t>
      </w:r>
      <w:r>
        <w:t xml:space="preserve"> </w:t>
      </w:r>
      <w:r>
        <w:t xml:space="preserve">· [Comparative analysis of efficacy of certain neuroprotectors in ischemic stroke]. PMID 18193579</w:t>
      </w:r>
    </w:p>
    <w:p>
      <w:pPr>
        <w:numPr>
          <w:ilvl w:val="0"/>
          <w:numId w:val="1407"/>
        </w:numPr>
        <w:pStyle w:val="Compact"/>
      </w:pPr>
      <w:r>
        <w:t xml:space="preserve">2006 · Gaĭtetdinova DD ·</w:t>
      </w:r>
      <w:r>
        <w:t xml:space="preserve"> </w:t>
      </w:r>
      <w:r>
        <w:rPr>
          <w:iCs/>
          <w:i/>
        </w:rPr>
        <w:t xml:space="preserve">Eksp Klin Farmakol</w:t>
      </w:r>
      <w:r>
        <w:t xml:space="preserve"> </w:t>
      </w:r>
      <w:r>
        <w:t xml:space="preserve">· [Clastogenic, aneugenic, pro- and antioxidant properties of some neurotropic preparations]. PMID 16878503</w:t>
      </w:r>
    </w:p>
    <w:p>
      <w:pPr>
        <w:numPr>
          <w:ilvl w:val="0"/>
          <w:numId w:val="1407"/>
        </w:numPr>
        <w:pStyle w:val="Compact"/>
      </w:pPr>
      <w:r>
        <w:t xml:space="preserve">2006 · Radzivil MG ·</w:t>
      </w:r>
      <w:r>
        <w:t xml:space="preserve"> </w:t>
      </w:r>
      <w:r>
        <w:rPr>
          <w:iCs/>
          <w:i/>
        </w:rPr>
        <w:t xml:space="preserve">Zh Nevrol Psikhiatr Im S S Korsakova</w:t>
      </w:r>
      <w:r>
        <w:t xml:space="preserve"> </w:t>
      </w:r>
      <w:r>
        <w:t xml:space="preserve">· [An effect of long-term cerebrolysin therapy in combination with neuroleptics on behavioral and cognitive disturbances in endogenous childhood autism]. PMID 16548370</w:t>
      </w:r>
    </w:p>
    <w:p>
      <w:pPr>
        <w:numPr>
          <w:ilvl w:val="0"/>
          <w:numId w:val="1407"/>
        </w:numPr>
        <w:pStyle w:val="Compact"/>
      </w:pPr>
      <w:r>
        <w:t xml:space="preserve">2006 · Alvarez XA ·</w:t>
      </w:r>
      <w:r>
        <w:t xml:space="preserve"> </w:t>
      </w:r>
      <w:r>
        <w:rPr>
          <w:iCs/>
          <w:i/>
        </w:rPr>
        <w:t xml:space="preserve">Eur J Neurol</w:t>
      </w:r>
      <w:r>
        <w:t xml:space="preserve"> </w:t>
      </w:r>
      <w:r>
        <w:t xml:space="preserve">· A 24-week, double-blind, placebo-controlled study of three dosages of Cerebrolysin in patients with mild to moderate Alzheimer’s disease. PMID 16420392</w:t>
      </w:r>
    </w:p>
    <w:p>
      <w:pPr>
        <w:numPr>
          <w:ilvl w:val="0"/>
          <w:numId w:val="1407"/>
        </w:numPr>
        <w:pStyle w:val="Compact"/>
      </w:pPr>
      <w:r>
        <w:t xml:space="preserve">2005 · Wong GK ·</w:t>
      </w:r>
      <w:r>
        <w:t xml:space="preserve"> </w:t>
      </w:r>
      <w:r>
        <w:rPr>
          <w:iCs/>
          <w:i/>
        </w:rPr>
        <w:t xml:space="preserve">Acta Neurochir Suppl</w:t>
      </w:r>
      <w:r>
        <w:t xml:space="preserve"> </w:t>
      </w:r>
      <w:r>
        <w:t xml:space="preserve">· Beneficial effect of cerebrolysin on moderate and severe head injury patients: result of a cohort study. PMID 16463821</w:t>
      </w:r>
    </w:p>
    <w:p>
      <w:pPr>
        <w:numPr>
          <w:ilvl w:val="0"/>
          <w:numId w:val="1407"/>
        </w:numPr>
        <w:pStyle w:val="Compact"/>
      </w:pPr>
      <w:r>
        <w:t xml:space="preserve">2005 · Gavrilova SI ·</w:t>
      </w:r>
      <w:r>
        <w:t xml:space="preserve"> </w:t>
      </w:r>
      <w:r>
        <w:rPr>
          <w:iCs/>
          <w:i/>
        </w:rPr>
        <w:t xml:space="preserve">Zh Nevrol Psikhiatr Im S S Korsakova</w:t>
      </w:r>
      <w:r>
        <w:t xml:space="preserve"> </w:t>
      </w:r>
      <w:r>
        <w:t xml:space="preserve">· [ApoE genotype and efficacy of neurotrophic and cholinergic therapy in Alzheimer’s disease]. PMID 15880838</w:t>
      </w:r>
    </w:p>
    <w:p>
      <w:pPr>
        <w:numPr>
          <w:ilvl w:val="0"/>
          <w:numId w:val="1407"/>
        </w:numPr>
        <w:pStyle w:val="Compact"/>
      </w:pPr>
      <w:r>
        <w:t xml:space="preserve">2005 · Crook TH ·</w:t>
      </w:r>
      <w:r>
        <w:t xml:space="preserve"> </w:t>
      </w:r>
      <w:r>
        <w:rPr>
          <w:iCs/>
          <w:i/>
        </w:rPr>
        <w:t xml:space="preserve">Int Clin Psychopharmacol</w:t>
      </w:r>
      <w:r>
        <w:t xml:space="preserve"> </w:t>
      </w:r>
      <w:r>
        <w:t xml:space="preserve">· Effects of N-PEP-12 on memory among older adults. PMID 15729085</w:t>
      </w:r>
    </w:p>
    <w:p>
      <w:pPr>
        <w:numPr>
          <w:ilvl w:val="0"/>
          <w:numId w:val="1407"/>
        </w:numPr>
        <w:pStyle w:val="Compact"/>
      </w:pPr>
      <w:r>
        <w:t xml:space="preserve">2005 · Roshchina IF ·</w:t>
      </w:r>
      <w:r>
        <w:t xml:space="preserve"> </w:t>
      </w:r>
      <w:r>
        <w:rPr>
          <w:iCs/>
          <w:i/>
        </w:rPr>
        <w:t xml:space="preserve">Zh Nevrol Psikhiatr Im S S Korsakova</w:t>
      </w:r>
      <w:r>
        <w:t xml:space="preserve"> </w:t>
      </w:r>
      <w:r>
        <w:t xml:space="preserve">· [Neuropsychological evaluation of long-term therapy of Alzheimer’s disease using different cerebrolysin dosages]. PMID 15704485</w:t>
      </w:r>
    </w:p>
    <w:p>
      <w:pPr>
        <w:numPr>
          <w:ilvl w:val="0"/>
          <w:numId w:val="1407"/>
        </w:numPr>
        <w:pStyle w:val="Compact"/>
      </w:pPr>
      <w:r>
        <w:t xml:space="preserve">2005 · Chukanova EI ·</w:t>
      </w:r>
      <w:r>
        <w:t xml:space="preserve"> </w:t>
      </w:r>
      <w:r>
        <w:rPr>
          <w:iCs/>
          <w:i/>
        </w:rPr>
        <w:t xml:space="preserve">Zh Nevrol Psikhiatr Im S S Korsakova</w:t>
      </w:r>
      <w:r>
        <w:t xml:space="preserve"> </w:t>
      </w:r>
      <w:r>
        <w:t xml:space="preserve">· [The effect of cerebrolysin on the clinical symptoms and the course of ischemic encephalopathy]. PMID 15704482</w:t>
      </w:r>
    </w:p>
    <w:p>
      <w:pPr>
        <w:numPr>
          <w:ilvl w:val="0"/>
          <w:numId w:val="1407"/>
        </w:numPr>
        <w:pStyle w:val="Compact"/>
      </w:pPr>
      <w:r>
        <w:t xml:space="preserve">2005 · Ladurner G ·</w:t>
      </w:r>
      <w:r>
        <w:t xml:space="preserve"> </w:t>
      </w:r>
      <w:r>
        <w:rPr>
          <w:iCs/>
          <w:i/>
        </w:rPr>
        <w:t xml:space="preserve">J Neural Transm (Vienna)</w:t>
      </w:r>
      <w:r>
        <w:t xml:space="preserve"> </w:t>
      </w:r>
      <w:r>
        <w:t xml:space="preserve">· Neuroprotective treatment with cerebrolysin in patients with acute stroke: a randomised controlled trial. PMID 15583955</w:t>
      </w:r>
    </w:p>
    <w:p>
      <w:pPr>
        <w:numPr>
          <w:ilvl w:val="0"/>
          <w:numId w:val="1407"/>
        </w:numPr>
        <w:pStyle w:val="Compact"/>
      </w:pPr>
      <w:r>
        <w:t xml:space="preserve">2004 · Skvortsova VI ·</w:t>
      </w:r>
      <w:r>
        <w:t xml:space="preserve"> </w:t>
      </w:r>
      <w:r>
        <w:rPr>
          <w:iCs/>
          <w:i/>
        </w:rPr>
        <w:t xml:space="preserve">Zh Nevrol Psikhiatr Im S S Korsakova</w:t>
      </w:r>
      <w:r>
        <w:t xml:space="preserve"> </w:t>
      </w:r>
      <w:r>
        <w:t xml:space="preserve">· [A randomized, double-blind, placebo-controlled study of Cerebrolysin safety and efficacy in the treatment of acute ischemic stroke]. PMID 15559222</w:t>
      </w:r>
    </w:p>
    <w:p>
      <w:pPr>
        <w:numPr>
          <w:ilvl w:val="0"/>
          <w:numId w:val="1407"/>
        </w:numPr>
        <w:pStyle w:val="Compact"/>
      </w:pPr>
      <w:r>
        <w:t xml:space="preserve">2003 · Alvarez XA ·</w:t>
      </w:r>
      <w:r>
        <w:t xml:space="preserve"> </w:t>
      </w:r>
      <w:r>
        <w:rPr>
          <w:iCs/>
          <w:i/>
        </w:rPr>
        <w:t xml:space="preserve">Int Clin Psychopharmacol</w:t>
      </w:r>
      <w:r>
        <w:t xml:space="preserve"> </w:t>
      </w:r>
      <w:r>
        <w:t xml:space="preserve">· Positive effects of cerebrolysin on electroencephalogram slowing, cognition and clinical outcome in patients with postacute traumatic brain injury: an exploratory study. PMID 12920387</w:t>
      </w:r>
    </w:p>
    <w:p>
      <w:pPr>
        <w:numPr>
          <w:ilvl w:val="0"/>
          <w:numId w:val="1407"/>
        </w:numPr>
        <w:pStyle w:val="Compact"/>
      </w:pPr>
      <w:r>
        <w:t xml:space="preserve">2002 · Muresanu DF ·</w:t>
      </w:r>
      <w:r>
        <w:t xml:space="preserve"> </w:t>
      </w:r>
      <w:r>
        <w:rPr>
          <w:iCs/>
          <w:i/>
        </w:rPr>
        <w:t xml:space="preserve">J Neural Transm Suppl</w:t>
      </w:r>
      <w:r>
        <w:t xml:space="preserve"> </w:t>
      </w:r>
      <w:r>
        <w:t xml:space="preserve">· Improved global function and activities of daily living in patients with AD: a placebo-controlled clinical study with the neurotrophic agent Cerebrolysin. PMID 12456070</w:t>
      </w:r>
    </w:p>
    <w:p>
      <w:pPr>
        <w:numPr>
          <w:ilvl w:val="0"/>
          <w:numId w:val="1407"/>
        </w:numPr>
        <w:pStyle w:val="Compact"/>
      </w:pPr>
      <w:r>
        <w:t xml:space="preserve">2002 · Ruether E ·</w:t>
      </w:r>
      <w:r>
        <w:t xml:space="preserve"> </w:t>
      </w:r>
      <w:r>
        <w:rPr>
          <w:iCs/>
          <w:i/>
        </w:rPr>
        <w:t xml:space="preserve">J Neural Transm Suppl</w:t>
      </w:r>
      <w:r>
        <w:t xml:space="preserve"> </w:t>
      </w:r>
      <w:r>
        <w:t xml:space="preserve">· Sustained improvement of cognition and global function in patients with moderately severe Alzheimer’s disease: a double-blind, placebo-controlled study with the neurotrophic agent Cerebrolysin. PMID 12456069</w:t>
      </w:r>
    </w:p>
    <w:p>
      <w:pPr>
        <w:numPr>
          <w:ilvl w:val="0"/>
          <w:numId w:val="1407"/>
        </w:numPr>
        <w:pStyle w:val="Compact"/>
      </w:pPr>
      <w:r>
        <w:t xml:space="preserve">2002 · Odinak MM ·</w:t>
      </w:r>
      <w:r>
        <w:t xml:space="preserve"> </w:t>
      </w:r>
      <w:r>
        <w:rPr>
          <w:iCs/>
          <w:i/>
        </w:rPr>
        <w:t xml:space="preserve">Zh Nevrol Psikhiatr Im S S Korsakova</w:t>
      </w:r>
      <w:r>
        <w:t xml:space="preserve"> </w:t>
      </w:r>
      <w:r>
        <w:t xml:space="preserve">· [New approaches to antioxidant therapy in multiple sclerosis]. PMID 12418396</w:t>
      </w:r>
    </w:p>
    <w:p>
      <w:pPr>
        <w:numPr>
          <w:ilvl w:val="0"/>
          <w:numId w:val="1407"/>
        </w:numPr>
        <w:pStyle w:val="Compact"/>
      </w:pPr>
      <w:r>
        <w:t xml:space="preserve">2002 · Panisset M ·</w:t>
      </w:r>
      <w:r>
        <w:t xml:space="preserve"> </w:t>
      </w:r>
      <w:r>
        <w:rPr>
          <w:iCs/>
          <w:i/>
        </w:rPr>
        <w:t xml:space="preserve">J Neural Transm (Vienna)</w:t>
      </w:r>
      <w:r>
        <w:t xml:space="preserve"> </w:t>
      </w:r>
      <w:r>
        <w:t xml:space="preserve">· Cerebrolysin in Alzheimer’s disease: a randomized, double-blind, placebo-controlled trial with a neurotrophic agent. PMID 12111446</w:t>
      </w:r>
    </w:p>
    <w:p>
      <w:pPr>
        <w:numPr>
          <w:ilvl w:val="0"/>
          <w:numId w:val="1407"/>
        </w:numPr>
        <w:pStyle w:val="Compact"/>
      </w:pPr>
      <w:r>
        <w:t xml:space="preserve">2001 · Gorbachevskaya N ·</w:t>
      </w:r>
      <w:r>
        <w:t xml:space="preserve"> </w:t>
      </w:r>
      <w:r>
        <w:rPr>
          <w:iCs/>
          <w:i/>
        </w:rPr>
        <w:t xml:space="preserve">Brain Dev</w:t>
      </w:r>
      <w:r>
        <w:t xml:space="preserve"> </w:t>
      </w:r>
      <w:r>
        <w:t xml:space="preserve">· Cerebrolysin therapy in Rett syndrome: clinical and EEG mapping study. PMID 11738849</w:t>
      </w:r>
    </w:p>
    <w:p>
      <w:pPr>
        <w:numPr>
          <w:ilvl w:val="0"/>
          <w:numId w:val="1407"/>
        </w:numPr>
        <w:pStyle w:val="Compact"/>
      </w:pPr>
      <w:r>
        <w:t xml:space="preserve">2001 · Ruether E ·</w:t>
      </w:r>
      <w:r>
        <w:t xml:space="preserve"> </w:t>
      </w:r>
      <w:r>
        <w:rPr>
          <w:iCs/>
          <w:i/>
        </w:rPr>
        <w:t xml:space="preserve">Int Clin Psychopharmacol</w:t>
      </w:r>
      <w:r>
        <w:t xml:space="preserve"> </w:t>
      </w:r>
      <w:r>
        <w:t xml:space="preserve">· A 28-week, double-blind, placebo-controlled study with Cerebrolysin in patients with mild to moderate Alzheimer’s disease. PMID 11552768</w:t>
      </w:r>
    </w:p>
    <w:p>
      <w:pPr>
        <w:numPr>
          <w:ilvl w:val="0"/>
          <w:numId w:val="1407"/>
        </w:numPr>
        <w:pStyle w:val="Compact"/>
      </w:pPr>
      <w:r>
        <w:t xml:space="preserve">2001 · Vereshchagin NV ·</w:t>
      </w:r>
      <w:r>
        <w:t xml:space="preserve"> </w:t>
      </w:r>
      <w:r>
        <w:rPr>
          <w:iCs/>
          <w:i/>
        </w:rPr>
        <w:t xml:space="preserve">Ter Arkh</w:t>
      </w:r>
      <w:r>
        <w:t xml:space="preserve"> </w:t>
      </w:r>
      <w:r>
        <w:t xml:space="preserve">· [Treatment and prevention of cognitive dysfunction in patients with arterial hypertension and atherosclerosis: results of a randomized double-blind placebo-controlled trial of cerebrolysin]. PMID 11494441</w:t>
      </w:r>
    </w:p>
    <w:p>
      <w:pPr>
        <w:numPr>
          <w:ilvl w:val="0"/>
          <w:numId w:val="1407"/>
        </w:numPr>
        <w:pStyle w:val="Compact"/>
      </w:pPr>
      <w:r>
        <w:t xml:space="preserve">2000 · Bae CY ·</w:t>
      </w:r>
      <w:r>
        <w:t xml:space="preserve"> </w:t>
      </w:r>
      <w:r>
        <w:rPr>
          <w:iCs/>
          <w:i/>
        </w:rPr>
        <w:t xml:space="preserve">J Am Geriatr Soc</w:t>
      </w:r>
      <w:r>
        <w:t xml:space="preserve"> </w:t>
      </w:r>
      <w:r>
        <w:t xml:space="preserve">· A double-blind, placebo-controlled, multicenter study of Cerebrolysin for Alzheimer’s disease. PMID 11129744</w:t>
      </w:r>
    </w:p>
    <w:p>
      <w:pPr>
        <w:numPr>
          <w:ilvl w:val="0"/>
          <w:numId w:val="1407"/>
        </w:numPr>
        <w:pStyle w:val="Compact"/>
      </w:pPr>
      <w:r>
        <w:t xml:space="preserve">1999 · Roshchina IF ·</w:t>
      </w:r>
      <w:r>
        <w:t xml:space="preserve"> </w:t>
      </w:r>
      <w:r>
        <w:rPr>
          <w:iCs/>
          <w:i/>
        </w:rPr>
        <w:t xml:space="preserve">Zh Nevrol Psikhiatr Im S S Korsakova</w:t>
      </w:r>
      <w:r>
        <w:t xml:space="preserve"> </w:t>
      </w:r>
      <w:r>
        <w:t xml:space="preserve">· [The influence of cerebrolysin on the efficiency of subsequent therapy with amiridine++ in Alzheimer’s disease patients (neuropsychological investigation)]. PMID 10629930</w:t>
      </w:r>
    </w:p>
    <w:p>
      <w:pPr>
        <w:numPr>
          <w:ilvl w:val="0"/>
          <w:numId w:val="1407"/>
        </w:numPr>
        <w:pStyle w:val="Compact"/>
      </w:pPr>
      <w:r>
        <w:t xml:space="preserve">1998 · Gruzman AV ·</w:t>
      </w:r>
      <w:r>
        <w:t xml:space="preserve"> </w:t>
      </w:r>
      <w:r>
        <w:rPr>
          <w:iCs/>
          <w:i/>
        </w:rPr>
        <w:t xml:space="preserve">Zh Nevrol Psikhiatr Im S S Korsakova</w:t>
      </w:r>
      <w:r>
        <w:t xml:space="preserve"> </w:t>
      </w:r>
      <w:r>
        <w:t xml:space="preserve">· [The effect of cerebrolysin intravenous injections in resistant forms of night enuresis in children]. PMID 9845942</w:t>
      </w:r>
    </w:p>
    <w:p>
      <w:pPr>
        <w:numPr>
          <w:ilvl w:val="0"/>
          <w:numId w:val="1407"/>
        </w:numPr>
        <w:pStyle w:val="Compact"/>
      </w:pPr>
      <w:r>
        <w:t xml:space="preserve">1998 · Funke M ·</w:t>
      </w:r>
      <w:r>
        <w:t xml:space="preserve"> </w:t>
      </w:r>
      <w:r>
        <w:rPr>
          <w:iCs/>
          <w:i/>
        </w:rPr>
        <w:t xml:space="preserve">J Neural Transm Suppl</w:t>
      </w:r>
      <w:r>
        <w:t xml:space="preserve"> </w:t>
      </w:r>
      <w:r>
        <w:t xml:space="preserve">· Dose-dependent effects of Cerebrolysin on EEG and short-term memory of healthy volunteers during control and hyperventilation induced cerebral ischemia. PMID 9700674</w:t>
      </w:r>
    </w:p>
    <w:p>
      <w:pPr>
        <w:numPr>
          <w:ilvl w:val="0"/>
          <w:numId w:val="1407"/>
        </w:numPr>
        <w:pStyle w:val="Compact"/>
      </w:pPr>
      <w:r>
        <w:t xml:space="preserve">1997 · Biesenbach G ·</w:t>
      </w:r>
      <w:r>
        <w:t xml:space="preserve"> </w:t>
      </w:r>
      <w:r>
        <w:rPr>
          <w:iCs/>
          <w:i/>
        </w:rPr>
        <w:t xml:space="preserve">Wien Med Wochenschr</w:t>
      </w:r>
      <w:r>
        <w:t xml:space="preserve"> </w:t>
      </w:r>
      <w:r>
        <w:t xml:space="preserve">· [Cerebrolysin in treatment of painful diabetic neuropathy]. PMID 9173675</w:t>
      </w:r>
    </w:p>
    <w:p>
      <w:pPr>
        <w:numPr>
          <w:ilvl w:val="0"/>
          <w:numId w:val="1407"/>
        </w:numPr>
        <w:pStyle w:val="Compact"/>
      </w:pPr>
      <w:r>
        <w:t xml:space="preserve">1995 · Sidorenko EI ·</w:t>
      </w:r>
      <w:r>
        <w:t xml:space="preserve"> </w:t>
      </w:r>
      <w:r>
        <w:rPr>
          <w:iCs/>
          <w:i/>
        </w:rPr>
        <w:t xml:space="preserve">Zh Nevrol Psikhiatr Im S S Korsakova</w:t>
      </w:r>
      <w:r>
        <w:t xml:space="preserve"> </w:t>
      </w:r>
      <w:r>
        <w:t xml:space="preserve">· [Cerebrolysin in the treatment of partial optic atrophy in children]. PMID 7571926</w:t>
      </w:r>
    </w:p>
    <w:p>
      <w:pPr>
        <w:numPr>
          <w:ilvl w:val="0"/>
          <w:numId w:val="1407"/>
        </w:numPr>
        <w:pStyle w:val="Compact"/>
      </w:pPr>
      <w:r>
        <w:t xml:space="preserve">1994 · Rüther E ·</w:t>
      </w:r>
      <w:r>
        <w:t xml:space="preserve"> </w:t>
      </w:r>
      <w:r>
        <w:rPr>
          <w:iCs/>
          <w:i/>
        </w:rPr>
        <w:t xml:space="preserve">Pharmacopsychiatry</w:t>
      </w:r>
      <w:r>
        <w:t xml:space="preserve"> </w:t>
      </w:r>
      <w:r>
        <w:t xml:space="preserve">· Efficacy of the peptidergic nootropic drug cerebrolysin in patients with senile dementia of the Alzheimer type (SDAT). PMID 8159781</w:t>
      </w:r>
    </w:p>
    <w:p>
      <w:pPr>
        <w:numPr>
          <w:ilvl w:val="0"/>
          <w:numId w:val="1407"/>
        </w:numPr>
        <w:pStyle w:val="Compact"/>
      </w:pPr>
      <w:r>
        <w:t xml:space="preserve">1991 · Vereshchagin NV ·</w:t>
      </w:r>
      <w:r>
        <w:t xml:space="preserve"> </w:t>
      </w:r>
      <w:r>
        <w:rPr>
          <w:iCs/>
          <w:i/>
        </w:rPr>
        <w:t xml:space="preserve">Sov Med</w:t>
      </w:r>
      <w:r>
        <w:t xml:space="preserve"> </w:t>
      </w:r>
      <w:r>
        <w:t xml:space="preserve">· [Mild forms of multi-infarct dementia: effectiveness of cerebrolysin]. PMID 1767322</w:t>
      </w:r>
    </w:p>
    <w:p>
      <w:pPr>
        <w:numPr>
          <w:ilvl w:val="0"/>
          <w:numId w:val="1407"/>
        </w:numPr>
        <w:pStyle w:val="Compact"/>
      </w:pPr>
      <w:r>
        <w:t xml:space="preserve">1990 · Kofler B ·</w:t>
      </w:r>
      <w:r>
        <w:t xml:space="preserve"> </w:t>
      </w:r>
      <w:r>
        <w:rPr>
          <w:iCs/>
          <w:i/>
        </w:rPr>
        <w:t xml:space="preserve">EEG EMG Z Elektroenzephalogr Elektromyogr Verwandte Geb</w:t>
      </w:r>
      <w:r>
        <w:t xml:space="preserve"> </w:t>
      </w:r>
      <w:r>
        <w:t xml:space="preserve">· [The usefulness of event-related negativity in demonstrating the therapeutic effects of nootropic drugs using cerebrolysin as an example]. PMID 2123433</w:t>
      </w:r>
    </w:p>
    <w:bookmarkEnd w:id="1152"/>
    <w:bookmarkStart w:id="1153" w:name="dihexa-0"/>
    <w:p>
      <w:pPr>
        <w:pStyle w:val="Heading2"/>
      </w:pPr>
      <w:r>
        <w:t xml:space="preserve">Dihexa (0)</w:t>
      </w:r>
    </w:p>
    <w:p>
      <w:pPr>
        <w:pStyle w:val="FirstParagraph"/>
      </w:pPr>
      <w:r>
        <w:t xml:space="preserve">No se encontraron publicaciones de estudios clínicos en humanos.</w:t>
      </w:r>
    </w:p>
    <w:bookmarkEnd w:id="1153"/>
    <w:bookmarkStart w:id="1154" w:name="dsip-péptido-inductor-del-sueño-delta-18"/>
    <w:p>
      <w:pPr>
        <w:pStyle w:val="Heading2"/>
      </w:pPr>
      <w:r>
        <w:t xml:space="preserve">DSIP (péptido inductor del sueño delta) (18)</w:t>
      </w:r>
    </w:p>
    <w:p>
      <w:pPr>
        <w:numPr>
          <w:ilvl w:val="0"/>
          <w:numId w:val="1408"/>
        </w:numPr>
        <w:pStyle w:val="Compact"/>
      </w:pPr>
      <w:r>
        <w:t xml:space="preserve">2016 · Zhao L ·</w:t>
      </w:r>
      <w:r>
        <w:t xml:space="preserve"> </w:t>
      </w:r>
      <w:r>
        <w:rPr>
          <w:iCs/>
          <w:i/>
        </w:rPr>
        <w:t xml:space="preserve">Eur Spine J</w:t>
      </w:r>
      <w:r>
        <w:t xml:space="preserve"> </w:t>
      </w:r>
      <w:r>
        <w:t xml:space="preserve">· An RCT study on the feasibility of anterior transpedicular screw fixation in the cervicothoracic junction. PMID 26931331</w:t>
      </w:r>
    </w:p>
    <w:p>
      <w:pPr>
        <w:numPr>
          <w:ilvl w:val="0"/>
          <w:numId w:val="1408"/>
        </w:numPr>
        <w:pStyle w:val="Compact"/>
      </w:pPr>
      <w:r>
        <w:t xml:space="preserve">2014 · Kresiun NV ·</w:t>
      </w:r>
      <w:r>
        <w:t xml:space="preserve"> </w:t>
      </w:r>
      <w:r>
        <w:rPr>
          <w:iCs/>
          <w:i/>
        </w:rPr>
        <w:t xml:space="preserve">Eksp Klin Farmakol</w:t>
      </w:r>
      <w:r>
        <w:t xml:space="preserve"> </w:t>
      </w:r>
      <w:r>
        <w:t xml:space="preserve">· [Using deltalicin for the treatment of patients with diabetic retinopathy]. PMID 25739189</w:t>
      </w:r>
    </w:p>
    <w:p>
      <w:pPr>
        <w:numPr>
          <w:ilvl w:val="0"/>
          <w:numId w:val="1408"/>
        </w:numPr>
        <w:pStyle w:val="Compact"/>
      </w:pPr>
      <w:r>
        <w:t xml:space="preserve">2009 · Pomfrett CJ ·</w:t>
      </w:r>
      <w:r>
        <w:t xml:space="preserve"> </w:t>
      </w:r>
      <w:r>
        <w:rPr>
          <w:iCs/>
          <w:i/>
        </w:rPr>
        <w:t xml:space="preserve">Eur J Anaesthesiol</w:t>
      </w:r>
      <w:r>
        <w:t xml:space="preserve"> </w:t>
      </w:r>
      <w:r>
        <w:t xml:space="preserve">· Delta sleep-inducing peptide alters bispectral index, the electroencephalogram and heart rate variability when used as an adjunct to isoflurane anaesthesia. PMID 19142086</w:t>
      </w:r>
    </w:p>
    <w:p>
      <w:pPr>
        <w:numPr>
          <w:ilvl w:val="0"/>
          <w:numId w:val="1408"/>
        </w:numPr>
        <w:pStyle w:val="Compact"/>
      </w:pPr>
      <w:r>
        <w:t xml:space="preserve">1998 · Backmund M ·</w:t>
      </w:r>
      <w:r>
        <w:t xml:space="preserve"> </w:t>
      </w:r>
      <w:r>
        <w:rPr>
          <w:iCs/>
          <w:i/>
        </w:rPr>
        <w:t xml:space="preserve">J Clin Psychopharmacol</w:t>
      </w:r>
      <w:r>
        <w:t xml:space="preserve"> </w:t>
      </w:r>
      <w:r>
        <w:t xml:space="preserve">· Opioid detoxification with delta sleep-inducing peptide: results of an open clinical trial. PMID 9617990</w:t>
      </w:r>
    </w:p>
    <w:p>
      <w:pPr>
        <w:numPr>
          <w:ilvl w:val="0"/>
          <w:numId w:val="1408"/>
        </w:numPr>
        <w:pStyle w:val="Compact"/>
      </w:pPr>
      <w:r>
        <w:t xml:space="preserve">1995 · Späth-Schwalbe E ·</w:t>
      </w:r>
      <w:r>
        <w:t xml:space="preserve"> </w:t>
      </w:r>
      <w:r>
        <w:rPr>
          <w:iCs/>
          <w:i/>
        </w:rPr>
        <w:t xml:space="preserve">Psychoneuroendocrinology</w:t>
      </w:r>
      <w:r>
        <w:t xml:space="preserve"> </w:t>
      </w:r>
      <w:r>
        <w:t xml:space="preserve">· Delta-sleep-inducing peptide does not affect CRH and meal-induced ACTH and cortisol secretion. PMID 7777652</w:t>
      </w:r>
    </w:p>
    <w:p>
      <w:pPr>
        <w:numPr>
          <w:ilvl w:val="0"/>
          <w:numId w:val="1408"/>
        </w:numPr>
        <w:pStyle w:val="Compact"/>
      </w:pPr>
      <w:r>
        <w:t xml:space="preserve">1994 · Schulz P ·</w:t>
      </w:r>
      <w:r>
        <w:t xml:space="preserve"> </w:t>
      </w:r>
      <w:r>
        <w:rPr>
          <w:iCs/>
          <w:i/>
        </w:rPr>
        <w:t xml:space="preserve">Chronobiol Int</w:t>
      </w:r>
      <w:r>
        <w:t xml:space="preserve"> </w:t>
      </w:r>
      <w:r>
        <w:t xml:space="preserve">· Plasma concentration of nine hormones and neurotransmitters during usual activities or constant bed rest for 34 H. PMID 7895296</w:t>
      </w:r>
    </w:p>
    <w:p>
      <w:pPr>
        <w:numPr>
          <w:ilvl w:val="0"/>
          <w:numId w:val="1408"/>
        </w:numPr>
        <w:pStyle w:val="Compact"/>
      </w:pPr>
      <w:r>
        <w:t xml:space="preserve">1994 · Chiodera P ·</w:t>
      </w:r>
      <w:r>
        <w:t xml:space="preserve"> </w:t>
      </w:r>
      <w:r>
        <w:rPr>
          <w:iCs/>
          <w:i/>
        </w:rPr>
        <w:t xml:space="preserve">Horm Res</w:t>
      </w:r>
      <w:r>
        <w:t xml:space="preserve"> </w:t>
      </w:r>
      <w:r>
        <w:t xml:space="preserve">· Different effects of delta-sleep-inducing peptide on arginine-vasopressin and ACTH secretion in normal men. PMID 7698722</w:t>
      </w:r>
    </w:p>
    <w:p>
      <w:pPr>
        <w:numPr>
          <w:ilvl w:val="0"/>
          <w:numId w:val="1408"/>
        </w:numPr>
        <w:pStyle w:val="Compact"/>
      </w:pPr>
      <w:r>
        <w:t xml:space="preserve">1993 · Giusti M ·</w:t>
      </w:r>
      <w:r>
        <w:t xml:space="preserve"> </w:t>
      </w:r>
      <w:r>
        <w:rPr>
          <w:iCs/>
          <w:i/>
        </w:rPr>
        <w:t xml:space="preserve">Psychoneuroendocrinology</w:t>
      </w:r>
      <w:r>
        <w:t xml:space="preserve"> </w:t>
      </w:r>
      <w:r>
        <w:t xml:space="preserve">· Delta sleep-inducing peptide administration does not influence growth hormone and prolactin secretion in normal women. PMID 8475226</w:t>
      </w:r>
    </w:p>
    <w:p>
      <w:pPr>
        <w:numPr>
          <w:ilvl w:val="0"/>
          <w:numId w:val="1408"/>
        </w:numPr>
        <w:pStyle w:val="Compact"/>
      </w:pPr>
      <w:r>
        <w:t xml:space="preserve">1992 · Bes F ·</w:t>
      </w:r>
      <w:r>
        <w:t xml:space="preserve"> </w:t>
      </w:r>
      <w:r>
        <w:rPr>
          <w:iCs/>
          <w:i/>
        </w:rPr>
        <w:t xml:space="preserve">Neuropsychobiology</w:t>
      </w:r>
      <w:r>
        <w:t xml:space="preserve"> </w:t>
      </w:r>
      <w:r>
        <w:t xml:space="preserve">· Effects of delta sleep-inducing peptide on sleep of chronic insomniac patients. A double-blind study. PMID 1299794</w:t>
      </w:r>
    </w:p>
    <w:p>
      <w:pPr>
        <w:numPr>
          <w:ilvl w:val="0"/>
          <w:numId w:val="1408"/>
        </w:numPr>
        <w:pStyle w:val="Compact"/>
      </w:pPr>
      <w:r>
        <w:t xml:space="preserve">1989 · Bjartell A ·</w:t>
      </w:r>
      <w:r>
        <w:t xml:space="preserve"> </w:t>
      </w:r>
      <w:r>
        <w:rPr>
          <w:iCs/>
          <w:i/>
        </w:rPr>
        <w:t xml:space="preserve">Psychoneuroendocrinology</w:t>
      </w:r>
      <w:r>
        <w:t xml:space="preserve"> </w:t>
      </w:r>
      <w:r>
        <w:t xml:space="preserve">· Reduction of immunoreactive ACTH in plasma following intravenous injection of delta sleep-inducing peptide in man. PMID 2554357</w:t>
      </w:r>
    </w:p>
    <w:p>
      <w:pPr>
        <w:numPr>
          <w:ilvl w:val="0"/>
          <w:numId w:val="1408"/>
        </w:numPr>
        <w:pStyle w:val="Compact"/>
      </w:pPr>
      <w:r>
        <w:t xml:space="preserve">1987 · Schneider-Helmert D ·</w:t>
      </w:r>
      <w:r>
        <w:t xml:space="preserve"> </w:t>
      </w:r>
      <w:r>
        <w:rPr>
          <w:iCs/>
          <w:i/>
        </w:rPr>
        <w:t xml:space="preserve">Eur Neurol</w:t>
      </w:r>
      <w:r>
        <w:t xml:space="preserve"> </w:t>
      </w:r>
      <w:r>
        <w:t xml:space="preserve">· Effects of delta-sleep-inducing peptide on 24-hour sleep-wake behaviour in severe chronic insomnia. PMID 3622582</w:t>
      </w:r>
    </w:p>
    <w:p>
      <w:pPr>
        <w:numPr>
          <w:ilvl w:val="0"/>
          <w:numId w:val="1408"/>
        </w:numPr>
        <w:pStyle w:val="Compact"/>
      </w:pPr>
      <w:r>
        <w:t xml:space="preserve">1987 · Monti JM ·</w:t>
      </w:r>
      <w:r>
        <w:t xml:space="preserve"> </w:t>
      </w:r>
      <w:r>
        <w:rPr>
          <w:iCs/>
          <w:i/>
        </w:rPr>
        <w:t xml:space="preserve">Int J Clin Pharmacol Res</w:t>
      </w:r>
      <w:r>
        <w:t xml:space="preserve"> </w:t>
      </w:r>
      <w:r>
        <w:t xml:space="preserve">· Study of delta sleep-inducing peptide efficacy in improving sleep on short-term administration to chronic insomniacs. PMID 3583493</w:t>
      </w:r>
    </w:p>
    <w:p>
      <w:pPr>
        <w:numPr>
          <w:ilvl w:val="0"/>
          <w:numId w:val="1408"/>
        </w:numPr>
        <w:pStyle w:val="Compact"/>
      </w:pPr>
      <w:r>
        <w:t xml:space="preserve">1984 · Kaeser HE ·</w:t>
      </w:r>
      <w:r>
        <w:t xml:space="preserve"> </w:t>
      </w:r>
      <w:r>
        <w:rPr>
          <w:iCs/>
          <w:i/>
        </w:rPr>
        <w:t xml:space="preserve">Eur Neurol</w:t>
      </w:r>
      <w:r>
        <w:t xml:space="preserve"> </w:t>
      </w:r>
      <w:r>
        <w:t xml:space="preserve">· A clinical trial with DSIP. PMID 6391926</w:t>
      </w:r>
    </w:p>
    <w:p>
      <w:pPr>
        <w:numPr>
          <w:ilvl w:val="0"/>
          <w:numId w:val="1408"/>
        </w:numPr>
        <w:pStyle w:val="Compact"/>
      </w:pPr>
      <w:r>
        <w:t xml:space="preserve">1984 · Schneider-Helmert D ·</w:t>
      </w:r>
      <w:r>
        <w:t xml:space="preserve"> </w:t>
      </w:r>
      <w:r>
        <w:rPr>
          <w:iCs/>
          <w:i/>
        </w:rPr>
        <w:t xml:space="preserve">Eur Neurol</w:t>
      </w:r>
      <w:r>
        <w:t xml:space="preserve"> </w:t>
      </w:r>
      <w:r>
        <w:t xml:space="preserve">· DSIP in insomnia. PMID 6391925</w:t>
      </w:r>
    </w:p>
    <w:p>
      <w:pPr>
        <w:numPr>
          <w:ilvl w:val="0"/>
          <w:numId w:val="1408"/>
        </w:numPr>
        <w:pStyle w:val="Compact"/>
      </w:pPr>
      <w:r>
        <w:t xml:space="preserve">1983 · Schneider-Helmert D ·</w:t>
      </w:r>
      <w:r>
        <w:t xml:space="preserve"> </w:t>
      </w:r>
      <w:r>
        <w:rPr>
          <w:iCs/>
          <w:i/>
        </w:rPr>
        <w:t xml:space="preserve">Neuropsychobiology</w:t>
      </w:r>
      <w:r>
        <w:t xml:space="preserve"> </w:t>
      </w:r>
      <w:r>
        <w:t xml:space="preserve">· Effects of DSIP in man. Multifunctional psychophysiological properties besides induction of natural sleep. PMID 6689058</w:t>
      </w:r>
    </w:p>
    <w:p>
      <w:pPr>
        <w:numPr>
          <w:ilvl w:val="0"/>
          <w:numId w:val="1408"/>
        </w:numPr>
        <w:pStyle w:val="Compact"/>
      </w:pPr>
      <w:r>
        <w:t xml:space="preserve">1981 · Schneider-Helmert D ·</w:t>
      </w:r>
      <w:r>
        <w:t xml:space="preserve"> </w:t>
      </w:r>
      <w:r>
        <w:rPr>
          <w:iCs/>
          <w:i/>
        </w:rPr>
        <w:t xml:space="preserve">Experientia</w:t>
      </w:r>
      <w:r>
        <w:t xml:space="preserve"> </w:t>
      </w:r>
      <w:r>
        <w:t xml:space="preserve">· The influence of synthetic DSIP (delta-sleep-inducing-peptide) on disturbed human sleep. PMID 7028502</w:t>
      </w:r>
    </w:p>
    <w:p>
      <w:pPr>
        <w:numPr>
          <w:ilvl w:val="0"/>
          <w:numId w:val="1408"/>
        </w:numPr>
        <w:pStyle w:val="Compact"/>
      </w:pPr>
      <w:r>
        <w:t xml:space="preserve">1981 · Schneider-Helmert D ·</w:t>
      </w:r>
      <w:r>
        <w:t xml:space="preserve"> </w:t>
      </w:r>
      <w:r>
        <w:rPr>
          <w:iCs/>
          <w:i/>
        </w:rPr>
        <w:t xml:space="preserve">Int J Clin Pharmacol Ther Toxicol</w:t>
      </w:r>
      <w:r>
        <w:t xml:space="preserve"> </w:t>
      </w:r>
      <w:r>
        <w:t xml:space="preserve">· Acute and delayed effects of DSIP (delta sleep-inducing peptide) on human sleep behavior. PMID 6895513</w:t>
      </w:r>
    </w:p>
    <w:p>
      <w:pPr>
        <w:numPr>
          <w:ilvl w:val="0"/>
          <w:numId w:val="1408"/>
        </w:numPr>
        <w:pStyle w:val="Compact"/>
      </w:pPr>
      <w:r>
        <w:t xml:space="preserve">1981 · Schneider-Helmert D ·</w:t>
      </w:r>
      <w:r>
        <w:t xml:space="preserve"> </w:t>
      </w:r>
      <w:r>
        <w:rPr>
          <w:iCs/>
          <w:i/>
        </w:rPr>
        <w:t xml:space="preserve">Lancet</w:t>
      </w:r>
      <w:r>
        <w:t xml:space="preserve"> </w:t>
      </w:r>
      <w:r>
        <w:t xml:space="preserve">· Synthetic delta-sleep-inducing peptide improves sleep in insomniacs. PMID 6112579</w:t>
      </w:r>
    </w:p>
    <w:bookmarkEnd w:id="1154"/>
    <w:bookmarkStart w:id="1155" w:name="epitalon-epithalon-1"/>
    <w:p>
      <w:pPr>
        <w:pStyle w:val="Heading2"/>
      </w:pPr>
      <w:r>
        <w:t xml:space="preserve">Epitalon (Epithalon) (1)</w:t>
      </w:r>
    </w:p>
    <w:p>
      <w:pPr>
        <w:numPr>
          <w:ilvl w:val="0"/>
          <w:numId w:val="1409"/>
        </w:numPr>
        <w:pStyle w:val="Compact"/>
      </w:pPr>
      <w:r>
        <w:t xml:space="preserve">2002 · Khavinson V ·</w:t>
      </w:r>
      <w:r>
        <w:t xml:space="preserve"> </w:t>
      </w:r>
      <w:r>
        <w:rPr>
          <w:iCs/>
          <w:i/>
        </w:rPr>
        <w:t xml:space="preserve">Neuro Endocrinol Lett</w:t>
      </w:r>
      <w:r>
        <w:t xml:space="preserve"> </w:t>
      </w:r>
      <w:r>
        <w:t xml:space="preserve">· Pineal-regulating tetrapeptide epitalon improves eye retina condition in retinitis pigmentosa. PMID 12195242</w:t>
      </w:r>
    </w:p>
    <w:bookmarkEnd w:id="1155"/>
    <w:bookmarkStart w:id="1156" w:name="pinealon-1"/>
    <w:p>
      <w:pPr>
        <w:pStyle w:val="Heading2"/>
      </w:pPr>
      <w:r>
        <w:t xml:space="preserve">Pinealon (1)</w:t>
      </w:r>
    </w:p>
    <w:p>
      <w:pPr>
        <w:numPr>
          <w:ilvl w:val="0"/>
          <w:numId w:val="1410"/>
        </w:numPr>
        <w:pStyle w:val="Compact"/>
      </w:pPr>
      <w:r>
        <w:t xml:space="preserve">2012 · Bashkireva AS ·</w:t>
      </w:r>
      <w:r>
        <w:t xml:space="preserve"> </w:t>
      </w:r>
      <w:r>
        <w:rPr>
          <w:iCs/>
          <w:i/>
        </w:rPr>
        <w:t xml:space="preserve">Adv Gerontol</w:t>
      </w:r>
      <w:r>
        <w:t xml:space="preserve"> </w:t>
      </w:r>
      <w:r>
        <w:t xml:space="preserve">· [The peptide correction of neurotic disorders among professional truck-drivers]. PMID 23734521</w:t>
      </w:r>
    </w:p>
    <w:bookmarkEnd w:id="1156"/>
    <w:bookmarkStart w:id="1157" w:name="mots-c-5"/>
    <w:p>
      <w:pPr>
        <w:pStyle w:val="Heading2"/>
      </w:pPr>
      <w:r>
        <w:t xml:space="preserve">MOTS-c (5)</w:t>
      </w:r>
    </w:p>
    <w:p>
      <w:pPr>
        <w:numPr>
          <w:ilvl w:val="0"/>
          <w:numId w:val="1411"/>
        </w:numPr>
        <w:pStyle w:val="Compact"/>
      </w:pPr>
      <w:r>
        <w:t xml:space="preserve">2025 · Elhusseiny R ·</w:t>
      </w:r>
      <w:r>
        <w:t xml:space="preserve"> </w:t>
      </w:r>
      <w:r>
        <w:rPr>
          <w:iCs/>
          <w:i/>
        </w:rPr>
        <w:t xml:space="preserve">Med Sci Sports Exerc</w:t>
      </w:r>
      <w:r>
        <w:t xml:space="preserve"> </w:t>
      </w:r>
      <w:r>
        <w:t xml:space="preserve">· Repeated Heat Stress Modulates the Levels of the Mitokines MOTS-C and FGF21 in Active Men during Calf Muscle Immobilization. PMID 40674654</w:t>
      </w:r>
    </w:p>
    <w:p>
      <w:pPr>
        <w:numPr>
          <w:ilvl w:val="0"/>
          <w:numId w:val="1411"/>
        </w:numPr>
        <w:pStyle w:val="Compact"/>
      </w:pPr>
      <w:r>
        <w:t xml:space="preserve">2022 · Cuyàs E ·</w:t>
      </w:r>
      <w:r>
        <w:t xml:space="preserve"> </w:t>
      </w:r>
      <w:r>
        <w:rPr>
          <w:iCs/>
          <w:i/>
        </w:rPr>
        <w:t xml:space="preserve">Aging (Albany NY)</w:t>
      </w:r>
      <w:r>
        <w:t xml:space="preserve"> </w:t>
      </w:r>
      <w:r>
        <w:t xml:space="preserve">· Circulating levels of MOTS-c in patients with breast cancer treated with metformin. PMID 36490309</w:t>
      </w:r>
    </w:p>
    <w:p>
      <w:pPr>
        <w:numPr>
          <w:ilvl w:val="0"/>
          <w:numId w:val="1411"/>
        </w:numPr>
        <w:pStyle w:val="Compact"/>
      </w:pPr>
      <w:r>
        <w:t xml:space="preserve">2021 · Dieli-Conwright CM ·</w:t>
      </w:r>
      <w:r>
        <w:t xml:space="preserve"> </w:t>
      </w:r>
      <w:r>
        <w:rPr>
          <w:iCs/>
          <w:i/>
        </w:rPr>
        <w:t xml:space="preserve">Sci Rep</w:t>
      </w:r>
      <w:r>
        <w:t xml:space="preserve"> </w:t>
      </w:r>
      <w:r>
        <w:t xml:space="preserve">· Effect of aerobic and resistance exercise on the mitochondrial peptide MOTS-c in Hispanic and Non-Hispanic White breast cancer survivors. PMID 34413391</w:t>
      </w:r>
    </w:p>
    <w:p>
      <w:pPr>
        <w:numPr>
          <w:ilvl w:val="0"/>
          <w:numId w:val="1411"/>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1"/>
        </w:numPr>
        <w:pStyle w:val="Compact"/>
      </w:pPr>
      <w:r>
        <w:t xml:space="preserve">2020 · Ikonomidis I ·</w:t>
      </w:r>
      <w:r>
        <w:t xml:space="preserve"> </w:t>
      </w:r>
      <w:r>
        <w:rPr>
          <w:iCs/>
          <w:i/>
        </w:rPr>
        <w:t xml:space="preserve">J Thromb Thrombolysis</w:t>
      </w:r>
      <w:r>
        <w:t xml:space="preserve"> </w:t>
      </w:r>
      <w:r>
        <w:t xml:space="preserve">· β-Amyloid and mitochondrial-derived peptide-c are additive predictors of adverse outcome to high-on-treatment platelet reactivity in type 2 diabetics with revascularized coronary artery disease. PMID 32052315</w:t>
      </w:r>
    </w:p>
    <w:bookmarkEnd w:id="1157"/>
    <w:bookmarkStart w:id="1158" w:name="humanina-8"/>
    <w:p>
      <w:pPr>
        <w:pStyle w:val="Heading2"/>
      </w:pPr>
      <w:r>
        <w:t xml:space="preserve">Humanina (8)</w:t>
      </w:r>
    </w:p>
    <w:p>
      <w:pPr>
        <w:numPr>
          <w:ilvl w:val="0"/>
          <w:numId w:val="1412"/>
        </w:numPr>
        <w:pStyle w:val="Compact"/>
      </w:pPr>
      <w:r>
        <w:t xml:space="preserve">2026 · Hosseini MH ·</w:t>
      </w:r>
      <w:r>
        <w:t xml:space="preserve"> </w:t>
      </w:r>
      <w:r>
        <w:rPr>
          <w:iCs/>
          <w:i/>
        </w:rPr>
        <w:t xml:space="preserve">BMC Geriatr</w:t>
      </w:r>
      <w:r>
        <w:t xml:space="preserve"> </w:t>
      </w:r>
      <w:r>
        <w:t xml:space="preserve">· Preserving brain health in aging: structural and biochemical benefits of water based resistance training, a randomized controlled trial. PMID 41975304</w:t>
      </w:r>
    </w:p>
    <w:p>
      <w:pPr>
        <w:numPr>
          <w:ilvl w:val="0"/>
          <w:numId w:val="1412"/>
        </w:numPr>
        <w:pStyle w:val="Compact"/>
      </w:pPr>
      <w:r>
        <w:t xml:space="preserve">2025 · Basereh A ·</w:t>
      </w:r>
      <w:r>
        <w:t xml:space="preserve"> </w:t>
      </w:r>
      <w:r>
        <w:rPr>
          <w:iCs/>
          <w:i/>
        </w:rPr>
        <w:t xml:space="preserve">Sci Rep</w:t>
      </w:r>
      <w:r>
        <w:t xml:space="preserve"> </w:t>
      </w:r>
      <w:r>
        <w:t xml:space="preserve">· Redox-sensitive miRNAs and Humanin could mediate effects of exercise and astaxanthin on oxidative stress and inflammation in type 2 diabetes. PMID 41249265</w:t>
      </w:r>
    </w:p>
    <w:p>
      <w:pPr>
        <w:numPr>
          <w:ilvl w:val="0"/>
          <w:numId w:val="1412"/>
        </w:numPr>
        <w:pStyle w:val="Compact"/>
      </w:pPr>
      <w:r>
        <w:t xml:space="preserve">2023 · Delgado-Peraza F ·</w:t>
      </w:r>
      <w:r>
        <w:t xml:space="preserve"> </w:t>
      </w:r>
      <w:r>
        <w:rPr>
          <w:iCs/>
          <w:i/>
        </w:rPr>
        <w:t xml:space="preserve">Alzheimers Res Ther</w:t>
      </w:r>
      <w:r>
        <w:t xml:space="preserve"> </w:t>
      </w:r>
      <w:r>
        <w:t xml:space="preserve">· Neuron-derived extracellular vesicles in blood reveal effects of exercise in Alzheimer’s disease. PMID 37730689</w:t>
      </w:r>
    </w:p>
    <w:p>
      <w:pPr>
        <w:numPr>
          <w:ilvl w:val="0"/>
          <w:numId w:val="1412"/>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2"/>
        </w:numPr>
        <w:pStyle w:val="Compact"/>
      </w:pPr>
      <w:r>
        <w:t xml:space="preserve">2019 · Xu Y ·</w:t>
      </w:r>
      <w:r>
        <w:t xml:space="preserve"> </w:t>
      </w:r>
      <w:r>
        <w:rPr>
          <w:iCs/>
          <w:i/>
        </w:rPr>
        <w:t xml:space="preserve">Cell Transplant</w:t>
      </w:r>
      <w:r>
        <w:t xml:space="preserve"> </w:t>
      </w:r>
      <w:r>
        <w:t xml:space="preserve">· Protective Effect of Hyperbaric Oxygen Therapy on Cognitive Function in Patients with Vascular Dementia. PMID 31134827</w:t>
      </w:r>
    </w:p>
    <w:p>
      <w:pPr>
        <w:numPr>
          <w:ilvl w:val="0"/>
          <w:numId w:val="1412"/>
        </w:numPr>
        <w:pStyle w:val="Compact"/>
      </w:pPr>
      <w:r>
        <w:t xml:space="preserve">2019 · Shen Y ·</w:t>
      </w:r>
      <w:r>
        <w:t xml:space="preserve"> </w:t>
      </w:r>
      <w:r>
        <w:rPr>
          <w:iCs/>
          <w:i/>
        </w:rPr>
        <w:t xml:space="preserve">Stroke</w:t>
      </w:r>
      <w:r>
        <w:t xml:space="preserve"> </w:t>
      </w:r>
      <w:r>
        <w:t xml:space="preserve">· Epigenome-Wide Association Study Indicates Hypomethylation of MTRNR2L8 in Large-Artery Atherosclerosis Stroke. PMID 31084332</w:t>
      </w:r>
    </w:p>
    <w:p>
      <w:pPr>
        <w:numPr>
          <w:ilvl w:val="0"/>
          <w:numId w:val="1412"/>
        </w:numPr>
        <w:pStyle w:val="Compact"/>
      </w:pPr>
      <w:r>
        <w:t xml:space="preserve">2017 · Nashine S ·</w:t>
      </w:r>
      <w:r>
        <w:t xml:space="preserve"> </w:t>
      </w:r>
      <w:r>
        <w:rPr>
          <w:iCs/>
          <w:i/>
        </w:rPr>
        <w:t xml:space="preserve">Cell Death Dis</w:t>
      </w:r>
      <w:r>
        <w:t xml:space="preserve"> </w:t>
      </w:r>
      <w:r>
        <w:t xml:space="preserve">· Humanin G (HNG) protects age-related macular degeneration (AMD) transmitochondrial ARPE-19 cybrids from mitochondrial and cellular damage. PMID 28726777</w:t>
      </w:r>
    </w:p>
    <w:p>
      <w:pPr>
        <w:numPr>
          <w:ilvl w:val="0"/>
          <w:numId w:val="1412"/>
        </w:numPr>
        <w:pStyle w:val="Compact"/>
      </w:pPr>
      <w:r>
        <w:t xml:space="preserve">2016 · Gidlund EK ·</w:t>
      </w:r>
      <w:r>
        <w:t xml:space="preserve"> </w:t>
      </w:r>
      <w:r>
        <w:rPr>
          <w:iCs/>
          <w:i/>
        </w:rPr>
        <w:t xml:space="preserve">Physiol Rep</w:t>
      </w:r>
      <w:r>
        <w:t xml:space="preserve"> </w:t>
      </w:r>
      <w:r>
        <w:t xml:space="preserve">· Humanin skeletal muscle protein levels increase after resistance training in men with impaired glucose metabolism. PMID 27923980</w:t>
      </w:r>
    </w:p>
    <w:bookmarkEnd w:id="1158"/>
    <w:bookmarkStart w:id="1159" w:name="ss-31-elamipretida-19"/>
    <w:p>
      <w:pPr>
        <w:pStyle w:val="Heading2"/>
      </w:pPr>
      <w:r>
        <w:t xml:space="preserve">SS-31 (elamipretida) (19)</w:t>
      </w:r>
    </w:p>
    <w:p>
      <w:pPr>
        <w:numPr>
          <w:ilvl w:val="0"/>
          <w:numId w:val="1413"/>
        </w:numPr>
        <w:pStyle w:val="Compact"/>
      </w:pPr>
      <w:r>
        <w:t xml:space="preserve">2025 · Gwaltney C ·</w:t>
      </w:r>
      <w:r>
        <w:t xml:space="preserve"> </w:t>
      </w:r>
      <w:r>
        <w:rPr>
          <w:iCs/>
          <w:i/>
        </w:rPr>
        <w:t xml:space="preserve">Orphanet J Rare Dis</w:t>
      </w:r>
      <w:r>
        <w:t xml:space="preserve"> </w:t>
      </w:r>
      <w:r>
        <w:t xml:space="preserve">· Initial Psychometric Evaluation of the Barth Syndrome Symptom Assessment (BTHS-SA) for Adolescents and Adults in a Phase 2 Clinical Study. PMID 40281531</w:t>
      </w:r>
    </w:p>
    <w:p>
      <w:pPr>
        <w:numPr>
          <w:ilvl w:val="0"/>
          <w:numId w:val="1413"/>
        </w:numPr>
        <w:pStyle w:val="Compact"/>
      </w:pPr>
      <w:r>
        <w:t xml:space="preserve">2024 · Karaa A ·</w:t>
      </w:r>
      <w:r>
        <w:t xml:space="preserve"> </w:t>
      </w:r>
      <w:r>
        <w:rPr>
          <w:iCs/>
          <w:i/>
        </w:rPr>
        <w:t xml:space="preserve">Orphanet J Rare Dis</w:t>
      </w:r>
      <w:r>
        <w:t xml:space="preserve"> </w:t>
      </w:r>
      <w:r>
        <w:t xml:space="preserve">· Genotype-specific effects of elamipretide in patients with primary mitochondrial myopathy: a post hoc analysis of the MMPOWER-3 trial. PMID 39574155</w:t>
      </w:r>
    </w:p>
    <w:p>
      <w:pPr>
        <w:numPr>
          <w:ilvl w:val="0"/>
          <w:numId w:val="1413"/>
        </w:numPr>
        <w:pStyle w:val="Compact"/>
      </w:pPr>
      <w:r>
        <w:t xml:space="preserve">2024 · Sherrod CF 4th ·</w:t>
      </w:r>
      <w:r>
        <w:t xml:space="preserve"> </w:t>
      </w:r>
      <w:r>
        <w:rPr>
          <w:iCs/>
          <w:i/>
        </w:rPr>
        <w:t xml:space="preserve">J Am Coll Cardiol</w:t>
      </w:r>
      <w:r>
        <w:t xml:space="preserve"> </w:t>
      </w:r>
      <w:r>
        <w:t xml:space="preserve">· Effect of Aficamten on Health Status Outcomes in Obstructive Hypertrophic Cardiomyopathy: Results From SEQUOIA-HCM. PMID 39217569</w:t>
      </w:r>
    </w:p>
    <w:p>
      <w:pPr>
        <w:numPr>
          <w:ilvl w:val="0"/>
          <w:numId w:val="1413"/>
        </w:numPr>
        <w:pStyle w:val="Compact"/>
      </w:pPr>
      <w:r>
        <w:t xml:space="preserve">2024 · Thompson WR ·</w:t>
      </w:r>
      <w:r>
        <w:t xml:space="preserve"> </w:t>
      </w:r>
      <w:r>
        <w:rPr>
          <w:iCs/>
          <w:i/>
        </w:rPr>
        <w:t xml:space="preserve">Genet Med</w:t>
      </w:r>
      <w:r>
        <w:t xml:space="preserve"> </w:t>
      </w:r>
      <w:r>
        <w:t xml:space="preserve">· Long-term efficacy and safety of elamipretide in patients with Barth syndrome: 168-week open-label extension results of TAZPOWER. PMID 38602181</w:t>
      </w:r>
    </w:p>
    <w:p>
      <w:pPr>
        <w:numPr>
          <w:ilvl w:val="0"/>
          <w:numId w:val="1413"/>
        </w:numPr>
        <w:pStyle w:val="Compact"/>
      </w:pPr>
      <w:r>
        <w:t xml:space="preserve">2024 · Karanjia R ·</w:t>
      </w:r>
      <w:r>
        <w:t xml:space="preserve"> </w:t>
      </w:r>
      <w:r>
        <w:rPr>
          <w:iCs/>
          <w:i/>
        </w:rPr>
        <w:t xml:space="preserve">Ophthalmology</w:t>
      </w:r>
      <w:r>
        <w:t xml:space="preserve"> </w:t>
      </w:r>
      <w:r>
        <w:t xml:space="preserve">· Elamipretide Topical Ophthalmic Solution for the Treatment of Subjects with Leber Hereditary Optic Neuropathy: A Randomized Trial. PMID 37923251</w:t>
      </w:r>
    </w:p>
    <w:p>
      <w:pPr>
        <w:numPr>
          <w:ilvl w:val="0"/>
          <w:numId w:val="1413"/>
        </w:numPr>
        <w:pStyle w:val="Compact"/>
      </w:pPr>
      <w:r>
        <w:t xml:space="preserve">2023 · Karaa A ·</w:t>
      </w:r>
      <w:r>
        <w:t xml:space="preserve"> </w:t>
      </w:r>
      <w:r>
        <w:rPr>
          <w:iCs/>
          <w:i/>
        </w:rPr>
        <w:t xml:space="preserve">Neurology</w:t>
      </w:r>
      <w:r>
        <w:t xml:space="preserve"> </w:t>
      </w:r>
      <w:r>
        <w:t xml:space="preserve">· Efficacy and Safety of Elamipretide in Individuals With Primary Mitochondrial Myopathy: The MMPOWER-3 Randomized Clinical Trial. PMID 37268435</w:t>
      </w:r>
    </w:p>
    <w:p>
      <w:pPr>
        <w:numPr>
          <w:ilvl w:val="0"/>
          <w:numId w:val="1413"/>
        </w:numPr>
        <w:pStyle w:val="Compact"/>
      </w:pPr>
      <w:r>
        <w:t xml:space="preserve">2023 · Van den Eynde J ·</w:t>
      </w:r>
      <w:r>
        <w:t xml:space="preserve"> </w:t>
      </w:r>
      <w:r>
        <w:rPr>
          <w:iCs/>
          <w:i/>
        </w:rPr>
        <w:t xml:space="preserve">Orphanet J Rare Dis</w:t>
      </w:r>
      <w:r>
        <w:t xml:space="preserve"> </w:t>
      </w:r>
      <w:r>
        <w:t xml:space="preserve">· Identifying responders to elamipretide in Barth syndrome: Hierarchical clustering for time series data. PMID 37041653</w:t>
      </w:r>
    </w:p>
    <w:p>
      <w:pPr>
        <w:numPr>
          <w:ilvl w:val="0"/>
          <w:numId w:val="1413"/>
        </w:numPr>
        <w:pStyle w:val="Compact"/>
      </w:pPr>
      <w:r>
        <w:t xml:space="preserve">2022 · Hornby B ·</w:t>
      </w:r>
      <w:r>
        <w:t xml:space="preserve"> </w:t>
      </w:r>
      <w:r>
        <w:rPr>
          <w:iCs/>
          <w:i/>
        </w:rPr>
        <w:t xml:space="preserve">Orphanet J Rare Dis</w:t>
      </w:r>
      <w:r>
        <w:t xml:space="preserve"> </w:t>
      </w:r>
      <w:r>
        <w:t xml:space="preserve">· Natural history comparison study to assess the efficacy of elamipretide in patients with Barth syndrome. PMID 36056411</w:t>
      </w:r>
    </w:p>
    <w:p>
      <w:pPr>
        <w:numPr>
          <w:ilvl w:val="0"/>
          <w:numId w:val="1413"/>
        </w:numPr>
        <w:pStyle w:val="Compact"/>
      </w:pPr>
      <w:r>
        <w:t xml:space="preserve">2021 · Roshanravan B ·</w:t>
      </w:r>
      <w:r>
        <w:t xml:space="preserve"> </w:t>
      </w:r>
      <w:r>
        <w:rPr>
          <w:iCs/>
          <w:i/>
        </w:rPr>
        <w:t xml:space="preserve">PLoS One</w:t>
      </w:r>
      <w:r>
        <w:t xml:space="preserve"> </w:t>
      </w:r>
      <w:r>
        <w:t xml:space="preserve">· In vivo mitochondrial ATP production is improved in older adult skeletal muscle after a single dose of elamipretide in a randomized trial. PMID 34264994</w:t>
      </w:r>
    </w:p>
    <w:p>
      <w:pPr>
        <w:numPr>
          <w:ilvl w:val="0"/>
          <w:numId w:val="1413"/>
        </w:numPr>
        <w:pStyle w:val="Compact"/>
      </w:pPr>
      <w:r>
        <w:t xml:space="preserve">2021 · Reid Thompson W ·</w:t>
      </w:r>
      <w:r>
        <w:t xml:space="preserve"> </w:t>
      </w:r>
      <w:r>
        <w:rPr>
          <w:iCs/>
          <w:i/>
        </w:rPr>
        <w:t xml:space="preserve">Genet Med</w:t>
      </w:r>
      <w:r>
        <w:t xml:space="preserve"> </w:t>
      </w:r>
      <w:r>
        <w:t xml:space="preserve">· A phase 2/3 randomized clinical trial followed by an open-label extension to evaluate the effectiveness of elamipretide in Barth syndrome, a genetic disorder of mitochondrial cardiolipin metabolism. PMID 33077895</w:t>
      </w:r>
    </w:p>
    <w:p>
      <w:pPr>
        <w:numPr>
          <w:ilvl w:val="0"/>
          <w:numId w:val="1413"/>
        </w:numPr>
        <w:pStyle w:val="Compact"/>
      </w:pPr>
      <w:r>
        <w:t xml:space="preserve">2020 · Karaa A ·</w:t>
      </w:r>
      <w:r>
        <w:t xml:space="preserve"> </w:t>
      </w:r>
      <w:r>
        <w:rPr>
          <w:iCs/>
          <w:i/>
        </w:rPr>
        <w:t xml:space="preserve">J Cachexia Sarcopenia Muscle</w:t>
      </w:r>
      <w:r>
        <w:t xml:space="preserve"> </w:t>
      </w:r>
      <w:r>
        <w:t xml:space="preserve">· A randomized crossover trial of elamipretide in adults with primary mitochondrial myopathy. PMID 32096613</w:t>
      </w:r>
    </w:p>
    <w:p>
      <w:pPr>
        <w:numPr>
          <w:ilvl w:val="0"/>
          <w:numId w:val="1413"/>
        </w:numPr>
        <w:pStyle w:val="Compact"/>
      </w:pPr>
      <w:r>
        <w:t xml:space="preserve">2020 · Butler J ·</w:t>
      </w:r>
      <w:r>
        <w:t xml:space="preserve"> </w:t>
      </w:r>
      <w:r>
        <w:rPr>
          <w:iCs/>
          <w:i/>
        </w:rPr>
        <w:t xml:space="preserve">J Card Fail</w:t>
      </w:r>
      <w:r>
        <w:t xml:space="preserve"> </w:t>
      </w:r>
      <w:r>
        <w:t xml:space="preserve">· Effects of Elamipretide on Left Ventricular Function in Patients With Heart Failure With Reduced Ejection Fraction: The PROGRESS-HF Phase 2 Trial. PMID 32068002</w:t>
      </w:r>
    </w:p>
    <w:p>
      <w:pPr>
        <w:numPr>
          <w:ilvl w:val="0"/>
          <w:numId w:val="1413"/>
        </w:numPr>
        <w:pStyle w:val="Compact"/>
      </w:pPr>
      <w:r>
        <w:t xml:space="preserve">2019 · Hortmann M ·</w:t>
      </w:r>
      <w:r>
        <w:t xml:space="preserve"> </w:t>
      </w:r>
      <w:r>
        <w:rPr>
          <w:iCs/>
          <w:i/>
        </w:rPr>
        <w:t xml:space="preserve">Eur Heart J Acute Cardiovasc Care</w:t>
      </w:r>
      <w:r>
        <w:t xml:space="preserve"> </w:t>
      </w:r>
      <w:r>
        <w:t xml:space="preserve">· The mitochondria-targeting peptide elamipretide diminishes circulating HtrA2 in ST-segment elevation myocardial infarction. PMID 28534645</w:t>
      </w:r>
    </w:p>
    <w:p>
      <w:pPr>
        <w:numPr>
          <w:ilvl w:val="0"/>
          <w:numId w:val="1413"/>
        </w:numPr>
        <w:pStyle w:val="Compact"/>
      </w:pPr>
      <w:r>
        <w:t xml:space="preserve">2018 · Karaa A ·</w:t>
      </w:r>
      <w:r>
        <w:t xml:space="preserve"> </w:t>
      </w:r>
      <w:r>
        <w:rPr>
          <w:iCs/>
          <w:i/>
        </w:rPr>
        <w:t xml:space="preserve">Neurology</w:t>
      </w:r>
      <w:r>
        <w:t xml:space="preserve"> </w:t>
      </w:r>
      <w:r>
        <w:t xml:space="preserve">· Randomized dose-escalation trial of elamipretide in adults with primary mitochondrial myopathy. PMID 29500292</w:t>
      </w:r>
    </w:p>
    <w:p>
      <w:pPr>
        <w:numPr>
          <w:ilvl w:val="0"/>
          <w:numId w:val="1413"/>
        </w:numPr>
        <w:pStyle w:val="Compact"/>
      </w:pPr>
      <w:r>
        <w:t xml:space="preserve">2017 · Daubert MA ·</w:t>
      </w:r>
      <w:r>
        <w:t xml:space="preserve"> </w:t>
      </w:r>
      <w:r>
        <w:rPr>
          <w:iCs/>
          <w:i/>
        </w:rPr>
        <w:t xml:space="preserve">Circ Heart Fail</w:t>
      </w:r>
      <w:r>
        <w:t xml:space="preserve"> </w:t>
      </w:r>
      <w:r>
        <w:t xml:space="preserve">· Novel Mitochondria-Targeting Peptide in Heart Failure Treatment: A Randomized, Placebo-Controlled Trial of Elamipretide. PMID 29217757</w:t>
      </w:r>
    </w:p>
    <w:p>
      <w:pPr>
        <w:numPr>
          <w:ilvl w:val="0"/>
          <w:numId w:val="1413"/>
        </w:numPr>
        <w:pStyle w:val="Compact"/>
      </w:pPr>
      <w:r>
        <w:t xml:space="preserve">2017 · Saad A ·</w:t>
      </w:r>
      <w:r>
        <w:t xml:space="preserve"> </w:t>
      </w:r>
      <w:r>
        <w:rPr>
          <w:iCs/>
          <w:i/>
        </w:rPr>
        <w:t xml:space="preserve">Circ Cardiovasc Interv</w:t>
      </w:r>
      <w:r>
        <w:t xml:space="preserve"> </w:t>
      </w:r>
      <w:r>
        <w:t xml:space="preserve">· Phase 2a Clinical Trial of Mitochondrial Protection (Elamipretide) During Stent Revascularization in Patients With Atherosclerotic Renal Artery Stenosis. PMID 28916603</w:t>
      </w:r>
    </w:p>
    <w:p>
      <w:pPr>
        <w:numPr>
          <w:ilvl w:val="0"/>
          <w:numId w:val="1413"/>
        </w:numPr>
        <w:pStyle w:val="Compact"/>
      </w:pPr>
      <w:r>
        <w:t xml:space="preserve">2016 · Schoenell MC ·</w:t>
      </w:r>
      <w:r>
        <w:t xml:space="preserve"> </w:t>
      </w:r>
      <w:r>
        <w:rPr>
          <w:iCs/>
          <w:i/>
        </w:rPr>
        <w:t xml:space="preserve">Int J Sports Med</w:t>
      </w:r>
      <w:r>
        <w:t xml:space="preserve"> </w:t>
      </w:r>
      <w:r>
        <w:t xml:space="preserve">· Effects of Single Vs. Multiple Sets during 10 Weeks of Water-based Resistance Training on Neuromuscular Adaptations in Young Women. PMID 27286183</w:t>
      </w:r>
    </w:p>
    <w:p>
      <w:pPr>
        <w:numPr>
          <w:ilvl w:val="0"/>
          <w:numId w:val="1413"/>
        </w:numPr>
        <w:pStyle w:val="Compact"/>
      </w:pPr>
      <w:r>
        <w:t xml:space="preserve">2012 · Bernardo-Escudero R ·</w:t>
      </w:r>
      <w:r>
        <w:t xml:space="preserve"> </w:t>
      </w:r>
      <w:r>
        <w:rPr>
          <w:iCs/>
          <w:i/>
        </w:rPr>
        <w:t xml:space="preserve">Eur J Drug Metab Pharmacokinet</w:t>
      </w:r>
      <w:r>
        <w:t xml:space="preserve"> </w:t>
      </w:r>
      <w:r>
        <w:t xml:space="preserve">· Comparison of the pharmacokinetics of a new 30 mg modified-release tablet formulation of metoclopramide for once-a-day administration versus 10 mg immediate-release tablets: a single and multiple-dose, randomized, open-label, parallel study in healthy male subjects. PMID 22328192</w:t>
      </w:r>
    </w:p>
    <w:p>
      <w:pPr>
        <w:numPr>
          <w:ilvl w:val="0"/>
          <w:numId w:val="1413"/>
        </w:numPr>
        <w:pStyle w:val="Compact"/>
      </w:pPr>
      <w:r>
        <w:t xml:space="preserve">1977 · Ludwig H ·</w:t>
      </w:r>
      <w:r>
        <w:t xml:space="preserve"> </w:t>
      </w:r>
      <w:r>
        <w:rPr>
          <w:iCs/>
          <w:i/>
        </w:rPr>
        <w:t xml:space="preserve">Gut</w:t>
      </w:r>
      <w:r>
        <w:t xml:space="preserve"> </w:t>
      </w:r>
      <w:r>
        <w:t xml:space="preserve">· Antibodies to pancreatic duct cells in Sjögren’s syndrome and rheumatoid arthritis. PMID 405283</w:t>
      </w:r>
    </w:p>
    <w:bookmarkEnd w:id="1159"/>
    <w:bookmarkStart w:id="1160" w:name="foxo4-dri-0"/>
    <w:p>
      <w:pPr>
        <w:pStyle w:val="Heading2"/>
      </w:pPr>
      <w:r>
        <w:t xml:space="preserve">FOXO4-DRI (0)</w:t>
      </w:r>
    </w:p>
    <w:p>
      <w:pPr>
        <w:pStyle w:val="FirstParagraph"/>
      </w:pPr>
      <w:r>
        <w:t xml:space="preserve">No se encontraron publicaciones de estudios clínicos en humanos.</w:t>
      </w:r>
    </w:p>
    <w:bookmarkEnd w:id="1160"/>
    <w:bookmarkStart w:id="1161" w:name="glutatión-161"/>
    <w:p>
      <w:pPr>
        <w:pStyle w:val="Heading2"/>
      </w:pPr>
      <w:r>
        <w:t xml:space="preserve">Glutatión (161)</w:t>
      </w:r>
    </w:p>
    <w:p>
      <w:pPr>
        <w:numPr>
          <w:ilvl w:val="0"/>
          <w:numId w:val="1414"/>
        </w:numPr>
        <w:pStyle w:val="Compact"/>
      </w:pPr>
      <w:r>
        <w:t xml:space="preserve">2026 · Bai JL ·</w:t>
      </w:r>
      <w:r>
        <w:t xml:space="preserve"> </w:t>
      </w:r>
      <w:r>
        <w:rPr>
          <w:iCs/>
          <w:i/>
        </w:rPr>
        <w:t xml:space="preserve">Medicine (Baltimore)</w:t>
      </w:r>
      <w:r>
        <w:t xml:space="preserve"> </w:t>
      </w:r>
      <w:r>
        <w:t xml:space="preserve">· Hyaluronic acid-based skin booster with glutathione combined with 1064-nm Nd:YAG laser and oral tranexamic acid for melasma: A prospective comparative study. PMID 42888572</w:t>
      </w:r>
    </w:p>
    <w:p>
      <w:pPr>
        <w:numPr>
          <w:ilvl w:val="0"/>
          <w:numId w:val="1414"/>
        </w:numPr>
        <w:pStyle w:val="Compact"/>
      </w:pPr>
      <w:r>
        <w:t xml:space="preserve">2026 · Jung ES ·</w:t>
      </w:r>
      <w:r>
        <w:t xml:space="preserve"> </w:t>
      </w:r>
      <w:r>
        <w:rPr>
          <w:iCs/>
          <w:i/>
        </w:rPr>
        <w:t xml:space="preserve">Eur J Pharm Biopharm</w:t>
      </w:r>
      <w:r>
        <w:t xml:space="preserve"> </w:t>
      </w:r>
      <w:r>
        <w:t xml:space="preserve">· Formulation-dependent differences in systemic glutathione availability: Comparative pharmacokinetics of orally dissolving film and tablet formulations in healthy adults. PMID 42392376</w:t>
      </w:r>
    </w:p>
    <w:p>
      <w:pPr>
        <w:numPr>
          <w:ilvl w:val="0"/>
          <w:numId w:val="1414"/>
        </w:numPr>
        <w:pStyle w:val="Compact"/>
      </w:pPr>
      <w:r>
        <w:t xml:space="preserve">2026 · Ramos-Hernández R ·</w:t>
      </w:r>
      <w:r>
        <w:t xml:space="preserve"> </w:t>
      </w:r>
      <w:r>
        <w:rPr>
          <w:iCs/>
          <w:i/>
        </w:rPr>
        <w:t xml:space="preserve">Biogerontology</w:t>
      </w:r>
      <w:r>
        <w:t xml:space="preserve"> </w:t>
      </w:r>
      <w:r>
        <w:t xml:space="preserve">· Creatine plus β-Hydroxy-β-Methylbutyrate supplementation is associated with preserved glutathione redox-balance and redox-function associations in older adults: a secondary analysis of a randomized crossover trial. PMID 41712056</w:t>
      </w:r>
    </w:p>
    <w:p>
      <w:pPr>
        <w:numPr>
          <w:ilvl w:val="0"/>
          <w:numId w:val="1414"/>
        </w:numPr>
        <w:pStyle w:val="Compact"/>
      </w:pPr>
      <w:r>
        <w:t xml:space="preserve">2025 · Mawu FO ·</w:t>
      </w:r>
      <w:r>
        <w:t xml:space="preserve"> </w:t>
      </w:r>
      <w:r>
        <w:rPr>
          <w:iCs/>
          <w:i/>
        </w:rPr>
        <w:t xml:space="preserve">Acta Dermatovenerol Alp Pannonica Adriat</w:t>
      </w:r>
      <w:r>
        <w:t xml:space="preserve"> </w:t>
      </w:r>
      <w:r>
        <w:t xml:space="preserve">· Effectiveness of oral glutathione in reducing nitric oxide and IL-1α concentrations for clinical improvement in mild to moderate acne vulgaris: a randomized controlled trial. PMID 41014073</w:t>
      </w:r>
    </w:p>
    <w:p>
      <w:pPr>
        <w:numPr>
          <w:ilvl w:val="0"/>
          <w:numId w:val="1414"/>
        </w:numPr>
        <w:pStyle w:val="Compact"/>
      </w:pPr>
      <w:r>
        <w:t xml:space="preserve">2025 · Williams PG ·</w:t>
      </w:r>
      <w:r>
        <w:t xml:space="preserve"> </w:t>
      </w:r>
      <w:r>
        <w:rPr>
          <w:iCs/>
          <w:i/>
        </w:rPr>
        <w:t xml:space="preserve">J Dev Behav Pediatr</w:t>
      </w:r>
      <w:r>
        <w:t xml:space="preserve"> </w:t>
      </w:r>
      <w:r>
        <w:t xml:space="preserve">· Glutathione, Vitamin C, and Cysteine Use in Autistic Children With Disruptive Behavior: A Double-Blind, Placebo-Controlled Crossover Pilot Study. PMID 39960783</w:t>
      </w:r>
    </w:p>
    <w:p>
      <w:pPr>
        <w:numPr>
          <w:ilvl w:val="0"/>
          <w:numId w:val="1414"/>
        </w:numPr>
        <w:pStyle w:val="Compact"/>
      </w:pPr>
      <w:r>
        <w:t xml:space="preserve">2024 · Copetti CLK ·</w:t>
      </w:r>
      <w:r>
        <w:t xml:space="preserve"> </w:t>
      </w:r>
      <w:r>
        <w:rPr>
          <w:iCs/>
          <w:i/>
        </w:rPr>
        <w:t xml:space="preserve">Appl Physiol Nutr Metab</w:t>
      </w:r>
      <w:r>
        <w:t xml:space="preserve"> </w:t>
      </w:r>
      <w:r>
        <w:t xml:space="preserve">· Juçara (Euterpe edulis Martius) improves time-to-exhaustion cycling performance and increased reduced glutathione: a randomized, placebo-controlled, crossover, and triple-blind study. PMID 38502949</w:t>
      </w:r>
    </w:p>
    <w:p>
      <w:pPr>
        <w:numPr>
          <w:ilvl w:val="0"/>
          <w:numId w:val="1414"/>
        </w:numPr>
        <w:pStyle w:val="Compact"/>
      </w:pPr>
      <w:r>
        <w:t xml:space="preserve">2023 · Radwan K ·</w:t>
      </w:r>
      <w:r>
        <w:t xml:space="preserve"> </w:t>
      </w:r>
      <w:r>
        <w:rPr>
          <w:iCs/>
          <w:i/>
        </w:rPr>
        <w:t xml:space="preserve">Med Sci (Basel)</w:t>
      </w:r>
      <w:r>
        <w:t xml:space="preserve"> </w:t>
      </w:r>
      <w:r>
        <w:t xml:space="preserve">· An Open-Label Case Series of Glutathione Use for Symptomatic Management in Children with Autism Spectrum Disorder. PMID 37987328</w:t>
      </w:r>
    </w:p>
    <w:p>
      <w:pPr>
        <w:numPr>
          <w:ilvl w:val="0"/>
          <w:numId w:val="1414"/>
        </w:numPr>
        <w:pStyle w:val="Compact"/>
      </w:pPr>
      <w:r>
        <w:t xml:space="preserve">2023 · Gaike AH ·</w:t>
      </w:r>
      <w:r>
        <w:t xml:space="preserve"> </w:t>
      </w:r>
      <w:r>
        <w:rPr>
          <w:iCs/>
          <w:i/>
        </w:rPr>
        <w:t xml:space="preserve">FEMS Microbiol Lett</w:t>
      </w:r>
      <w:r>
        <w:t xml:space="preserve"> </w:t>
      </w:r>
      <w:r>
        <w:t xml:space="preserve">· Effect of long-term oral glutathione supplementation on gut microbiome of type 2 diabetic individuals. PMID 37935462</w:t>
      </w:r>
    </w:p>
    <w:p>
      <w:pPr>
        <w:numPr>
          <w:ilvl w:val="0"/>
          <w:numId w:val="1414"/>
        </w:numPr>
        <w:pStyle w:val="Compact"/>
      </w:pPr>
      <w:r>
        <w:t xml:space="preserve">2023 · Juchem C ·</w:t>
      </w:r>
      <w:r>
        <w:t xml:space="preserve"> </w:t>
      </w:r>
      <w:r>
        <w:rPr>
          <w:iCs/>
          <w:i/>
        </w:rPr>
        <w:t xml:space="preserve">Neuroimage Clin</w:t>
      </w:r>
      <w:r>
        <w:t xml:space="preserve"> </w:t>
      </w:r>
      <w:r>
        <w:t xml:space="preserve">· In vivo cortical glutathione response to oral fumarate therapy in relapsing-remitting multiple sclerosis: A single-arm open-label phase IV trial using 7-Tesla (1)H MRS. PMID 37651844</w:t>
      </w:r>
    </w:p>
    <w:p>
      <w:pPr>
        <w:numPr>
          <w:ilvl w:val="0"/>
          <w:numId w:val="1414"/>
        </w:numPr>
        <w:pStyle w:val="Compact"/>
      </w:pPr>
      <w:r>
        <w:t xml:space="preserve">2023 · Benson M ·</w:t>
      </w:r>
      <w:r>
        <w:t xml:space="preserve"> </w:t>
      </w:r>
      <w:r>
        <w:rPr>
          <w:iCs/>
          <w:i/>
        </w:rPr>
        <w:t xml:space="preserve">Nutr Res</w:t>
      </w:r>
      <w:r>
        <w:t xml:space="preserve"> </w:t>
      </w:r>
      <w:r>
        <w:t xml:space="preserve">· Improved glycemic control either alone, or combined with antioxidant supplementation, fails to restore blood glutathione or markers of oxidative stress in adolescents with poorly controlled type 1 diabetes. PMID 37515943</w:t>
      </w:r>
    </w:p>
    <w:p>
      <w:pPr>
        <w:numPr>
          <w:ilvl w:val="0"/>
          <w:numId w:val="1414"/>
        </w:numPr>
        <w:pStyle w:val="Compact"/>
      </w:pPr>
      <w:r>
        <w:t xml:space="preserve">2023 · Figueroa A ·</w:t>
      </w:r>
      <w:r>
        <w:t xml:space="preserve"> </w:t>
      </w:r>
      <w:r>
        <w:rPr>
          <w:iCs/>
          <w:i/>
        </w:rPr>
        <w:t xml:space="preserve">Nutrients</w:t>
      </w:r>
      <w:r>
        <w:t xml:space="preserve"> </w:t>
      </w:r>
      <w:r>
        <w:t xml:space="preserve">· Combined Citrulline and Glutathione Supplementation Improves Endothelial Function and Blood Pressure Reactivity in Postmenopausal Women. PMID 37049398</w:t>
      </w:r>
    </w:p>
    <w:p>
      <w:pPr>
        <w:numPr>
          <w:ilvl w:val="0"/>
          <w:numId w:val="1414"/>
        </w:numPr>
        <w:pStyle w:val="Compact"/>
      </w:pPr>
      <w:r>
        <w:t xml:space="preserve">2023 · Chung JW ·</w:t>
      </w:r>
      <w:r>
        <w:t xml:space="preserve"> </w:t>
      </w:r>
      <w:r>
        <w:rPr>
          <w:iCs/>
          <w:i/>
        </w:rPr>
        <w:t xml:space="preserve">J Hum Nutr Diet</w:t>
      </w:r>
      <w:r>
        <w:t xml:space="preserve"> </w:t>
      </w:r>
      <w:r>
        <w:t xml:space="preserve">· Eight-week supplementation of Aronia berry extract promoted the glutathione defence system against acute aerobic exercise-induced oxidative load immediately and 30 min post-exercise in healthy adults: a double-blind, randomised controlled trial. PMID 36727618</w:t>
      </w:r>
    </w:p>
    <w:p>
      <w:pPr>
        <w:numPr>
          <w:ilvl w:val="0"/>
          <w:numId w:val="1414"/>
        </w:numPr>
        <w:pStyle w:val="Compact"/>
      </w:pPr>
      <w:r>
        <w:t xml:space="preserve">2023 · Arrivi A ·</w:t>
      </w:r>
      <w:r>
        <w:t xml:space="preserve"> </w:t>
      </w:r>
      <w:r>
        <w:rPr>
          <w:iCs/>
          <w:i/>
        </w:rPr>
        <w:t xml:space="preserve">Minerva Cardiol Angiol</w:t>
      </w:r>
      <w:r>
        <w:t xml:space="preserve"> </w:t>
      </w:r>
      <w:r>
        <w:t xml:space="preserve">· Early and prolonged glutathione infusion favorably impacts length of hospital stay in ST-elevation myocardial infarction patients: a subanalysis of the GSH2014 Trial. PMID 36083043</w:t>
      </w:r>
    </w:p>
    <w:p>
      <w:pPr>
        <w:numPr>
          <w:ilvl w:val="0"/>
          <w:numId w:val="1414"/>
        </w:numPr>
        <w:pStyle w:val="Compact"/>
      </w:pPr>
      <w:r>
        <w:t xml:space="preserve">2023 · Kumar P ·</w:t>
      </w:r>
      <w:r>
        <w:t xml:space="preserve"> </w:t>
      </w:r>
      <w:r>
        <w:rPr>
          <w:iCs/>
          <w:i/>
        </w:rPr>
        <w:t xml:space="preserve">J Gerontol A Biol Sci Med Sci</w:t>
      </w:r>
      <w:r>
        <w:t xml:space="preserve"> </w:t>
      </w:r>
      <w:r>
        <w:t xml:space="preserve">· Supplementing Glycine and N-Acetylcysteine (GlyNAC) in Older Adults Improves Glutathione Deficiency, Oxidative Stress, Mitochondrial Dysfunction, Inflammation, Physical Function, and Aging Hallmarks: A Randomized Clinical Trial. PMID 35975308</w:t>
      </w:r>
    </w:p>
    <w:p>
      <w:pPr>
        <w:numPr>
          <w:ilvl w:val="0"/>
          <w:numId w:val="1414"/>
        </w:numPr>
        <w:pStyle w:val="Compact"/>
      </w:pPr>
      <w:r>
        <w:t xml:space="preserve">2022 · Khosravi Z ·</w:t>
      </w:r>
      <w:r>
        <w:t xml:space="preserve"> </w:t>
      </w:r>
      <w:r>
        <w:rPr>
          <w:iCs/>
          <w:i/>
        </w:rPr>
        <w:t xml:space="preserve">Clin Nutr ESPEN</w:t>
      </w:r>
      <w:r>
        <w:t xml:space="preserve"> </w:t>
      </w:r>
      <w:r>
        <w:t xml:space="preserve">· The effects of butyrate supplementation on glycemic control, lipid profile, blood pressure, nitric oxide level and glutathione peroxidase activity in type 2 diabetic patients: A randomized triple -blind, placebo-controlled trial. PMID 35623879</w:t>
      </w:r>
    </w:p>
    <w:p>
      <w:pPr>
        <w:numPr>
          <w:ilvl w:val="0"/>
          <w:numId w:val="1414"/>
        </w:numPr>
        <w:pStyle w:val="Compact"/>
      </w:pPr>
      <w:r>
        <w:t xml:space="preserve">2022 · Wangdi JT ·</w:t>
      </w:r>
      <w:r>
        <w:t xml:space="preserve"> </w:t>
      </w:r>
      <w:r>
        <w:rPr>
          <w:iCs/>
          <w:i/>
        </w:rPr>
        <w:t xml:space="preserve">Med Sci Sports Exerc</w:t>
      </w:r>
      <w:r>
        <w:t xml:space="preserve"> </w:t>
      </w:r>
      <w:r>
        <w:t xml:space="preserve">· Tart Cherry Supplement Enhances Skeletal Muscle Glutathione Peroxidase Expression and Functional Recovery after Muscle Damage. PMID 34772901</w:t>
      </w:r>
    </w:p>
    <w:p>
      <w:pPr>
        <w:numPr>
          <w:ilvl w:val="0"/>
          <w:numId w:val="1414"/>
        </w:numPr>
        <w:pStyle w:val="Compact"/>
      </w:pPr>
      <w:r>
        <w:t xml:space="preserve">2022 · McAllister MJ ·</w:t>
      </w:r>
      <w:r>
        <w:t xml:space="preserve"> </w:t>
      </w:r>
      <w:r>
        <w:rPr>
          <w:iCs/>
          <w:i/>
        </w:rPr>
        <w:t xml:space="preserve">Int J Sport Nutr Exerc Metab</w:t>
      </w:r>
      <w:r>
        <w:t xml:space="preserve"> </w:t>
      </w:r>
      <w:r>
        <w:t xml:space="preserve">· Astaxanthin Supplementation Increases Glutathione Concentrations but Does Not Impact Fat Oxidation During Exercise in Active Young Men. PMID 34611051</w:t>
      </w:r>
    </w:p>
    <w:p>
      <w:pPr>
        <w:numPr>
          <w:ilvl w:val="0"/>
          <w:numId w:val="1414"/>
        </w:numPr>
        <w:pStyle w:val="Compact"/>
      </w:pPr>
      <w:r>
        <w:t xml:space="preserve">2022 · Duperray J ·</w:t>
      </w:r>
      <w:r>
        <w:t xml:space="preserve"> </w:t>
      </w:r>
      <w:r>
        <w:rPr>
          <w:iCs/>
          <w:i/>
        </w:rPr>
        <w:t xml:space="preserve">J Cosmet Dermatol</w:t>
      </w:r>
      <w:r>
        <w:t xml:space="preserve"> </w:t>
      </w:r>
      <w:r>
        <w:t xml:space="preserve">· The effects of the oral supplementation of L-Cystine associated with reduced L-Glutathione-GSH on human skin pigmentation: a randomized, double-blinded, benchmark- and placebo-controlled clinical trial. PMID 33834608</w:t>
      </w:r>
    </w:p>
    <w:p>
      <w:pPr>
        <w:numPr>
          <w:ilvl w:val="0"/>
          <w:numId w:val="1414"/>
        </w:numPr>
        <w:pStyle w:val="Compact"/>
      </w:pPr>
      <w:r>
        <w:t xml:space="preserve">2021 · To K ·</w:t>
      </w:r>
      <w:r>
        <w:t xml:space="preserve"> </w:t>
      </w:r>
      <w:r>
        <w:rPr>
          <w:iCs/>
          <w:i/>
        </w:rPr>
        <w:t xml:space="preserve">Front Cell Infect Microbiol</w:t>
      </w:r>
      <w:r>
        <w:t xml:space="preserve"> </w:t>
      </w:r>
      <w:r>
        <w:t xml:space="preserve">· Effects of Oral Liposomal Glutathione in Altering the Immune Responses Against Mycobacterium tuberculosis and the Mycobacterium bovis BCG Strain in Individuals With Type 2 Diabetes. PMID 34150674</w:t>
      </w:r>
    </w:p>
    <w:p>
      <w:pPr>
        <w:numPr>
          <w:ilvl w:val="0"/>
          <w:numId w:val="1414"/>
        </w:numPr>
        <w:pStyle w:val="Compact"/>
      </w:pPr>
      <w:r>
        <w:t xml:space="preserve">2021 · To K ·</w:t>
      </w:r>
      <w:r>
        <w:t xml:space="preserve"> </w:t>
      </w:r>
      <w:r>
        <w:rPr>
          <w:iCs/>
          <w:i/>
        </w:rPr>
        <w:t xml:space="preserve">Biomol Concepts</w:t>
      </w:r>
      <w:r>
        <w:t xml:space="preserve"> </w:t>
      </w:r>
      <w:r>
        <w:t xml:space="preserve">· The Effects of Oral Liposomal Glutathione and In Vitro Everolimus in Altering the Immune Responses against Mycobacterium bovis BCG Strain in Individuals with Type 2 Diabetes. PMID 33966361</w:t>
      </w:r>
    </w:p>
    <w:p>
      <w:pPr>
        <w:numPr>
          <w:ilvl w:val="0"/>
          <w:numId w:val="1414"/>
        </w:numPr>
        <w:pStyle w:val="Compact"/>
      </w:pPr>
      <w:r>
        <w:t xml:space="preserve">2021 · Martins ML ·</w:t>
      </w:r>
      <w:r>
        <w:t xml:space="preserve"> </w:t>
      </w:r>
      <w:r>
        <w:rPr>
          <w:iCs/>
          <w:i/>
        </w:rPr>
        <w:t xml:space="preserve">Int Urol Nephrol</w:t>
      </w:r>
      <w:r>
        <w:t xml:space="preserve"> </w:t>
      </w:r>
      <w:r>
        <w:t xml:space="preserve">· Vitamin C decreases reduced glutathione in chronic haemodialysis patients: a pilot, randomised, double-blind trial. PMID 33905041</w:t>
      </w:r>
    </w:p>
    <w:p>
      <w:pPr>
        <w:numPr>
          <w:ilvl w:val="0"/>
          <w:numId w:val="1414"/>
        </w:numPr>
        <w:pStyle w:val="Compact"/>
      </w:pPr>
      <w:r>
        <w:t xml:space="preserve">2021 · Wahab S ·</w:t>
      </w:r>
      <w:r>
        <w:t xml:space="preserve"> </w:t>
      </w:r>
      <w:r>
        <w:rPr>
          <w:iCs/>
          <w:i/>
        </w:rPr>
        <w:t xml:space="preserve">Int J Dermatol</w:t>
      </w:r>
      <w:r>
        <w:t xml:space="preserve"> </w:t>
      </w:r>
      <w:r>
        <w:t xml:space="preserve">· Combination of topical and oral glutathione as a skin-whitening agent: a double-blind randomized controlled clinical trial. PMID 33871071</w:t>
      </w:r>
    </w:p>
    <w:p>
      <w:pPr>
        <w:numPr>
          <w:ilvl w:val="0"/>
          <w:numId w:val="1414"/>
        </w:numPr>
        <w:pStyle w:val="Compact"/>
      </w:pPr>
      <w:r>
        <w:t xml:space="preserve">2021 · Søndergård SD ·</w:t>
      </w:r>
      <w:r>
        <w:t xml:space="preserve"> </w:t>
      </w:r>
      <w:r>
        <w:rPr>
          <w:iCs/>
          <w:i/>
        </w:rPr>
        <w:t xml:space="preserve">Appl Physiol Nutr Metab</w:t>
      </w:r>
      <w:r>
        <w:t xml:space="preserve"> </w:t>
      </w:r>
      <w:r>
        <w:t xml:space="preserve">· The effects of 3 weeks of oral glutathione supplementation on whole body insulin sensitivity in obese males with and without type 2 diabetes: a randomized trial. PMID 33740389</w:t>
      </w:r>
    </w:p>
    <w:p>
      <w:pPr>
        <w:numPr>
          <w:ilvl w:val="0"/>
          <w:numId w:val="1414"/>
        </w:numPr>
        <w:pStyle w:val="Compact"/>
      </w:pPr>
      <w:r>
        <w:t xml:space="preserve">2021 · Haidari F ·</w:t>
      </w:r>
      <w:r>
        <w:t xml:space="preserve"> </w:t>
      </w:r>
      <w:r>
        <w:rPr>
          <w:iCs/>
          <w:i/>
        </w:rPr>
        <w:t xml:space="preserve">Hum Fertil (Camb)</w:t>
      </w:r>
      <w:r>
        <w:t xml:space="preserve"> </w:t>
      </w:r>
      <w:r>
        <w:t xml:space="preserve">· Effect of lipoic acid supplementation on gene expression and activity of glutathione S-transferase enzyme in infertile men. PMID 31291793</w:t>
      </w:r>
    </w:p>
    <w:p>
      <w:pPr>
        <w:numPr>
          <w:ilvl w:val="0"/>
          <w:numId w:val="1414"/>
        </w:numPr>
        <w:pStyle w:val="Compact"/>
      </w:pPr>
      <w:r>
        <w:t xml:space="preserve">2020 · Biswas P ·</w:t>
      </w:r>
      <w:r>
        <w:t xml:space="preserve"> </w:t>
      </w:r>
      <w:r>
        <w:rPr>
          <w:iCs/>
          <w:i/>
        </w:rPr>
        <w:t xml:space="preserve">Nutrients</w:t>
      </w:r>
      <w:r>
        <w:t xml:space="preserve"> </w:t>
      </w:r>
      <w:r>
        <w:t xml:space="preserve">· Antioxidant Activity with Increased Endogenous Levels of Vitamin C, E and A Following Dietary Supplementation with a Combination of Glutathione and Resveratrol Precursors. PMID 33105552</w:t>
      </w:r>
    </w:p>
    <w:p>
      <w:pPr>
        <w:numPr>
          <w:ilvl w:val="0"/>
          <w:numId w:val="1414"/>
        </w:numPr>
        <w:pStyle w:val="Compact"/>
      </w:pPr>
      <w:r>
        <w:t xml:space="preserve">2020 · Bozic M ·</w:t>
      </w:r>
      <w:r>
        <w:t xml:space="preserve"> </w:t>
      </w:r>
      <w:r>
        <w:rPr>
          <w:iCs/>
          <w:i/>
        </w:rPr>
        <w:t xml:space="preserve">J Pediatr Gastroenterol Nutr</w:t>
      </w:r>
      <w:r>
        <w:t xml:space="preserve"> </w:t>
      </w:r>
      <w:r>
        <w:t xml:space="preserve">· Oral Glutathione and Growth in Cystic Fibrosis: A Multicenter, Randomized, Placebo-controlled, Double-blind Trial. PMID 32960827</w:t>
      </w:r>
    </w:p>
    <w:p>
      <w:pPr>
        <w:numPr>
          <w:ilvl w:val="0"/>
          <w:numId w:val="1414"/>
        </w:numPr>
        <w:pStyle w:val="Compact"/>
      </w:pPr>
      <w:r>
        <w:t xml:space="preserve">2020 · Lai CY ·</w:t>
      </w:r>
      <w:r>
        <w:t xml:space="preserve"> </w:t>
      </w:r>
      <w:r>
        <w:rPr>
          <w:iCs/>
          <w:i/>
        </w:rPr>
        <w:t xml:space="preserve">Nutrients</w:t>
      </w:r>
      <w:r>
        <w:t xml:space="preserve"> </w:t>
      </w:r>
      <w:r>
        <w:t xml:space="preserve">· Impact of Glutathione and Vitamin B-6 in Cirrhosis Patients: A Randomized Controlled Trial and Follow-Up Study. PMID 32635181</w:t>
      </w:r>
    </w:p>
    <w:p>
      <w:pPr>
        <w:numPr>
          <w:ilvl w:val="0"/>
          <w:numId w:val="1414"/>
        </w:numPr>
        <w:pStyle w:val="Compact"/>
      </w:pPr>
      <w:r>
        <w:t xml:space="preserve">2020 · Mastaloudis A ·</w:t>
      </w:r>
      <w:r>
        <w:t xml:space="preserve"> </w:t>
      </w:r>
      <w:r>
        <w:rPr>
          <w:iCs/>
          <w:i/>
        </w:rPr>
        <w:t xml:space="preserve">Free Radic Biol Med</w:t>
      </w:r>
      <w:r>
        <w:t xml:space="preserve"> </w:t>
      </w:r>
      <w:r>
        <w:t xml:space="preserve">· Supplementation with a putative calorie restriction mimetic micronutrient blend increases glutathione concentrations and improves neuroenergetics in brain of healthy middle-aged men and women. PMID 32335159</w:t>
      </w:r>
    </w:p>
    <w:p>
      <w:pPr>
        <w:numPr>
          <w:ilvl w:val="0"/>
          <w:numId w:val="1414"/>
        </w:numPr>
        <w:pStyle w:val="Compact"/>
      </w:pPr>
      <w:r>
        <w:t xml:space="preserve">2019 · de Souza RGM ·</w:t>
      </w:r>
      <w:r>
        <w:t xml:space="preserve"> </w:t>
      </w:r>
      <w:r>
        <w:rPr>
          <w:iCs/>
          <w:i/>
        </w:rPr>
        <w:t xml:space="preserve">Nutrients</w:t>
      </w:r>
      <w:r>
        <w:t xml:space="preserve"> </w:t>
      </w:r>
      <w:r>
        <w:t xml:space="preserve">· Baru Almonds Increase the Activity of Glutathione Peroxidase in Overweight and Obese Women: A Randomized, Placebo-Controlled Trial. PMID 31366053</w:t>
      </w:r>
    </w:p>
    <w:p>
      <w:pPr>
        <w:numPr>
          <w:ilvl w:val="0"/>
          <w:numId w:val="1414"/>
        </w:numPr>
        <w:pStyle w:val="Compact"/>
      </w:pPr>
      <w:r>
        <w:t xml:space="preserve">2019 · Girgis RR ·</w:t>
      </w:r>
      <w:r>
        <w:t xml:space="preserve"> </w:t>
      </w:r>
      <w:r>
        <w:rPr>
          <w:iCs/>
          <w:i/>
        </w:rPr>
        <w:t xml:space="preserve">Psychiatry Res</w:t>
      </w:r>
      <w:r>
        <w:t xml:space="preserve"> </w:t>
      </w:r>
      <w:r>
        <w:t xml:space="preserve">· Effects of acute N-acetylcysteine challenge on cortical glutathione and glutamate in schizophrenia: A pilot in vivo proton magnetic resonance spectroscopy study. PMID 30884334</w:t>
      </w:r>
    </w:p>
    <w:p>
      <w:pPr>
        <w:numPr>
          <w:ilvl w:val="0"/>
          <w:numId w:val="1414"/>
        </w:numPr>
        <w:pStyle w:val="Compact"/>
      </w:pPr>
      <w:r>
        <w:t xml:space="preserve">2019 · Pickering G ·</w:t>
      </w:r>
      <w:r>
        <w:t xml:space="preserve"> </w:t>
      </w:r>
      <w:r>
        <w:rPr>
          <w:iCs/>
          <w:i/>
        </w:rPr>
        <w:t xml:space="preserve">Fundam Clin Pharmacol</w:t>
      </w:r>
      <w:r>
        <w:t xml:space="preserve"> </w:t>
      </w:r>
      <w:r>
        <w:t xml:space="preserve">· N-acetylcysteine prevents glutathione decrease and does not interfere with paracetamol antinociceptive effect at therapeutic dosage: a randomized double-blind controlled trial in healthy subjects. PMID 30471141</w:t>
      </w:r>
    </w:p>
    <w:p>
      <w:pPr>
        <w:numPr>
          <w:ilvl w:val="0"/>
          <w:numId w:val="1414"/>
        </w:numPr>
        <w:pStyle w:val="Compact"/>
      </w:pPr>
      <w:r>
        <w:t xml:space="preserve">2019 · Grandi V ·</w:t>
      </w:r>
      <w:r>
        <w:t xml:space="preserve"> </w:t>
      </w:r>
      <w:r>
        <w:rPr>
          <w:iCs/>
          <w:i/>
        </w:rPr>
        <w:t xml:space="preserve">G Ital Dermatol Venereol</w:t>
      </w:r>
      <w:r>
        <w:t xml:space="preserve"> </w:t>
      </w:r>
      <w:r>
        <w:t xml:space="preserve">· Efficacy and safety of S-acyl glutathione 2% cream vs. placebo against UVB-induced erythema: a randomized, double-blinded clinical trial. PMID 28399620</w:t>
      </w:r>
    </w:p>
    <w:p>
      <w:pPr>
        <w:numPr>
          <w:ilvl w:val="0"/>
          <w:numId w:val="1414"/>
        </w:numPr>
        <w:pStyle w:val="Compact"/>
      </w:pPr>
      <w:r>
        <w:t xml:space="preserve">2018 · Parida S ·</w:t>
      </w:r>
      <w:r>
        <w:t xml:space="preserve"> </w:t>
      </w:r>
      <w:r>
        <w:rPr>
          <w:iCs/>
          <w:i/>
        </w:rPr>
        <w:t xml:space="preserve">Indian J Gastroenterol</w:t>
      </w:r>
      <w:r>
        <w:t xml:space="preserve"> </w:t>
      </w:r>
      <w:r>
        <w:t xml:space="preserve">· Study of glutathione S-transferase levels in patients receiving intravenous paracetamol perioperatively: A randomized controlled trial. PMID 30421393</w:t>
      </w:r>
    </w:p>
    <w:p>
      <w:pPr>
        <w:numPr>
          <w:ilvl w:val="0"/>
          <w:numId w:val="1414"/>
        </w:numPr>
        <w:pStyle w:val="Compact"/>
      </w:pPr>
      <w:r>
        <w:t xml:space="preserve">2018 · Hwang P ·</w:t>
      </w:r>
      <w:r>
        <w:t xml:space="preserve"> </w:t>
      </w:r>
      <w:r>
        <w:rPr>
          <w:iCs/>
          <w:i/>
        </w:rPr>
        <w:t xml:space="preserve">J Int Soc Sports Nutr</w:t>
      </w:r>
      <w:r>
        <w:t xml:space="preserve"> </w:t>
      </w:r>
      <w:r>
        <w:t xml:space="preserve">· Eight weeks of resistance training in conjunction with glutathione and L-Citrulline supplementation increases lean mass and has no adverse effects on blood clinical safety markers in resistance-trained males. PMID 29945625</w:t>
      </w:r>
    </w:p>
    <w:p>
      <w:pPr>
        <w:numPr>
          <w:ilvl w:val="0"/>
          <w:numId w:val="1414"/>
        </w:numPr>
        <w:pStyle w:val="Compact"/>
      </w:pPr>
      <w:r>
        <w:t xml:space="preserve">2018 · Kleniewska P ·</w:t>
      </w:r>
      <w:r>
        <w:t xml:space="preserve"> </w:t>
      </w:r>
      <w:r>
        <w:rPr>
          <w:iCs/>
          <w:i/>
        </w:rPr>
        <w:t xml:space="preserve">Adv Med Sci</w:t>
      </w:r>
      <w:r>
        <w:t xml:space="preserve"> </w:t>
      </w:r>
      <w:r>
        <w:t xml:space="preserve">· Assessment of human 4-hydroxynonenal, 8-isoprostane concentrations and glutathione reductase activity after synbiotics administration. PMID 29859494</w:t>
      </w:r>
    </w:p>
    <w:p>
      <w:pPr>
        <w:numPr>
          <w:ilvl w:val="0"/>
          <w:numId w:val="1414"/>
        </w:numPr>
        <w:pStyle w:val="Compact"/>
      </w:pPr>
      <w:r>
        <w:t xml:space="preserve">2018 · Bumrungpert A ·</w:t>
      </w:r>
      <w:r>
        <w:t xml:space="preserve"> </w:t>
      </w:r>
      <w:r>
        <w:rPr>
          <w:iCs/>
          <w:i/>
        </w:rPr>
        <w:t xml:space="preserve">J Med Food</w:t>
      </w:r>
      <w:r>
        <w:t xml:space="preserve"> </w:t>
      </w:r>
      <w:r>
        <w:t xml:space="preserve">· Whey Protein Supplementation Improves Nutritional Status, Glutathione Levels, and Immune Function in Cancer Patients: A Randomized, Double-Blind Controlled Trial. PMID 29565716</w:t>
      </w:r>
    </w:p>
    <w:p>
      <w:pPr>
        <w:numPr>
          <w:ilvl w:val="0"/>
          <w:numId w:val="1414"/>
        </w:numPr>
        <w:pStyle w:val="Compact"/>
      </w:pPr>
      <w:r>
        <w:t xml:space="preserve">2018 · Moss HG ·</w:t>
      </w:r>
      <w:r>
        <w:t xml:space="preserve"> </w:t>
      </w:r>
      <w:r>
        <w:rPr>
          <w:iCs/>
          <w:i/>
        </w:rPr>
        <w:t xml:space="preserve">J Cereb Blood Flow Metab</w:t>
      </w:r>
      <w:r>
        <w:t xml:space="preserve"> </w:t>
      </w:r>
      <w:r>
        <w:t xml:space="preserve">· N-Acetylcysteine rapidly replenishes central nervous system glutathione measured via magnetic resonance spectroscopy in human neonates with hypoxic-ischemic encephalopathy. PMID 29561203</w:t>
      </w:r>
    </w:p>
    <w:p>
      <w:pPr>
        <w:numPr>
          <w:ilvl w:val="0"/>
          <w:numId w:val="1414"/>
        </w:numPr>
        <w:pStyle w:val="Compact"/>
      </w:pPr>
      <w:r>
        <w:t xml:space="preserve">2018 · Kanhai KMS ·</w:t>
      </w:r>
      <w:r>
        <w:t xml:space="preserve"> </w:t>
      </w:r>
      <w:r>
        <w:rPr>
          <w:iCs/>
          <w:i/>
        </w:rPr>
        <w:t xml:space="preserve">Br J Clin Pharmacol</w:t>
      </w:r>
      <w:r>
        <w:t xml:space="preserve"> </w:t>
      </w:r>
      <w:r>
        <w:t xml:space="preserve">· Glutathione-PEGylated liposomal methylprednisolone in comparison to free methylprednisolone: slow release characteristics and prolonged lymphocyte depression in a first-in-human study. PMID 29385232</w:t>
      </w:r>
    </w:p>
    <w:p>
      <w:pPr>
        <w:numPr>
          <w:ilvl w:val="0"/>
          <w:numId w:val="1414"/>
        </w:numPr>
        <w:pStyle w:val="Compact"/>
      </w:pPr>
      <w:r>
        <w:t xml:space="preserve">2018 · Coles LD ·</w:t>
      </w:r>
      <w:r>
        <w:t xml:space="preserve"> </w:t>
      </w:r>
      <w:r>
        <w:rPr>
          <w:iCs/>
          <w:i/>
        </w:rPr>
        <w:t xml:space="preserve">J Clin Pharmacol</w:t>
      </w:r>
      <w:r>
        <w:t xml:space="preserve"> </w:t>
      </w:r>
      <w:r>
        <w:t xml:space="preserve">· Repeated-Dose Oral N-Acetylcysteine in Parkinson’s Disease: Pharmacokinetics and Effect on Brain Glutathione and Oxidative Stress. PMID 28940353</w:t>
      </w:r>
    </w:p>
    <w:p>
      <w:pPr>
        <w:numPr>
          <w:ilvl w:val="0"/>
          <w:numId w:val="1414"/>
        </w:numPr>
        <w:pStyle w:val="Compact"/>
      </w:pPr>
      <w:r>
        <w:t xml:space="preserve">2017 · Honda Y ·</w:t>
      </w:r>
      <w:r>
        <w:t xml:space="preserve"> </w:t>
      </w:r>
      <w:r>
        <w:rPr>
          <w:iCs/>
          <w:i/>
        </w:rPr>
        <w:t xml:space="preserve">BMC Gastroenterol</w:t>
      </w:r>
      <w:r>
        <w:t xml:space="preserve"> </w:t>
      </w:r>
      <w:r>
        <w:t xml:space="preserve">· Efficacy of glutathione for the treatment of nonalcoholic fatty liver disease: an open-label, single-arm, multicenter, pilot study. PMID 28789631</w:t>
      </w:r>
    </w:p>
    <w:p>
      <w:pPr>
        <w:numPr>
          <w:ilvl w:val="0"/>
          <w:numId w:val="1414"/>
        </w:numPr>
        <w:pStyle w:val="Compact"/>
      </w:pPr>
      <w:r>
        <w:t xml:space="preserve">2017 · Campolo J ·</w:t>
      </w:r>
      <w:r>
        <w:t xml:space="preserve"> </w:t>
      </w:r>
      <w:r>
        <w:rPr>
          <w:iCs/>
          <w:i/>
        </w:rPr>
        <w:t xml:space="preserve">Nutrition</w:t>
      </w:r>
      <w:r>
        <w:t xml:space="preserve"> </w:t>
      </w:r>
      <w:r>
        <w:t xml:space="preserve">· Medium-term effect of sublingual l-glutathione supplementation on flow-mediated dilation in subjects with cardiovascular risk factors. PMID 28526381</w:t>
      </w:r>
    </w:p>
    <w:p>
      <w:pPr>
        <w:numPr>
          <w:ilvl w:val="0"/>
          <w:numId w:val="1414"/>
        </w:numPr>
        <w:pStyle w:val="Compact"/>
      </w:pPr>
      <w:r>
        <w:t xml:space="preserve">2017 · Zarka MH ·</w:t>
      </w:r>
      <w:r>
        <w:t xml:space="preserve"> </w:t>
      </w:r>
      <w:r>
        <w:rPr>
          <w:iCs/>
          <w:i/>
        </w:rPr>
        <w:t xml:space="preserve">Redox Biol</w:t>
      </w:r>
      <w:r>
        <w:t xml:space="preserve"> </w:t>
      </w:r>
      <w:r>
        <w:t xml:space="preserve">· Oral administration of γ-glutamylcysteine increases intracellular glutathione levels above homeostasis in a randomised human trial pilot study. PMID 28131081</w:t>
      </w:r>
    </w:p>
    <w:p>
      <w:pPr>
        <w:numPr>
          <w:ilvl w:val="0"/>
          <w:numId w:val="1414"/>
        </w:numPr>
        <w:pStyle w:val="Compact"/>
      </w:pPr>
      <w:r>
        <w:t xml:space="preserve">2016 · Yuan JM ·</w:t>
      </w:r>
      <w:r>
        <w:t xml:space="preserve"> </w:t>
      </w:r>
      <w:r>
        <w:rPr>
          <w:iCs/>
          <w:i/>
        </w:rPr>
        <w:t xml:space="preserve">Cancer Prev Res (Phila)</w:t>
      </w:r>
      <w:r>
        <w:t xml:space="preserve"> </w:t>
      </w:r>
      <w:r>
        <w:t xml:space="preserve">· 2-Phenethyl Isothiocyanate, Glutathione S-transferase M1 and T1 Polymorphisms, and Detoxification of Volatile Organic Carcinogens and Toxicants in Tobacco Smoke. PMID 27099270</w:t>
      </w:r>
    </w:p>
    <w:p>
      <w:pPr>
        <w:numPr>
          <w:ilvl w:val="0"/>
          <w:numId w:val="1414"/>
        </w:numPr>
        <w:pStyle w:val="Compact"/>
      </w:pPr>
      <w:r>
        <w:t xml:space="preserve">2016 · Handog EB ·</w:t>
      </w:r>
      <w:r>
        <w:t xml:space="preserve"> </w:t>
      </w:r>
      <w:r>
        <w:rPr>
          <w:iCs/>
          <w:i/>
        </w:rPr>
        <w:t xml:space="preserve">Int J Dermatol</w:t>
      </w:r>
      <w:r>
        <w:t xml:space="preserve"> </w:t>
      </w:r>
      <w:r>
        <w:t xml:space="preserve">· An open-label, single-arm trial of the safety and efficacy of a novel preparation of glutathione as a skin-lightening agent in Filipino women. PMID 26148180</w:t>
      </w:r>
    </w:p>
    <w:p>
      <w:pPr>
        <w:numPr>
          <w:ilvl w:val="0"/>
          <w:numId w:val="1414"/>
        </w:numPr>
        <w:pStyle w:val="Compact"/>
      </w:pPr>
      <w:r>
        <w:t xml:space="preserve">2016 · Calkins KL ·</w:t>
      </w:r>
      <w:r>
        <w:t xml:space="preserve"> </w:t>
      </w:r>
      <w:r>
        <w:rPr>
          <w:iCs/>
          <w:i/>
        </w:rPr>
        <w:t xml:space="preserve">JPEN J Parenter Enteral Nutr</w:t>
      </w:r>
      <w:r>
        <w:t xml:space="preserve"> </w:t>
      </w:r>
      <w:r>
        <w:t xml:space="preserve">· Effect of High-Dose Cysteine Supplementation on Erythrocyte Glutathione: A Double-Blinded, Randomized Placebo-Controlled Pilot Study in Critically Ill Neonates. PMID 25139979</w:t>
      </w:r>
    </w:p>
    <w:p>
      <w:pPr>
        <w:numPr>
          <w:ilvl w:val="0"/>
          <w:numId w:val="1414"/>
        </w:numPr>
        <w:pStyle w:val="Compact"/>
      </w:pPr>
      <w:r>
        <w:t xml:space="preserve">2015 · Duffy SL ·</w:t>
      </w:r>
      <w:r>
        <w:t xml:space="preserve"> </w:t>
      </w:r>
      <w:r>
        <w:rPr>
          <w:iCs/>
          <w:i/>
        </w:rPr>
        <w:t xml:space="preserve">Nutrition</w:t>
      </w:r>
      <w:r>
        <w:t xml:space="preserve"> </w:t>
      </w:r>
      <w:r>
        <w:t xml:space="preserve">· The effect of 12-wk ω-3 fatty acid supplementation on in vivo thalamus glutathione concentration in patients</w:t>
      </w:r>
      <w:r>
        <w:t xml:space="preserve"> </w:t>
      </w:r>
      <w:r>
        <w:t xml:space="preserve">“</w:t>
      </w:r>
      <w:r>
        <w:t xml:space="preserve">at risk</w:t>
      </w:r>
      <w:r>
        <w:t xml:space="preserve">”</w:t>
      </w:r>
      <w:r>
        <w:t xml:space="preserve"> </w:t>
      </w:r>
      <w:r>
        <w:t xml:space="preserve">for major depression. PMID 26333890</w:t>
      </w:r>
    </w:p>
    <w:p>
      <w:pPr>
        <w:numPr>
          <w:ilvl w:val="0"/>
          <w:numId w:val="1414"/>
        </w:numPr>
        <w:pStyle w:val="Compact"/>
      </w:pPr>
      <w:r>
        <w:t xml:space="preserve">2015 · Schmitt B ·</w:t>
      </w:r>
      <w:r>
        <w:t xml:space="preserve"> </w:t>
      </w:r>
      <w:r>
        <w:rPr>
          <w:iCs/>
          <w:i/>
        </w:rPr>
        <w:t xml:space="preserve">Redox Biol</w:t>
      </w:r>
      <w:r>
        <w:t xml:space="preserve"> </w:t>
      </w:r>
      <w:r>
        <w:t xml:space="preserve">· Effects of N-acetylcysteine, oral glutathione (GSH) and a novel sublingual form of GSH on oxidative stress markers: A comparative crossover study. PMID 26262996</w:t>
      </w:r>
    </w:p>
    <w:p>
      <w:pPr>
        <w:numPr>
          <w:ilvl w:val="0"/>
          <w:numId w:val="1414"/>
        </w:numPr>
        <w:pStyle w:val="Compact"/>
      </w:pPr>
      <w:r>
        <w:t xml:space="preserve">2015 · McKinley-Barnard S ·</w:t>
      </w:r>
      <w:r>
        <w:t xml:space="preserve"> </w:t>
      </w:r>
      <w:r>
        <w:rPr>
          <w:iCs/>
          <w:i/>
        </w:rPr>
        <w:t xml:space="preserve">J Int Soc Sports Nutr</w:t>
      </w:r>
      <w:r>
        <w:t xml:space="preserve"> </w:t>
      </w:r>
      <w:r>
        <w:t xml:space="preserve">· Combined L-citrulline and glutathione supplementation increases the concentration of markers indicative of nitric oxide synthesis. PMID 26097441</w:t>
      </w:r>
    </w:p>
    <w:p>
      <w:pPr>
        <w:numPr>
          <w:ilvl w:val="0"/>
          <w:numId w:val="1414"/>
        </w:numPr>
        <w:pStyle w:val="Compact"/>
      </w:pPr>
      <w:r>
        <w:t xml:space="preserve">2015 · Visca A ·</w:t>
      </w:r>
      <w:r>
        <w:t xml:space="preserve"> </w:t>
      </w:r>
      <w:r>
        <w:rPr>
          <w:iCs/>
          <w:i/>
        </w:rPr>
        <w:t xml:space="preserve">J Pediatr Gastroenterol Nutr</w:t>
      </w:r>
      <w:r>
        <w:t xml:space="preserve"> </w:t>
      </w:r>
      <w:r>
        <w:t xml:space="preserve">· Oral reduced L-glutathione improves growth in pediatric cystic fibrosis patients. PMID 25633497</w:t>
      </w:r>
    </w:p>
    <w:p>
      <w:pPr>
        <w:numPr>
          <w:ilvl w:val="0"/>
          <w:numId w:val="1414"/>
        </w:numPr>
        <w:pStyle w:val="Compact"/>
      </w:pPr>
      <w:r>
        <w:t xml:space="preserve">2015 · Richie JP Jr ·</w:t>
      </w:r>
      <w:r>
        <w:t xml:space="preserve"> </w:t>
      </w:r>
      <w:r>
        <w:rPr>
          <w:iCs/>
          <w:i/>
        </w:rPr>
        <w:t xml:space="preserve">Eur J Nutr</w:t>
      </w:r>
      <w:r>
        <w:t xml:space="preserve"> </w:t>
      </w:r>
      <w:r>
        <w:t xml:space="preserve">· Randomized controlled trial of oral glutathione supplementation on body stores of glutathione. PMID 24791752</w:t>
      </w:r>
    </w:p>
    <w:p>
      <w:pPr>
        <w:numPr>
          <w:ilvl w:val="0"/>
          <w:numId w:val="1414"/>
        </w:numPr>
        <w:pStyle w:val="Compact"/>
      </w:pPr>
      <w:r>
        <w:t xml:space="preserve">2014 · Kasperczyk S ·</w:t>
      </w:r>
      <w:r>
        <w:t xml:space="preserve"> </w:t>
      </w:r>
      <w:r>
        <w:rPr>
          <w:iCs/>
          <w:i/>
        </w:rPr>
        <w:t xml:space="preserve">Toxicol Appl Pharmacol</w:t>
      </w:r>
      <w:r>
        <w:t xml:space="preserve"> </w:t>
      </w:r>
      <w:r>
        <w:t xml:space="preserve">· Beta-carotene reduces oxidative stress, improves glutathione metabolism and modifies antioxidant defense systems in lead-exposed workers. PMID 25038314</w:t>
      </w:r>
    </w:p>
    <w:p>
      <w:pPr>
        <w:numPr>
          <w:ilvl w:val="0"/>
          <w:numId w:val="1414"/>
        </w:numPr>
        <w:pStyle w:val="Compact"/>
      </w:pPr>
      <w:r>
        <w:t xml:space="preserve">2014 · Park EY ·</w:t>
      </w:r>
      <w:r>
        <w:t xml:space="preserve"> </w:t>
      </w:r>
      <w:r>
        <w:rPr>
          <w:iCs/>
          <w:i/>
        </w:rPr>
        <w:t xml:space="preserve">J Agric Food Chem</w:t>
      </w:r>
      <w:r>
        <w:t xml:space="preserve"> </w:t>
      </w:r>
      <w:r>
        <w:t xml:space="preserve">· Increase in the protein-bound form of glutathione in human blood after the oral administration of glutathione. PMID 24877771</w:t>
      </w:r>
    </w:p>
    <w:p>
      <w:pPr>
        <w:numPr>
          <w:ilvl w:val="0"/>
          <w:numId w:val="1414"/>
        </w:numPr>
        <w:pStyle w:val="Compact"/>
      </w:pPr>
      <w:r>
        <w:t xml:space="preserve">2014 · Giacosa A ·</w:t>
      </w:r>
      <w:r>
        <w:t xml:space="preserve"> </w:t>
      </w:r>
      <w:r>
        <w:rPr>
          <w:iCs/>
          <w:i/>
        </w:rPr>
        <w:t xml:space="preserve">Nutrients</w:t>
      </w:r>
      <w:r>
        <w:t xml:space="preserve"> </w:t>
      </w:r>
      <w:r>
        <w:t xml:space="preserve">· Selenium fortification of an Italian rice cultivar via foliar fertilization with sodium selenate and its effects on human serum selenium levels and on erythrocyte glutathione peroxidase activity. PMID 24667132</w:t>
      </w:r>
    </w:p>
    <w:p>
      <w:pPr>
        <w:numPr>
          <w:ilvl w:val="0"/>
          <w:numId w:val="1414"/>
        </w:numPr>
        <w:pStyle w:val="Compact"/>
      </w:pPr>
      <w:r>
        <w:t xml:space="preserve">2014 · Green CO ·</w:t>
      </w:r>
      <w:r>
        <w:t xml:space="preserve"> </w:t>
      </w:r>
      <w:r>
        <w:rPr>
          <w:iCs/>
          <w:i/>
        </w:rPr>
        <w:t xml:space="preserve">Am J Clin Nutr</w:t>
      </w:r>
      <w:r>
        <w:t xml:space="preserve"> </w:t>
      </w:r>
      <w:r>
        <w:t xml:space="preserve">· Effects of randomized supplementation of methionine or alanine on cysteine and glutathione production during the early phase of treatment of children with edematous malnutrition. PMID 24598154</w:t>
      </w:r>
    </w:p>
    <w:p>
      <w:pPr>
        <w:numPr>
          <w:ilvl w:val="0"/>
          <w:numId w:val="1414"/>
        </w:numPr>
        <w:pStyle w:val="Compact"/>
      </w:pPr>
      <w:r>
        <w:t xml:space="preserve">2014 · Nguyen D ·</w:t>
      </w:r>
      <w:r>
        <w:t xml:space="preserve"> </w:t>
      </w:r>
      <w:r>
        <w:rPr>
          <w:iCs/>
          <w:i/>
        </w:rPr>
        <w:t xml:space="preserve">J Clin Endocrinol Metab</w:t>
      </w:r>
      <w:r>
        <w:t xml:space="preserve"> </w:t>
      </w:r>
      <w:r>
        <w:t xml:space="preserve">· Effect of increasing glutathione with cysteine and glycine supplementation on mitochondrial fuel oxidation, insulin sensitivity, and body composition in older HIV-infected patients. PMID 24081740</w:t>
      </w:r>
    </w:p>
    <w:p>
      <w:pPr>
        <w:numPr>
          <w:ilvl w:val="0"/>
          <w:numId w:val="1414"/>
        </w:numPr>
        <w:pStyle w:val="Compact"/>
      </w:pPr>
      <w:r>
        <w:t xml:space="preserve">2013 · Holmay MJ ·</w:t>
      </w:r>
      <w:r>
        <w:t xml:space="preserve"> </w:t>
      </w:r>
      <w:r>
        <w:rPr>
          <w:iCs/>
          <w:i/>
        </w:rPr>
        <w:t xml:space="preserve">Clin Neuropharmacol</w:t>
      </w:r>
      <w:r>
        <w:t xml:space="preserve"> </w:t>
      </w:r>
      <w:r>
        <w:t xml:space="preserve">· N-Acetylcysteine boosts brain and blood glutathione in Gaucher and Parkinson diseases. PMID 23860343</w:t>
      </w:r>
    </w:p>
    <w:p>
      <w:pPr>
        <w:numPr>
          <w:ilvl w:val="0"/>
          <w:numId w:val="1414"/>
        </w:numPr>
        <w:pStyle w:val="Compact"/>
      </w:pPr>
      <w:r>
        <w:t xml:space="preserve">2013 · Basu A ·</w:t>
      </w:r>
      <w:r>
        <w:t xml:space="preserve"> </w:t>
      </w:r>
      <w:r>
        <w:rPr>
          <w:iCs/>
          <w:i/>
        </w:rPr>
        <w:t xml:space="preserve">Nutr Res</w:t>
      </w:r>
      <w:r>
        <w:t xml:space="preserve"> </w:t>
      </w:r>
      <w:r>
        <w:t xml:space="preserve">· Green tea supplementation increases glutathione and plasma antioxidant capacity in adults with the metabolic syndrome. PMID 23507223</w:t>
      </w:r>
    </w:p>
    <w:p>
      <w:pPr>
        <w:numPr>
          <w:ilvl w:val="0"/>
          <w:numId w:val="1414"/>
        </w:numPr>
        <w:pStyle w:val="Compact"/>
      </w:pPr>
      <w:r>
        <w:t xml:space="preserve">2013 · Morris D ·</w:t>
      </w:r>
      <w:r>
        <w:t xml:space="preserve"> </w:t>
      </w:r>
      <w:r>
        <w:rPr>
          <w:iCs/>
          <w:i/>
        </w:rPr>
        <w:t xml:space="preserve">J Interferon Cytokine Res</w:t>
      </w:r>
      <w:r>
        <w:t xml:space="preserve"> </w:t>
      </w:r>
      <w:r>
        <w:t xml:space="preserve">· Glutathione supplementation improves macrophage functions in HIV. PMID 23409922</w:t>
      </w:r>
    </w:p>
    <w:p>
      <w:pPr>
        <w:numPr>
          <w:ilvl w:val="0"/>
          <w:numId w:val="1414"/>
        </w:numPr>
        <w:pStyle w:val="Compact"/>
      </w:pPr>
      <w:r>
        <w:t xml:space="preserve">2012 · Miller JC ·</w:t>
      </w:r>
      <w:r>
        <w:t xml:space="preserve"> </w:t>
      </w:r>
      <w:r>
        <w:rPr>
          <w:iCs/>
          <w:i/>
        </w:rPr>
        <w:t xml:space="preserve">Am J Clin Nutr</w:t>
      </w:r>
      <w:r>
        <w:t xml:space="preserve"> </w:t>
      </w:r>
      <w:r>
        <w:t xml:space="preserve">· Influence of the glutathione peroxidase 1 Pro200Leu polymorphism on the response of glutathione peroxidase activity to selenium supplementation: a randomized controlled trial. PMID 22952184</w:t>
      </w:r>
    </w:p>
    <w:p>
      <w:pPr>
        <w:numPr>
          <w:ilvl w:val="0"/>
          <w:numId w:val="1414"/>
        </w:numPr>
        <w:pStyle w:val="Compact"/>
      </w:pPr>
      <w:r>
        <w:t xml:space="preserve">2012 · Treweeke AT ·</w:t>
      </w:r>
      <w:r>
        <w:t xml:space="preserve"> </w:t>
      </w:r>
      <w:r>
        <w:rPr>
          <w:iCs/>
          <w:i/>
        </w:rPr>
        <w:t xml:space="preserve">Diabetologia</w:t>
      </w:r>
      <w:r>
        <w:t xml:space="preserve"> </w:t>
      </w:r>
      <w:r>
        <w:t xml:space="preserve">· N-Acetylcysteine inhibits platelet-monocyte conjugation in patients with type 2 diabetes with depleted intraplatelet glutathione: a randomised controlled trial. PMID 22935960</w:t>
      </w:r>
    </w:p>
    <w:p>
      <w:pPr>
        <w:numPr>
          <w:ilvl w:val="0"/>
          <w:numId w:val="1414"/>
        </w:numPr>
        <w:pStyle w:val="Compact"/>
      </w:pPr>
      <w:r>
        <w:t xml:space="preserve">2012 · Fu P ·</w:t>
      </w:r>
      <w:r>
        <w:t xml:space="preserve"> </w:t>
      </w:r>
      <w:r>
        <w:rPr>
          <w:iCs/>
          <w:i/>
        </w:rPr>
        <w:t xml:space="preserve">Zhong Xi Yi Jie He Xue Bao</w:t>
      </w:r>
      <w:r>
        <w:t xml:space="preserve"> </w:t>
      </w:r>
      <w:r>
        <w:t xml:space="preserve">· [Effects of salvianolate combined with alprostadil and reduced glutathione on progression of chronic renal failure in patients with chronic kidney diseases: a long-term randomized controlled trial]. PMID 22704412</w:t>
      </w:r>
    </w:p>
    <w:p>
      <w:pPr>
        <w:numPr>
          <w:ilvl w:val="0"/>
          <w:numId w:val="1414"/>
        </w:numPr>
        <w:pStyle w:val="Compact"/>
      </w:pPr>
      <w:r>
        <w:t xml:space="preserve">2012 · Chazov EI ·</w:t>
      </w:r>
      <w:r>
        <w:t xml:space="preserve"> </w:t>
      </w:r>
      <w:r>
        <w:rPr>
          <w:iCs/>
          <w:i/>
        </w:rPr>
        <w:t xml:space="preserve">Nitric Oxide</w:t>
      </w:r>
      <w:r>
        <w:t xml:space="preserve"> </w:t>
      </w:r>
      <w:r>
        <w:t xml:space="preserve">· Hypotensive effect of Oxacom® containing a dinitrosyl iron complex with glutathione: animal studies and clinical trials on healthy volunteers. PMID 22326933</w:t>
      </w:r>
    </w:p>
    <w:p>
      <w:pPr>
        <w:numPr>
          <w:ilvl w:val="0"/>
          <w:numId w:val="1414"/>
        </w:numPr>
        <w:pStyle w:val="Compact"/>
      </w:pPr>
      <w:r>
        <w:t xml:space="preserve">2012 · Borges-Santos MD ·</w:t>
      </w:r>
      <w:r>
        <w:t xml:space="preserve"> </w:t>
      </w:r>
      <w:r>
        <w:rPr>
          <w:iCs/>
          <w:i/>
        </w:rPr>
        <w:t xml:space="preserve">Nutrition</w:t>
      </w:r>
      <w:r>
        <w:t xml:space="preserve"> </w:t>
      </w:r>
      <w:r>
        <w:t xml:space="preserve">· Plasma glutathione of HIV⁺ patients responded positively and differently to dietary supplementation with cysteine or glutamine. PMID 22261571</w:t>
      </w:r>
    </w:p>
    <w:p>
      <w:pPr>
        <w:numPr>
          <w:ilvl w:val="0"/>
          <w:numId w:val="1414"/>
        </w:numPr>
        <w:pStyle w:val="Compact"/>
      </w:pPr>
      <w:r>
        <w:t xml:space="preserve">2012 · DiFrancisco-Donoghue J ·</w:t>
      </w:r>
      <w:r>
        <w:t xml:space="preserve"> </w:t>
      </w:r>
      <w:r>
        <w:rPr>
          <w:iCs/>
          <w:i/>
        </w:rPr>
        <w:t xml:space="preserve">Neurodegener Dis</w:t>
      </w:r>
      <w:r>
        <w:t xml:space="preserve"> </w:t>
      </w:r>
      <w:r>
        <w:t xml:space="preserve">· Effects of exercise and B vitamins on homocysteine and glutathione in Parkinson’s disease: a randomized trial. PMID 22261439</w:t>
      </w:r>
    </w:p>
    <w:p>
      <w:pPr>
        <w:numPr>
          <w:ilvl w:val="0"/>
          <w:numId w:val="1414"/>
        </w:numPr>
        <w:pStyle w:val="Compact"/>
      </w:pPr>
      <w:r>
        <w:t xml:space="preserve">2012 · Arjinpathana N ·</w:t>
      </w:r>
      <w:r>
        <w:t xml:space="preserve"> </w:t>
      </w:r>
      <w:r>
        <w:rPr>
          <w:iCs/>
          <w:i/>
        </w:rPr>
        <w:t xml:space="preserve">J Dermatolog Treat</w:t>
      </w:r>
      <w:r>
        <w:t xml:space="preserve"> </w:t>
      </w:r>
      <w:r>
        <w:t xml:space="preserve">· Glutathione as an oral whitening agent: a randomized, double-blind, placebo-controlled study. PMID 20524875</w:t>
      </w:r>
    </w:p>
    <w:p>
      <w:pPr>
        <w:numPr>
          <w:ilvl w:val="0"/>
          <w:numId w:val="1414"/>
        </w:numPr>
        <w:pStyle w:val="Compact"/>
      </w:pPr>
      <w:r>
        <w:t xml:space="preserve">2011 · Kern JK ·</w:t>
      </w:r>
      <w:r>
        <w:t xml:space="preserve"> </w:t>
      </w:r>
      <w:r>
        <w:rPr>
          <w:iCs/>
          <w:i/>
        </w:rPr>
        <w:t xml:space="preserve">Med Sci Monit</w:t>
      </w:r>
      <w:r>
        <w:t xml:space="preserve"> </w:t>
      </w:r>
      <w:r>
        <w:t xml:space="preserve">· A clinical trial of glutathione supplementation in autism spectrum disorders. PMID 22129897</w:t>
      </w:r>
    </w:p>
    <w:p>
      <w:pPr>
        <w:numPr>
          <w:ilvl w:val="0"/>
          <w:numId w:val="1414"/>
        </w:numPr>
        <w:pStyle w:val="Compact"/>
      </w:pPr>
      <w:r>
        <w:t xml:space="preserve">2011 · Chazov EI ·</w:t>
      </w:r>
      <w:r>
        <w:t xml:space="preserve"> </w:t>
      </w:r>
      <w:r>
        <w:rPr>
          <w:iCs/>
          <w:i/>
        </w:rPr>
        <w:t xml:space="preserve">Kardiologiia</w:t>
      </w:r>
      <w:r>
        <w:t xml:space="preserve"> </w:t>
      </w:r>
      <w:r>
        <w:t xml:space="preserve">· [The study of hypotensive action of dinitrosyl-iron complex with glutathione containing drug oxacom in healthy volunteers]. PMID 22117768</w:t>
      </w:r>
    </w:p>
    <w:p>
      <w:pPr>
        <w:numPr>
          <w:ilvl w:val="0"/>
          <w:numId w:val="1414"/>
        </w:numPr>
        <w:pStyle w:val="Compact"/>
      </w:pPr>
      <w:r>
        <w:t xml:space="preserve">2011 · Allen J ·</w:t>
      </w:r>
      <w:r>
        <w:t xml:space="preserve"> </w:t>
      </w:r>
      <w:r>
        <w:rPr>
          <w:iCs/>
          <w:i/>
        </w:rPr>
        <w:t xml:space="preserve">J Altern Complement Med</w:t>
      </w:r>
      <w:r>
        <w:t xml:space="preserve"> </w:t>
      </w:r>
      <w:r>
        <w:t xml:space="preserve">· Effects of oral glutathione supplementation on systemic oxidative stress biomarkers in human volunteers. PMID 21875351</w:t>
      </w:r>
    </w:p>
    <w:p>
      <w:pPr>
        <w:numPr>
          <w:ilvl w:val="0"/>
          <w:numId w:val="1414"/>
        </w:numPr>
        <w:pStyle w:val="Compact"/>
      </w:pPr>
      <w:r>
        <w:t xml:space="preserve">2011 · Sekhar RV ·</w:t>
      </w:r>
      <w:r>
        <w:t xml:space="preserve"> </w:t>
      </w:r>
      <w:r>
        <w:rPr>
          <w:iCs/>
          <w:i/>
        </w:rPr>
        <w:t xml:space="preserve">Am J Clin Nutr</w:t>
      </w:r>
      <w:r>
        <w:t xml:space="preserve"> </w:t>
      </w:r>
      <w:r>
        <w:t xml:space="preserve">· Deficient synthesis of glutathione underlies oxidative stress in aging and can be corrected by dietary cysteine and glycine supplementation. PMID 21795440</w:t>
      </w:r>
    </w:p>
    <w:p>
      <w:pPr>
        <w:numPr>
          <w:ilvl w:val="0"/>
          <w:numId w:val="1414"/>
        </w:numPr>
        <w:pStyle w:val="Compact"/>
      </w:pPr>
      <w:r>
        <w:t xml:space="preserve">2011 · Richie JP Jr ·</w:t>
      </w:r>
      <w:r>
        <w:t xml:space="preserve"> </w:t>
      </w:r>
      <w:r>
        <w:rPr>
          <w:iCs/>
          <w:i/>
        </w:rPr>
        <w:t xml:space="preserve">Nutr Cancer</w:t>
      </w:r>
      <w:r>
        <w:t xml:space="preserve"> </w:t>
      </w:r>
      <w:r>
        <w:t xml:space="preserve">· Association of selenium status and blood glutathione concentrations in blacks and whites. PMID 21462082</w:t>
      </w:r>
    </w:p>
    <w:p>
      <w:pPr>
        <w:numPr>
          <w:ilvl w:val="0"/>
          <w:numId w:val="1414"/>
        </w:numPr>
        <w:pStyle w:val="Compact"/>
      </w:pPr>
      <w:r>
        <w:t xml:space="preserve">2011 · Zhang W ·</w:t>
      </w:r>
      <w:r>
        <w:t xml:space="preserve"> </w:t>
      </w:r>
      <w:r>
        <w:rPr>
          <w:iCs/>
          <w:i/>
        </w:rPr>
        <w:t xml:space="preserve">Nutr Res</w:t>
      </w:r>
      <w:r>
        <w:t xml:space="preserve"> </w:t>
      </w:r>
      <w:r>
        <w:t xml:space="preserve">· Selenium glycinate supplementation increases blood glutathione peroxidase activities and decreases prostate-specific antigen readings in middle-aged US men. PMID 21419321</w:t>
      </w:r>
    </w:p>
    <w:p>
      <w:pPr>
        <w:numPr>
          <w:ilvl w:val="0"/>
          <w:numId w:val="1414"/>
        </w:numPr>
        <w:pStyle w:val="Compact"/>
      </w:pPr>
      <w:r>
        <w:t xml:space="preserve">2011 · Cominetti C ·</w:t>
      </w:r>
      <w:r>
        <w:t xml:space="preserve"> </w:t>
      </w:r>
      <w:r>
        <w:rPr>
          <w:iCs/>
          <w:i/>
        </w:rPr>
        <w:t xml:space="preserve">Nutrition</w:t>
      </w:r>
      <w:r>
        <w:t xml:space="preserve"> </w:t>
      </w:r>
      <w:r>
        <w:t xml:space="preserve">· Associations between glutathione peroxidase-1 Pro198Leu polymorphism, selenium status, and DNA damage levels in obese women after consumption of Brazil nuts. PMID 21208780</w:t>
      </w:r>
    </w:p>
    <w:p>
      <w:pPr>
        <w:numPr>
          <w:ilvl w:val="0"/>
          <w:numId w:val="1414"/>
        </w:numPr>
        <w:pStyle w:val="Compact"/>
      </w:pPr>
      <w:r>
        <w:t xml:space="preserve">2011 · Saitoh T ·</w:t>
      </w:r>
      <w:r>
        <w:t xml:space="preserve"> </w:t>
      </w:r>
      <w:r>
        <w:rPr>
          <w:iCs/>
          <w:i/>
        </w:rPr>
        <w:t xml:space="preserve">Heart Vessels</w:t>
      </w:r>
      <w:r>
        <w:t xml:space="preserve"> </w:t>
      </w:r>
      <w:r>
        <w:t xml:space="preserve">· Intravenous glutathione prevents renal oxidative stress after coronary angiography more effectively than oral N-acetylcysteine. PMID 21127883</w:t>
      </w:r>
    </w:p>
    <w:p>
      <w:pPr>
        <w:numPr>
          <w:ilvl w:val="0"/>
          <w:numId w:val="1414"/>
        </w:numPr>
        <w:pStyle w:val="Compact"/>
      </w:pPr>
      <w:r>
        <w:t xml:space="preserve">2011 · Almog S ·</w:t>
      </w:r>
      <w:r>
        <w:t xml:space="preserve"> </w:t>
      </w:r>
      <w:r>
        <w:rPr>
          <w:iCs/>
          <w:i/>
        </w:rPr>
        <w:t xml:space="preserve">Biol Blood Marrow Transplant</w:t>
      </w:r>
      <w:r>
        <w:t xml:space="preserve"> </w:t>
      </w:r>
      <w:r>
        <w:t xml:space="preserve">· Linearity and stability of intravenous busulfan pharmacokinetics and the role of glutathione in busulfan elimination. PMID 20601034</w:t>
      </w:r>
    </w:p>
    <w:p>
      <w:pPr>
        <w:numPr>
          <w:ilvl w:val="0"/>
          <w:numId w:val="1414"/>
        </w:numPr>
        <w:pStyle w:val="Compact"/>
      </w:pPr>
      <w:r>
        <w:t xml:space="preserve">2010 · Stockler-Pinto MB ·</w:t>
      </w:r>
      <w:r>
        <w:t xml:space="preserve"> </w:t>
      </w:r>
      <w:r>
        <w:rPr>
          <w:iCs/>
          <w:i/>
        </w:rPr>
        <w:t xml:space="preserve">Nutrition</w:t>
      </w:r>
      <w:r>
        <w:t xml:space="preserve"> </w:t>
      </w:r>
      <w:r>
        <w:t xml:space="preserve">· Effect of Brazil nut supplementation on the blood levels of selenium and glutathione peroxidase in hemodialysis patients. PMID 20018488</w:t>
      </w:r>
    </w:p>
    <w:p>
      <w:pPr>
        <w:numPr>
          <w:ilvl w:val="0"/>
          <w:numId w:val="1414"/>
        </w:numPr>
        <w:pStyle w:val="Compact"/>
      </w:pPr>
      <w:r>
        <w:t xml:space="preserve">2010 · Courtney-Martin G ·</w:t>
      </w:r>
      <w:r>
        <w:t xml:space="preserve"> </w:t>
      </w:r>
      <w:r>
        <w:rPr>
          <w:iCs/>
          <w:i/>
        </w:rPr>
        <w:t xml:space="preserve">Pediatr Res</w:t>
      </w:r>
      <w:r>
        <w:t xml:space="preserve"> </w:t>
      </w:r>
      <w:r>
        <w:t xml:space="preserve">· The addition of cysteine to the total sulphur amino acid requirement as methionine does not increase erythrocytes glutathione synthesis in the parenterally fed human neonate. PMID 19915518</w:t>
      </w:r>
    </w:p>
    <w:p>
      <w:pPr>
        <w:numPr>
          <w:ilvl w:val="0"/>
          <w:numId w:val="1414"/>
        </w:numPr>
        <w:pStyle w:val="Compact"/>
      </w:pPr>
      <w:r>
        <w:t xml:space="preserve">2009 · Greenblatt DJ ·</w:t>
      </w:r>
      <w:r>
        <w:t xml:space="preserve"> </w:t>
      </w:r>
      <w:r>
        <w:rPr>
          <w:iCs/>
          <w:i/>
        </w:rPr>
        <w:t xml:space="preserve">Br J Clin Pharmacol</w:t>
      </w:r>
      <w:r>
        <w:t xml:space="preserve"> </w:t>
      </w:r>
      <w:r>
        <w:t xml:space="preserve">· Inhibition of oral midazolam clearance by boosting doses of ritonavir, and by 4,4-dimethyl-benziso-(2H)-selenazine (ALT-2074), an experimental catalytic mimic of glutathione oxidase. PMID 20002087</w:t>
      </w:r>
    </w:p>
    <w:p>
      <w:pPr>
        <w:numPr>
          <w:ilvl w:val="0"/>
          <w:numId w:val="1414"/>
        </w:numPr>
        <w:pStyle w:val="Compact"/>
      </w:pPr>
      <w:r>
        <w:t xml:space="preserve">2009 · Navarro SL ·</w:t>
      </w:r>
      <w:r>
        <w:t xml:space="preserve"> </w:t>
      </w:r>
      <w:r>
        <w:rPr>
          <w:iCs/>
          <w:i/>
        </w:rPr>
        <w:t xml:space="preserve">Cancer Epidemiol Biomarkers Prev</w:t>
      </w:r>
      <w:r>
        <w:t xml:space="preserve"> </w:t>
      </w:r>
      <w:r>
        <w:t xml:space="preserve">· Modulation of human serum glutathione S-transferase A1/2 concentration by cruciferous vegetables in a controlled feeding study is influenced by GSTM1 and GSTT1 genotypes. PMID 19900941</w:t>
      </w:r>
    </w:p>
    <w:p>
      <w:pPr>
        <w:numPr>
          <w:ilvl w:val="0"/>
          <w:numId w:val="1414"/>
        </w:numPr>
        <w:pStyle w:val="Compact"/>
      </w:pPr>
      <w:r>
        <w:t xml:space="preserve">2009 · te Braake FW ·</w:t>
      </w:r>
      <w:r>
        <w:t xml:space="preserve"> </w:t>
      </w:r>
      <w:r>
        <w:rPr>
          <w:iCs/>
          <w:i/>
        </w:rPr>
        <w:t xml:space="preserve">Pediatrics</w:t>
      </w:r>
      <w:r>
        <w:t xml:space="preserve"> </w:t>
      </w:r>
      <w:r>
        <w:t xml:space="preserve">· High-dose cysteine administration does not increase synthesis of the antioxidant glutathione preterm infants. PMID 19822595</w:t>
      </w:r>
    </w:p>
    <w:p>
      <w:pPr>
        <w:numPr>
          <w:ilvl w:val="0"/>
          <w:numId w:val="1414"/>
        </w:numPr>
        <w:pStyle w:val="Compact"/>
      </w:pPr>
      <w:r>
        <w:t xml:space="preserve">2009 · Engel JM ·</w:t>
      </w:r>
      <w:r>
        <w:t xml:space="preserve"> </w:t>
      </w:r>
      <w:r>
        <w:rPr>
          <w:iCs/>
          <w:i/>
        </w:rPr>
        <w:t xml:space="preserve">Acta Anaesthesiol Scand</w:t>
      </w:r>
      <w:r>
        <w:t xml:space="preserve"> </w:t>
      </w:r>
      <w:r>
        <w:t xml:space="preserve">· Glutamine administration in patients undergoing cardiac surgery and the influence on blood glutathione levels. PMID 19681775</w:t>
      </w:r>
    </w:p>
    <w:p>
      <w:pPr>
        <w:numPr>
          <w:ilvl w:val="0"/>
          <w:numId w:val="1414"/>
        </w:numPr>
        <w:pStyle w:val="Compact"/>
      </w:pPr>
      <w:r>
        <w:t xml:space="preserve">2009 · Eroglu A ·</w:t>
      </w:r>
      <w:r>
        <w:t xml:space="preserve"> </w:t>
      </w:r>
      <w:r>
        <w:rPr>
          <w:iCs/>
          <w:i/>
        </w:rPr>
        <w:t xml:space="preserve">Anesth Analg</w:t>
      </w:r>
      <w:r>
        <w:t xml:space="preserve"> </w:t>
      </w:r>
      <w:r>
        <w:t xml:space="preserve">· The effect of intravenous alanyl-glutamine supplementation on plasma glutathione levels in intensive care unit trauma patients receiving enteral nutrition: the results of a randomized controlled trial. PMID 19608826</w:t>
      </w:r>
    </w:p>
    <w:p>
      <w:pPr>
        <w:numPr>
          <w:ilvl w:val="0"/>
          <w:numId w:val="1414"/>
        </w:numPr>
        <w:pStyle w:val="Compact"/>
      </w:pPr>
      <w:r>
        <w:t xml:space="preserve">2009 · Raza A ·</w:t>
      </w:r>
      <w:r>
        <w:t xml:space="preserve"> </w:t>
      </w:r>
      <w:r>
        <w:rPr>
          <w:iCs/>
          <w:i/>
        </w:rPr>
        <w:t xml:space="preserve">J Hematol Oncol</w:t>
      </w:r>
      <w:r>
        <w:t xml:space="preserve"> </w:t>
      </w:r>
      <w:r>
        <w:t xml:space="preserve">· Phase 1-2a multicenter dose-escalation study of ezatiostat hydrochloride liposomes for injection (Telintra, TLK199), a novel glutathione analog prodrug in patients with myelodysplastic syndrome. PMID 19439093</w:t>
      </w:r>
    </w:p>
    <w:p>
      <w:pPr>
        <w:numPr>
          <w:ilvl w:val="0"/>
          <w:numId w:val="1414"/>
        </w:numPr>
        <w:pStyle w:val="Compact"/>
      </w:pPr>
      <w:r>
        <w:t xml:space="preserve">2009 · Yang P ·</w:t>
      </w:r>
      <w:r>
        <w:t xml:space="preserve"> </w:t>
      </w:r>
      <w:r>
        <w:rPr>
          <w:iCs/>
          <w:i/>
        </w:rPr>
        <w:t xml:space="preserve">J Thorac Oncol</w:t>
      </w:r>
      <w:r>
        <w:t xml:space="preserve"> </w:t>
      </w:r>
      <w:r>
        <w:t xml:space="preserve">· Evaluation of glutathione metabolic genes on outcomes in advanced non-small cell lung cancer patients after initial treatment with platinum-based chemotherapy: an NCCTG-97-24-51 based study. PMID 19347979</w:t>
      </w:r>
    </w:p>
    <w:p>
      <w:pPr>
        <w:numPr>
          <w:ilvl w:val="0"/>
          <w:numId w:val="1414"/>
        </w:numPr>
        <w:pStyle w:val="Compact"/>
      </w:pPr>
      <w:r>
        <w:t xml:space="preserve">2009 · Zachara BA ·</w:t>
      </w:r>
      <w:r>
        <w:t xml:space="preserve"> </w:t>
      </w:r>
      <w:r>
        <w:rPr>
          <w:iCs/>
          <w:i/>
        </w:rPr>
        <w:t xml:space="preserve">Acta Biochim Pol</w:t>
      </w:r>
      <w:r>
        <w:t xml:space="preserve"> </w:t>
      </w:r>
      <w:r>
        <w:t xml:space="preserve">· Selenium supplementation to chronic kidney disease patients on hemodialysis does not induce the synthesis of plasma glutathione peroxidase. PMID 19238255</w:t>
      </w:r>
    </w:p>
    <w:p>
      <w:pPr>
        <w:numPr>
          <w:ilvl w:val="0"/>
          <w:numId w:val="1414"/>
        </w:numPr>
        <w:pStyle w:val="Compact"/>
      </w:pPr>
      <w:r>
        <w:t xml:space="preserve">2009 · Hauser RA ·</w:t>
      </w:r>
      <w:r>
        <w:t xml:space="preserve"> </w:t>
      </w:r>
      <w:r>
        <w:rPr>
          <w:iCs/>
          <w:i/>
        </w:rPr>
        <w:t xml:space="preserve">Mov Disord</w:t>
      </w:r>
      <w:r>
        <w:t xml:space="preserve"> </w:t>
      </w:r>
      <w:r>
        <w:t xml:space="preserve">· Randomized, double-blind, pilot evaluation of intravenous glutathione in Parkinson’s disease. PMID 19230029</w:t>
      </w:r>
    </w:p>
    <w:p>
      <w:pPr>
        <w:numPr>
          <w:ilvl w:val="0"/>
          <w:numId w:val="1414"/>
        </w:numPr>
        <w:pStyle w:val="Compact"/>
      </w:pPr>
      <w:r>
        <w:t xml:space="preserve">2009 · Wang Y ·</w:t>
      </w:r>
      <w:r>
        <w:t xml:space="preserve"> </w:t>
      </w:r>
      <w:r>
        <w:rPr>
          <w:iCs/>
          <w:i/>
        </w:rPr>
        <w:t xml:space="preserve">J Nutr</w:t>
      </w:r>
      <w:r>
        <w:t xml:space="preserve"> </w:t>
      </w:r>
      <w:r>
        <w:t xml:space="preserve">· Long-term garlic or micronutrient supplementation, but not anti-Helicobacter pylori therapy, increases serum folate or glutathione without affecting serum vitamin B-12 or homocysteine in a rural Chinese population. PMID 19056661</w:t>
      </w:r>
    </w:p>
    <w:p>
      <w:pPr>
        <w:numPr>
          <w:ilvl w:val="0"/>
          <w:numId w:val="1414"/>
        </w:numPr>
        <w:pStyle w:val="Compact"/>
      </w:pPr>
      <w:r>
        <w:t xml:space="preserve">2008 · Darmaun D ·</w:t>
      </w:r>
      <w:r>
        <w:t xml:space="preserve"> </w:t>
      </w:r>
      <w:r>
        <w:rPr>
          <w:iCs/>
          <w:i/>
        </w:rPr>
        <w:t xml:space="preserve">Pediatr Diabetes</w:t>
      </w:r>
      <w:r>
        <w:t xml:space="preserve"> </w:t>
      </w:r>
      <w:r>
        <w:t xml:space="preserve">· Poorly controlled type 1 diabetes is associated with altered glutathione homeostasis in adolescents: apparent resistance to N-acetylcysteine supplementation. PMID 19067892</w:t>
      </w:r>
    </w:p>
    <w:p>
      <w:pPr>
        <w:numPr>
          <w:ilvl w:val="0"/>
          <w:numId w:val="1414"/>
        </w:numPr>
        <w:pStyle w:val="Compact"/>
      </w:pPr>
      <w:r>
        <w:t xml:space="preserve">2008 · Courtney-Martin G ·</w:t>
      </w:r>
      <w:r>
        <w:t xml:space="preserve"> </w:t>
      </w:r>
      <w:r>
        <w:rPr>
          <w:iCs/>
          <w:i/>
        </w:rPr>
        <w:t xml:space="preserve">J Nutr</w:t>
      </w:r>
      <w:r>
        <w:t xml:space="preserve"> </w:t>
      </w:r>
      <w:r>
        <w:t xml:space="preserve">· Methionine-adequate cysteine-free diet does not limit erythrocyte glutathione synthesis in young healthy adult men. PMID 18936215</w:t>
      </w:r>
    </w:p>
    <w:p>
      <w:pPr>
        <w:numPr>
          <w:ilvl w:val="0"/>
          <w:numId w:val="1414"/>
        </w:numPr>
        <w:pStyle w:val="Compact"/>
      </w:pPr>
      <w:r>
        <w:t xml:space="preserve">2008 · Bede O ·</w:t>
      </w:r>
      <w:r>
        <w:t xml:space="preserve"> </w:t>
      </w:r>
      <w:r>
        <w:rPr>
          <w:iCs/>
          <w:i/>
        </w:rPr>
        <w:t xml:space="preserve">Inflamm Res</w:t>
      </w:r>
      <w:r>
        <w:t xml:space="preserve"> </w:t>
      </w:r>
      <w:r>
        <w:t xml:space="preserve">· Effects of magnesium supplementation on the glutathione redox system in atopic asthmatic children. PMID 18516713</w:t>
      </w:r>
    </w:p>
    <w:p>
      <w:pPr>
        <w:numPr>
          <w:ilvl w:val="0"/>
          <w:numId w:val="1414"/>
        </w:numPr>
        <w:pStyle w:val="Compact"/>
      </w:pPr>
      <w:r>
        <w:t xml:space="preserve">2008 · Berk M ·</w:t>
      </w:r>
      <w:r>
        <w:t xml:space="preserve"> </w:t>
      </w:r>
      <w:r>
        <w:rPr>
          <w:iCs/>
          <w:i/>
        </w:rPr>
        <w:t xml:space="preserve">Biol Psychiatry</w:t>
      </w:r>
      <w:r>
        <w:t xml:space="preserve"> </w:t>
      </w:r>
      <w:r>
        <w:t xml:space="preserve">· N-acetyl cysteine as a glutathione precursor for schizophrenia–a double-blind, randomized, placebo-controlled trial. PMID 18436195</w:t>
      </w:r>
    </w:p>
    <w:p>
      <w:pPr>
        <w:numPr>
          <w:ilvl w:val="0"/>
          <w:numId w:val="1414"/>
        </w:numPr>
        <w:pStyle w:val="Compact"/>
      </w:pPr>
      <w:r>
        <w:t xml:space="preserve">2008 · Méplan C ·</w:t>
      </w:r>
      <w:r>
        <w:t xml:space="preserve"> </w:t>
      </w:r>
      <w:r>
        <w:rPr>
          <w:iCs/>
          <w:i/>
        </w:rPr>
        <w:t xml:space="preserve">Am J Clin Nutr</w:t>
      </w:r>
      <w:r>
        <w:t xml:space="preserve"> </w:t>
      </w:r>
      <w:r>
        <w:t xml:space="preserve">· Functional effects of a common single-nucleotide polymorphism (GPX4c718t) in the glutathione peroxidase 4 gene: interaction with sex. PMID 18400727</w:t>
      </w:r>
    </w:p>
    <w:p>
      <w:pPr>
        <w:numPr>
          <w:ilvl w:val="0"/>
          <w:numId w:val="1414"/>
        </w:numPr>
        <w:pStyle w:val="Compact"/>
      </w:pPr>
      <w:r>
        <w:t xml:space="preserve">2008 · Jariwalla RJ ·</w:t>
      </w:r>
      <w:r>
        <w:t xml:space="preserve"> </w:t>
      </w:r>
      <w:r>
        <w:rPr>
          <w:iCs/>
          <w:i/>
        </w:rPr>
        <w:t xml:space="preserve">J Altern Complement Med</w:t>
      </w:r>
      <w:r>
        <w:t xml:space="preserve"> </w:t>
      </w:r>
      <w:r>
        <w:t xml:space="preserve">· Restoration of blood total glutathione status and lymphocyte function following alpha-lipoic acid supplementation in patients with HIV infection. PMID 18315507</w:t>
      </w:r>
    </w:p>
    <w:p>
      <w:pPr>
        <w:numPr>
          <w:ilvl w:val="0"/>
          <w:numId w:val="1414"/>
        </w:numPr>
        <w:pStyle w:val="Compact"/>
      </w:pPr>
      <w:r>
        <w:t xml:space="preserve">2007 · Zavorsky GS ·</w:t>
      </w:r>
      <w:r>
        <w:t xml:space="preserve"> </w:t>
      </w:r>
      <w:r>
        <w:rPr>
          <w:iCs/>
          <w:i/>
        </w:rPr>
        <w:t xml:space="preserve">Int J Food Sci Nutr</w:t>
      </w:r>
      <w:r>
        <w:t xml:space="preserve"> </w:t>
      </w:r>
      <w:r>
        <w:t xml:space="preserve">· An open-label dose-response study of lymphocyte glutathione levels in healthy men and women receiving pressurized whey protein isolate supplements. PMID 17710587</w:t>
      </w:r>
    </w:p>
    <w:p>
      <w:pPr>
        <w:numPr>
          <w:ilvl w:val="0"/>
          <w:numId w:val="1414"/>
        </w:numPr>
        <w:pStyle w:val="Compact"/>
      </w:pPr>
      <w:r>
        <w:t xml:space="preserve">2006 · Karunasinghe N ·</w:t>
      </w:r>
      <w:r>
        <w:t xml:space="preserve"> </w:t>
      </w:r>
      <w:r>
        <w:rPr>
          <w:iCs/>
          <w:i/>
        </w:rPr>
        <w:t xml:space="preserve">J Nutr</w:t>
      </w:r>
      <w:r>
        <w:t xml:space="preserve"> </w:t>
      </w:r>
      <w:r>
        <w:t xml:space="preserve">· Hemolysate thioredoxin reductase and glutathione peroxidase activities correlate with serum selenium in a group of New Zealand men at high prostate cancer risk. PMID 16857846</w:t>
      </w:r>
    </w:p>
    <w:p>
      <w:pPr>
        <w:numPr>
          <w:ilvl w:val="0"/>
          <w:numId w:val="1414"/>
        </w:numPr>
        <w:pStyle w:val="Compact"/>
      </w:pPr>
      <w:r>
        <w:t xml:space="preserve">2006 · Muran PJ ·</w:t>
      </w:r>
      <w:r>
        <w:t xml:space="preserve"> </w:t>
      </w:r>
      <w:r>
        <w:rPr>
          <w:iCs/>
          <w:i/>
        </w:rPr>
        <w:t xml:space="preserve">Altern Ther Health Med</w:t>
      </w:r>
      <w:r>
        <w:t xml:space="preserve"> </w:t>
      </w:r>
      <w:r>
        <w:t xml:space="preserve">· Mercury elimination with oral DMPS, DMSA, vitamin C, and glutathione: an observational clinical review. PMID 16708769</w:t>
      </w:r>
    </w:p>
    <w:p>
      <w:pPr>
        <w:numPr>
          <w:ilvl w:val="0"/>
          <w:numId w:val="1414"/>
        </w:numPr>
        <w:pStyle w:val="Compact"/>
      </w:pPr>
      <w:r>
        <w:t xml:space="preserve">2006 · Tirouvanziam R ·</w:t>
      </w:r>
      <w:r>
        <w:t xml:space="preserve"> </w:t>
      </w:r>
      <w:r>
        <w:rPr>
          <w:iCs/>
          <w:i/>
        </w:rPr>
        <w:t xml:space="preserve">Proc Natl Acad Sci U S A</w:t>
      </w:r>
      <w:r>
        <w:t xml:space="preserve"> </w:t>
      </w:r>
      <w:r>
        <w:t xml:space="preserve">· High-dose oral N-acetylcysteine, a glutathione prodrug, modulates inflammation in cystic fibrosis. PMID 16537378</w:t>
      </w:r>
    </w:p>
    <w:p>
      <w:pPr>
        <w:numPr>
          <w:ilvl w:val="0"/>
          <w:numId w:val="1414"/>
        </w:numPr>
        <w:pStyle w:val="Compact"/>
      </w:pPr>
      <w:r>
        <w:t xml:space="preserve">2006 · Lavergne SN ·</w:t>
      </w:r>
      <w:r>
        <w:t xml:space="preserve"> </w:t>
      </w:r>
      <w:r>
        <w:rPr>
          <w:iCs/>
          <w:i/>
        </w:rPr>
        <w:t xml:space="preserve">Toxicology</w:t>
      </w:r>
      <w:r>
        <w:t xml:space="preserve"> </w:t>
      </w:r>
      <w:r>
        <w:t xml:space="preserve">· Roles of endogenous ascorbate and glutathione in the cellular reduction and cytotoxicity of sulfamethoxazole-nitroso. PMID 16473451</w:t>
      </w:r>
    </w:p>
    <w:p>
      <w:pPr>
        <w:numPr>
          <w:ilvl w:val="0"/>
          <w:numId w:val="1414"/>
        </w:numPr>
        <w:pStyle w:val="Compact"/>
      </w:pPr>
      <w:r>
        <w:t xml:space="preserve">2006 · Kusama M ·</w:t>
      </w:r>
      <w:r>
        <w:t xml:space="preserve"> </w:t>
      </w:r>
      <w:r>
        <w:rPr>
          <w:iCs/>
          <w:i/>
        </w:rPr>
        <w:t xml:space="preserve">Clin Chim Acta</w:t>
      </w:r>
      <w:r>
        <w:t xml:space="preserve"> </w:t>
      </w:r>
      <w:r>
        <w:t xml:space="preserve">· Influence of glutathione S-transferase A1 polymorphism on the pharmacokinetics of busulfan. PMID 16448639</w:t>
      </w:r>
    </w:p>
    <w:p>
      <w:pPr>
        <w:numPr>
          <w:ilvl w:val="0"/>
          <w:numId w:val="1414"/>
        </w:numPr>
        <w:pStyle w:val="Compact"/>
      </w:pPr>
      <w:r>
        <w:t xml:space="preserve">2005 · Huang ZW ·</w:t>
      </w:r>
      <w:r>
        <w:t xml:space="preserve"> </w:t>
      </w:r>
      <w:r>
        <w:rPr>
          <w:iCs/>
          <w:i/>
        </w:rPr>
        <w:t xml:space="preserve">Zhongguo Wei Zhong Bing Ji Jiu Yi Xue</w:t>
      </w:r>
      <w:r>
        <w:t xml:space="preserve"> </w:t>
      </w:r>
      <w:r>
        <w:t xml:space="preserve">· [Protective effect of reduced glutathione on multiple organ function in patient with acute pancreatitis]. PMID 16297323</w:t>
      </w:r>
    </w:p>
    <w:p>
      <w:pPr>
        <w:numPr>
          <w:ilvl w:val="0"/>
          <w:numId w:val="1414"/>
        </w:numPr>
        <w:pStyle w:val="Compact"/>
      </w:pPr>
      <w:r>
        <w:t xml:space="preserve">2005 · Becker K ·</w:t>
      </w:r>
      <w:r>
        <w:t xml:space="preserve"> </w:t>
      </w:r>
      <w:r>
        <w:rPr>
          <w:iCs/>
          <w:i/>
        </w:rPr>
        <w:t xml:space="preserve">Redox Rep</w:t>
      </w:r>
      <w:r>
        <w:t xml:space="preserve"> </w:t>
      </w:r>
      <w:r>
        <w:t xml:space="preserve">· Effects of antioxidants on glutathione levels and clinical recovery from the malnutrition syndrome kwashiorkor–a pilot study. PMID 16259789</w:t>
      </w:r>
    </w:p>
    <w:p>
      <w:pPr>
        <w:numPr>
          <w:ilvl w:val="0"/>
          <w:numId w:val="1414"/>
        </w:numPr>
        <w:pStyle w:val="Compact"/>
      </w:pPr>
      <w:r>
        <w:t xml:space="preserve">2005 · Rundle AG ·</w:t>
      </w:r>
      <w:r>
        <w:t xml:space="preserve"> </w:t>
      </w:r>
      <w:r>
        <w:rPr>
          <w:iCs/>
          <w:i/>
        </w:rPr>
        <w:t xml:space="preserve">Biomarkers</w:t>
      </w:r>
      <w:r>
        <w:t xml:space="preserve"> </w:t>
      </w:r>
      <w:r>
        <w:t xml:space="preserve">· Preliminary studies on the effect of moderate physical activity on blood levels of glutathione. PMID 16243723</w:t>
      </w:r>
    </w:p>
    <w:p>
      <w:pPr>
        <w:numPr>
          <w:ilvl w:val="0"/>
          <w:numId w:val="1414"/>
        </w:numPr>
        <w:pStyle w:val="Compact"/>
      </w:pPr>
      <w:r>
        <w:t xml:space="preserve">2005 · Janse van Rensburg C ·</w:t>
      </w:r>
      <w:r>
        <w:t xml:space="preserve"> </w:t>
      </w:r>
      <w:r>
        <w:rPr>
          <w:iCs/>
          <w:i/>
        </w:rPr>
        <w:t xml:space="preserve">Eur J Nutr</w:t>
      </w:r>
      <w:r>
        <w:t xml:space="preserve"> </w:t>
      </w:r>
      <w:r>
        <w:t xml:space="preserve">· Rosa roxburghii supplementation in a controlled feeding study increases plasma antioxidant capacity and glutathione redox state. PMID 15782288</w:t>
      </w:r>
    </w:p>
    <w:p>
      <w:pPr>
        <w:numPr>
          <w:ilvl w:val="0"/>
          <w:numId w:val="1414"/>
        </w:numPr>
        <w:pStyle w:val="Compact"/>
      </w:pPr>
      <w:r>
        <w:t xml:space="preserve">2005 · Garolla A ·</w:t>
      </w:r>
      <w:r>
        <w:t xml:space="preserve"> </w:t>
      </w:r>
      <w:r>
        <w:rPr>
          <w:iCs/>
          <w:i/>
        </w:rPr>
        <w:t xml:space="preserve">Fertil Steril</w:t>
      </w:r>
      <w:r>
        <w:t xml:space="preserve"> </w:t>
      </w:r>
      <w:r>
        <w:t xml:space="preserve">· Oral carnitine supplementation increases sperm motility in asthenozoospermic men with normal sperm phospholipid hydroperoxide glutathione peroxidase levels. PMID 15705374</w:t>
      </w:r>
    </w:p>
    <w:p>
      <w:pPr>
        <w:numPr>
          <w:ilvl w:val="0"/>
          <w:numId w:val="1414"/>
        </w:numPr>
        <w:pStyle w:val="Compact"/>
      </w:pPr>
      <w:r>
        <w:t xml:space="preserve">2004 · Chełchowska M ·</w:t>
      </w:r>
      <w:r>
        <w:t xml:space="preserve"> </w:t>
      </w:r>
      <w:r>
        <w:rPr>
          <w:iCs/>
          <w:i/>
        </w:rPr>
        <w:t xml:space="preserve">Przegl Lek</w:t>
      </w:r>
      <w:r>
        <w:t xml:space="preserve"> </w:t>
      </w:r>
      <w:r>
        <w:t xml:space="preserve">· [The effect of vitamin-mineral supplementation on the level of MDA and activity of glutathione peroxidase and superoxide dismutase in blood of matched maternal-cord pairs]. PMID 15792016</w:t>
      </w:r>
    </w:p>
    <w:p>
      <w:pPr>
        <w:numPr>
          <w:ilvl w:val="0"/>
          <w:numId w:val="1414"/>
        </w:numPr>
        <w:pStyle w:val="Compact"/>
      </w:pPr>
      <w:r>
        <w:t xml:space="preserve">2004 · Child DF ·</w:t>
      </w:r>
      <w:r>
        <w:t xml:space="preserve"> </w:t>
      </w:r>
      <w:r>
        <w:rPr>
          <w:iCs/>
          <w:i/>
        </w:rPr>
        <w:t xml:space="preserve">Diabetes Nutr Metab</w:t>
      </w:r>
      <w:r>
        <w:t xml:space="preserve"> </w:t>
      </w:r>
      <w:r>
        <w:t xml:space="preserve">· The effect of oral folic acid on glutathione, glycaemia and lipids in Type 2 diabetes. PMID 15244101</w:t>
      </w:r>
    </w:p>
    <w:p>
      <w:pPr>
        <w:numPr>
          <w:ilvl w:val="0"/>
          <w:numId w:val="1414"/>
        </w:numPr>
        <w:pStyle w:val="Compact"/>
      </w:pPr>
      <w:r>
        <w:t xml:space="preserve">2004 · Zhu BD ·</w:t>
      </w:r>
      <w:r>
        <w:t xml:space="preserve"> </w:t>
      </w:r>
      <w:r>
        <w:rPr>
          <w:iCs/>
          <w:i/>
        </w:rPr>
        <w:t xml:space="preserve">Ai Zheng</w:t>
      </w:r>
      <w:r>
        <w:t xml:space="preserve"> </w:t>
      </w:r>
      <w:r>
        <w:t xml:space="preserve">· [Enhancement of antioxidant capability of cancer patients during chemotherapy by reduced glutathione]. PMID 15087038</w:t>
      </w:r>
    </w:p>
    <w:p>
      <w:pPr>
        <w:numPr>
          <w:ilvl w:val="0"/>
          <w:numId w:val="1414"/>
        </w:numPr>
        <w:pStyle w:val="Compact"/>
      </w:pPr>
      <w:r>
        <w:t xml:space="preserve">2004 · Middleton N ·</w:t>
      </w:r>
      <w:r>
        <w:t xml:space="preserve"> </w:t>
      </w:r>
      <w:r>
        <w:rPr>
          <w:iCs/>
          <w:i/>
        </w:rPr>
        <w:t xml:space="preserve">Int J Food Sci Nutr</w:t>
      </w:r>
      <w:r>
        <w:t xml:space="preserve"> </w:t>
      </w:r>
      <w:r>
        <w:t xml:space="preserve">· Whole blood and mononuclear cell glutathione response to dietary whey protein supplementation in sedentary and trained male human subjects. PMID 14985185</w:t>
      </w:r>
    </w:p>
    <w:p>
      <w:pPr>
        <w:numPr>
          <w:ilvl w:val="0"/>
          <w:numId w:val="1414"/>
        </w:numPr>
        <w:pStyle w:val="Compact"/>
      </w:pPr>
      <w:r>
        <w:t xml:space="preserve">2004 · Vrca VB ·</w:t>
      </w:r>
      <w:r>
        <w:t xml:space="preserve"> </w:t>
      </w:r>
      <w:r>
        <w:rPr>
          <w:iCs/>
          <w:i/>
        </w:rPr>
        <w:t xml:space="preserve">Clin Chim Acta</w:t>
      </w:r>
      <w:r>
        <w:t xml:space="preserve"> </w:t>
      </w:r>
      <w:r>
        <w:t xml:space="preserve">· Supplementation with antioxidants in the treatment of Graves’ disease; the effect on glutathione peroxidase activity and concentration of selenium. PMID 14967159</w:t>
      </w:r>
    </w:p>
    <w:p>
      <w:pPr>
        <w:numPr>
          <w:ilvl w:val="0"/>
          <w:numId w:val="1414"/>
        </w:numPr>
        <w:pStyle w:val="Compact"/>
      </w:pPr>
      <w:r>
        <w:t xml:space="preserve">2003 · Grey V ·</w:t>
      </w:r>
      <w:r>
        <w:t xml:space="preserve"> </w:t>
      </w:r>
      <w:r>
        <w:rPr>
          <w:iCs/>
          <w:i/>
        </w:rPr>
        <w:t xml:space="preserve">J Cyst Fibros</w:t>
      </w:r>
      <w:r>
        <w:t xml:space="preserve"> </w:t>
      </w:r>
      <w:r>
        <w:t xml:space="preserve">· Improved glutathione status in young adult patients with cystic fibrosis supplemented with whey protein. PMID 15463873</w:t>
      </w:r>
    </w:p>
    <w:p>
      <w:pPr>
        <w:numPr>
          <w:ilvl w:val="0"/>
          <w:numId w:val="1414"/>
        </w:numPr>
        <w:pStyle w:val="Compact"/>
      </w:pPr>
      <w:r>
        <w:t xml:space="preserve">2003 · Al-Taie OH ·</w:t>
      </w:r>
      <w:r>
        <w:t xml:space="preserve"> </w:t>
      </w:r>
      <w:r>
        <w:rPr>
          <w:iCs/>
          <w:i/>
        </w:rPr>
        <w:t xml:space="preserve">Nutr Cancer</w:t>
      </w:r>
      <w:r>
        <w:t xml:space="preserve"> </w:t>
      </w:r>
      <w:r>
        <w:t xml:space="preserve">· Selenium supplementation enhances low selenium levels and stimulates glutathione peroxidase activity in peripheral blood and distal colon mucosa in past and present carriers of colon adenomas. PMID 14690787</w:t>
      </w:r>
    </w:p>
    <w:p>
      <w:pPr>
        <w:numPr>
          <w:ilvl w:val="0"/>
          <w:numId w:val="1414"/>
        </w:numPr>
        <w:pStyle w:val="Compact"/>
      </w:pPr>
      <w:r>
        <w:t xml:space="preserve">2003 · Aukrust P ·</w:t>
      </w:r>
      <w:r>
        <w:t xml:space="preserve"> </w:t>
      </w:r>
      <w:r>
        <w:rPr>
          <w:iCs/>
          <w:i/>
        </w:rPr>
        <w:t xml:space="preserve">J Infect Dis</w:t>
      </w:r>
      <w:r>
        <w:t xml:space="preserve"> </w:t>
      </w:r>
      <w:r>
        <w:t xml:space="preserve">· Disturbed glutathione metabolism and decreased antioxidant levels in human immunodeficiency virus-infected patients during highly active antiretroviral therapy–potential immunomodulatory effects of antioxidants. PMID 12854078</w:t>
      </w:r>
    </w:p>
    <w:p>
      <w:pPr>
        <w:numPr>
          <w:ilvl w:val="0"/>
          <w:numId w:val="1414"/>
        </w:numPr>
        <w:pStyle w:val="Compact"/>
      </w:pPr>
      <w:r>
        <w:t xml:space="preserve">2003 · Fläring UB ·</w:t>
      </w:r>
      <w:r>
        <w:t xml:space="preserve"> </w:t>
      </w:r>
      <w:r>
        <w:rPr>
          <w:iCs/>
          <w:i/>
        </w:rPr>
        <w:t xml:space="preserve">Clin Sci (Lond)</w:t>
      </w:r>
      <w:r>
        <w:t xml:space="preserve"> </w:t>
      </w:r>
      <w:r>
        <w:t xml:space="preserve">· Glutamine attenuates post-traumatic glutathione depletion in human muscle. PMID 12605586</w:t>
      </w:r>
    </w:p>
    <w:p>
      <w:pPr>
        <w:numPr>
          <w:ilvl w:val="0"/>
          <w:numId w:val="1414"/>
        </w:numPr>
        <w:pStyle w:val="Compact"/>
      </w:pPr>
      <w:r>
        <w:t xml:space="preserve">2003 · Lenton KJ ·</w:t>
      </w:r>
      <w:r>
        <w:t xml:space="preserve"> </w:t>
      </w:r>
      <w:r>
        <w:rPr>
          <w:iCs/>
          <w:i/>
        </w:rPr>
        <w:t xml:space="preserve">Am J Clin Nutr</w:t>
      </w:r>
      <w:r>
        <w:t xml:space="preserve"> </w:t>
      </w:r>
      <w:r>
        <w:t xml:space="preserve">· Vitamin C augments lymphocyte glutathione in subjects with ascorbate deficiency. PMID 12499341</w:t>
      </w:r>
    </w:p>
    <w:p>
      <w:pPr>
        <w:numPr>
          <w:ilvl w:val="0"/>
          <w:numId w:val="1414"/>
        </w:numPr>
        <w:pStyle w:val="Compact"/>
      </w:pPr>
      <w:r>
        <w:t xml:space="preserve">2002 · Patel BP ·</w:t>
      </w:r>
      <w:r>
        <w:t xml:space="preserve"> </w:t>
      </w:r>
      <w:r>
        <w:rPr>
          <w:iCs/>
          <w:i/>
        </w:rPr>
        <w:t xml:space="preserve">Neoplasma</w:t>
      </w:r>
      <w:r>
        <w:t xml:space="preserve"> </w:t>
      </w:r>
      <w:r>
        <w:t xml:space="preserve">· Serum glutathione-S-transferase and glutathione reductase activity in head and neck cancer patients. PMID 12382026</w:t>
      </w:r>
    </w:p>
    <w:p>
      <w:pPr>
        <w:numPr>
          <w:ilvl w:val="0"/>
          <w:numId w:val="1414"/>
        </w:numPr>
        <w:pStyle w:val="Compact"/>
      </w:pPr>
      <w:r>
        <w:t xml:space="preserve">2002 · Kasperczyk S ·</w:t>
      </w:r>
      <w:r>
        <w:t xml:space="preserve"> </w:t>
      </w:r>
      <w:r>
        <w:rPr>
          <w:iCs/>
          <w:i/>
        </w:rPr>
        <w:t xml:space="preserve">Wiad Lek</w:t>
      </w:r>
      <w:r>
        <w:t xml:space="preserve"> </w:t>
      </w:r>
      <w:r>
        <w:t xml:space="preserve">· [Effect of hyperglycemia on glutathione peroxidase and superoxide dismutase activity in patients with newly diagnosed carbohydrate metabolism disturbances]. PMID 12235692</w:t>
      </w:r>
    </w:p>
    <w:p>
      <w:pPr>
        <w:numPr>
          <w:ilvl w:val="0"/>
          <w:numId w:val="1414"/>
        </w:numPr>
        <w:pStyle w:val="Compact"/>
      </w:pPr>
      <w:r>
        <w:t xml:space="preserve">2002 · Badaloo A ·</w:t>
      </w:r>
      <w:r>
        <w:t xml:space="preserve"> </w:t>
      </w:r>
      <w:r>
        <w:rPr>
          <w:iCs/>
          <w:i/>
        </w:rPr>
        <w:t xml:space="preserve">Am J Clin Nutr</w:t>
      </w:r>
      <w:r>
        <w:t xml:space="preserve"> </w:t>
      </w:r>
      <w:r>
        <w:t xml:space="preserve">· Cysteine supplementation improves the erythrocyte glutathione synthesis rate in children with severe edematous malnutrition. PMID 12198013</w:t>
      </w:r>
    </w:p>
    <w:p>
      <w:pPr>
        <w:numPr>
          <w:ilvl w:val="0"/>
          <w:numId w:val="1414"/>
        </w:numPr>
        <w:pStyle w:val="Compact"/>
      </w:pPr>
      <w:r>
        <w:t xml:space="preserve">2002 · Arosio E ·</w:t>
      </w:r>
      <w:r>
        <w:t xml:space="preserve"> </w:t>
      </w:r>
      <w:r>
        <w:rPr>
          <w:iCs/>
          <w:i/>
        </w:rPr>
        <w:t xml:space="preserve">Mayo Clin Proc</w:t>
      </w:r>
      <w:r>
        <w:t xml:space="preserve"> </w:t>
      </w:r>
      <w:r>
        <w:t xml:space="preserve">· Effect of glutathione infusion on leg arterial circulation, cutaneous microcirculation, and pain-free walking distance in patients with peripheral obstructive arterial disease: a randomized, double-blind, placebo-controlled trial. PMID 12173710</w:t>
      </w:r>
    </w:p>
    <w:p>
      <w:pPr>
        <w:numPr>
          <w:ilvl w:val="0"/>
          <w:numId w:val="1414"/>
        </w:numPr>
        <w:pStyle w:val="Compact"/>
      </w:pPr>
      <w:r>
        <w:t xml:space="preserve">2002 · Roes EM ·</w:t>
      </w:r>
      <w:r>
        <w:t xml:space="preserve"> </w:t>
      </w:r>
      <w:r>
        <w:rPr>
          <w:iCs/>
          <w:i/>
        </w:rPr>
        <w:t xml:space="preserve">Clin Chem Lab Med</w:t>
      </w:r>
      <w:r>
        <w:t xml:space="preserve"> </w:t>
      </w:r>
      <w:r>
        <w:t xml:space="preserve">· Effects of oral N-acetylcysteine on plasma homocysteine and whole blood glutathione levels in healthy, non-pregnant women. PMID 12113295</w:t>
      </w:r>
    </w:p>
    <w:p>
      <w:pPr>
        <w:numPr>
          <w:ilvl w:val="0"/>
          <w:numId w:val="1414"/>
        </w:numPr>
        <w:pStyle w:val="Compact"/>
      </w:pPr>
      <w:r>
        <w:t xml:space="preserve">2002 · Behr J ·</w:t>
      </w:r>
      <w:r>
        <w:t xml:space="preserve"> </w:t>
      </w:r>
      <w:r>
        <w:rPr>
          <w:iCs/>
          <w:i/>
        </w:rPr>
        <w:t xml:space="preserve">Eur Respir J</w:t>
      </w:r>
      <w:r>
        <w:t xml:space="preserve"> </w:t>
      </w:r>
      <w:r>
        <w:t xml:space="preserve">· Intracellular glutathione and bronchoalveolar cells in fibrosing alveolitis: effects of N-acetylcysteine. PMID 12030732</w:t>
      </w:r>
    </w:p>
    <w:p>
      <w:pPr>
        <w:numPr>
          <w:ilvl w:val="0"/>
          <w:numId w:val="1414"/>
        </w:numPr>
        <w:pStyle w:val="Compact"/>
      </w:pPr>
      <w:r>
        <w:t xml:space="preserve">2002 · Micke P ·</w:t>
      </w:r>
      <w:r>
        <w:t xml:space="preserve"> </w:t>
      </w:r>
      <w:r>
        <w:rPr>
          <w:iCs/>
          <w:i/>
        </w:rPr>
        <w:t xml:space="preserve">Eur J Nutr</w:t>
      </w:r>
      <w:r>
        <w:t xml:space="preserve"> </w:t>
      </w:r>
      <w:r>
        <w:t xml:space="preserve">· Effects of long-term supplementation with whey proteins on plasma glutathione levels of HIV-infected patients. PMID 11990003</w:t>
      </w:r>
    </w:p>
    <w:p>
      <w:pPr>
        <w:numPr>
          <w:ilvl w:val="0"/>
          <w:numId w:val="1414"/>
        </w:numPr>
        <w:pStyle w:val="Compact"/>
      </w:pPr>
      <w:r>
        <w:t xml:space="preserve">2001 · Micke P ·</w:t>
      </w:r>
      <w:r>
        <w:t xml:space="preserve"> </w:t>
      </w:r>
      <w:r>
        <w:rPr>
          <w:iCs/>
          <w:i/>
        </w:rPr>
        <w:t xml:space="preserve">Eur J Clin Invest</w:t>
      </w:r>
      <w:r>
        <w:t xml:space="preserve"> </w:t>
      </w:r>
      <w:r>
        <w:t xml:space="preserve">· Oral supplementation with whey proteins increases plasma glutathione levels of HIV-infected patients. PMID 11168457</w:t>
      </w:r>
    </w:p>
    <w:p>
      <w:pPr>
        <w:numPr>
          <w:ilvl w:val="0"/>
          <w:numId w:val="1414"/>
        </w:numPr>
        <w:pStyle w:val="Compact"/>
      </w:pPr>
      <w:r>
        <w:t xml:space="preserve">2000 · Alfthan G ·</w:t>
      </w:r>
      <w:r>
        <w:t xml:space="preserve"> </w:t>
      </w:r>
      <w:r>
        <w:rPr>
          <w:iCs/>
          <w:i/>
        </w:rPr>
        <w:t xml:space="preserve">Biol Trace Elem Res</w:t>
      </w:r>
      <w:r>
        <w:t xml:space="preserve"> </w:t>
      </w:r>
      <w:r>
        <w:t xml:space="preserve">· Selenium supplementation of children in a selenium-deficient area in China: blood selenium levels and glutathione peroxidase activities. PMID 11049204</w:t>
      </w:r>
    </w:p>
    <w:p>
      <w:pPr>
        <w:numPr>
          <w:ilvl w:val="0"/>
          <w:numId w:val="1414"/>
        </w:numPr>
        <w:pStyle w:val="Compact"/>
      </w:pPr>
      <w:r>
        <w:t xml:space="preserve">2000 · De Rosa SC ·</w:t>
      </w:r>
      <w:r>
        <w:t xml:space="preserve"> </w:t>
      </w:r>
      <w:r>
        <w:rPr>
          <w:iCs/>
          <w:i/>
        </w:rPr>
        <w:t xml:space="preserve">Eur J Clin Invest</w:t>
      </w:r>
      <w:r>
        <w:t xml:space="preserve"> </w:t>
      </w:r>
      <w:r>
        <w:t xml:space="preserve">· N-acetylcysteine replenishes glutathione in HIV infection. PMID 11029607</w:t>
      </w:r>
    </w:p>
    <w:p>
      <w:pPr>
        <w:numPr>
          <w:ilvl w:val="0"/>
          <w:numId w:val="1414"/>
        </w:numPr>
        <w:pStyle w:val="Compact"/>
      </w:pPr>
      <w:r>
        <w:t xml:space="preserve">2000 · Jain SK ·</w:t>
      </w:r>
      <w:r>
        <w:t xml:space="preserve"> </w:t>
      </w:r>
      <w:r>
        <w:rPr>
          <w:iCs/>
          <w:i/>
        </w:rPr>
        <w:t xml:space="preserve">Diabetes Care</w:t>
      </w:r>
      <w:r>
        <w:t xml:space="preserve"> </w:t>
      </w:r>
      <w:r>
        <w:t xml:space="preserve">· Vitamin E supplementation restores glutathione and malondialdehyde to normal concentrations in erythrocytes of type 1 diabetic children. PMID 10977039</w:t>
      </w:r>
    </w:p>
    <w:p>
      <w:pPr>
        <w:numPr>
          <w:ilvl w:val="0"/>
          <w:numId w:val="1414"/>
        </w:numPr>
        <w:pStyle w:val="Compact"/>
      </w:pPr>
      <w:r>
        <w:t xml:space="preserve">2000 · Lampe JW ·</w:t>
      </w:r>
      <w:r>
        <w:t xml:space="preserve"> </w:t>
      </w:r>
      <w:r>
        <w:rPr>
          <w:iCs/>
          <w:i/>
        </w:rPr>
        <w:t xml:space="preserve">Cancer Epidemiol Biomarkers Prev</w:t>
      </w:r>
      <w:r>
        <w:t xml:space="preserve"> </w:t>
      </w:r>
      <w:r>
        <w:t xml:space="preserve">· Modulation of human glutathione S-transferases by botanically defined vegetable diets. PMID 10952095</w:t>
      </w:r>
    </w:p>
    <w:p>
      <w:pPr>
        <w:numPr>
          <w:ilvl w:val="0"/>
          <w:numId w:val="1414"/>
        </w:numPr>
        <w:pStyle w:val="Compact"/>
      </w:pPr>
      <w:r>
        <w:t xml:space="preserve">2000 · Polyak MM ·</w:t>
      </w:r>
      <w:r>
        <w:t xml:space="preserve"> </w:t>
      </w:r>
      <w:r>
        <w:rPr>
          <w:iCs/>
          <w:i/>
        </w:rPr>
        <w:t xml:space="preserve">Transplantation</w:t>
      </w:r>
      <w:r>
        <w:t xml:space="preserve"> </w:t>
      </w:r>
      <w:r>
        <w:t xml:space="preserve">· Glutathione supplementation during cold ischemia does not confer early functional advantage in renal transplantation. PMID 10919601</w:t>
      </w:r>
    </w:p>
    <w:p>
      <w:pPr>
        <w:numPr>
          <w:ilvl w:val="0"/>
          <w:numId w:val="1414"/>
        </w:numPr>
        <w:pStyle w:val="Compact"/>
      </w:pPr>
      <w:r>
        <w:t xml:space="preserve">2000 · Ortolani O ·</w:t>
      </w:r>
      <w:r>
        <w:t xml:space="preserve"> </w:t>
      </w:r>
      <w:r>
        <w:rPr>
          <w:iCs/>
          <w:i/>
        </w:rPr>
        <w:t xml:space="preserve">Am J Respir Crit Care Med</w:t>
      </w:r>
      <w:r>
        <w:t xml:space="preserve"> </w:t>
      </w:r>
      <w:r>
        <w:t xml:space="preserve">· The effect of glutathione and N-acetylcysteine on lipoperoxidative damage in patients with early septic shock. PMID 10852765</w:t>
      </w:r>
    </w:p>
    <w:p>
      <w:pPr>
        <w:numPr>
          <w:ilvl w:val="0"/>
          <w:numId w:val="1414"/>
        </w:numPr>
        <w:pStyle w:val="Compact"/>
      </w:pPr>
      <w:r>
        <w:t xml:space="preserve">2000 · Pendyala L ·</w:t>
      </w:r>
      <w:r>
        <w:t xml:space="preserve"> </w:t>
      </w:r>
      <w:r>
        <w:rPr>
          <w:iCs/>
          <w:i/>
        </w:rPr>
        <w:t xml:space="preserve">Clin Cancer Res</w:t>
      </w:r>
      <w:r>
        <w:t xml:space="preserve"> </w:t>
      </w:r>
      <w:r>
        <w:t xml:space="preserve">· Intravenous ifosfamide/mesna is associated with depletion of plasma thiols without depletion of leukocyte glutathione. PMID 10778956</w:t>
      </w:r>
    </w:p>
    <w:p>
      <w:pPr>
        <w:numPr>
          <w:ilvl w:val="0"/>
          <w:numId w:val="1414"/>
        </w:numPr>
        <w:pStyle w:val="Compact"/>
      </w:pPr>
      <w:r>
        <w:t xml:space="preserve">2000 · Jeevanandam M ·</w:t>
      </w:r>
      <w:r>
        <w:t xml:space="preserve"> </w:t>
      </w:r>
      <w:r>
        <w:rPr>
          <w:iCs/>
          <w:i/>
        </w:rPr>
        <w:t xml:space="preserve">Crit Care Med</w:t>
      </w:r>
      <w:r>
        <w:t xml:space="preserve"> </w:t>
      </w:r>
      <w:r>
        <w:t xml:space="preserve">· Altered plasma cytokines and total glutathione levels in parenterally fed critically ill trauma patients with adjuvant recombinant human growth hormone (rhGH) therapy. PMID 10708161</w:t>
      </w:r>
    </w:p>
    <w:p>
      <w:pPr>
        <w:numPr>
          <w:ilvl w:val="0"/>
          <w:numId w:val="1414"/>
        </w:numPr>
        <w:pStyle w:val="Compact"/>
      </w:pPr>
      <w:r>
        <w:t xml:space="preserve">1999 · Barbagallo M ·</w:t>
      </w:r>
      <w:r>
        <w:t xml:space="preserve"> </w:t>
      </w:r>
      <w:r>
        <w:rPr>
          <w:iCs/>
          <w:i/>
        </w:rPr>
        <w:t xml:space="preserve">Hypertension</w:t>
      </w:r>
      <w:r>
        <w:t xml:space="preserve"> </w:t>
      </w:r>
      <w:r>
        <w:t xml:space="preserve">· Effects of vitamin E and glutathione on glucose metabolism: role of magnesium. PMID 10523398</w:t>
      </w:r>
    </w:p>
    <w:p>
      <w:pPr>
        <w:numPr>
          <w:ilvl w:val="0"/>
          <w:numId w:val="1414"/>
        </w:numPr>
        <w:pStyle w:val="Compact"/>
      </w:pPr>
      <w:r>
        <w:t xml:space="preserve">1999 · Galli F ·</w:t>
      </w:r>
      <w:r>
        <w:t xml:space="preserve"> </w:t>
      </w:r>
      <w:r>
        <w:rPr>
          <w:iCs/>
          <w:i/>
        </w:rPr>
        <w:t xml:space="preserve">Clin Chem</w:t>
      </w:r>
      <w:r>
        <w:t xml:space="preserve"> </w:t>
      </w:r>
      <w:r>
        <w:t xml:space="preserve">· Overexpression of erythrocyte glutathione S-transferase in uremia and dialysis. PMID 10508125</w:t>
      </w:r>
    </w:p>
    <w:p>
      <w:pPr>
        <w:numPr>
          <w:ilvl w:val="0"/>
          <w:numId w:val="1414"/>
        </w:numPr>
        <w:pStyle w:val="Compact"/>
      </w:pPr>
      <w:r>
        <w:t xml:space="preserve">1998 · Apostolski S ·</w:t>
      </w:r>
      <w:r>
        <w:t xml:space="preserve"> </w:t>
      </w:r>
      <w:r>
        <w:rPr>
          <w:iCs/>
          <w:i/>
        </w:rPr>
        <w:t xml:space="preserve">J Environ Pathol Toxicol Oncol</w:t>
      </w:r>
      <w:r>
        <w:t xml:space="preserve"> </w:t>
      </w:r>
      <w:r>
        <w:t xml:space="preserve">· Glutathione peroxidase in amyotrophic lateral sclerosis: the effects of selenium supplementation. PMID 9726810</w:t>
      </w:r>
    </w:p>
    <w:p>
      <w:pPr>
        <w:numPr>
          <w:ilvl w:val="0"/>
          <w:numId w:val="1414"/>
        </w:numPr>
        <w:pStyle w:val="Compact"/>
      </w:pPr>
      <w:r>
        <w:t xml:space="preserve">1998 · De Mattia G ·</w:t>
      </w:r>
      <w:r>
        <w:t xml:space="preserve"> </w:t>
      </w:r>
      <w:r>
        <w:rPr>
          <w:iCs/>
          <w:i/>
        </w:rPr>
        <w:t xml:space="preserve">Metabolism</w:t>
      </w:r>
      <w:r>
        <w:t xml:space="preserve"> </w:t>
      </w:r>
      <w:r>
        <w:t xml:space="preserve">· Influence of reduced glutathione infusion on glucose metabolism in patients with non-insulin-dependent diabetes mellitus. PMID 9711998</w:t>
      </w:r>
    </w:p>
    <w:p>
      <w:pPr>
        <w:numPr>
          <w:ilvl w:val="0"/>
          <w:numId w:val="1414"/>
        </w:numPr>
        <w:pStyle w:val="Compact"/>
      </w:pPr>
      <w:r>
        <w:t xml:space="preserve">1998 · Cimino L ·</w:t>
      </w:r>
      <w:r>
        <w:t xml:space="preserve"> </w:t>
      </w:r>
      <w:r>
        <w:rPr>
          <w:iCs/>
          <w:i/>
        </w:rPr>
        <w:t xml:space="preserve">Ital J Gastroenterol Hepatol</w:t>
      </w:r>
      <w:r>
        <w:t xml:space="preserve"> </w:t>
      </w:r>
      <w:r>
        <w:t xml:space="preserve">· Effect of N-acetyl-cysteine on lymphomonocyte glutathione and response to interferon treatment in C-virus chronic hepatitis. PMID 9675657</w:t>
      </w:r>
    </w:p>
    <w:p>
      <w:pPr>
        <w:numPr>
          <w:ilvl w:val="0"/>
          <w:numId w:val="1414"/>
        </w:numPr>
        <w:pStyle w:val="Compact"/>
      </w:pPr>
      <w:r>
        <w:t xml:space="preserve">1998 · Bernhard MC ·</w:t>
      </w:r>
      <w:r>
        <w:t xml:space="preserve"> </w:t>
      </w:r>
      <w:r>
        <w:rPr>
          <w:iCs/>
          <w:i/>
        </w:rPr>
        <w:t xml:space="preserve">J Hepatol</w:t>
      </w:r>
      <w:r>
        <w:t xml:space="preserve"> </w:t>
      </w:r>
      <w:r>
        <w:t xml:space="preserve">· Time course of total cysteine, glutathione and homocysteine in plasma of patients with chronic hepatitis C treated with interferon-alpha with and without supplementation with N-acetylcysteine. PMID 9625308</w:t>
      </w:r>
    </w:p>
    <w:p>
      <w:pPr>
        <w:numPr>
          <w:ilvl w:val="0"/>
          <w:numId w:val="1414"/>
        </w:numPr>
        <w:pStyle w:val="Compact"/>
      </w:pPr>
      <w:r>
        <w:t xml:space="preserve">1997 · Clapper ML ·</w:t>
      </w:r>
      <w:r>
        <w:t xml:space="preserve"> </w:t>
      </w:r>
      <w:r>
        <w:rPr>
          <w:iCs/>
          <w:i/>
        </w:rPr>
        <w:t xml:space="preserve">Clin Cancer Res</w:t>
      </w:r>
      <w:r>
        <w:t xml:space="preserve"> </w:t>
      </w:r>
      <w:r>
        <w:t xml:space="preserve">· Preclinical and clinical evaluation of broccoli supplements as inducers of glutathione S-transferase activity. PMID 9815533</w:t>
      </w:r>
    </w:p>
    <w:p>
      <w:pPr>
        <w:numPr>
          <w:ilvl w:val="0"/>
          <w:numId w:val="1414"/>
        </w:numPr>
        <w:pStyle w:val="Compact"/>
      </w:pPr>
      <w:r>
        <w:t xml:space="preserve">1997 · Konukoğlu D ·</w:t>
      </w:r>
      <w:r>
        <w:t xml:space="preserve"> </w:t>
      </w:r>
      <w:r>
        <w:rPr>
          <w:iCs/>
          <w:i/>
        </w:rPr>
        <w:t xml:space="preserve">J Endocrinol Invest</w:t>
      </w:r>
      <w:r>
        <w:t xml:space="preserve"> </w:t>
      </w:r>
      <w:r>
        <w:t xml:space="preserve">· The erythrocyte glutathione levels during oral glucose tolerance test. PMID 9364250</w:t>
      </w:r>
    </w:p>
    <w:p>
      <w:pPr>
        <w:numPr>
          <w:ilvl w:val="0"/>
          <w:numId w:val="1414"/>
        </w:numPr>
        <w:pStyle w:val="Compact"/>
      </w:pPr>
      <w:r>
        <w:t xml:space="preserve">1997 · Herzenberg LA ·</w:t>
      </w:r>
      <w:r>
        <w:t xml:space="preserve"> </w:t>
      </w:r>
      <w:r>
        <w:rPr>
          <w:iCs/>
          <w:i/>
        </w:rPr>
        <w:t xml:space="preserve">Proc Natl Acad Sci U S A</w:t>
      </w:r>
      <w:r>
        <w:t xml:space="preserve"> </w:t>
      </w:r>
      <w:r>
        <w:t xml:space="preserve">· Glutathione deficiency is associated with impaired survival in HIV disease. PMID 9050888</w:t>
      </w:r>
    </w:p>
    <w:p>
      <w:pPr>
        <w:numPr>
          <w:ilvl w:val="0"/>
          <w:numId w:val="1414"/>
        </w:numPr>
        <w:pStyle w:val="Compact"/>
      </w:pPr>
      <w:r>
        <w:t xml:space="preserve">1996 · Sechi G ·</w:t>
      </w:r>
      <w:r>
        <w:t xml:space="preserve"> </w:t>
      </w:r>
      <w:r>
        <w:rPr>
          <w:iCs/>
          <w:i/>
        </w:rPr>
        <w:t xml:space="preserve">Prog Neuropsychopharmacol Biol Psychiatry</w:t>
      </w:r>
      <w:r>
        <w:t xml:space="preserve"> </w:t>
      </w:r>
      <w:r>
        <w:t xml:space="preserve">· Reduced intravenous glutathione in the treatment of early Parkinson’s disease. PMID 8938817</w:t>
      </w:r>
    </w:p>
    <w:p>
      <w:pPr>
        <w:numPr>
          <w:ilvl w:val="0"/>
          <w:numId w:val="1414"/>
        </w:numPr>
        <w:pStyle w:val="Compact"/>
      </w:pPr>
      <w:r>
        <w:t xml:space="preserve">1996 · Hu JJ ·</w:t>
      </w:r>
      <w:r>
        <w:t xml:space="preserve"> </w:t>
      </w:r>
      <w:r>
        <w:rPr>
          <w:iCs/>
          <w:i/>
        </w:rPr>
        <w:t xml:space="preserve">Cancer Epidemiol Biomarkers Prev</w:t>
      </w:r>
      <w:r>
        <w:t xml:space="preserve"> </w:t>
      </w:r>
      <w:r>
        <w:t xml:space="preserve">· Effects of dietary supplementation of alpha-tocopherol on plasma glutathione and DNA repair activities. PMID 8722217</w:t>
      </w:r>
    </w:p>
    <w:p>
      <w:pPr>
        <w:numPr>
          <w:ilvl w:val="0"/>
          <w:numId w:val="1414"/>
        </w:numPr>
        <w:pStyle w:val="Compact"/>
      </w:pPr>
      <w:r>
        <w:t xml:space="preserve">1996 · Delmas-Beauvieux MC ·</w:t>
      </w:r>
      <w:r>
        <w:t xml:space="preserve"> </w:t>
      </w:r>
      <w:r>
        <w:rPr>
          <w:iCs/>
          <w:i/>
        </w:rPr>
        <w:t xml:space="preserve">Am J Clin Nutr</w:t>
      </w:r>
      <w:r>
        <w:t xml:space="preserve"> </w:t>
      </w:r>
      <w:r>
        <w:t xml:space="preserve">· The enzymatic antioxidant system in blood and glutathione status in human immunodeficiency virus (HIV)-infected patients: effects of supplementation with selenium or beta-carotene. PMID 8669404</w:t>
      </w:r>
    </w:p>
    <w:p>
      <w:pPr>
        <w:numPr>
          <w:ilvl w:val="0"/>
          <w:numId w:val="1414"/>
        </w:numPr>
        <w:pStyle w:val="Compact"/>
      </w:pPr>
      <w:r>
        <w:t xml:space="preserve">1995 · Ramsay B ·</w:t>
      </w:r>
      <w:r>
        <w:t xml:space="preserve"> </w:t>
      </w:r>
      <w:r>
        <w:rPr>
          <w:iCs/>
          <w:i/>
        </w:rPr>
        <w:t xml:space="preserve">Br J Clin Pharmacol</w:t>
      </w:r>
      <w:r>
        <w:t xml:space="preserve"> </w:t>
      </w:r>
      <w:r>
        <w:t xml:space="preserve">· Systemic effects of S-nitroso-glutathione in the human following intravenous infusion. PMID 8527258</w:t>
      </w:r>
    </w:p>
    <w:p>
      <w:pPr>
        <w:numPr>
          <w:ilvl w:val="0"/>
          <w:numId w:val="1414"/>
        </w:numPr>
        <w:pStyle w:val="Compact"/>
      </w:pPr>
      <w:r>
        <w:t xml:space="preserve">1995 · Tessier F ·</w:t>
      </w:r>
      <w:r>
        <w:t xml:space="preserve"> </w:t>
      </w:r>
      <w:r>
        <w:rPr>
          <w:iCs/>
          <w:i/>
        </w:rPr>
        <w:t xml:space="preserve">Med Sci Sports Exerc</w:t>
      </w:r>
      <w:r>
        <w:t xml:space="preserve"> </w:t>
      </w:r>
      <w:r>
        <w:t xml:space="preserve">· Selenium and training effects on the glutathione system and aerobic performance. PMID 7752866</w:t>
      </w:r>
    </w:p>
    <w:p>
      <w:pPr>
        <w:numPr>
          <w:ilvl w:val="0"/>
          <w:numId w:val="1414"/>
        </w:numPr>
        <w:pStyle w:val="Compact"/>
      </w:pPr>
      <w:r>
        <w:t xml:space="preserve">1994 · Bailey HH ·</w:t>
      </w:r>
      <w:r>
        <w:t xml:space="preserve"> </w:t>
      </w:r>
      <w:r>
        <w:rPr>
          <w:iCs/>
          <w:i/>
        </w:rPr>
        <w:t xml:space="preserve">J Clin Oncol</w:t>
      </w:r>
      <w:r>
        <w:t xml:space="preserve"> </w:t>
      </w:r>
      <w:r>
        <w:t xml:space="preserve">· Phase I clinical trial of intravenous L-buthionine sulfoximine and melphalan: an attempt at modulation of glutathione. PMID 8270977</w:t>
      </w:r>
    </w:p>
    <w:p>
      <w:pPr>
        <w:numPr>
          <w:ilvl w:val="0"/>
          <w:numId w:val="1414"/>
        </w:numPr>
        <w:pStyle w:val="Compact"/>
      </w:pPr>
      <w:r>
        <w:t xml:space="preserve">1994 · Meyer A ·</w:t>
      </w:r>
      <w:r>
        <w:t xml:space="preserve"> </w:t>
      </w:r>
      <w:r>
        <w:rPr>
          <w:iCs/>
          <w:i/>
        </w:rPr>
        <w:t xml:space="preserve">Eur Respir J</w:t>
      </w:r>
      <w:r>
        <w:t xml:space="preserve"> </w:t>
      </w:r>
      <w:r>
        <w:t xml:space="preserve">· The effect of oral N-acetylcysteine on lung glutathione levels in idiopathic pulmonary fibrosis. PMID 8013597</w:t>
      </w:r>
    </w:p>
    <w:p>
      <w:pPr>
        <w:numPr>
          <w:ilvl w:val="0"/>
          <w:numId w:val="1414"/>
        </w:numPr>
        <w:pStyle w:val="Compact"/>
      </w:pPr>
      <w:r>
        <w:t xml:space="preserve">1994 · Plaxe S ·</w:t>
      </w:r>
      <w:r>
        <w:t xml:space="preserve"> </w:t>
      </w:r>
      <w:r>
        <w:rPr>
          <w:iCs/>
          <w:i/>
        </w:rPr>
        <w:t xml:space="preserve">Gynecol Oncol</w:t>
      </w:r>
      <w:r>
        <w:t xml:space="preserve"> </w:t>
      </w:r>
      <w:r>
        <w:t xml:space="preserve">· Phase I trial of cisplatin in combination with glutathione. PMID 7959273</w:t>
      </w:r>
    </w:p>
    <w:p>
      <w:pPr>
        <w:numPr>
          <w:ilvl w:val="0"/>
          <w:numId w:val="1414"/>
        </w:numPr>
        <w:pStyle w:val="Compact"/>
      </w:pPr>
      <w:r>
        <w:t xml:space="preserve">1994 · Kinscherf R ·</w:t>
      </w:r>
      <w:r>
        <w:t xml:space="preserve"> </w:t>
      </w:r>
      <w:r>
        <w:rPr>
          <w:iCs/>
          <w:i/>
        </w:rPr>
        <w:t xml:space="preserve">FASEB J</w:t>
      </w:r>
      <w:r>
        <w:t xml:space="preserve"> </w:t>
      </w:r>
      <w:r>
        <w:t xml:space="preserve">· Effect of glutathione depletion and oral N-acetyl-cysteine treatment on CD4+ and CD8+ cells. PMID 7909525</w:t>
      </w:r>
    </w:p>
    <w:p>
      <w:pPr>
        <w:numPr>
          <w:ilvl w:val="0"/>
          <w:numId w:val="1414"/>
        </w:numPr>
        <w:pStyle w:val="Compact"/>
      </w:pPr>
      <w:r>
        <w:t xml:space="preserve">1993 · Thomson CD ·</w:t>
      </w:r>
      <w:r>
        <w:t xml:space="preserve"> </w:t>
      </w:r>
      <w:r>
        <w:rPr>
          <w:iCs/>
          <w:i/>
        </w:rPr>
        <w:t xml:space="preserve">Br J Nutr</w:t>
      </w:r>
      <w:r>
        <w:t xml:space="preserve"> </w:t>
      </w:r>
      <w:r>
        <w:t xml:space="preserve">· Long-term supplementation with selenate and selenomethionine: selenium and glutathione peroxidase (EC 1.11.1.9) in blood components of New Zealand women. PMID 8490010</w:t>
      </w:r>
    </w:p>
    <w:p>
      <w:pPr>
        <w:numPr>
          <w:ilvl w:val="0"/>
          <w:numId w:val="1414"/>
        </w:numPr>
        <w:pStyle w:val="Compact"/>
      </w:pPr>
      <w:r>
        <w:t xml:space="preserve">1993 · Johnston CS ·</w:t>
      </w:r>
      <w:r>
        <w:t xml:space="preserve"> </w:t>
      </w:r>
      <w:r>
        <w:rPr>
          <w:iCs/>
          <w:i/>
        </w:rPr>
        <w:t xml:space="preserve">Am J Clin Nutr</w:t>
      </w:r>
      <w:r>
        <w:t xml:space="preserve"> </w:t>
      </w:r>
      <w:r>
        <w:t xml:space="preserve">· Vitamin C elevates red blood cell glutathione in healthy adults. PMID 8317379</w:t>
      </w:r>
    </w:p>
    <w:p>
      <w:pPr>
        <w:numPr>
          <w:ilvl w:val="0"/>
          <w:numId w:val="1414"/>
        </w:numPr>
        <w:pStyle w:val="Compact"/>
      </w:pPr>
      <w:r>
        <w:t xml:space="preserve">1993 · Jendryczko A ·</w:t>
      </w:r>
      <w:r>
        <w:t xml:space="preserve"> </w:t>
      </w:r>
      <w:r>
        <w:rPr>
          <w:iCs/>
          <w:i/>
        </w:rPr>
        <w:t xml:space="preserve">Zentralbl Gynakol</w:t>
      </w:r>
      <w:r>
        <w:t xml:space="preserve"> </w:t>
      </w:r>
      <w:r>
        <w:t xml:space="preserve">· Effects of two low-dose oral contraceptives on erythrocyte superoxide dismutase, catalase and glutathione peroxidase activities. PMID 8296490</w:t>
      </w:r>
    </w:p>
    <w:p>
      <w:pPr>
        <w:numPr>
          <w:ilvl w:val="0"/>
          <w:numId w:val="1414"/>
        </w:numPr>
        <w:pStyle w:val="Compact"/>
      </w:pPr>
      <w:r>
        <w:t xml:space="preserve">1993 · Suthutvoravut U ·</w:t>
      </w:r>
      <w:r>
        <w:t xml:space="preserve"> </w:t>
      </w:r>
      <w:r>
        <w:rPr>
          <w:iCs/>
          <w:i/>
        </w:rPr>
        <w:t xml:space="preserve">J Med Assoc Thai</w:t>
      </w:r>
      <w:r>
        <w:t xml:space="preserve"> </w:t>
      </w:r>
      <w:r>
        <w:t xml:space="preserve">· Vitamin E status, glutathione peroxidase activity and the effect of vitamin E supplementation in children with thalassemia. PMID 7822984</w:t>
      </w:r>
    </w:p>
    <w:p>
      <w:pPr>
        <w:numPr>
          <w:ilvl w:val="0"/>
          <w:numId w:val="1414"/>
        </w:numPr>
        <w:pStyle w:val="Compact"/>
      </w:pPr>
      <w:r>
        <w:t xml:space="preserve">1992 · Costagliola C ·</w:t>
      </w:r>
      <w:r>
        <w:t xml:space="preserve"> </w:t>
      </w:r>
      <w:r>
        <w:rPr>
          <w:iCs/>
          <w:i/>
        </w:rPr>
        <w:t xml:space="preserve">Nephron</w:t>
      </w:r>
      <w:r>
        <w:t xml:space="preserve"> </w:t>
      </w:r>
      <w:r>
        <w:t xml:space="preserve">· Anemia and chronic renal failure: a therapeutical approach by reduced glutathione parenteral administration. PMID 1501736</w:t>
      </w:r>
    </w:p>
    <w:p>
      <w:pPr>
        <w:numPr>
          <w:ilvl w:val="0"/>
          <w:numId w:val="1414"/>
        </w:numPr>
        <w:pStyle w:val="Compact"/>
      </w:pPr>
      <w:r>
        <w:t xml:space="preserve">1992 · Ortolani O ·</w:t>
      </w:r>
      <w:r>
        <w:t xml:space="preserve"> </w:t>
      </w:r>
      <w:r>
        <w:rPr>
          <w:iCs/>
          <w:i/>
        </w:rPr>
        <w:t xml:space="preserve">Boll Soc Ital Biol Sper</w:t>
      </w:r>
      <w:r>
        <w:t xml:space="preserve"> </w:t>
      </w:r>
      <w:r>
        <w:t xml:space="preserve">· [Usefulness of the prevention of oxygen radical damage in the critical patient using the parenteral administration of reduced glutathione in high doses]. PMID 1463596</w:t>
      </w:r>
    </w:p>
    <w:p>
      <w:pPr>
        <w:numPr>
          <w:ilvl w:val="0"/>
          <w:numId w:val="1414"/>
        </w:numPr>
        <w:pStyle w:val="Compact"/>
      </w:pPr>
      <w:r>
        <w:t xml:space="preserve">1990 · Corbucci GG ·</w:t>
      </w:r>
      <w:r>
        <w:t xml:space="preserve"> </w:t>
      </w:r>
      <w:r>
        <w:rPr>
          <w:iCs/>
          <w:i/>
        </w:rPr>
        <w:t xml:space="preserve">Int J Clin Pharmacol Res</w:t>
      </w:r>
      <w:r>
        <w:t xml:space="preserve"> </w:t>
      </w:r>
      <w:r>
        <w:t xml:space="preserve">· The role of reduced glutathione during the course of acute haemolysis in glucose-6-phosphate dehydrogenase deficient patients: clinical and pharmacodynamic aspects. PMID 1981880</w:t>
      </w:r>
    </w:p>
    <w:p>
      <w:pPr>
        <w:numPr>
          <w:ilvl w:val="0"/>
          <w:numId w:val="1414"/>
        </w:numPr>
        <w:pStyle w:val="Compact"/>
      </w:pPr>
      <w:r>
        <w:t xml:space="preserve">1989 · Vendemiale G ·</w:t>
      </w:r>
      <w:r>
        <w:t xml:space="preserve"> </w:t>
      </w:r>
      <w:r>
        <w:rPr>
          <w:iCs/>
          <w:i/>
        </w:rPr>
        <w:t xml:space="preserve">Scand J Gastroenterol</w:t>
      </w:r>
      <w:r>
        <w:t xml:space="preserve"> </w:t>
      </w:r>
      <w:r>
        <w:t xml:space="preserve">· Effects of oral S-adenosyl-L-methionine on hepatic glutathione in patients with liver disease. PMID 2781235</w:t>
      </w:r>
    </w:p>
    <w:p>
      <w:pPr>
        <w:numPr>
          <w:ilvl w:val="0"/>
          <w:numId w:val="1414"/>
        </w:numPr>
        <w:pStyle w:val="Compact"/>
      </w:pPr>
      <w:r>
        <w:t xml:space="preserve">1988 · Thomson CD ·</w:t>
      </w:r>
      <w:r>
        <w:t xml:space="preserve"> </w:t>
      </w:r>
      <w:r>
        <w:rPr>
          <w:iCs/>
          <w:i/>
        </w:rPr>
        <w:t xml:space="preserve">Am J Clin Nutr</w:t>
      </w:r>
      <w:r>
        <w:t xml:space="preserve"> </w:t>
      </w:r>
      <w:r>
        <w:t xml:space="preserve">· Selenium and vitamin E supplementation: activities of glutathione peroxidase in human tissues. PMID 3407611</w:t>
      </w:r>
    </w:p>
    <w:p>
      <w:pPr>
        <w:numPr>
          <w:ilvl w:val="0"/>
          <w:numId w:val="1414"/>
        </w:numPr>
        <w:pStyle w:val="Compact"/>
      </w:pPr>
      <w:r>
        <w:t xml:space="preserve">1988 · Nève J ·</w:t>
      </w:r>
      <w:r>
        <w:t xml:space="preserve"> </w:t>
      </w:r>
      <w:r>
        <w:rPr>
          <w:iCs/>
          <w:i/>
        </w:rPr>
        <w:t xml:space="preserve">Am J Clin Nutr</w:t>
      </w:r>
      <w:r>
        <w:t xml:space="preserve"> </w:t>
      </w:r>
      <w:r>
        <w:t xml:space="preserve">· Selenium supplementation in healthy Belgian adults: response in platelet glutathione peroxidase activity and other blood indices. PMID 3389320</w:t>
      </w:r>
    </w:p>
    <w:p>
      <w:pPr>
        <w:numPr>
          <w:ilvl w:val="0"/>
          <w:numId w:val="1414"/>
        </w:numPr>
        <w:pStyle w:val="Compact"/>
      </w:pPr>
      <w:r>
        <w:t xml:space="preserve">1988 · Thomson CD ·</w:t>
      </w:r>
      <w:r>
        <w:t xml:space="preserve"> </w:t>
      </w:r>
      <w:r>
        <w:rPr>
          <w:iCs/>
          <w:i/>
        </w:rPr>
        <w:t xml:space="preserve">Biochem Int</w:t>
      </w:r>
      <w:r>
        <w:t xml:space="preserve"> </w:t>
      </w:r>
      <w:r>
        <w:t xml:space="preserve">· The absence of adaptive changes in tissue activities of glutathione-S-transferase, superoxide dismutase and catalase following selenium and vitamin E supplementation in subjects with low selenium status. PMID 3355578</w:t>
      </w:r>
    </w:p>
    <w:p>
      <w:pPr>
        <w:numPr>
          <w:ilvl w:val="0"/>
          <w:numId w:val="1414"/>
        </w:numPr>
        <w:pStyle w:val="Compact"/>
      </w:pPr>
      <w:r>
        <w:t xml:space="preserve">1988 · Clausen J ·</w:t>
      </w:r>
      <w:r>
        <w:t xml:space="preserve"> </w:t>
      </w:r>
      <w:r>
        <w:rPr>
          <w:iCs/>
          <w:i/>
        </w:rPr>
        <w:t xml:space="preserve">Biol Trace Elem Res</w:t>
      </w:r>
      <w:r>
        <w:t xml:space="preserve"> </w:t>
      </w:r>
      <w:r>
        <w:t xml:space="preserve">· Comparison of whole blood selenium values and erythrocyte glutathione peroxidase activities of normal individuals on supplementation with selenate, selenite, L-selenomethionine, and high selenium yeast. PMID 2484510</w:t>
      </w:r>
    </w:p>
    <w:p>
      <w:pPr>
        <w:numPr>
          <w:ilvl w:val="0"/>
          <w:numId w:val="1414"/>
        </w:numPr>
        <w:pStyle w:val="Compact"/>
      </w:pPr>
      <w:r>
        <w:t xml:space="preserve">1985 · Batist G ·</w:t>
      </w:r>
      <w:r>
        <w:t xml:space="preserve"> </w:t>
      </w:r>
      <w:r>
        <w:rPr>
          <w:iCs/>
          <w:i/>
        </w:rPr>
        <w:t xml:space="preserve">Cancer Res</w:t>
      </w:r>
      <w:r>
        <w:t xml:space="preserve"> </w:t>
      </w:r>
      <w:r>
        <w:t xml:space="preserve">· Cardiac and red blood cell glutathione peroxidase: results of a prospective randomized trial in patients on total parenteral nutrition. PMID 3931910</w:t>
      </w:r>
    </w:p>
    <w:p>
      <w:pPr>
        <w:numPr>
          <w:ilvl w:val="0"/>
          <w:numId w:val="1414"/>
        </w:numPr>
        <w:pStyle w:val="Compact"/>
      </w:pPr>
      <w:r>
        <w:t xml:space="preserve">1984 · Sundström H ·</w:t>
      </w:r>
      <w:r>
        <w:t xml:space="preserve"> </w:t>
      </w:r>
      <w:r>
        <w:rPr>
          <w:iCs/>
          <w:i/>
        </w:rPr>
        <w:t xml:space="preserve">Cancer Lett</w:t>
      </w:r>
      <w:r>
        <w:t xml:space="preserve"> </w:t>
      </w:r>
      <w:r>
        <w:t xml:space="preserve">· Serum selenium and glutathione peroxidase, and plasma lipid peroxides in uterine, ovarian or vulvar cancer, and their responses to antioxidants in patients with ovarian cancer. PMID 6498792</w:t>
      </w:r>
    </w:p>
    <w:bookmarkEnd w:id="1161"/>
    <w:bookmarkStart w:id="1162" w:name="bremelanotida-pt-141-16"/>
    <w:p>
      <w:pPr>
        <w:pStyle w:val="Heading2"/>
      </w:pPr>
      <w:r>
        <w:t xml:space="preserve">Bremelanotida (PT-141) (16)</w:t>
      </w:r>
    </w:p>
    <w:p>
      <w:pPr>
        <w:numPr>
          <w:ilvl w:val="0"/>
          <w:numId w:val="1415"/>
        </w:numPr>
        <w:pStyle w:val="Compact"/>
      </w:pPr>
      <w:r>
        <w:t xml:space="preserve">2022 · Simon JA ·</w:t>
      </w:r>
      <w:r>
        <w:t xml:space="preserve"> </w:t>
      </w:r>
      <w:r>
        <w:rPr>
          <w:iCs/>
          <w:i/>
        </w:rPr>
        <w:t xml:space="preserve">J Womens Health (Larchmt)</w:t>
      </w:r>
      <w:r>
        <w:t xml:space="preserve"> </w:t>
      </w:r>
      <w:r>
        <w:t xml:space="preserve">· Prespecified and Integrated Subgroup Analyses from the RECONNECT Phase 3 Studies of Bremelanotide. PMID 35230162</w:t>
      </w:r>
    </w:p>
    <w:p>
      <w:pPr>
        <w:numPr>
          <w:ilvl w:val="0"/>
          <w:numId w:val="1415"/>
        </w:numPr>
        <w:pStyle w:val="Compact"/>
      </w:pPr>
      <w:r>
        <w:t xml:space="preserve">2022 · Clayton AH ·</w:t>
      </w:r>
      <w:r>
        <w:t xml:space="preserve"> </w:t>
      </w:r>
      <w:r>
        <w:rPr>
          <w:iCs/>
          <w:i/>
        </w:rPr>
        <w:t xml:space="preserve">J Womens Health (Larchmt)</w:t>
      </w:r>
      <w:r>
        <w:t xml:space="preserve"> </w:t>
      </w:r>
      <w:r>
        <w:t xml:space="preserve">· Safety Profile of Bremelanotide Across the Clinical Development Program. PMID 35147466</w:t>
      </w:r>
    </w:p>
    <w:p>
      <w:pPr>
        <w:numPr>
          <w:ilvl w:val="0"/>
          <w:numId w:val="1415"/>
        </w:numPr>
        <w:pStyle w:val="Compact"/>
      </w:pPr>
      <w:r>
        <w:t xml:space="preserve">2021 · Koochaki P ·</w:t>
      </w:r>
      <w:r>
        <w:t xml:space="preserve"> </w:t>
      </w:r>
      <w:r>
        <w:rPr>
          <w:iCs/>
          <w:i/>
        </w:rPr>
        <w:t xml:space="preserve">J Womens Health (Larchmt)</w:t>
      </w:r>
      <w:r>
        <w:t xml:space="preserve"> </w:t>
      </w:r>
      <w:r>
        <w:t xml:space="preserve">· The Patient Experience of Premenopausal Women Treated with Bremelanotide for Hypoactive Sexual Desire Disorder: RECONNECT Exit Study Results. PMID 33538638</w:t>
      </w:r>
    </w:p>
    <w:p>
      <w:pPr>
        <w:numPr>
          <w:ilvl w:val="0"/>
          <w:numId w:val="1415"/>
        </w:numPr>
        <w:pStyle w:val="Compact"/>
      </w:pPr>
      <w:r>
        <w:t xml:space="preserve">2019 · Kingsberg SA ·</w:t>
      </w:r>
      <w:r>
        <w:t xml:space="preserve"> </w:t>
      </w:r>
      <w:r>
        <w:rPr>
          <w:iCs/>
          <w:i/>
        </w:rPr>
        <w:t xml:space="preserve">Obstet Gynecol</w:t>
      </w:r>
      <w:r>
        <w:t xml:space="preserve"> </w:t>
      </w:r>
      <w:r>
        <w:t xml:space="preserve">· Bremelanotide for the Treatment of Hypoactive Sexual Desire Disorder: Two Randomized Phase 3 Trials. PMID 31599840</w:t>
      </w:r>
    </w:p>
    <w:p>
      <w:pPr>
        <w:numPr>
          <w:ilvl w:val="0"/>
          <w:numId w:val="1415"/>
        </w:numPr>
        <w:pStyle w:val="Compact"/>
      </w:pPr>
      <w:r>
        <w:t xml:space="preserve">2019 · Althof S ·</w:t>
      </w:r>
      <w:r>
        <w:t xml:space="preserve"> </w:t>
      </w:r>
      <w:r>
        <w:rPr>
          <w:iCs/>
          <w:i/>
        </w:rPr>
        <w:t xml:space="preserve">J Sex Med</w:t>
      </w:r>
      <w:r>
        <w:t xml:space="preserve"> </w:t>
      </w:r>
      <w:r>
        <w:t xml:space="preserve">· Responder Analyses from a Phase 2b Dose-Ranging Study of Bremelanotide. PMID 31277966</w:t>
      </w:r>
    </w:p>
    <w:p>
      <w:pPr>
        <w:numPr>
          <w:ilvl w:val="0"/>
          <w:numId w:val="1415"/>
        </w:numPr>
        <w:pStyle w:val="Compact"/>
      </w:pPr>
      <w:r>
        <w:t xml:space="preserve">2017 · Clayton AH ·</w:t>
      </w:r>
      <w:r>
        <w:t xml:space="preserve"> </w:t>
      </w:r>
      <w:r>
        <w:rPr>
          <w:iCs/>
          <w:i/>
        </w:rPr>
        <w:t xml:space="preserve">Clin Ther</w:t>
      </w:r>
      <w:r>
        <w:t xml:space="preserve"> </w:t>
      </w:r>
      <w:r>
        <w:t xml:space="preserve">· Phase I Randomized Placebo-controlled, Double-blind Study of the Safety and Tolerability of Bremelanotide Coadministered With Ethanol in Healthy Male and Female Participants. PMID 28189361</w:t>
      </w:r>
    </w:p>
    <w:p>
      <w:pPr>
        <w:numPr>
          <w:ilvl w:val="0"/>
          <w:numId w:val="1415"/>
        </w:numPr>
        <w:pStyle w:val="Compact"/>
      </w:pPr>
      <w:r>
        <w:t xml:space="preserve">2017 · White WB ·</w:t>
      </w:r>
      <w:r>
        <w:t xml:space="preserve"> </w:t>
      </w:r>
      <w:r>
        <w:rPr>
          <w:iCs/>
          <w:i/>
        </w:rPr>
        <w:t xml:space="preserve">J Hypertens</w:t>
      </w:r>
      <w:r>
        <w:t xml:space="preserve"> </w:t>
      </w:r>
      <w:r>
        <w:t xml:space="preserve">· Usefulness of ambulatory blood pressure monitoring to assess the melanocortin receptor agonist bremelanotide. PMID 27977473</w:t>
      </w:r>
    </w:p>
    <w:p>
      <w:pPr>
        <w:numPr>
          <w:ilvl w:val="0"/>
          <w:numId w:val="1415"/>
        </w:numPr>
        <w:pStyle w:val="Compact"/>
      </w:pPr>
      <w:r>
        <w:t xml:space="preserve">2016 · Clayton AH ·</w:t>
      </w:r>
      <w:r>
        <w:t xml:space="preserve"> </w:t>
      </w:r>
      <w:r>
        <w:rPr>
          <w:iCs/>
          <w:i/>
        </w:rPr>
        <w:t xml:space="preserve">Womens Health (Lond)</w:t>
      </w:r>
      <w:r>
        <w:t xml:space="preserve"> </w:t>
      </w:r>
      <w:r>
        <w:t xml:space="preserve">· Bremelanotide for female sexual dysfunctions in premenopausal women: a randomized, placebo-controlled dose-finding trial. PMID 27181790</w:t>
      </w:r>
    </w:p>
    <w:p>
      <w:pPr>
        <w:numPr>
          <w:ilvl w:val="0"/>
          <w:numId w:val="1415"/>
        </w:numPr>
        <w:pStyle w:val="Compact"/>
      </w:pPr>
      <w:r>
        <w:t xml:space="preserve">2008 · Safarinejad MR ·</w:t>
      </w:r>
      <w:r>
        <w:t xml:space="preserve"> </w:t>
      </w:r>
      <w:r>
        <w:rPr>
          <w:iCs/>
          <w:i/>
        </w:rPr>
        <w:t xml:space="preserve">J Urol</w:t>
      </w:r>
      <w:r>
        <w:t xml:space="preserve"> </w:t>
      </w:r>
      <w:r>
        <w:t xml:space="preserve">· Salvage of sildenafil failures with bremelanotide: a randomized, double-blind, placebo controlled study. PMID 18206919</w:t>
      </w:r>
    </w:p>
    <w:p>
      <w:pPr>
        <w:numPr>
          <w:ilvl w:val="0"/>
          <w:numId w:val="1415"/>
        </w:numPr>
        <w:pStyle w:val="Compact"/>
      </w:pPr>
      <w:r>
        <w:t xml:space="preserve">2008 · Safarinejad MR ·</w:t>
      </w:r>
      <w:r>
        <w:t xml:space="preserve"> </w:t>
      </w:r>
      <w:r>
        <w:rPr>
          <w:iCs/>
          <w:i/>
        </w:rPr>
        <w:t xml:space="preserve">J Sex Med</w:t>
      </w:r>
      <w:r>
        <w:t xml:space="preserve"> </w:t>
      </w:r>
      <w:r>
        <w:t xml:space="preserve">· RETRACTED: Evaluation of the safety and efficacy of bremelanotide, a melanocortin receptor agonist, in female subjects with arousal disorder: a double-blind placebo-controlled, fixed dose, randomized study. PMID 18179455</w:t>
      </w:r>
    </w:p>
    <w:p>
      <w:pPr>
        <w:numPr>
          <w:ilvl w:val="0"/>
          <w:numId w:val="1415"/>
        </w:numPr>
        <w:pStyle w:val="Compact"/>
      </w:pPr>
      <w:r>
        <w:t xml:space="preserve">2006 · Diamond LE ·</w:t>
      </w:r>
      <w:r>
        <w:t xml:space="preserve"> </w:t>
      </w:r>
      <w:r>
        <w:rPr>
          <w:iCs/>
          <w:i/>
        </w:rPr>
        <w:t xml:space="preserve">J Sex Med</w:t>
      </w:r>
      <w:r>
        <w:t xml:space="preserve"> </w:t>
      </w:r>
      <w:r>
        <w:t xml:space="preserve">· An effect on the subjective sexual response in premenopausal women with sexual arousal disorder by bremelanotide (PT-141), a melanocortin receptor agonist. PMID 16839319</w:t>
      </w:r>
    </w:p>
    <w:p>
      <w:pPr>
        <w:numPr>
          <w:ilvl w:val="0"/>
          <w:numId w:val="1415"/>
        </w:numPr>
        <w:pStyle w:val="Compact"/>
      </w:pPr>
      <w:r>
        <w:t xml:space="preserve">2005 · Diamond LE ·</w:t>
      </w:r>
      <w:r>
        <w:t xml:space="preserve"> </w:t>
      </w:r>
      <w:r>
        <w:rPr>
          <w:iCs/>
          <w:i/>
        </w:rPr>
        <w:t xml:space="preserve">Urology</w:t>
      </w:r>
      <w:r>
        <w:t xml:space="preserve"> </w:t>
      </w:r>
      <w:r>
        <w:t xml:space="preserve">· Co-administration of low doses of intranasal PT-141, a melanocortin receptor agonist, and sildenafil to men with erectile dysfunction results in an enhanced erectile response. PMID 15833522</w:t>
      </w:r>
    </w:p>
    <w:p>
      <w:pPr>
        <w:numPr>
          <w:ilvl w:val="0"/>
          <w:numId w:val="1415"/>
        </w:numPr>
        <w:pStyle w:val="Compact"/>
      </w:pPr>
      <w:r>
        <w:t xml:space="preserve">2004 · Bayés M ·</w:t>
      </w:r>
      <w:r>
        <w:t xml:space="preserve"> </w:t>
      </w:r>
      <w:r>
        <w:rPr>
          <w:iCs/>
          <w:i/>
        </w:rPr>
        <w:t xml:space="preserve">Methods Find Exp Clin Pharmacol</w:t>
      </w:r>
      <w:r>
        <w:t xml:space="preserve"> </w:t>
      </w:r>
      <w:r>
        <w:t xml:space="preserve">· Gateways to clinical trials. PMID 15672123</w:t>
      </w:r>
    </w:p>
    <w:p>
      <w:pPr>
        <w:numPr>
          <w:ilvl w:val="0"/>
          <w:numId w:val="1415"/>
        </w:numPr>
        <w:pStyle w:val="Compact"/>
      </w:pPr>
      <w:r>
        <w:t xml:space="preserve">2004 · Rosen RC ·</w:t>
      </w:r>
      <w:r>
        <w:t xml:space="preserve"> </w:t>
      </w:r>
      <w:r>
        <w:rPr>
          <w:iCs/>
          <w:i/>
        </w:rPr>
        <w:t xml:space="preserve">Int J Impot Res</w:t>
      </w:r>
      <w:r>
        <w:t xml:space="preserve"> </w:t>
      </w:r>
      <w:r>
        <w:t xml:space="preserve">· Evaluation of the safety, pharmacokinetics and pharmacodynamic effects of subcutaneously administered PT-141, a melanocortin receptor agonist, in healthy male subjects and in patients with an inadequate response to Viagra. PMID 14999221</w:t>
      </w:r>
    </w:p>
    <w:p>
      <w:pPr>
        <w:numPr>
          <w:ilvl w:val="0"/>
          <w:numId w:val="1415"/>
        </w:numPr>
        <w:pStyle w:val="Compact"/>
      </w:pPr>
      <w:r>
        <w:t xml:space="preserve">2004 · Diamond LE ·</w:t>
      </w:r>
      <w:r>
        <w:t xml:space="preserve"> </w:t>
      </w:r>
      <w:r>
        <w:rPr>
          <w:iCs/>
          <w:i/>
        </w:rPr>
        <w:t xml:space="preserve">Int J Impot Res</w:t>
      </w:r>
      <w:r>
        <w:t xml:space="preserve"> </w:t>
      </w:r>
      <w:r>
        <w:t xml:space="preserve">· Double-blind, placebo-controlled evaluation of the safety, pharmacokinetic properties and pharmacodynamic effects of intranasal PT-141, a melanocortin receptor agonist, in healthy males and patients with mild-to-moderate erectile dysfunction. PMID 14963471</w:t>
      </w:r>
    </w:p>
    <w:p>
      <w:pPr>
        <w:numPr>
          <w:ilvl w:val="0"/>
          <w:numId w:val="1415"/>
        </w:numPr>
        <w:pStyle w:val="Compact"/>
      </w:pPr>
      <w:r>
        <w:t xml:space="preserve">2003 · Molinoff PB ·</w:t>
      </w:r>
      <w:r>
        <w:t xml:space="preserve"> </w:t>
      </w:r>
      <w:r>
        <w:rPr>
          <w:iCs/>
          <w:i/>
        </w:rPr>
        <w:t xml:space="preserve">Ann N Y Acad Sci</w:t>
      </w:r>
      <w:r>
        <w:t xml:space="preserve"> </w:t>
      </w:r>
      <w:r>
        <w:t xml:space="preserve">· PT-141: a melanocortin agonist for the treatment of sexual dysfunction. PMID 12851303</w:t>
      </w:r>
    </w:p>
    <w:bookmarkEnd w:id="1162"/>
    <w:bookmarkStart w:id="1163" w:name="melanotán-ii-8"/>
    <w:p>
      <w:pPr>
        <w:pStyle w:val="Heading2"/>
      </w:pPr>
      <w:r>
        <w:t xml:space="preserve">Melanotán II (8)</w:t>
      </w:r>
    </w:p>
    <w:p>
      <w:pPr>
        <w:numPr>
          <w:ilvl w:val="0"/>
          <w:numId w:val="1416"/>
        </w:numPr>
        <w:pStyle w:val="Compact"/>
      </w:pPr>
      <w:r>
        <w:t xml:space="preserve">2006 · Fitzgerald LM ·</w:t>
      </w:r>
      <w:r>
        <w:t xml:space="preserve"> </w:t>
      </w:r>
      <w:r>
        <w:rPr>
          <w:iCs/>
          <w:i/>
        </w:rPr>
        <w:t xml:space="preserve">Peptides</w:t>
      </w:r>
      <w:r>
        <w:t xml:space="preserve"> </w:t>
      </w:r>
      <w:r>
        <w:t xml:space="preserve">· Effect of MELANOTAN, [Nle(4), D-Phe(7)]-alpha-MSH, on melanin synthesis in humans with MC1R variant alleles. PMID 16293341</w:t>
      </w:r>
    </w:p>
    <w:p>
      <w:pPr>
        <w:numPr>
          <w:ilvl w:val="0"/>
          <w:numId w:val="1416"/>
        </w:numPr>
        <w:pStyle w:val="Compact"/>
      </w:pPr>
      <w:r>
        <w:t xml:space="preserve">2004 · Dorr RT ·</w:t>
      </w:r>
      <w:r>
        <w:t xml:space="preserve"> </w:t>
      </w:r>
      <w:r>
        <w:rPr>
          <w:iCs/>
          <w:i/>
        </w:rPr>
        <w:t xml:space="preserve">Arch Dermatol</w:t>
      </w:r>
      <w:r>
        <w:t xml:space="preserve"> </w:t>
      </w:r>
      <w:r>
        <w:t xml:space="preserve">· Effects of a superpotent melanotropic peptide in combination with solar UV radiation on tanning of the skin in human volunteers. PMID 15262693</w:t>
      </w:r>
    </w:p>
    <w:p>
      <w:pPr>
        <w:numPr>
          <w:ilvl w:val="0"/>
          <w:numId w:val="1416"/>
        </w:numPr>
        <w:pStyle w:val="Compact"/>
      </w:pPr>
      <w:r>
        <w:t xml:space="preserve">2000 · Dorr RT ·</w:t>
      </w:r>
      <w:r>
        <w:t xml:space="preserve"> </w:t>
      </w:r>
      <w:r>
        <w:rPr>
          <w:iCs/>
          <w:i/>
        </w:rPr>
        <w:t xml:space="preserve">Photochem Photobiol</w:t>
      </w:r>
      <w:r>
        <w:t xml:space="preserve"> </w:t>
      </w:r>
      <w:r>
        <w:t xml:space="preserve">· Increased eumelanin expression and tanning is induced by a superpotent melanotropin [Nle4-D-Phe7]-alpha-MSH in humans. PMID 11045725</w:t>
      </w:r>
    </w:p>
    <w:p>
      <w:pPr>
        <w:numPr>
          <w:ilvl w:val="0"/>
          <w:numId w:val="1416"/>
        </w:numPr>
        <w:pStyle w:val="Compact"/>
      </w:pPr>
      <w:r>
        <w:t xml:space="preserve">2000 · Wessells H ·</w:t>
      </w:r>
      <w:r>
        <w:t xml:space="preserve"> </w:t>
      </w:r>
      <w:r>
        <w:rPr>
          <w:iCs/>
          <w:i/>
        </w:rPr>
        <w:t xml:space="preserve">Int J Impot Res</w:t>
      </w:r>
      <w:r>
        <w:t xml:space="preserve"> </w:t>
      </w:r>
      <w:r>
        <w:t xml:space="preserve">· Melanocortin receptor agonists, penile erection, and sexual motivation: human studies with Melanotan II. PMID 11035391</w:t>
      </w:r>
    </w:p>
    <w:p>
      <w:pPr>
        <w:numPr>
          <w:ilvl w:val="0"/>
          <w:numId w:val="1416"/>
        </w:numPr>
        <w:pStyle w:val="Compact"/>
      </w:pPr>
      <w:r>
        <w:t xml:space="preserve">2000 · Wessells H ·</w:t>
      </w:r>
      <w:r>
        <w:t xml:space="preserve"> </w:t>
      </w:r>
      <w:r>
        <w:rPr>
          <w:iCs/>
          <w:i/>
        </w:rPr>
        <w:t xml:space="preserve">Urology</w:t>
      </w:r>
      <w:r>
        <w:t xml:space="preserve"> </w:t>
      </w:r>
      <w:r>
        <w:t xml:space="preserve">· Effect of an alpha-melanocyte stimulating hormone analog on penile erection and sexual desire in men with organic erectile dysfunction. PMID 11018622</w:t>
      </w:r>
    </w:p>
    <w:p>
      <w:pPr>
        <w:numPr>
          <w:ilvl w:val="0"/>
          <w:numId w:val="1416"/>
        </w:numPr>
        <w:pStyle w:val="Compact"/>
      </w:pPr>
      <w:r>
        <w:t xml:space="preserve">1998 · Wessells H ·</w:t>
      </w:r>
      <w:r>
        <w:t xml:space="preserve"> </w:t>
      </w:r>
      <w:r>
        <w:rPr>
          <w:iCs/>
          <w:i/>
        </w:rPr>
        <w:t xml:space="preserve">J Urol</w:t>
      </w:r>
      <w:r>
        <w:t xml:space="preserve"> </w:t>
      </w:r>
      <w:r>
        <w:t xml:space="preserve">· Synthetic melanotropic peptide initiates erections in men with psychogenic erectile dysfunction: double-blind, placebo controlled crossover study. PMID 9679884</w:t>
      </w:r>
    </w:p>
    <w:p>
      <w:pPr>
        <w:numPr>
          <w:ilvl w:val="0"/>
          <w:numId w:val="1416"/>
        </w:numPr>
        <w:pStyle w:val="Compact"/>
      </w:pPr>
      <w:r>
        <w:t xml:space="preserve">1997 · Ugwu SO ·</w:t>
      </w:r>
      <w:r>
        <w:t xml:space="preserve"> </w:t>
      </w:r>
      <w:r>
        <w:rPr>
          <w:iCs/>
          <w:i/>
        </w:rPr>
        <w:t xml:space="preserve">Biopharm Drug Dispos</w:t>
      </w:r>
      <w:r>
        <w:t xml:space="preserve"> </w:t>
      </w:r>
      <w:r>
        <w:t xml:space="preserve">· Skin pigmentation and pharmacokinetics of melanotan-I in humans. PMID 9113347</w:t>
      </w:r>
    </w:p>
    <w:p>
      <w:pPr>
        <w:numPr>
          <w:ilvl w:val="0"/>
          <w:numId w:val="1416"/>
        </w:numPr>
        <w:pStyle w:val="Compact"/>
      </w:pPr>
      <w:r>
        <w:t xml:space="preserve">1996 · Dorr RT ·</w:t>
      </w:r>
      <w:r>
        <w:t xml:space="preserve"> </w:t>
      </w:r>
      <w:r>
        <w:rPr>
          <w:iCs/>
          <w:i/>
        </w:rPr>
        <w:t xml:space="preserve">Life Sci</w:t>
      </w:r>
      <w:r>
        <w:t xml:space="preserve"> </w:t>
      </w:r>
      <w:r>
        <w:t xml:space="preserve">· Evaluation of melanotan-II, a superpotent cyclic melanotropic peptide in a pilot phase-I clinical study. PMID 8637402</w:t>
      </w:r>
    </w:p>
    <w:bookmarkEnd w:id="1163"/>
    <w:bookmarkStart w:id="1164" w:name="afamelanotida-10"/>
    <w:p>
      <w:pPr>
        <w:pStyle w:val="Heading2"/>
      </w:pPr>
      <w:r>
        <w:t xml:space="preserve">Afamelanotida (10)</w:t>
      </w:r>
    </w:p>
    <w:p>
      <w:pPr>
        <w:numPr>
          <w:ilvl w:val="0"/>
          <w:numId w:val="1417"/>
        </w:numPr>
        <w:pStyle w:val="Compact"/>
      </w:pPr>
      <w:r>
        <w:t xml:space="preserve">2026 · Shetty N ·</w:t>
      </w:r>
      <w:r>
        <w:t xml:space="preserve"> </w:t>
      </w:r>
      <w:r>
        <w:rPr>
          <w:iCs/>
          <w:i/>
        </w:rPr>
        <w:t xml:space="preserve">Photochem Photobiol</w:t>
      </w:r>
      <w:r>
        <w:t xml:space="preserve"> </w:t>
      </w:r>
      <w:r>
        <w:t xml:space="preserve">· Adjunctive use of Polypodium leucotomos extract in patients with erythropoietic protoporphyria: An exploratory study. PMID 41766687</w:t>
      </w:r>
    </w:p>
    <w:p>
      <w:pPr>
        <w:numPr>
          <w:ilvl w:val="0"/>
          <w:numId w:val="1417"/>
        </w:numPr>
        <w:pStyle w:val="Compact"/>
      </w:pPr>
      <w:r>
        <w:t xml:space="preserve">2023 · Stanislaus V ·</w:t>
      </w:r>
      <w:r>
        <w:t xml:space="preserve"> </w:t>
      </w:r>
      <w:r>
        <w:rPr>
          <w:iCs/>
          <w:i/>
        </w:rPr>
        <w:t xml:space="preserve">BMC Neurol</w:t>
      </w:r>
      <w:r>
        <w:t xml:space="preserve"> </w:t>
      </w:r>
      <w:r>
        <w:t xml:space="preserve">· A feasibility and safety study of afamelanotide in acute stroke patients - an open label, proof of concept, phase iia clinical trial. PMID 37496004</w:t>
      </w:r>
    </w:p>
    <w:p>
      <w:pPr>
        <w:numPr>
          <w:ilvl w:val="0"/>
          <w:numId w:val="1417"/>
        </w:numPr>
        <w:pStyle w:val="Compact"/>
      </w:pPr>
      <w:r>
        <w:t xml:space="preserve">2020 · Toh JJH ·</w:t>
      </w:r>
      <w:r>
        <w:t xml:space="preserve"> </w:t>
      </w:r>
      <w:r>
        <w:rPr>
          <w:iCs/>
          <w:i/>
        </w:rPr>
        <w:t xml:space="preserve">J Am Acad Dermatol</w:t>
      </w:r>
      <w:r>
        <w:t xml:space="preserve"> </w:t>
      </w:r>
      <w:r>
        <w:t xml:space="preserve">· Afamelanotide implants and narrow-band ultraviolet B phototherapy for the treatment of nonsegmental vitiligo in Asians. PMID 31987791</w:t>
      </w:r>
    </w:p>
    <w:p>
      <w:pPr>
        <w:numPr>
          <w:ilvl w:val="0"/>
          <w:numId w:val="1417"/>
        </w:numPr>
        <w:pStyle w:val="Compact"/>
      </w:pPr>
      <w:r>
        <w:t xml:space="preserve">2015 · Langendonk JG ·</w:t>
      </w:r>
      <w:r>
        <w:t xml:space="preserve"> </w:t>
      </w:r>
      <w:r>
        <w:rPr>
          <w:iCs/>
          <w:i/>
        </w:rPr>
        <w:t xml:space="preserve">N Engl J Med</w:t>
      </w:r>
      <w:r>
        <w:t xml:space="preserve"> </w:t>
      </w:r>
      <w:r>
        <w:t xml:space="preserve">· Afamelanotide for Erythropoietic Protoporphyria. PMID 26132941</w:t>
      </w:r>
    </w:p>
    <w:p>
      <w:pPr>
        <w:numPr>
          <w:ilvl w:val="0"/>
          <w:numId w:val="1417"/>
        </w:numPr>
        <w:pStyle w:val="Compact"/>
      </w:pPr>
      <w:r>
        <w:t xml:space="preserve">2015 · Lengweiler S ·</w:t>
      </w:r>
      <w:r>
        <w:t xml:space="preserve"> </w:t>
      </w:r>
      <w:r>
        <w:rPr>
          <w:iCs/>
          <w:i/>
        </w:rPr>
        <w:t xml:space="preserve">Skin Pharmacol Physiol</w:t>
      </w:r>
      <w:r>
        <w:t xml:space="preserve"> </w:t>
      </w:r>
      <w:r>
        <w:t xml:space="preserve">· Evaluation of the immunogenicity of the synthetic α-melanocyte-stimulating hormone (α-MSH) analogue afamelanotide ([Nle4-D-Phe7]-α-MSH, Scenesse®) in erythropoietic protoporphyria patients by ELISA detecting both anti-afamelanotide and anti-α-MSH antibodies. PMID 25402764</w:t>
      </w:r>
    </w:p>
    <w:p>
      <w:pPr>
        <w:numPr>
          <w:ilvl w:val="0"/>
          <w:numId w:val="1417"/>
        </w:numPr>
        <w:pStyle w:val="Compact"/>
      </w:pPr>
      <w:r>
        <w:t xml:space="preserve">2015 · Lim HW ·</w:t>
      </w:r>
      <w:r>
        <w:t xml:space="preserve"> </w:t>
      </w:r>
      <w:r>
        <w:rPr>
          <w:iCs/>
          <w:i/>
        </w:rPr>
        <w:t xml:space="preserve">JAMA Dermatol</w:t>
      </w:r>
      <w:r>
        <w:t xml:space="preserve"> </w:t>
      </w:r>
      <w:r>
        <w:t xml:space="preserve">· Afamelanotide and narrowband UV-B phototherapy for the treatment of vitiligo: a randomized multicenter trial. PMID 25230094</w:t>
      </w:r>
    </w:p>
    <w:p>
      <w:pPr>
        <w:numPr>
          <w:ilvl w:val="0"/>
          <w:numId w:val="1417"/>
        </w:numPr>
        <w:pStyle w:val="Compact"/>
      </w:pPr>
      <w:r>
        <w:t xml:space="preserve">2014 · Biolcati G ·</w:t>
      </w:r>
      <w:r>
        <w:t xml:space="preserve"> </w:t>
      </w:r>
      <w:r>
        <w:rPr>
          <w:iCs/>
          <w:i/>
        </w:rPr>
        <w:t xml:space="preserve">Clin Exp Dermatol</w:t>
      </w:r>
      <w:r>
        <w:t xml:space="preserve"> </w:t>
      </w:r>
      <w:r>
        <w:t xml:space="preserve">· Efficacy of the melanocortin analogue Nle4-D-Phe7-α-melanocyte-stimulating hormone in the treatment of patients with Hailey-Hailey disease. PMID 24256215</w:t>
      </w:r>
    </w:p>
    <w:p>
      <w:pPr>
        <w:numPr>
          <w:ilvl w:val="0"/>
          <w:numId w:val="1417"/>
        </w:numPr>
        <w:pStyle w:val="Compact"/>
      </w:pPr>
      <w:r>
        <w:t xml:space="preserve">2014 · Böhm M ·</w:t>
      </w:r>
      <w:r>
        <w:t xml:space="preserve"> </w:t>
      </w:r>
      <w:r>
        <w:rPr>
          <w:iCs/>
          <w:i/>
        </w:rPr>
        <w:t xml:space="preserve">J Eur Acad Dermatol Venereol</w:t>
      </w:r>
      <w:r>
        <w:t xml:space="preserve"> </w:t>
      </w:r>
      <w:r>
        <w:t xml:space="preserve">· Beneficial effects of the melanocortin analogue Nle4-D-Phe7-α-MSH in acne vulgaris. PMID 22845050</w:t>
      </w:r>
    </w:p>
    <w:p>
      <w:pPr>
        <w:numPr>
          <w:ilvl w:val="0"/>
          <w:numId w:val="1417"/>
        </w:numPr>
        <w:pStyle w:val="Compact"/>
      </w:pPr>
      <w:r>
        <w:t xml:space="preserve">2011 · Haylett AK ·</w:t>
      </w:r>
      <w:r>
        <w:t xml:space="preserve"> </w:t>
      </w:r>
      <w:r>
        <w:rPr>
          <w:iCs/>
          <w:i/>
        </w:rPr>
        <w:t xml:space="preserve">Br J Dermatol</w:t>
      </w:r>
      <w:r>
        <w:t xml:space="preserve"> </w:t>
      </w:r>
      <w:r>
        <w:t xml:space="preserve">· Systemic photoprotection in solar urticaria with α-melanocyte-stimulating hormone analogue [Nle4-D-Phe7]-α-MSH. PMID 20969564</w:t>
      </w:r>
    </w:p>
    <w:p>
      <w:pPr>
        <w:numPr>
          <w:ilvl w:val="0"/>
          <w:numId w:val="1417"/>
        </w:numPr>
        <w:pStyle w:val="Compact"/>
      </w:pPr>
      <w:r>
        <w:t xml:space="preserve">2009 · Harms JH ·</w:t>
      </w:r>
      <w:r>
        <w:t xml:space="preserve"> </w:t>
      </w:r>
      <w:r>
        <w:rPr>
          <w:iCs/>
          <w:i/>
        </w:rPr>
        <w:t xml:space="preserve">Photochem Photobiol</w:t>
      </w:r>
      <w:r>
        <w:t xml:space="preserve"> </w:t>
      </w:r>
      <w:r>
        <w:t xml:space="preserve">· Mitigating photosensitivity of erythropoietic protoporphyria patients by an agonistic analog of alpha-melanocyte stimulating hormone. PMID 19656325</w:t>
      </w:r>
    </w:p>
    <w:bookmarkEnd w:id="1164"/>
    <w:bookmarkStart w:id="1165" w:name="kisspeptina-37"/>
    <w:p>
      <w:pPr>
        <w:pStyle w:val="Heading2"/>
      </w:pPr>
      <w:r>
        <w:t xml:space="preserve">Kisspeptina (37)</w:t>
      </w:r>
    </w:p>
    <w:p>
      <w:pPr>
        <w:numPr>
          <w:ilvl w:val="0"/>
          <w:numId w:val="1418"/>
        </w:numPr>
        <w:pStyle w:val="Compact"/>
      </w:pPr>
      <w:r>
        <w:t xml:space="preserve">2026 · Yeung AC ·</w:t>
      </w:r>
      <w:r>
        <w:t xml:space="preserve"> </w:t>
      </w:r>
      <w:r>
        <w:rPr>
          <w:iCs/>
          <w:i/>
        </w:rPr>
        <w:t xml:space="preserve">Eur J Endocrinol</w:t>
      </w:r>
      <w:r>
        <w:t xml:space="preserve"> </w:t>
      </w:r>
      <w:r>
        <w:t xml:space="preserve">· Chronic subcutaneous kisspeptin-10 stimulates gonadotropin secretion for 12 days in healthy men. PMID 42549827</w:t>
      </w:r>
    </w:p>
    <w:p>
      <w:pPr>
        <w:numPr>
          <w:ilvl w:val="0"/>
          <w:numId w:val="1418"/>
        </w:numPr>
        <w:pStyle w:val="Compact"/>
      </w:pPr>
      <w:r>
        <w:t xml:space="preserve">2026 · Galbiati F ·</w:t>
      </w:r>
      <w:r>
        <w:t xml:space="preserve"> </w:t>
      </w:r>
      <w:r>
        <w:rPr>
          <w:iCs/>
          <w:i/>
        </w:rPr>
        <w:t xml:space="preserve">J Neuroendocrinol</w:t>
      </w:r>
      <w:r>
        <w:t xml:space="preserve"> </w:t>
      </w:r>
      <w:r>
        <w:t xml:space="preserve">· Intravenous kisspeptin 112-121 bolus does not acutely impact circulating vasopressin in humans. PMID 41273106</w:t>
      </w:r>
    </w:p>
    <w:p>
      <w:pPr>
        <w:numPr>
          <w:ilvl w:val="0"/>
          <w:numId w:val="1418"/>
        </w:numPr>
        <w:pStyle w:val="Compact"/>
      </w:pPr>
      <w:r>
        <w:t xml:space="preserve">2025 · Mills EG ·</w:t>
      </w:r>
      <w:r>
        <w:t xml:space="preserve"> </w:t>
      </w:r>
      <w:r>
        <w:rPr>
          <w:iCs/>
          <w:i/>
        </w:rPr>
        <w:t xml:space="preserve">EBioMedicine</w:t>
      </w:r>
      <w:r>
        <w:t xml:space="preserve"> </w:t>
      </w:r>
      <w:r>
        <w:t xml:space="preserve">· Intranasal kisspeptin administration rapidly stimulates gonadotropin release in humans. PMID 40215751</w:t>
      </w:r>
    </w:p>
    <w:p>
      <w:pPr>
        <w:numPr>
          <w:ilvl w:val="0"/>
          <w:numId w:val="1418"/>
        </w:numPr>
        <w:pStyle w:val="Compact"/>
      </w:pPr>
      <w:r>
        <w:t xml:space="preserve">2025 · Mills EG ·</w:t>
      </w:r>
      <w:r>
        <w:t xml:space="preserve"> </w:t>
      </w:r>
      <w:r>
        <w:rPr>
          <w:iCs/>
          <w:i/>
        </w:rPr>
        <w:t xml:space="preserve">J Clin Endocrinol Metab</w:t>
      </w:r>
      <w:r>
        <w:t xml:space="preserve"> </w:t>
      </w:r>
      <w:r>
        <w:t xml:space="preserve">· Kisspeptin Administration Stimulates Reproductive Hormones but Does Not Affect Anxiety in Humans. PMID 40036336</w:t>
      </w:r>
    </w:p>
    <w:p>
      <w:pPr>
        <w:numPr>
          <w:ilvl w:val="0"/>
          <w:numId w:val="1418"/>
        </w:numPr>
        <w:pStyle w:val="Compact"/>
      </w:pPr>
      <w:r>
        <w:t xml:space="preserve">2025 · Galbiati F ·</w:t>
      </w:r>
      <w:r>
        <w:t xml:space="preserve"> </w:t>
      </w:r>
      <w:r>
        <w:rPr>
          <w:iCs/>
          <w:i/>
        </w:rPr>
        <w:t xml:space="preserve">Eur J Endocrinol</w:t>
      </w:r>
      <w:r>
        <w:t xml:space="preserve"> </w:t>
      </w:r>
      <w:r>
        <w:t xml:space="preserve">· Sex-dependent increases in oxytocin levels in response to intravenous kisspeptin in humans. PMID 39965102</w:t>
      </w:r>
    </w:p>
    <w:p>
      <w:pPr>
        <w:numPr>
          <w:ilvl w:val="0"/>
          <w:numId w:val="1418"/>
        </w:numPr>
        <w:pStyle w:val="Compact"/>
      </w:pPr>
      <w:r>
        <w:t xml:space="preserve">2025 · Rodanaki M ·</w:t>
      </w:r>
      <w:r>
        <w:t xml:space="preserve"> </w:t>
      </w:r>
      <w:r>
        <w:rPr>
          <w:iCs/>
          <w:i/>
        </w:rPr>
        <w:t xml:space="preserve">J Pediatr Endocrinol Metab</w:t>
      </w:r>
      <w:r>
        <w:t xml:space="preserve"> </w:t>
      </w:r>
      <w:r>
        <w:t xml:space="preserve">· Effect of a GnRH injection on kisspeptin levels in girls with suspected precocious puberty: a randomized-controlled pilot study. PMID 39847034</w:t>
      </w:r>
    </w:p>
    <w:p>
      <w:pPr>
        <w:numPr>
          <w:ilvl w:val="0"/>
          <w:numId w:val="1418"/>
        </w:numPr>
        <w:pStyle w:val="Compact"/>
      </w:pPr>
      <w:r>
        <w:t xml:space="preserve">2024 · Abbara A ·</w:t>
      </w:r>
      <w:r>
        <w:t xml:space="preserve"> </w:t>
      </w:r>
      <w:r>
        <w:rPr>
          <w:iCs/>
          <w:i/>
        </w:rPr>
        <w:t xml:space="preserve">Fertil Steril</w:t>
      </w:r>
      <w:r>
        <w:t xml:space="preserve"> </w:t>
      </w:r>
      <w:r>
        <w:t xml:space="preserve">· Endocrine profile of the kisspeptin receptor agonist MVT-602 in healthy premenopausal women with and without ovarian stimulation: results from 2 randomized, placebo-controlled clinical tricals. PMID 37925096</w:t>
      </w:r>
    </w:p>
    <w:p>
      <w:pPr>
        <w:numPr>
          <w:ilvl w:val="0"/>
          <w:numId w:val="1418"/>
        </w:numPr>
        <w:pStyle w:val="Compact"/>
      </w:pPr>
      <w:r>
        <w:t xml:space="preserve">2023 · Bavato F ·</w:t>
      </w:r>
      <w:r>
        <w:t xml:space="preserve"> </w:t>
      </w:r>
      <w:r>
        <w:rPr>
          <w:iCs/>
          <w:i/>
        </w:rPr>
        <w:t xml:space="preserve">J Psychopharmacol</w:t>
      </w:r>
      <w:r>
        <w:t xml:space="preserve"> </w:t>
      </w:r>
      <w:r>
        <w:t xml:space="preserve">· Oral sodium oxybate does not alter plasma kisspeptin levels in healthy male volunteers. PMID 37401623</w:t>
      </w:r>
    </w:p>
    <w:p>
      <w:pPr>
        <w:numPr>
          <w:ilvl w:val="0"/>
          <w:numId w:val="1418"/>
        </w:numPr>
        <w:pStyle w:val="Compact"/>
      </w:pPr>
      <w:r>
        <w:t xml:space="preserve">2023 · Mills EG ·</w:t>
      </w:r>
      <w:r>
        <w:t xml:space="preserve"> </w:t>
      </w:r>
      <w:r>
        <w:rPr>
          <w:iCs/>
          <w:i/>
        </w:rPr>
        <w:t xml:space="preserve">JAMA Netw Open</w:t>
      </w:r>
      <w:r>
        <w:t xml:space="preserve"> </w:t>
      </w:r>
      <w:r>
        <w:t xml:space="preserve">· Effects of Kisspeptin on Sexual Brain Processing and Penile Tumescence in Men With Hypoactive Sexual Desire Disorder: A Randomized Clinical Trial. PMID 36735255</w:t>
      </w:r>
    </w:p>
    <w:p>
      <w:pPr>
        <w:numPr>
          <w:ilvl w:val="0"/>
          <w:numId w:val="1418"/>
        </w:numPr>
        <w:pStyle w:val="Compact"/>
      </w:pPr>
      <w:r>
        <w:t xml:space="preserve">2022 · Thurston L ·</w:t>
      </w:r>
      <w:r>
        <w:t xml:space="preserve"> </w:t>
      </w:r>
      <w:r>
        <w:rPr>
          <w:iCs/>
          <w:i/>
        </w:rPr>
        <w:t xml:space="preserve">JAMA Netw Open</w:t>
      </w:r>
      <w:r>
        <w:t xml:space="preserve"> </w:t>
      </w:r>
      <w:r>
        <w:t xml:space="preserve">· Effects of Kisspeptin Administration in Women With Hypoactive Sexual Desire Disorder: A Randomized Clinical Trial. PMID 36287566</w:t>
      </w:r>
    </w:p>
    <w:p>
      <w:pPr>
        <w:numPr>
          <w:ilvl w:val="0"/>
          <w:numId w:val="1418"/>
        </w:numPr>
        <w:pStyle w:val="Compact"/>
      </w:pPr>
      <w:r>
        <w:t xml:space="preserve">2022 · Comninos AN ·</w:t>
      </w:r>
      <w:r>
        <w:t xml:space="preserve"> </w:t>
      </w:r>
      <w:r>
        <w:rPr>
          <w:iCs/>
          <w:i/>
        </w:rPr>
        <w:t xml:space="preserve">J Clin Endocrinol Metab</w:t>
      </w:r>
      <w:r>
        <w:t xml:space="preserve"> </w:t>
      </w:r>
      <w:r>
        <w:t xml:space="preserve">· Acute Effects of Kisspeptin Administration on Bone Metabolism in Healthy Men. PMID 35244717</w:t>
      </w:r>
    </w:p>
    <w:p>
      <w:pPr>
        <w:numPr>
          <w:ilvl w:val="0"/>
          <w:numId w:val="1418"/>
        </w:numPr>
        <w:pStyle w:val="Compact"/>
      </w:pPr>
      <w:r>
        <w:t xml:space="preserve">2021 · Yang L ·</w:t>
      </w:r>
      <w:r>
        <w:t xml:space="preserve"> </w:t>
      </w:r>
      <w:r>
        <w:rPr>
          <w:iCs/>
          <w:i/>
        </w:rPr>
        <w:t xml:space="preserve">J Clin Endocrinol Metab</w:t>
      </w:r>
      <w:r>
        <w:t xml:space="preserve"> </w:t>
      </w:r>
      <w:r>
        <w:t xml:space="preserve">· The Effects of Kisspeptin on Brain Response to Food Images and Psychometric Parameters of Appetite in Healthy Men. PMID 33075807</w:t>
      </w:r>
    </w:p>
    <w:p>
      <w:pPr>
        <w:numPr>
          <w:ilvl w:val="0"/>
          <w:numId w:val="1418"/>
        </w:numPr>
        <w:pStyle w:val="Compact"/>
      </w:pPr>
      <w:r>
        <w:t xml:space="preserve">2020 · Skorupskaite K ·</w:t>
      </w:r>
      <w:r>
        <w:t xml:space="preserve"> </w:t>
      </w:r>
      <w:r>
        <w:rPr>
          <w:iCs/>
          <w:i/>
        </w:rPr>
        <w:t xml:space="preserve">Hum Reprod</w:t>
      </w:r>
      <w:r>
        <w:t xml:space="preserve"> </w:t>
      </w:r>
      <w:r>
        <w:t xml:space="preserve">· Kisspeptin and neurokinin B interactions in modulating gonadotropin secretion in women with polycystic ovary syndrome. PMID 32510130</w:t>
      </w:r>
    </w:p>
    <w:p>
      <w:pPr>
        <w:numPr>
          <w:ilvl w:val="0"/>
          <w:numId w:val="1418"/>
        </w:numPr>
        <w:pStyle w:val="Compact"/>
      </w:pPr>
      <w:r>
        <w:t xml:space="preserve">2019 · Romero-Ruiz A ·</w:t>
      </w:r>
      <w:r>
        <w:t xml:space="preserve"> </w:t>
      </w:r>
      <w:r>
        <w:rPr>
          <w:iCs/>
          <w:i/>
        </w:rPr>
        <w:t xml:space="preserve">Hum Reprod</w:t>
      </w:r>
      <w:r>
        <w:t xml:space="preserve"> </w:t>
      </w:r>
      <w:r>
        <w:t xml:space="preserve">· Kisspeptin treatment induces gonadotropic responses and rescues ovulation in a subset of preclinical models and women with polycystic ovary syndrome. PMID 31820802</w:t>
      </w:r>
    </w:p>
    <w:p>
      <w:pPr>
        <w:numPr>
          <w:ilvl w:val="0"/>
          <w:numId w:val="1418"/>
        </w:numPr>
        <w:pStyle w:val="Compact"/>
      </w:pPr>
      <w:r>
        <w:t xml:space="preserve">2019 · Ullah H ·</w:t>
      </w:r>
      <w:r>
        <w:t xml:space="preserve"> </w:t>
      </w:r>
      <w:r>
        <w:rPr>
          <w:iCs/>
          <w:i/>
        </w:rPr>
        <w:t xml:space="preserve">Andrologia</w:t>
      </w:r>
      <w:r>
        <w:t xml:space="preserve"> </w:t>
      </w:r>
      <w:r>
        <w:t xml:space="preserve">· Age-dependent changes in the reproductive axis responsiveness to kisspeptin-10 administration in healthy men. PMID 30590872</w:t>
      </w:r>
    </w:p>
    <w:p>
      <w:pPr>
        <w:numPr>
          <w:ilvl w:val="0"/>
          <w:numId w:val="1418"/>
        </w:numPr>
        <w:pStyle w:val="Compact"/>
      </w:pPr>
      <w:r>
        <w:t xml:space="preserve">2018 · Izzi-Engbeaya C ·</w:t>
      </w:r>
      <w:r>
        <w:t xml:space="preserve"> </w:t>
      </w:r>
      <w:r>
        <w:rPr>
          <w:iCs/>
          <w:i/>
        </w:rPr>
        <w:t xml:space="preserve">Diabetes Obes Metab</w:t>
      </w:r>
      <w:r>
        <w:t xml:space="preserve"> </w:t>
      </w:r>
      <w:r>
        <w:t xml:space="preserve">· The effects of kisspeptin on β-cell function, serum metabolites and appetite in humans. PMID 29974637</w:t>
      </w:r>
    </w:p>
    <w:p>
      <w:pPr>
        <w:numPr>
          <w:ilvl w:val="0"/>
          <w:numId w:val="1418"/>
        </w:numPr>
        <w:pStyle w:val="Compact"/>
      </w:pPr>
      <w:r>
        <w:t xml:space="preserve">2018 · Chan YM ·</w:t>
      </w:r>
      <w:r>
        <w:t xml:space="preserve"> </w:t>
      </w:r>
      <w:r>
        <w:rPr>
          <w:iCs/>
          <w:i/>
        </w:rPr>
        <w:t xml:space="preserve">JCI Insight</w:t>
      </w:r>
      <w:r>
        <w:t xml:space="preserve"> </w:t>
      </w:r>
      <w:r>
        <w:t xml:space="preserve">· Divergent responses to kisspeptin in children with delayed puberty. PMID 29669934</w:t>
      </w:r>
    </w:p>
    <w:p>
      <w:pPr>
        <w:numPr>
          <w:ilvl w:val="0"/>
          <w:numId w:val="1418"/>
        </w:numPr>
        <w:pStyle w:val="Compact"/>
      </w:pPr>
      <w:r>
        <w:t xml:space="preserve">2018 · Owens LA ·</w:t>
      </w:r>
      <w:r>
        <w:t xml:space="preserve"> </w:t>
      </w:r>
      <w:r>
        <w:rPr>
          <w:iCs/>
          <w:i/>
        </w:rPr>
        <w:t xml:space="preserve">Hum Reprod</w:t>
      </w:r>
      <w:r>
        <w:t xml:space="preserve"> </w:t>
      </w:r>
      <w:r>
        <w:t xml:space="preserve">· The direct and indirect effects of kisspeptin-54 on granulosa lutein cell function. PMID 29206944</w:t>
      </w:r>
    </w:p>
    <w:p>
      <w:pPr>
        <w:numPr>
          <w:ilvl w:val="0"/>
          <w:numId w:val="1418"/>
        </w:numPr>
        <w:pStyle w:val="Compact"/>
      </w:pPr>
      <w:r>
        <w:t xml:space="preserve">2017 · Abbara A ·</w:t>
      </w:r>
      <w:r>
        <w:t xml:space="preserve"> </w:t>
      </w:r>
      <w:r>
        <w:rPr>
          <w:iCs/>
          <w:i/>
        </w:rPr>
        <w:t xml:space="preserve">Hum Reprod</w:t>
      </w:r>
      <w:r>
        <w:t xml:space="preserve"> </w:t>
      </w:r>
      <w:r>
        <w:t xml:space="preserve">· A second dose of kisspeptin-54 improves oocyte maturation in women at high risk of ovarian hyperstimulation syndrome: a Phase 2 randomized controlled trial. PMID 28854728</w:t>
      </w:r>
    </w:p>
    <w:p>
      <w:pPr>
        <w:numPr>
          <w:ilvl w:val="0"/>
          <w:numId w:val="1418"/>
        </w:numPr>
        <w:pStyle w:val="Compact"/>
      </w:pPr>
      <w:r>
        <w:t xml:space="preserve">2017 · Comninos AN ·</w:t>
      </w:r>
      <w:r>
        <w:t xml:space="preserve"> </w:t>
      </w:r>
      <w:r>
        <w:rPr>
          <w:iCs/>
          <w:i/>
        </w:rPr>
        <w:t xml:space="preserve">J Clin Invest</w:t>
      </w:r>
      <w:r>
        <w:t xml:space="preserve"> </w:t>
      </w:r>
      <w:r>
        <w:t xml:space="preserve">· Kisspeptin modulates sexual and emotional brain processing in humans. PMID 28112678</w:t>
      </w:r>
    </w:p>
    <w:p>
      <w:pPr>
        <w:numPr>
          <w:ilvl w:val="0"/>
          <w:numId w:val="1418"/>
        </w:numPr>
        <w:pStyle w:val="Compact"/>
      </w:pPr>
      <w:r>
        <w:t xml:space="preserve">2016 · Skorupskaite K ·</w:t>
      </w:r>
      <w:r>
        <w:t xml:space="preserve"> </w:t>
      </w:r>
      <w:r>
        <w:rPr>
          <w:iCs/>
          <w:i/>
        </w:rPr>
        <w:t xml:space="preserve">J Clin Endocrinol Metab</w:t>
      </w:r>
      <w:r>
        <w:t xml:space="preserve"> </w:t>
      </w:r>
      <w:r>
        <w:t xml:space="preserve">· Interactions Between Neurokinin B and Kisspeptin in Mediating Estrogen Feedback in Healthy Women. PMID 27636018</w:t>
      </w:r>
    </w:p>
    <w:p>
      <w:pPr>
        <w:numPr>
          <w:ilvl w:val="0"/>
          <w:numId w:val="1418"/>
        </w:numPr>
        <w:pStyle w:val="Compact"/>
      </w:pPr>
      <w:r>
        <w:t xml:space="preserve">2016 · Lippincott MF ·</w:t>
      </w:r>
      <w:r>
        <w:t xml:space="preserve"> </w:t>
      </w:r>
      <w:r>
        <w:rPr>
          <w:iCs/>
          <w:i/>
        </w:rPr>
        <w:t xml:space="preserve">J Clin Endocrinol Metab</w:t>
      </w:r>
      <w:r>
        <w:t xml:space="preserve"> </w:t>
      </w:r>
      <w:r>
        <w:t xml:space="preserve">· Kisspeptin Responsiveness Signals Emergence of Reproductive Endocrine Activity: Implications for Human Puberty. PMID 27214398</w:t>
      </w:r>
    </w:p>
    <w:p>
      <w:pPr>
        <w:numPr>
          <w:ilvl w:val="0"/>
          <w:numId w:val="1418"/>
        </w:numPr>
        <w:pStyle w:val="Compact"/>
      </w:pPr>
      <w:r>
        <w:t xml:space="preserve">2016 · Narayanaswamy S ·</w:t>
      </w:r>
      <w:r>
        <w:t xml:space="preserve"> </w:t>
      </w:r>
      <w:r>
        <w:rPr>
          <w:iCs/>
          <w:i/>
        </w:rPr>
        <w:t xml:space="preserve">Clin Endocrinol (Oxf)</w:t>
      </w:r>
      <w:r>
        <w:t xml:space="preserve"> </w:t>
      </w:r>
      <w:r>
        <w:t xml:space="preserve">· Subcutaneous infusion of kisspeptin-54 stimulates gonadotrophin release in women and the response correlates with basal oestradiol levels. PMID 26572695</w:t>
      </w:r>
    </w:p>
    <w:p>
      <w:pPr>
        <w:numPr>
          <w:ilvl w:val="0"/>
          <w:numId w:val="1418"/>
        </w:numPr>
        <w:pStyle w:val="Compact"/>
      </w:pPr>
      <w:r>
        <w:t xml:space="preserve">2015 · Abbara A ·</w:t>
      </w:r>
      <w:r>
        <w:t xml:space="preserve"> </w:t>
      </w:r>
      <w:r>
        <w:rPr>
          <w:iCs/>
          <w:i/>
        </w:rPr>
        <w:t xml:space="preserve">J Clin Endocrinol Metab</w:t>
      </w:r>
      <w:r>
        <w:t xml:space="preserve"> </w:t>
      </w:r>
      <w:r>
        <w:t xml:space="preserve">· Efficacy of Kisspeptin-54 to Trigger Oocyte Maturation in Women at High Risk of Ovarian Hyperstimulation Syndrome (OHSS) During In Vitro Fertilization (IVF) Therapy. PMID 26192876</w:t>
      </w:r>
    </w:p>
    <w:p>
      <w:pPr>
        <w:numPr>
          <w:ilvl w:val="0"/>
          <w:numId w:val="1418"/>
        </w:numPr>
        <w:pStyle w:val="Compact"/>
      </w:pPr>
      <w:r>
        <w:t xml:space="preserve">2014 · Jayasena CN ·</w:t>
      </w:r>
      <w:r>
        <w:t xml:space="preserve"> </w:t>
      </w:r>
      <w:r>
        <w:rPr>
          <w:iCs/>
          <w:i/>
        </w:rPr>
        <w:t xml:space="preserve">J Clin Invest</w:t>
      </w:r>
      <w:r>
        <w:t xml:space="preserve"> </w:t>
      </w:r>
      <w:r>
        <w:t xml:space="preserve">· Kisspeptin-54 triggers egg maturation in women undergoing in vitro fertilization. PMID 25036713</w:t>
      </w:r>
    </w:p>
    <w:p>
      <w:pPr>
        <w:numPr>
          <w:ilvl w:val="0"/>
          <w:numId w:val="1418"/>
        </w:numPr>
        <w:pStyle w:val="Compact"/>
      </w:pPr>
      <w:r>
        <w:t xml:space="preserve">2014 · Jayasena CN ·</w:t>
      </w:r>
      <w:r>
        <w:t xml:space="preserve"> </w:t>
      </w:r>
      <w:r>
        <w:rPr>
          <w:iCs/>
          <w:i/>
        </w:rPr>
        <w:t xml:space="preserve">Clin Endocrinol (Oxf)</w:t>
      </w:r>
      <w:r>
        <w:t xml:space="preserve"> </w:t>
      </w:r>
      <w:r>
        <w:t xml:space="preserve">· Acute and chronic effects of kisspeptin-54 administration on GH, prolactin and TSH secretion in healthy women. PMID 24863252</w:t>
      </w:r>
    </w:p>
    <w:p>
      <w:pPr>
        <w:numPr>
          <w:ilvl w:val="0"/>
          <w:numId w:val="1418"/>
        </w:numPr>
        <w:pStyle w:val="Compact"/>
      </w:pPr>
      <w:r>
        <w:t xml:space="preserve">2014 · MacLean DB ·</w:t>
      </w:r>
      <w:r>
        <w:t xml:space="preserve"> </w:t>
      </w:r>
      <w:r>
        <w:rPr>
          <w:iCs/>
          <w:i/>
        </w:rPr>
        <w:t xml:space="preserve">J Clin Endocrinol Metab</w:t>
      </w:r>
      <w:r>
        <w:t xml:space="preserve"> </w:t>
      </w:r>
      <w:r>
        <w:t xml:space="preserve">· Sustained exposure to the investigational Kisspeptin analog, TAK-448, down-regulates testosterone into the castration range in healthy males and in patients with prostate cancer: results from two phase 1 studies. PMID 24762108</w:t>
      </w:r>
    </w:p>
    <w:p>
      <w:pPr>
        <w:numPr>
          <w:ilvl w:val="0"/>
          <w:numId w:val="1418"/>
        </w:numPr>
        <w:pStyle w:val="Compact"/>
      </w:pPr>
      <w:r>
        <w:t xml:space="preserve">2014 · Jayasena CN ·</w:t>
      </w:r>
      <w:r>
        <w:t xml:space="preserve"> </w:t>
      </w:r>
      <w:r>
        <w:rPr>
          <w:iCs/>
          <w:i/>
        </w:rPr>
        <w:t xml:space="preserve">J Clin Endocrinol Metab</w:t>
      </w:r>
      <w:r>
        <w:t xml:space="preserve"> </w:t>
      </w:r>
      <w:r>
        <w:t xml:space="preserve">· Increasing LH pulsatility in women with hypothalamic amenorrhoea using intravenous infusion of Kisspeptin-54. PMID 24517142</w:t>
      </w:r>
    </w:p>
    <w:p>
      <w:pPr>
        <w:numPr>
          <w:ilvl w:val="0"/>
          <w:numId w:val="1418"/>
        </w:numPr>
        <w:pStyle w:val="Compact"/>
      </w:pPr>
      <w:r>
        <w:t xml:space="preserve">2013 · Jayasena CN ·</w:t>
      </w:r>
      <w:r>
        <w:t xml:space="preserve"> </w:t>
      </w:r>
      <w:r>
        <w:rPr>
          <w:iCs/>
          <w:i/>
        </w:rPr>
        <w:t xml:space="preserve">J Clin Endocrinol Metab</w:t>
      </w:r>
      <w:r>
        <w:t xml:space="preserve"> </w:t>
      </w:r>
      <w:r>
        <w:t xml:space="preserve">· Twice-daily subcutaneous injection of kisspeptin-54 does not abolish menstrual cyclicity in healthy female volunteers. PMID 24030945</w:t>
      </w:r>
    </w:p>
    <w:p>
      <w:pPr>
        <w:numPr>
          <w:ilvl w:val="0"/>
          <w:numId w:val="1418"/>
        </w:numPr>
        <w:pStyle w:val="Compact"/>
      </w:pPr>
      <w:r>
        <w:t xml:space="preserve">2013 · Jayasena CN ·</w:t>
      </w:r>
      <w:r>
        <w:t xml:space="preserve"> </w:t>
      </w:r>
      <w:r>
        <w:rPr>
          <w:iCs/>
          <w:i/>
        </w:rPr>
        <w:t xml:space="preserve">Clin Endocrinol (Oxf)</w:t>
      </w:r>
      <w:r>
        <w:t xml:space="preserve"> </w:t>
      </w:r>
      <w:r>
        <w:t xml:space="preserve">· A single injection of kisspeptin-54 temporarily increases luteinizing hormone pulsatility in healthy women. PMID 23452073</w:t>
      </w:r>
    </w:p>
    <w:p>
      <w:pPr>
        <w:numPr>
          <w:ilvl w:val="0"/>
          <w:numId w:val="1418"/>
        </w:numPr>
        <w:pStyle w:val="Compact"/>
      </w:pPr>
      <w:r>
        <w:t xml:space="preserve">2013 · George JT ·</w:t>
      </w:r>
      <w:r>
        <w:t xml:space="preserve"> </w:t>
      </w:r>
      <w:r>
        <w:rPr>
          <w:iCs/>
          <w:i/>
        </w:rPr>
        <w:t xml:space="preserve">Clin Endocrinol (Oxf)</w:t>
      </w:r>
      <w:r>
        <w:t xml:space="preserve"> </w:t>
      </w:r>
      <w:r>
        <w:t xml:space="preserve">· Exploring the pathophysiology of hypogonadism in men with type 2 diabetes: kisspeptin-10 stimulates serum testosterone and LH secretion in men with type 2 diabetes and mild biochemical hypogonadism. PMID 23153270</w:t>
      </w:r>
    </w:p>
    <w:p>
      <w:pPr>
        <w:numPr>
          <w:ilvl w:val="0"/>
          <w:numId w:val="1418"/>
        </w:numPr>
        <w:pStyle w:val="Compact"/>
      </w:pPr>
      <w:r>
        <w:t xml:space="preserve">2013 · Young J ·</w:t>
      </w:r>
      <w:r>
        <w:t xml:space="preserve"> </w:t>
      </w:r>
      <w:r>
        <w:rPr>
          <w:iCs/>
          <w:i/>
        </w:rPr>
        <w:t xml:space="preserve">Neuroendocrinology</w:t>
      </w:r>
      <w:r>
        <w:t xml:space="preserve"> </w:t>
      </w:r>
      <w:r>
        <w:t xml:space="preserve">· Kisspeptin restores pulsatile LH secretion in patients with neurokinin B signaling deficiencies: physiological, pathophysiological and therapeutic implications. PMID 22377698</w:t>
      </w:r>
    </w:p>
    <w:p>
      <w:pPr>
        <w:numPr>
          <w:ilvl w:val="0"/>
          <w:numId w:val="1418"/>
        </w:numPr>
        <w:pStyle w:val="Compact"/>
      </w:pPr>
      <w:r>
        <w:t xml:space="preserve">2011 · George JT ·</w:t>
      </w:r>
      <w:r>
        <w:t xml:space="preserve"> </w:t>
      </w:r>
      <w:r>
        <w:rPr>
          <w:iCs/>
          <w:i/>
        </w:rPr>
        <w:t xml:space="preserve">J Clin Endocrinol Metab</w:t>
      </w:r>
      <w:r>
        <w:t xml:space="preserve"> </w:t>
      </w:r>
      <w:r>
        <w:t xml:space="preserve">· Kisspeptin-10 is a potent stimulator of LH and increases pulse frequency in men. PMID 21632807</w:t>
      </w:r>
    </w:p>
    <w:p>
      <w:pPr>
        <w:numPr>
          <w:ilvl w:val="0"/>
          <w:numId w:val="1418"/>
        </w:numPr>
        <w:pStyle w:val="Compact"/>
      </w:pPr>
      <w:r>
        <w:t xml:space="preserve">2010 · Jayasena CN ·</w:t>
      </w:r>
      <w:r>
        <w:t xml:space="preserve"> </w:t>
      </w:r>
      <w:r>
        <w:rPr>
          <w:iCs/>
          <w:i/>
        </w:rPr>
        <w:t xml:space="preserve">Clin Pharmacol Ther</w:t>
      </w:r>
      <w:r>
        <w:t xml:space="preserve"> </w:t>
      </w:r>
      <w:r>
        <w:t xml:space="preserve">· Twice-weekly administration of kisspeptin-54 for 8 weeks stimulates release of reproductive hormones in women with hypothalamic amenorrhea. PMID 20980998</w:t>
      </w:r>
    </w:p>
    <w:p>
      <w:pPr>
        <w:numPr>
          <w:ilvl w:val="0"/>
          <w:numId w:val="1418"/>
        </w:numPr>
        <w:pStyle w:val="Compact"/>
      </w:pPr>
      <w:r>
        <w:t xml:space="preserve">2009 · Jayasena CN ·</w:t>
      </w:r>
      <w:r>
        <w:t xml:space="preserve"> </w:t>
      </w:r>
      <w:r>
        <w:rPr>
          <w:iCs/>
          <w:i/>
        </w:rPr>
        <w:t xml:space="preserve">J Clin Endocrinol Metab</w:t>
      </w:r>
      <w:r>
        <w:t xml:space="preserve"> </w:t>
      </w:r>
      <w:r>
        <w:t xml:space="preserve">· Subcutaneous injection of kisspeptin-54 acutely stimulates gonadotropin secretion in women with hypothalamic amenorrhea, but chronic administration causes tachyphylaxis. PMID 19820030</w:t>
      </w:r>
    </w:p>
    <w:p>
      <w:pPr>
        <w:numPr>
          <w:ilvl w:val="0"/>
          <w:numId w:val="1418"/>
        </w:numPr>
        <w:pStyle w:val="Compact"/>
      </w:pPr>
      <w:r>
        <w:t xml:space="preserve">2007 · Dhillo WS ·</w:t>
      </w:r>
      <w:r>
        <w:t xml:space="preserve"> </w:t>
      </w:r>
      <w:r>
        <w:rPr>
          <w:iCs/>
          <w:i/>
        </w:rPr>
        <w:t xml:space="preserve">J Clin Endocrinol Metab</w:t>
      </w:r>
      <w:r>
        <w:t xml:space="preserve"> </w:t>
      </w:r>
      <w:r>
        <w:t xml:space="preserve">· Kisspeptin-54 stimulates gonadotropin release most potently during the preovulatory phase of the menstrual cycle in women. PMID 17635940</w:t>
      </w:r>
    </w:p>
    <w:p>
      <w:pPr>
        <w:numPr>
          <w:ilvl w:val="0"/>
          <w:numId w:val="1418"/>
        </w:numPr>
        <w:pStyle w:val="Compact"/>
      </w:pPr>
      <w:r>
        <w:t xml:space="preserve">2005 · Dhillo WS ·</w:t>
      </w:r>
      <w:r>
        <w:t xml:space="preserve"> </w:t>
      </w:r>
      <w:r>
        <w:rPr>
          <w:iCs/>
          <w:i/>
        </w:rPr>
        <w:t xml:space="preserve">J Clin Endocrinol Metab</w:t>
      </w:r>
      <w:r>
        <w:t xml:space="preserve"> </w:t>
      </w:r>
      <w:r>
        <w:t xml:space="preserve">· Kisspeptin-54 stimulates the hypothalamic-pituitary gonadal axis in human males. PMID 16174713</w:t>
      </w:r>
    </w:p>
    <w:bookmarkEnd w:id="1165"/>
    <w:bookmarkStart w:id="1166" w:name="oxitocina-espray-nasal-349"/>
    <w:p>
      <w:pPr>
        <w:pStyle w:val="Heading2"/>
      </w:pPr>
      <w:r>
        <w:t xml:space="preserve">Oxitocina (espray nasal) (349)</w:t>
      </w:r>
    </w:p>
    <w:p>
      <w:pPr>
        <w:numPr>
          <w:ilvl w:val="0"/>
          <w:numId w:val="1419"/>
        </w:numPr>
        <w:pStyle w:val="Compact"/>
      </w:pPr>
      <w:r>
        <w:t xml:space="preserve">2026 · van der Straaten M ·</w:t>
      </w:r>
      <w:r>
        <w:t xml:space="preserve"> </w:t>
      </w:r>
      <w:r>
        <w:rPr>
          <w:iCs/>
          <w:i/>
        </w:rPr>
        <w:t xml:space="preserve">Womens Health (Lond)</w:t>
      </w:r>
      <w:r>
        <w:t xml:space="preserve"> </w:t>
      </w:r>
      <w:r>
        <w:t xml:space="preserve">· Oxytocin selectively enhances the recognition of infant sadness in postpartum depression. PMID 42904460</w:t>
      </w:r>
    </w:p>
    <w:p>
      <w:pPr>
        <w:numPr>
          <w:ilvl w:val="0"/>
          <w:numId w:val="1419"/>
        </w:numPr>
        <w:pStyle w:val="Compact"/>
      </w:pPr>
      <w:r>
        <w:t xml:space="preserve">2026 · Tiouririne NA ·</w:t>
      </w:r>
      <w:r>
        <w:t xml:space="preserve"> </w:t>
      </w:r>
      <w:r>
        <w:rPr>
          <w:iCs/>
          <w:i/>
        </w:rPr>
        <w:t xml:space="preserve">Alcohol Clin Exp Res (Hoboken)</w:t>
      </w:r>
      <w:r>
        <w:t xml:space="preserve"> </w:t>
      </w:r>
      <w:r>
        <w:t xml:space="preserve">· Intranasal Oxytocin for Alcohol Use Disorder: A Randomized, Double-Blind, Placebo-Controlled Multisite Trial Assessing Efficacy and Safety. PMID 42458234</w:t>
      </w:r>
    </w:p>
    <w:p>
      <w:pPr>
        <w:numPr>
          <w:ilvl w:val="0"/>
          <w:numId w:val="1419"/>
        </w:numPr>
        <w:pStyle w:val="Compact"/>
      </w:pPr>
      <w:r>
        <w:t xml:space="preserve">2026 · Arqueros M ·</w:t>
      </w:r>
      <w:r>
        <w:t xml:space="preserve"> </w:t>
      </w:r>
      <w:r>
        <w:rPr>
          <w:iCs/>
          <w:i/>
        </w:rPr>
        <w:t xml:space="preserve">Psychiatry Res</w:t>
      </w:r>
      <w:r>
        <w:t xml:space="preserve"> </w:t>
      </w:r>
      <w:r>
        <w:t xml:space="preserve">· Promoting self-compassion meditation with intranasal oxytocin in borderline personality disorder: a pilot study. PMID 42372695</w:t>
      </w:r>
    </w:p>
    <w:p>
      <w:pPr>
        <w:numPr>
          <w:ilvl w:val="0"/>
          <w:numId w:val="1419"/>
        </w:numPr>
        <w:pStyle w:val="Compact"/>
      </w:pPr>
      <w:r>
        <w:t xml:space="preserve">2026 · Silva JU ·</w:t>
      </w:r>
      <w:r>
        <w:t xml:space="preserve"> </w:t>
      </w:r>
      <w:r>
        <w:rPr>
          <w:iCs/>
          <w:i/>
        </w:rPr>
        <w:t xml:space="preserve">Neuropeptides</w:t>
      </w:r>
      <w:r>
        <w:t xml:space="preserve"> </w:t>
      </w:r>
      <w:r>
        <w:t xml:space="preserve">· Effects of intranasal oxytocin on fear, pain and aversive memory. PMID 42066687</w:t>
      </w:r>
    </w:p>
    <w:p>
      <w:pPr>
        <w:numPr>
          <w:ilvl w:val="0"/>
          <w:numId w:val="1419"/>
        </w:numPr>
        <w:pStyle w:val="Compact"/>
      </w:pPr>
      <w:r>
        <w:t xml:space="preserve">2026 · Riem MME ·</w:t>
      </w:r>
      <w:r>
        <w:t xml:space="preserve"> </w:t>
      </w:r>
      <w:r>
        <w:rPr>
          <w:iCs/>
          <w:i/>
        </w:rPr>
        <w:t xml:space="preserve">Ned Tijdschr Geneeskd</w:t>
      </w:r>
      <w:r>
        <w:t xml:space="preserve"> </w:t>
      </w:r>
      <w:r>
        <w:t xml:space="preserve">· [Boosting oxytocin in postpartum depression]. PMID 41989096</w:t>
      </w:r>
    </w:p>
    <w:p>
      <w:pPr>
        <w:numPr>
          <w:ilvl w:val="0"/>
          <w:numId w:val="1419"/>
        </w:numPr>
        <w:pStyle w:val="Compact"/>
      </w:pPr>
      <w:r>
        <w:t xml:space="preserve">2026 · Galbiati F ·</w:t>
      </w:r>
      <w:r>
        <w:t xml:space="preserve"> </w:t>
      </w:r>
      <w:r>
        <w:rPr>
          <w:iCs/>
          <w:i/>
        </w:rPr>
        <w:t xml:space="preserve">Int J Obes (Lond)</w:t>
      </w:r>
      <w:r>
        <w:t xml:space="preserve"> </w:t>
      </w:r>
      <w:r>
        <w:t xml:space="preserve">· Reproductive hormone stability with prolonged intranasal oxytocin in adults with obesity. PMID 41951782</w:t>
      </w:r>
    </w:p>
    <w:p>
      <w:pPr>
        <w:numPr>
          <w:ilvl w:val="0"/>
          <w:numId w:val="1419"/>
        </w:numPr>
        <w:pStyle w:val="Compact"/>
      </w:pPr>
      <w:r>
        <w:t xml:space="preserve">2026 · Kiss O ·</w:t>
      </w:r>
      <w:r>
        <w:t xml:space="preserve"> </w:t>
      </w:r>
      <w:r>
        <w:rPr>
          <w:iCs/>
          <w:i/>
        </w:rPr>
        <w:t xml:space="preserve">Psychol Res</w:t>
      </w:r>
      <w:r>
        <w:t xml:space="preserve"> </w:t>
      </w:r>
      <w:r>
        <w:t xml:space="preserve">· The impact of intranasal oxytocin administration and social observation on time perception and task execution in a simple motor task. PMID 41944895</w:t>
      </w:r>
    </w:p>
    <w:p>
      <w:pPr>
        <w:numPr>
          <w:ilvl w:val="0"/>
          <w:numId w:val="1419"/>
        </w:numPr>
        <w:pStyle w:val="Compact"/>
      </w:pPr>
      <w:r>
        <w:t xml:space="preserve">2026 · Margaux E ·</w:t>
      </w:r>
      <w:r>
        <w:t xml:space="preserve"> </w:t>
      </w:r>
      <w:r>
        <w:rPr>
          <w:iCs/>
          <w:i/>
        </w:rPr>
        <w:t xml:space="preserve">Brain Behav Immun</w:t>
      </w:r>
      <w:r>
        <w:t xml:space="preserve"> </w:t>
      </w:r>
      <w:r>
        <w:t xml:space="preserve">· A pilot study on the role of the oxytocinergic system in gut microbiome composition in children with autism: baseline associations and effects of intranasal oxytocin. PMID 41941984</w:t>
      </w:r>
    </w:p>
    <w:p>
      <w:pPr>
        <w:numPr>
          <w:ilvl w:val="0"/>
          <w:numId w:val="1419"/>
        </w:numPr>
        <w:pStyle w:val="Compact"/>
      </w:pPr>
      <w:r>
        <w:t xml:space="preserve">2026 · Evenepoel M ·</w:t>
      </w:r>
      <w:r>
        <w:t xml:space="preserve"> </w:t>
      </w:r>
      <w:r>
        <w:rPr>
          <w:iCs/>
          <w:i/>
        </w:rPr>
        <w:t xml:space="preserve">Transl Psychiatry</w:t>
      </w:r>
      <w:r>
        <w:t xml:space="preserve"> </w:t>
      </w:r>
      <w:r>
        <w:t xml:space="preserve">· The role of the oxytocinergic system in oral microbiome composition in children with autism: evidence from a randomized controlled trial of intranasal oxytocin. PMID 41876480</w:t>
      </w:r>
    </w:p>
    <w:p>
      <w:pPr>
        <w:numPr>
          <w:ilvl w:val="0"/>
          <w:numId w:val="1419"/>
        </w:numPr>
        <w:pStyle w:val="Compact"/>
      </w:pPr>
      <w:r>
        <w:t xml:space="preserve">2026 · Breithaupt L ·</w:t>
      </w:r>
      <w:r>
        <w:t xml:space="preserve"> </w:t>
      </w:r>
      <w:r>
        <w:rPr>
          <w:iCs/>
          <w:i/>
        </w:rPr>
        <w:t xml:space="preserve">Endocrine</w:t>
      </w:r>
      <w:r>
        <w:t xml:space="preserve"> </w:t>
      </w:r>
      <w:r>
        <w:t xml:space="preserve">· Identification of intranasal oxytocin plasma proteome signatures. PMID 41806102</w:t>
      </w:r>
    </w:p>
    <w:p>
      <w:pPr>
        <w:numPr>
          <w:ilvl w:val="0"/>
          <w:numId w:val="1419"/>
        </w:numPr>
        <w:pStyle w:val="Compact"/>
      </w:pPr>
      <w:r>
        <w:t xml:space="preserve">2026 · Gether IM ·</w:t>
      </w:r>
      <w:r>
        <w:t xml:space="preserve"> </w:t>
      </w:r>
      <w:r>
        <w:rPr>
          <w:iCs/>
          <w:i/>
        </w:rPr>
        <w:t xml:space="preserve">Diabetes Obes Metab</w:t>
      </w:r>
      <w:r>
        <w:t xml:space="preserve"> </w:t>
      </w:r>
      <w:r>
        <w:t xml:space="preserve">· Intravenous Oxytocin Has no Effect on Ad Libitum Food Intake or Postprandial Plasma Glucose Concentrations in Individuals With Obesity: A Randomised, Placebo-Controlled, Double-Blind, Crossover Study. PMID 41804830</w:t>
      </w:r>
    </w:p>
    <w:p>
      <w:pPr>
        <w:numPr>
          <w:ilvl w:val="0"/>
          <w:numId w:val="1419"/>
        </w:numPr>
        <w:pStyle w:val="Compact"/>
      </w:pPr>
      <w:r>
        <w:t xml:space="preserve">2026 · Wang Y ·</w:t>
      </w:r>
      <w:r>
        <w:t xml:space="preserve"> </w:t>
      </w:r>
      <w:r>
        <w:rPr>
          <w:iCs/>
          <w:i/>
        </w:rPr>
        <w:t xml:space="preserve">Brain Imaging Behav</w:t>
      </w:r>
      <w:r>
        <w:t xml:space="preserve"> </w:t>
      </w:r>
      <w:r>
        <w:t xml:space="preserve">· The effect of intranasal oxytocin on the neuropsychological substrates of intergroup categorization. PMID 41779290</w:t>
      </w:r>
    </w:p>
    <w:p>
      <w:pPr>
        <w:numPr>
          <w:ilvl w:val="0"/>
          <w:numId w:val="1419"/>
        </w:numPr>
        <w:pStyle w:val="Compact"/>
      </w:pPr>
      <w:r>
        <w:t xml:space="preserve">2026 · Mendonça TP ·</w:t>
      </w:r>
      <w:r>
        <w:t xml:space="preserve"> </w:t>
      </w:r>
      <w:r>
        <w:rPr>
          <w:iCs/>
          <w:i/>
        </w:rPr>
        <w:t xml:space="preserve">Eur J Appl Physiol</w:t>
      </w:r>
      <w:r>
        <w:t xml:space="preserve"> </w:t>
      </w:r>
      <w:r>
        <w:t xml:space="preserve">· Effects of intranasal oxytocin combined with resistance training on testosterone, cortisol, fatigue, and skin temperature in paralympic powerlifting athletes. PMID 41711901</w:t>
      </w:r>
    </w:p>
    <w:p>
      <w:pPr>
        <w:numPr>
          <w:ilvl w:val="0"/>
          <w:numId w:val="1419"/>
        </w:numPr>
        <w:pStyle w:val="Compact"/>
      </w:pPr>
      <w:r>
        <w:t xml:space="preserve">2026 · Liu W ·</w:t>
      </w:r>
      <w:r>
        <w:t xml:space="preserve"> </w:t>
      </w:r>
      <w:r>
        <w:rPr>
          <w:iCs/>
          <w:i/>
        </w:rPr>
        <w:t xml:space="preserve">Proc Natl Acad Sci U S A</w:t>
      </w:r>
      <w:r>
        <w:t xml:space="preserve"> </w:t>
      </w:r>
      <w:r>
        <w:t xml:space="preserve">· Post-encoding administration of oxytocin selectively enhances memory consolidation of male faces in females. PMID 41557801</w:t>
      </w:r>
    </w:p>
    <w:p>
      <w:pPr>
        <w:numPr>
          <w:ilvl w:val="0"/>
          <w:numId w:val="1419"/>
        </w:numPr>
        <w:pStyle w:val="Compact"/>
      </w:pPr>
      <w:r>
        <w:t xml:space="preserve">2026 · Boulton KA ·</w:t>
      </w:r>
      <w:r>
        <w:t xml:space="preserve"> </w:t>
      </w:r>
      <w:r>
        <w:rPr>
          <w:iCs/>
          <w:i/>
        </w:rPr>
        <w:t xml:space="preserve">J Child Psychol Psychiatry</w:t>
      </w:r>
      <w:r>
        <w:t xml:space="preserve"> </w:t>
      </w:r>
      <w:r>
        <w:t xml:space="preserve">· Evaluating placebo responses to intranasal oxytocin in autism: findings from the placebo lead-in phase of a randomised controlled trial. PMID 41550040</w:t>
      </w:r>
    </w:p>
    <w:p>
      <w:pPr>
        <w:numPr>
          <w:ilvl w:val="0"/>
          <w:numId w:val="1419"/>
        </w:numPr>
        <w:pStyle w:val="Compact"/>
      </w:pPr>
      <w:r>
        <w:t xml:space="preserve">2026 · Prinsen J ·</w:t>
      </w:r>
      <w:r>
        <w:t xml:space="preserve"> </w:t>
      </w:r>
      <w:r>
        <w:rPr>
          <w:iCs/>
          <w:i/>
        </w:rPr>
        <w:t xml:space="preserve">Psychoneuroendocrinology</w:t>
      </w:r>
      <w:r>
        <w:t xml:space="preserve"> </w:t>
      </w:r>
      <w:r>
        <w:t xml:space="preserve">· Impact of chronic oxytocin on gaze and pupil dynamics during live dyadic interactions in children with autism. PMID 41547341</w:t>
      </w:r>
    </w:p>
    <w:p>
      <w:pPr>
        <w:numPr>
          <w:ilvl w:val="0"/>
          <w:numId w:val="1419"/>
        </w:numPr>
        <w:pStyle w:val="Compact"/>
      </w:pPr>
      <w:r>
        <w:t xml:space="preserve">2026 · Song D ·</w:t>
      </w:r>
      <w:r>
        <w:t xml:space="preserve"> </w:t>
      </w:r>
      <w:r>
        <w:rPr>
          <w:iCs/>
          <w:i/>
        </w:rPr>
        <w:t xml:space="preserve">Behav Brain Res</w:t>
      </w:r>
      <w:r>
        <w:t xml:space="preserve"> </w:t>
      </w:r>
      <w:r>
        <w:t xml:space="preserve">· Age-dependent effects of intranasal oxytocin administration were revealed by resting brain entropy (BEN). PMID 41360155</w:t>
      </w:r>
    </w:p>
    <w:p>
      <w:pPr>
        <w:numPr>
          <w:ilvl w:val="0"/>
          <w:numId w:val="1419"/>
        </w:numPr>
        <w:pStyle w:val="Compact"/>
      </w:pPr>
      <w:r>
        <w:t xml:space="preserve">2026 · Schneider E ·</w:t>
      </w:r>
      <w:r>
        <w:t xml:space="preserve"> </w:t>
      </w:r>
      <w:r>
        <w:rPr>
          <w:iCs/>
          <w:i/>
        </w:rPr>
        <w:t xml:space="preserve">JAMA Psychiatry</w:t>
      </w:r>
      <w:r>
        <w:t xml:space="preserve"> </w:t>
      </w:r>
      <w:r>
        <w:t xml:space="preserve">· Intranasal Oxytocin and Physical Intimacy for Dermatological Wound Healing and Neuroendocrine Stress: A Randomized Clinical Trial. PMID 41222549</w:t>
      </w:r>
    </w:p>
    <w:p>
      <w:pPr>
        <w:numPr>
          <w:ilvl w:val="0"/>
          <w:numId w:val="1419"/>
        </w:numPr>
        <w:pStyle w:val="Compact"/>
      </w:pPr>
      <w:r>
        <w:t xml:space="preserve">2026 · Saker T ·</w:t>
      </w:r>
      <w:r>
        <w:t xml:space="preserve"> </w:t>
      </w:r>
      <w:r>
        <w:rPr>
          <w:iCs/>
          <w:i/>
        </w:rPr>
        <w:t xml:space="preserve">J Psychiatr Res</w:t>
      </w:r>
      <w:r>
        <w:t xml:space="preserve"> </w:t>
      </w:r>
      <w:r>
        <w:t xml:space="preserve">· The effect of intranasal oxytocin on theory of mind in children with attention deficit/hyperactive disorder. PMID 41138507</w:t>
      </w:r>
    </w:p>
    <w:p>
      <w:pPr>
        <w:numPr>
          <w:ilvl w:val="0"/>
          <w:numId w:val="1419"/>
        </w:numPr>
        <w:pStyle w:val="Compact"/>
      </w:pPr>
      <w:r>
        <w:t xml:space="preserve">2026 · Nannt J ·</w:t>
      </w:r>
      <w:r>
        <w:t xml:space="preserve"> </w:t>
      </w:r>
      <w:r>
        <w:rPr>
          <w:iCs/>
          <w:i/>
        </w:rPr>
        <w:t xml:space="preserve">Int J Eat Disord</w:t>
      </w:r>
      <w:r>
        <w:t xml:space="preserve"> </w:t>
      </w:r>
      <w:r>
        <w:t xml:space="preserve">· Oxytocin Effects on Food Stimulus Processing and Food Intake in Females With or Without Binge Eating Disorder. PMID 41131747</w:t>
      </w:r>
    </w:p>
    <w:p>
      <w:pPr>
        <w:numPr>
          <w:ilvl w:val="0"/>
          <w:numId w:val="1419"/>
        </w:numPr>
        <w:pStyle w:val="Compact"/>
      </w:pPr>
      <w:r>
        <w:t xml:space="preserve">2025 · Riem MME ·</w:t>
      </w:r>
      <w:r>
        <w:t xml:space="preserve"> </w:t>
      </w:r>
      <w:r>
        <w:rPr>
          <w:iCs/>
          <w:i/>
        </w:rPr>
        <w:t xml:space="preserve">Psychoneuroendocrinology</w:t>
      </w:r>
      <w:r>
        <w:t xml:space="preserve"> </w:t>
      </w:r>
      <w:r>
        <w:t xml:space="preserve">· Boosting oxytocin in postpartum depression: Intranasal oxytocin enhances maternal positive affect and regard for the infant. PMID 40614394</w:t>
      </w:r>
    </w:p>
    <w:p>
      <w:pPr>
        <w:numPr>
          <w:ilvl w:val="0"/>
          <w:numId w:val="1419"/>
        </w:numPr>
        <w:pStyle w:val="Compact"/>
      </w:pPr>
      <w:r>
        <w:t xml:space="preserve">2025 · Cosme G ·</w:t>
      </w:r>
      <w:r>
        <w:t xml:space="preserve"> </w:t>
      </w:r>
      <w:r>
        <w:rPr>
          <w:iCs/>
          <w:i/>
        </w:rPr>
        <w:t xml:space="preserve">Psychoneuroendocrinology</w:t>
      </w:r>
      <w:r>
        <w:t xml:space="preserve"> </w:t>
      </w:r>
      <w:r>
        <w:t xml:space="preserve">· Intranasal oxytocin increases cooperation of heterosexual men with women. PMID 40578004</w:t>
      </w:r>
    </w:p>
    <w:p>
      <w:pPr>
        <w:numPr>
          <w:ilvl w:val="0"/>
          <w:numId w:val="1419"/>
        </w:numPr>
        <w:pStyle w:val="Compact"/>
      </w:pPr>
      <w:r>
        <w:t xml:space="preserve">2025 · Julius NC ·</w:t>
      </w:r>
      <w:r>
        <w:t xml:space="preserve"> </w:t>
      </w:r>
      <w:r>
        <w:rPr>
          <w:iCs/>
          <w:i/>
        </w:rPr>
        <w:t xml:space="preserve">Sci Rep</w:t>
      </w:r>
      <w:r>
        <w:t xml:space="preserve"> </w:t>
      </w:r>
      <w:r>
        <w:t xml:space="preserve">· Nasal dominance potentiates intranasal oxytocin’s anxiolytic effects. PMID 40425808</w:t>
      </w:r>
    </w:p>
    <w:p>
      <w:pPr>
        <w:numPr>
          <w:ilvl w:val="0"/>
          <w:numId w:val="1419"/>
        </w:numPr>
        <w:pStyle w:val="Compact"/>
      </w:pPr>
      <w:r>
        <w:t xml:space="preserve">2025 · Flanagan JC ·</w:t>
      </w:r>
      <w:r>
        <w:t xml:space="preserve"> </w:t>
      </w:r>
      <w:r>
        <w:rPr>
          <w:iCs/>
          <w:i/>
        </w:rPr>
        <w:t xml:space="preserve">J Clin Psychiatry</w:t>
      </w:r>
      <w:r>
        <w:t xml:space="preserve"> </w:t>
      </w:r>
      <w:r>
        <w:t xml:space="preserve">· Results of a Randomized Controlled Trial Examining the Efficacy of Intranasal Oxytocin to Enhance Alcohol Behavioral Couple Therapy. PMID 40392716</w:t>
      </w:r>
    </w:p>
    <w:p>
      <w:pPr>
        <w:numPr>
          <w:ilvl w:val="0"/>
          <w:numId w:val="1419"/>
        </w:numPr>
        <w:pStyle w:val="Compact"/>
      </w:pPr>
      <w:r>
        <w:t xml:space="preserve">2025 · Aulinas A ·</w:t>
      </w:r>
      <w:r>
        <w:t xml:space="preserve"> </w:t>
      </w:r>
      <w:r>
        <w:rPr>
          <w:iCs/>
          <w:i/>
        </w:rPr>
        <w:t xml:space="preserve">J Clin Endocrinol Metab</w:t>
      </w:r>
      <w:r>
        <w:t xml:space="preserve"> </w:t>
      </w:r>
      <w:r>
        <w:t xml:space="preserve">· Arginine-Vasopressin Dynamics in Relation to Food Intake and 8-Week Intranasal Oxytocin Treatment in Adults With Obesity. PMID 40314146</w:t>
      </w:r>
    </w:p>
    <w:p>
      <w:pPr>
        <w:numPr>
          <w:ilvl w:val="0"/>
          <w:numId w:val="1419"/>
        </w:numPr>
        <w:pStyle w:val="Compact"/>
      </w:pPr>
      <w:r>
        <w:t xml:space="preserve">2025 · Vetter S ·</w:t>
      </w:r>
      <w:r>
        <w:t xml:space="preserve"> </w:t>
      </w:r>
      <w:r>
        <w:rPr>
          <w:iCs/>
          <w:i/>
        </w:rPr>
        <w:t xml:space="preserve">Psychopharmacology (Berl)</w:t>
      </w:r>
      <w:r>
        <w:t xml:space="preserve"> </w:t>
      </w:r>
      <w:r>
        <w:t xml:space="preserve">· Intranasal oxytocin blunts amygdala response to negative affective stimuli in males and females with alcohol use disorder: a randomized controlled cross-over trial. PMID 40232386</w:t>
      </w:r>
    </w:p>
    <w:p>
      <w:pPr>
        <w:numPr>
          <w:ilvl w:val="0"/>
          <w:numId w:val="1419"/>
        </w:numPr>
        <w:pStyle w:val="Compact"/>
      </w:pPr>
      <w:r>
        <w:t xml:space="preserve">2025 · O’ Brien S ·</w:t>
      </w:r>
      <w:r>
        <w:t xml:space="preserve"> </w:t>
      </w:r>
      <w:r>
        <w:rPr>
          <w:iCs/>
          <w:i/>
        </w:rPr>
        <w:t xml:space="preserve">Sci Rep</w:t>
      </w:r>
      <w:r>
        <w:t xml:space="preserve"> </w:t>
      </w:r>
      <w:r>
        <w:t xml:space="preserve">· Intranasal oxytocin modulates brain activity during emotional processing in children with treatment resistant conduct problems. PMID 40180973</w:t>
      </w:r>
    </w:p>
    <w:p>
      <w:pPr>
        <w:numPr>
          <w:ilvl w:val="0"/>
          <w:numId w:val="1419"/>
        </w:numPr>
        <w:pStyle w:val="Compact"/>
      </w:pPr>
      <w:r>
        <w:t xml:space="preserve">2025 · Andari E ·</w:t>
      </w:r>
      <w:r>
        <w:t xml:space="preserve"> </w:t>
      </w:r>
      <w:r>
        <w:rPr>
          <w:iCs/>
          <w:i/>
        </w:rPr>
        <w:t xml:space="preserve">Neuropsychopharmacology</w:t>
      </w:r>
      <w:r>
        <w:t xml:space="preserve"> </w:t>
      </w:r>
      <w:r>
        <w:t xml:space="preserve">· Random forest and Shapley Additive exPlanations predict oxytocin targeted effects on brain functional networks involved in salience and sensorimotor processing, in a randomized clinical trial in autism. PMID 40175527</w:t>
      </w:r>
    </w:p>
    <w:p>
      <w:pPr>
        <w:numPr>
          <w:ilvl w:val="0"/>
          <w:numId w:val="1419"/>
        </w:numPr>
        <w:pStyle w:val="Compact"/>
      </w:pPr>
      <w:r>
        <w:t xml:space="preserve">2025 · Shafer SL ·</w:t>
      </w:r>
      <w:r>
        <w:t xml:space="preserve"> </w:t>
      </w:r>
      <w:r>
        <w:rPr>
          <w:iCs/>
          <w:i/>
        </w:rPr>
        <w:t xml:space="preserve">Br J Anaesth</w:t>
      </w:r>
      <w:r>
        <w:t xml:space="preserve"> </w:t>
      </w:r>
      <w:r>
        <w:t xml:space="preserve">· Plasma pharmacokinetics of intravenous and intranasal oxytocin in nonpregnant adults. PMID 40121179</w:t>
      </w:r>
    </w:p>
    <w:p>
      <w:pPr>
        <w:numPr>
          <w:ilvl w:val="0"/>
          <w:numId w:val="1419"/>
        </w:numPr>
        <w:pStyle w:val="Compact"/>
      </w:pPr>
      <w:r>
        <w:t xml:space="preserve">2025 · Liu J ·</w:t>
      </w:r>
      <w:r>
        <w:t xml:space="preserve"> </w:t>
      </w:r>
      <w:r>
        <w:rPr>
          <w:iCs/>
          <w:i/>
        </w:rPr>
        <w:t xml:space="preserve">Psychoneuroendocrinology</w:t>
      </w:r>
      <w:r>
        <w:t xml:space="preserve"> </w:t>
      </w:r>
      <w:r>
        <w:t xml:space="preserve">· The complex role of oxytocin in fear acquisition and generalization. PMID 40073548</w:t>
      </w:r>
    </w:p>
    <w:p>
      <w:pPr>
        <w:numPr>
          <w:ilvl w:val="0"/>
          <w:numId w:val="1419"/>
        </w:numPr>
        <w:pStyle w:val="Compact"/>
      </w:pPr>
      <w:r>
        <w:t xml:space="preserve">2025 · Rosenfeld-Ganzel A ·</w:t>
      </w:r>
      <w:r>
        <w:t xml:space="preserve"> </w:t>
      </w:r>
      <w:r>
        <w:rPr>
          <w:iCs/>
          <w:i/>
        </w:rPr>
        <w:t xml:space="preserve">Biol Psychol</w:t>
      </w:r>
      <w:r>
        <w:t xml:space="preserve"> </w:t>
      </w:r>
      <w:r>
        <w:t xml:space="preserve">· Oxytocin’s role in the interaction between emotion and cognitive control. PMID 39987954</w:t>
      </w:r>
    </w:p>
    <w:p>
      <w:pPr>
        <w:numPr>
          <w:ilvl w:val="0"/>
          <w:numId w:val="1419"/>
        </w:numPr>
        <w:pStyle w:val="Compact"/>
      </w:pPr>
      <w:r>
        <w:t xml:space="preserve">2025 · Verdes A ·</w:t>
      </w:r>
      <w:r>
        <w:t xml:space="preserve"> </w:t>
      </w:r>
      <w:r>
        <w:rPr>
          <w:iCs/>
          <w:i/>
        </w:rPr>
        <w:t xml:space="preserve">J Child Adolesc Psychopharmacol</w:t>
      </w:r>
      <w:r>
        <w:t xml:space="preserve"> </w:t>
      </w:r>
      <w:r>
        <w:t xml:space="preserve">· Predictors of Placebo Response in the Study of Oxytocin in Autism to Improve Reciprocal Social Behaviors. PMID 39970017</w:t>
      </w:r>
    </w:p>
    <w:p>
      <w:pPr>
        <w:numPr>
          <w:ilvl w:val="0"/>
          <w:numId w:val="1419"/>
        </w:numPr>
        <w:pStyle w:val="Compact"/>
      </w:pPr>
      <w:r>
        <w:t xml:space="preserve">2025 · Lindley Baron-Cohen K ·</w:t>
      </w:r>
      <w:r>
        <w:t xml:space="preserve"> </w:t>
      </w:r>
      <w:r>
        <w:rPr>
          <w:iCs/>
          <w:i/>
        </w:rPr>
        <w:t xml:space="preserve">Psychoneuroendocrinology</w:t>
      </w:r>
      <w:r>
        <w:t xml:space="preserve"> </w:t>
      </w:r>
      <w:r>
        <w:t xml:space="preserve">· Intranasal oxytocin increases breast milk oxytocin, but has a reduced effect in depressed mothers: A randomized controlled trial. PMID 39891981</w:t>
      </w:r>
    </w:p>
    <w:p>
      <w:pPr>
        <w:numPr>
          <w:ilvl w:val="0"/>
          <w:numId w:val="1419"/>
        </w:numPr>
        <w:pStyle w:val="Compact"/>
      </w:pPr>
      <w:r>
        <w:t xml:space="preserve">2025 · Burmester V ·</w:t>
      </w:r>
      <w:r>
        <w:t xml:space="preserve"> </w:t>
      </w:r>
      <w:r>
        <w:rPr>
          <w:iCs/>
          <w:i/>
        </w:rPr>
        <w:t xml:space="preserve">Eur Eat Disord Rev</w:t>
      </w:r>
      <w:r>
        <w:t xml:space="preserve"> </w:t>
      </w:r>
      <w:r>
        <w:t xml:space="preserve">· Oxytocin Amplifies Negative Response to Ambiguity in Adolescent Females With and Without Eating Disorders. PMID 39887557</w:t>
      </w:r>
    </w:p>
    <w:p>
      <w:pPr>
        <w:numPr>
          <w:ilvl w:val="0"/>
          <w:numId w:val="1419"/>
        </w:numPr>
        <w:pStyle w:val="Compact"/>
      </w:pPr>
      <w:r>
        <w:t xml:space="preserve">2025 · Coleman KKL ·</w:t>
      </w:r>
      <w:r>
        <w:t xml:space="preserve"> </w:t>
      </w:r>
      <w:r>
        <w:rPr>
          <w:iCs/>
          <w:i/>
        </w:rPr>
        <w:t xml:space="preserve">Lancet Neurol</w:t>
      </w:r>
      <w:r>
        <w:t xml:space="preserve"> </w:t>
      </w:r>
      <w:r>
        <w:t xml:space="preserve">· Intranasal oxytocin for apathy in people with frontotemporal dementia (FOXY): a multicentre, randomised, double-blind, placebo-controlled, adaptive, crossover, phase 2a/2b superiority trial. PMID 39862881</w:t>
      </w:r>
    </w:p>
    <w:p>
      <w:pPr>
        <w:numPr>
          <w:ilvl w:val="0"/>
          <w:numId w:val="1419"/>
        </w:numPr>
        <w:pStyle w:val="Compact"/>
      </w:pPr>
      <w:r>
        <w:t xml:space="preserve">2025 · Thurston MD ·</w:t>
      </w:r>
      <w:r>
        <w:t xml:space="preserve"> </w:t>
      </w:r>
      <w:r>
        <w:rPr>
          <w:iCs/>
          <w:i/>
        </w:rPr>
        <w:t xml:space="preserve">Psychopharmacology (Berl)</w:t>
      </w:r>
      <w:r>
        <w:t xml:space="preserve"> </w:t>
      </w:r>
      <w:r>
        <w:t xml:space="preserve">· Oxytocin differentially modulates reward system responses to social and non-social incentives. PMID 39365438</w:t>
      </w:r>
    </w:p>
    <w:p>
      <w:pPr>
        <w:numPr>
          <w:ilvl w:val="0"/>
          <w:numId w:val="1419"/>
        </w:numPr>
        <w:pStyle w:val="Compact"/>
      </w:pPr>
      <w:r>
        <w:t xml:space="preserve">2025 · Rashidi M ·</w:t>
      </w:r>
      <w:r>
        <w:t xml:space="preserve"> </w:t>
      </w:r>
      <w:r>
        <w:rPr>
          <w:iCs/>
          <w:i/>
        </w:rPr>
        <w:t xml:space="preserve">Neuropsychopharmacology</w:t>
      </w:r>
      <w:r>
        <w:t xml:space="preserve"> </w:t>
      </w:r>
      <w:r>
        <w:t xml:space="preserve">· Effects of intranasal oxytocin on fear extinction learning. PMID 39313675</w:t>
      </w:r>
    </w:p>
    <w:p>
      <w:pPr>
        <w:numPr>
          <w:ilvl w:val="0"/>
          <w:numId w:val="1419"/>
        </w:numPr>
        <w:pStyle w:val="Compact"/>
      </w:pPr>
      <w:r>
        <w:t xml:space="preserve">2024 · Moerkerke M ·</w:t>
      </w:r>
      <w:r>
        <w:t xml:space="preserve"> </w:t>
      </w:r>
      <w:r>
        <w:rPr>
          <w:iCs/>
          <w:i/>
        </w:rPr>
        <w:t xml:space="preserve">Mol Autism</w:t>
      </w:r>
      <w:r>
        <w:t xml:space="preserve"> </w:t>
      </w:r>
      <w:r>
        <w:t xml:space="preserve">· Impact of chronic intranasal oxytocin administration on face expression processing in autistic children: a randomized controlled trial using fMRI. PMID 39709442</w:t>
      </w:r>
    </w:p>
    <w:p>
      <w:pPr>
        <w:numPr>
          <w:ilvl w:val="0"/>
          <w:numId w:val="1419"/>
        </w:numPr>
        <w:pStyle w:val="Compact"/>
      </w:pPr>
      <w:r>
        <w:t xml:space="preserve">2024 · Maoz H ·</w:t>
      </w:r>
      <w:r>
        <w:t xml:space="preserve"> </w:t>
      </w:r>
      <w:r>
        <w:rPr>
          <w:iCs/>
          <w:i/>
        </w:rPr>
        <w:t xml:space="preserve">Psychiatry Res</w:t>
      </w:r>
      <w:r>
        <w:t xml:space="preserve"> </w:t>
      </w:r>
      <w:r>
        <w:t xml:space="preserve">· Sex differences in response to intranasal oxytocin as an adjunctive therapy for patients with severe mental illness. PMID 39579479</w:t>
      </w:r>
    </w:p>
    <w:p>
      <w:pPr>
        <w:numPr>
          <w:ilvl w:val="0"/>
          <w:numId w:val="1419"/>
        </w:numPr>
        <w:pStyle w:val="Compact"/>
      </w:pPr>
      <w:r>
        <w:t xml:space="preserve">2024 · Wang Y ·</w:t>
      </w:r>
      <w:r>
        <w:t xml:space="preserve"> </w:t>
      </w:r>
      <w:r>
        <w:rPr>
          <w:iCs/>
          <w:i/>
        </w:rPr>
        <w:t xml:space="preserve">Neuropharmacology</w:t>
      </w:r>
      <w:r>
        <w:t xml:space="preserve"> </w:t>
      </w:r>
      <w:r>
        <w:t xml:space="preserve">· Oxytocin modulation of explicit pandemic stigma in men with varying social anxiety levels. PMID 39251086</w:t>
      </w:r>
    </w:p>
    <w:p>
      <w:pPr>
        <w:numPr>
          <w:ilvl w:val="0"/>
          <w:numId w:val="1419"/>
        </w:numPr>
        <w:pStyle w:val="Compact"/>
      </w:pPr>
      <w:r>
        <w:t xml:space="preserve">2024 · Liu P ·</w:t>
      </w:r>
      <w:r>
        <w:t xml:space="preserve"> </w:t>
      </w:r>
      <w:r>
        <w:rPr>
          <w:iCs/>
          <w:i/>
        </w:rPr>
        <w:t xml:space="preserve">Neuropharmacology</w:t>
      </w:r>
      <w:r>
        <w:t xml:space="preserve"> </w:t>
      </w:r>
      <w:r>
        <w:t xml:space="preserve">· Effects of four-week intranasal oxytocin administration on large-scale brain networks in older adults. PMID 39182569</w:t>
      </w:r>
    </w:p>
    <w:p>
      <w:pPr>
        <w:numPr>
          <w:ilvl w:val="0"/>
          <w:numId w:val="1419"/>
        </w:numPr>
        <w:pStyle w:val="Compact"/>
      </w:pPr>
      <w:r>
        <w:t xml:space="preserve">2024 · Goll N ·</w:t>
      </w:r>
      <w:r>
        <w:t xml:space="preserve"> </w:t>
      </w:r>
      <w:r>
        <w:rPr>
          <w:iCs/>
          <w:i/>
        </w:rPr>
        <w:t xml:space="preserve">Diabetes Obes Metab</w:t>
      </w:r>
      <w:r>
        <w:t xml:space="preserve"> </w:t>
      </w:r>
      <w:r>
        <w:t xml:space="preserve">· Oxytocin does not acutely improve glucose tolerance in men with type 2 diabetes. PMID 39118203</w:t>
      </w:r>
    </w:p>
    <w:p>
      <w:pPr>
        <w:numPr>
          <w:ilvl w:val="0"/>
          <w:numId w:val="1419"/>
        </w:numPr>
        <w:pStyle w:val="Compact"/>
      </w:pPr>
      <w:r>
        <w:t xml:space="preserve">2024 · Zhou M ·</w:t>
      </w:r>
      <w:r>
        <w:t xml:space="preserve"> </w:t>
      </w:r>
      <w:r>
        <w:rPr>
          <w:iCs/>
          <w:i/>
        </w:rPr>
        <w:t xml:space="preserve">Biol Psychiatry Cogn Neurosci Neuroimaging</w:t>
      </w:r>
      <w:r>
        <w:t xml:space="preserve"> </w:t>
      </w:r>
      <w:r>
        <w:t xml:space="preserve">· Intranasal Oxytocin Improves Interoceptive Accuracy and Heartbeat-Evoked Potentials During a Cardiac Interoceptive Task. PMID 38839034</w:t>
      </w:r>
    </w:p>
    <w:p>
      <w:pPr>
        <w:numPr>
          <w:ilvl w:val="0"/>
          <w:numId w:val="1419"/>
        </w:numPr>
        <w:pStyle w:val="Compact"/>
      </w:pPr>
      <w:r>
        <w:t xml:space="preserve">2024 · Plessow F ·</w:t>
      </w:r>
      <w:r>
        <w:t xml:space="preserve"> </w:t>
      </w:r>
      <w:r>
        <w:rPr>
          <w:iCs/>
          <w:i/>
        </w:rPr>
        <w:t xml:space="preserve">NEJM Evid</w:t>
      </w:r>
      <w:r>
        <w:t xml:space="preserve"> </w:t>
      </w:r>
      <w:r>
        <w:t xml:space="preserve">· Intranasal Oxytocin for Obesity. PMID 38815173</w:t>
      </w:r>
    </w:p>
    <w:p>
      <w:pPr>
        <w:numPr>
          <w:ilvl w:val="0"/>
          <w:numId w:val="1419"/>
        </w:numPr>
        <w:pStyle w:val="Compact"/>
      </w:pPr>
      <w:r>
        <w:t xml:space="preserve">2024 · Berger R ·</w:t>
      </w:r>
      <w:r>
        <w:t xml:space="preserve"> </w:t>
      </w:r>
      <w:r>
        <w:rPr>
          <w:iCs/>
          <w:i/>
        </w:rPr>
        <w:t xml:space="preserve">Psychother Psychosom</w:t>
      </w:r>
      <w:r>
        <w:t xml:space="preserve"> </w:t>
      </w:r>
      <w:r>
        <w:t xml:space="preserve">· Oxytocin-Augmented Modular-Based Group Intervention for Loneliness: A Proof-Of-Concept Randomized Controlled Trial. PMID 38754399</w:t>
      </w:r>
    </w:p>
    <w:p>
      <w:pPr>
        <w:numPr>
          <w:ilvl w:val="0"/>
          <w:numId w:val="1419"/>
        </w:numPr>
        <w:pStyle w:val="Compact"/>
      </w:pPr>
      <w:r>
        <w:t xml:space="preserve">2024 · Tomescu MI ·</w:t>
      </w:r>
      <w:r>
        <w:t xml:space="preserve"> </w:t>
      </w:r>
      <w:r>
        <w:rPr>
          <w:iCs/>
          <w:i/>
        </w:rPr>
        <w:t xml:space="preserve">Psychophysiology</w:t>
      </w:r>
      <w:r>
        <w:t xml:space="preserve"> </w:t>
      </w:r>
      <w:r>
        <w:t xml:space="preserve">· Social functioning predicts individual changes in EEG microstates following intranasal oxytocin administration: A double-blind, cross-over randomized clinical trial. PMID 38594888</w:t>
      </w:r>
    </w:p>
    <w:p>
      <w:pPr>
        <w:numPr>
          <w:ilvl w:val="0"/>
          <w:numId w:val="1419"/>
        </w:numPr>
        <w:pStyle w:val="Compact"/>
      </w:pPr>
      <w:r>
        <w:t xml:space="preserve">2024 · Flechsenhar A ·</w:t>
      </w:r>
      <w:r>
        <w:t xml:space="preserve"> </w:t>
      </w:r>
      <w:r>
        <w:rPr>
          <w:iCs/>
          <w:i/>
        </w:rPr>
        <w:t xml:space="preserve">Neuropharmacology</w:t>
      </w:r>
      <w:r>
        <w:t xml:space="preserve"> </w:t>
      </w:r>
      <w:r>
        <w:t xml:space="preserve">· Oxytocin and social learning in socially anxious men and women. PMID 38537867</w:t>
      </w:r>
    </w:p>
    <w:p>
      <w:pPr>
        <w:numPr>
          <w:ilvl w:val="0"/>
          <w:numId w:val="1419"/>
        </w:numPr>
        <w:pStyle w:val="Compact"/>
      </w:pPr>
      <w:r>
        <w:t xml:space="preserve">2024 · Maguire S ·</w:t>
      </w:r>
      <w:r>
        <w:t xml:space="preserve"> </w:t>
      </w:r>
      <w:r>
        <w:rPr>
          <w:iCs/>
          <w:i/>
        </w:rPr>
        <w:t xml:space="preserve">Psychoneuroendocrinology</w:t>
      </w:r>
      <w:r>
        <w:t xml:space="preserve"> </w:t>
      </w:r>
      <w:r>
        <w:t xml:space="preserve">· A phase II randomised controlled trial of intranasal oxytocin in anorexia nervosa. PMID 38520886</w:t>
      </w:r>
    </w:p>
    <w:p>
      <w:pPr>
        <w:numPr>
          <w:ilvl w:val="0"/>
          <w:numId w:val="1419"/>
        </w:numPr>
        <w:pStyle w:val="Compact"/>
      </w:pPr>
      <w:r>
        <w:t xml:space="preserve">2024 · Shoenfelt A ·</w:t>
      </w:r>
      <w:r>
        <w:t xml:space="preserve"> </w:t>
      </w:r>
      <w:r>
        <w:rPr>
          <w:iCs/>
          <w:i/>
        </w:rPr>
        <w:t xml:space="preserve">Psychoneuroendocrinology</w:t>
      </w:r>
      <w:r>
        <w:t xml:space="preserve"> </w:t>
      </w:r>
      <w:r>
        <w:t xml:space="preserve">· Effects of chronic intranasal oxytocin on visual attention to faces vs. natural scenes in older adults. PMID 38461634</w:t>
      </w:r>
    </w:p>
    <w:p>
      <w:pPr>
        <w:numPr>
          <w:ilvl w:val="0"/>
          <w:numId w:val="1419"/>
        </w:numPr>
        <w:pStyle w:val="Compact"/>
      </w:pPr>
      <w:r>
        <w:t xml:space="preserve">2024 · Ellenbogen MA ·</w:t>
      </w:r>
      <w:r>
        <w:t xml:space="preserve"> </w:t>
      </w:r>
      <w:r>
        <w:rPr>
          <w:iCs/>
          <w:i/>
        </w:rPr>
        <w:t xml:space="preserve">Psychol Med</w:t>
      </w:r>
      <w:r>
        <w:t xml:space="preserve"> </w:t>
      </w:r>
      <w:r>
        <w:t xml:space="preserve">· The effects of intranasal oxytocin on the efficacy of psychotherapy for major depressive disorder: a pilot randomized controlled trial. PMID 38445382</w:t>
      </w:r>
    </w:p>
    <w:p>
      <w:pPr>
        <w:numPr>
          <w:ilvl w:val="0"/>
          <w:numId w:val="1419"/>
        </w:numPr>
        <w:pStyle w:val="Compact"/>
      </w:pPr>
      <w:r>
        <w:t xml:space="preserve">2024 · Hwang S ·</w:t>
      </w:r>
      <w:r>
        <w:t xml:space="preserve"> </w:t>
      </w:r>
      <w:r>
        <w:rPr>
          <w:iCs/>
          <w:i/>
        </w:rPr>
        <w:t xml:space="preserve">Am J Psychiatry</w:t>
      </w:r>
      <w:r>
        <w:t xml:space="preserve"> </w:t>
      </w:r>
      <w:r>
        <w:t xml:space="preserve">· Neural Responses to Intranasal Oxytocin in Youths With Severe Irritability. PMID 38419495</w:t>
      </w:r>
    </w:p>
    <w:p>
      <w:pPr>
        <w:numPr>
          <w:ilvl w:val="0"/>
          <w:numId w:val="1419"/>
        </w:numPr>
        <w:pStyle w:val="Compact"/>
      </w:pPr>
      <w:r>
        <w:t xml:space="preserve">2024 · Moses E ·</w:t>
      </w:r>
      <w:r>
        <w:t xml:space="preserve"> </w:t>
      </w:r>
      <w:r>
        <w:rPr>
          <w:iCs/>
          <w:i/>
        </w:rPr>
        <w:t xml:space="preserve">Soc Cogn Affect Neurosci</w:t>
      </w:r>
      <w:r>
        <w:t xml:space="preserve"> </w:t>
      </w:r>
      <w:r>
        <w:t xml:space="preserve">· Oxytocin differentially modulates the early neural responses to faces and non-social stimuli. PMID 38372627</w:t>
      </w:r>
    </w:p>
    <w:p>
      <w:pPr>
        <w:numPr>
          <w:ilvl w:val="0"/>
          <w:numId w:val="1419"/>
        </w:numPr>
        <w:pStyle w:val="Compact"/>
      </w:pPr>
      <w:r>
        <w:t xml:space="preserve">2024 · İmamoğlu A ·</w:t>
      </w:r>
      <w:r>
        <w:t xml:space="preserve"> </w:t>
      </w:r>
      <w:r>
        <w:rPr>
          <w:iCs/>
          <w:i/>
        </w:rPr>
        <w:t xml:space="preserve">J Psychiatr Res</w:t>
      </w:r>
      <w:r>
        <w:t xml:space="preserve"> </w:t>
      </w:r>
      <w:r>
        <w:t xml:space="preserve">· The effect of intranasal oxytocin on neurocognition in people with schizophrenia: A randomized controlled trial. PMID 38262165</w:t>
      </w:r>
    </w:p>
    <w:p>
      <w:pPr>
        <w:numPr>
          <w:ilvl w:val="0"/>
          <w:numId w:val="1419"/>
        </w:numPr>
        <w:pStyle w:val="Compact"/>
      </w:pPr>
      <w:r>
        <w:t xml:space="preserve">2024 · Davies C ·</w:t>
      </w:r>
      <w:r>
        <w:t xml:space="preserve"> </w:t>
      </w:r>
      <w:r>
        <w:rPr>
          <w:iCs/>
          <w:i/>
        </w:rPr>
        <w:t xml:space="preserve">Mol Psychiatry</w:t>
      </w:r>
      <w:r>
        <w:t xml:space="preserve"> </w:t>
      </w:r>
      <w:r>
        <w:t xml:space="preserve">· Connectome dysfunction in patients at clinical high risk for psychosis and modulation by oxytocin. PMID 38243074</w:t>
      </w:r>
    </w:p>
    <w:p>
      <w:pPr>
        <w:numPr>
          <w:ilvl w:val="0"/>
          <w:numId w:val="1419"/>
        </w:numPr>
        <w:pStyle w:val="Compact"/>
      </w:pPr>
      <w:r>
        <w:t xml:space="preserve">2024 · Pongrácz P ·</w:t>
      </w:r>
      <w:r>
        <w:t xml:space="preserve"> </w:t>
      </w:r>
      <w:r>
        <w:rPr>
          <w:iCs/>
          <w:i/>
        </w:rPr>
        <w:t xml:space="preserve">BMC Ecol Evol</w:t>
      </w:r>
      <w:r>
        <w:t xml:space="preserve"> </w:t>
      </w:r>
      <w:r>
        <w:t xml:space="preserve">· Alarm or emotion? intranasal oxytocin helps determine information conveyed by dog barks for adult male human listeners. PMID 38221611</w:t>
      </w:r>
    </w:p>
    <w:p>
      <w:pPr>
        <w:numPr>
          <w:ilvl w:val="0"/>
          <w:numId w:val="1419"/>
        </w:numPr>
        <w:pStyle w:val="Compact"/>
      </w:pPr>
      <w:r>
        <w:t xml:space="preserve">2024 · Moerkerke M ·</w:t>
      </w:r>
      <w:r>
        <w:t xml:space="preserve"> </w:t>
      </w:r>
      <w:r>
        <w:rPr>
          <w:iCs/>
          <w:i/>
        </w:rPr>
        <w:t xml:space="preserve">Nat Commun</w:t>
      </w:r>
      <w:r>
        <w:t xml:space="preserve"> </w:t>
      </w:r>
      <w:r>
        <w:t xml:space="preserve">· Chronic oxytocin administration stimulates the oxytocinergic system in children with autism. PMID 38167302</w:t>
      </w:r>
    </w:p>
    <w:p>
      <w:pPr>
        <w:numPr>
          <w:ilvl w:val="0"/>
          <w:numId w:val="1419"/>
        </w:numPr>
        <w:pStyle w:val="Compact"/>
      </w:pPr>
      <w:r>
        <w:t xml:space="preserve">2024 · Maoz H ·</w:t>
      </w:r>
      <w:r>
        <w:t xml:space="preserve"> </w:t>
      </w:r>
      <w:r>
        <w:rPr>
          <w:iCs/>
          <w:i/>
        </w:rPr>
        <w:t xml:space="preserve">J Affect Disord</w:t>
      </w:r>
      <w:r>
        <w:t xml:space="preserve"> </w:t>
      </w:r>
      <w:r>
        <w:t xml:space="preserve">· Intranasal oxytocin as an adjunct treatment among patients with severe major depression with and without comorbid borderline personality disorder. PMID 37992767</w:t>
      </w:r>
    </w:p>
    <w:p>
      <w:pPr>
        <w:numPr>
          <w:ilvl w:val="0"/>
          <w:numId w:val="1419"/>
        </w:numPr>
        <w:pStyle w:val="Compact"/>
      </w:pPr>
      <w:r>
        <w:t xml:space="preserve">2024 · Xiao S ·</w:t>
      </w:r>
      <w:r>
        <w:t xml:space="preserve"> </w:t>
      </w:r>
      <w:r>
        <w:rPr>
          <w:iCs/>
          <w:i/>
        </w:rPr>
        <w:t xml:space="preserve">Psychoneuroendocrinology</w:t>
      </w:r>
      <w:r>
        <w:t xml:space="preserve"> </w:t>
      </w:r>
      <w:r>
        <w:t xml:space="preserve">· Age-dependent effects of oxytocin in brain regions enriched with oxytocin receptors. PMID 37951085</w:t>
      </w:r>
    </w:p>
    <w:p>
      <w:pPr>
        <w:numPr>
          <w:ilvl w:val="0"/>
          <w:numId w:val="1419"/>
        </w:numPr>
        <w:pStyle w:val="Compact"/>
      </w:pPr>
      <w:r>
        <w:t xml:space="preserve">2023 · Alaerts K ·</w:t>
      </w:r>
      <w:r>
        <w:t xml:space="preserve"> </w:t>
      </w:r>
      <w:r>
        <w:rPr>
          <w:iCs/>
          <w:i/>
        </w:rPr>
        <w:t xml:space="preserve">Psychother Psychosom</w:t>
      </w:r>
      <w:r>
        <w:t xml:space="preserve"> </w:t>
      </w:r>
      <w:r>
        <w:t xml:space="preserve">· At the Head and Heart of Oxytocin’s Stress-Regulatory Neural and Cardiac Effects: A Chronic Administration RCT in Children with Autism. PMID 37820592</w:t>
      </w:r>
    </w:p>
    <w:p>
      <w:pPr>
        <w:numPr>
          <w:ilvl w:val="0"/>
          <w:numId w:val="1419"/>
        </w:numPr>
        <w:pStyle w:val="Compact"/>
      </w:pPr>
      <w:r>
        <w:t xml:space="preserve">2023 · Wright KA ·</w:t>
      </w:r>
      <w:r>
        <w:t xml:space="preserve"> </w:t>
      </w:r>
      <w:r>
        <w:rPr>
          <w:iCs/>
          <w:i/>
        </w:rPr>
        <w:t xml:space="preserve">Horm Behav</w:t>
      </w:r>
      <w:r>
        <w:t xml:space="preserve"> </w:t>
      </w:r>
      <w:r>
        <w:t xml:space="preserve">· Four-week intranasal oxytocin administration reduces attachment avoidance in older women. PMID 37659357</w:t>
      </w:r>
    </w:p>
    <w:p>
      <w:pPr>
        <w:numPr>
          <w:ilvl w:val="0"/>
          <w:numId w:val="1419"/>
        </w:numPr>
        <w:pStyle w:val="Compact"/>
      </w:pPr>
      <w:r>
        <w:t xml:space="preserve">2023 · Vogt C ·</w:t>
      </w:r>
      <w:r>
        <w:t xml:space="preserve"> </w:t>
      </w:r>
      <w:r>
        <w:rPr>
          <w:iCs/>
          <w:i/>
        </w:rPr>
        <w:t xml:space="preserve">Soc Cogn Affect Neurosci</w:t>
      </w:r>
      <w:r>
        <w:t xml:space="preserve"> </w:t>
      </w:r>
      <w:r>
        <w:t xml:space="preserve">· Oxytocinergic modulation of speech production-a double-blind placebo-controlled fMRI study. PMID 37384576</w:t>
      </w:r>
    </w:p>
    <w:p>
      <w:pPr>
        <w:numPr>
          <w:ilvl w:val="0"/>
          <w:numId w:val="1419"/>
        </w:numPr>
        <w:pStyle w:val="Compact"/>
      </w:pPr>
      <w:r>
        <w:t xml:space="preserve">2023 · Lin C ·</w:t>
      </w:r>
      <w:r>
        <w:t xml:space="preserve"> </w:t>
      </w:r>
      <w:r>
        <w:rPr>
          <w:iCs/>
          <w:i/>
        </w:rPr>
        <w:t xml:space="preserve">Physiol Behav</w:t>
      </w:r>
      <w:r>
        <w:t xml:space="preserve"> </w:t>
      </w:r>
      <w:r>
        <w:t xml:space="preserve">· The relationship between oxytocin and empathy for others’ pain: Testing the mediating effect of first-hand pain sensitivity. PMID 37301493</w:t>
      </w:r>
    </w:p>
    <w:p>
      <w:pPr>
        <w:numPr>
          <w:ilvl w:val="0"/>
          <w:numId w:val="1419"/>
        </w:numPr>
        <w:pStyle w:val="Compact"/>
      </w:pPr>
      <w:r>
        <w:t xml:space="preserve">2023 · Moerkerke M ·</w:t>
      </w:r>
      <w:r>
        <w:t xml:space="preserve"> </w:t>
      </w:r>
      <w:r>
        <w:rPr>
          <w:iCs/>
          <w:i/>
        </w:rPr>
        <w:t xml:space="preserve">J Child Psychol Psychiatry</w:t>
      </w:r>
      <w:r>
        <w:t xml:space="preserve"> </w:t>
      </w:r>
      <w:r>
        <w:t xml:space="preserve">· Can repeated intranasal oxytocin administration affect reduced neural sensitivity towards expressive faces in autism? A randomized controlled trial. PMID 37278339</w:t>
      </w:r>
    </w:p>
    <w:p>
      <w:pPr>
        <w:numPr>
          <w:ilvl w:val="0"/>
          <w:numId w:val="1419"/>
        </w:numPr>
        <w:pStyle w:val="Compact"/>
      </w:pPr>
      <w:r>
        <w:t xml:space="preserve">2023 · Chen Y ·</w:t>
      </w:r>
      <w:r>
        <w:t xml:space="preserve"> </w:t>
      </w:r>
      <w:r>
        <w:rPr>
          <w:iCs/>
          <w:i/>
        </w:rPr>
        <w:t xml:space="preserve">Elife</w:t>
      </w:r>
      <w:r>
        <w:t xml:space="preserve"> </w:t>
      </w:r>
      <w:r>
        <w:t xml:space="preserve">· Oxytocin administration enhances pleasantness and neural responses to gentle stroking but not moderate pressure social touch by increasing peripheral concentrations. PMID 37171081</w:t>
      </w:r>
    </w:p>
    <w:p>
      <w:pPr>
        <w:numPr>
          <w:ilvl w:val="0"/>
          <w:numId w:val="1419"/>
        </w:numPr>
        <w:pStyle w:val="Compact"/>
      </w:pPr>
      <w:r>
        <w:t xml:space="preserve">2023 · Daniels N ·</w:t>
      </w:r>
      <w:r>
        <w:t xml:space="preserve"> </w:t>
      </w:r>
      <w:r>
        <w:rPr>
          <w:iCs/>
          <w:i/>
        </w:rPr>
        <w:t xml:space="preserve">Mol Autism</w:t>
      </w:r>
      <w:r>
        <w:t xml:space="preserve"> </w:t>
      </w:r>
      <w:r>
        <w:t xml:space="preserve">· Effects of multiple-dose intranasal oxytocin administration on social responsiveness in children with autism: a randomized, placebo-controlled trial. PMID 37081454</w:t>
      </w:r>
    </w:p>
    <w:p>
      <w:pPr>
        <w:numPr>
          <w:ilvl w:val="0"/>
          <w:numId w:val="1419"/>
        </w:numPr>
        <w:pStyle w:val="Compact"/>
      </w:pPr>
      <w:r>
        <w:t xml:space="preserve">2023 · Cosme G ·</w:t>
      </w:r>
      <w:r>
        <w:t xml:space="preserve"> </w:t>
      </w:r>
      <w:r>
        <w:rPr>
          <w:iCs/>
          <w:i/>
        </w:rPr>
        <w:t xml:space="preserve">J Psychopharmacol</w:t>
      </w:r>
      <w:r>
        <w:t xml:space="preserve"> </w:t>
      </w:r>
      <w:r>
        <w:t xml:space="preserve">· Temporal profile of intranasal oxytocin in the human autonomic nervous system at rest: An electrocardiography and pupillometry study. PMID 36891949</w:t>
      </w:r>
    </w:p>
    <w:p>
      <w:pPr>
        <w:numPr>
          <w:ilvl w:val="0"/>
          <w:numId w:val="1419"/>
        </w:numPr>
        <w:pStyle w:val="Compact"/>
      </w:pPr>
      <w:r>
        <w:t xml:space="preserve">2023 · Jansen M ·</w:t>
      </w:r>
      <w:r>
        <w:t xml:space="preserve"> </w:t>
      </w:r>
      <w:r>
        <w:rPr>
          <w:iCs/>
          <w:i/>
        </w:rPr>
        <w:t xml:space="preserve">Neuroimage</w:t>
      </w:r>
      <w:r>
        <w:t xml:space="preserve"> </w:t>
      </w:r>
      <w:r>
        <w:t xml:space="preserve">· l-DOPA and oxytocin influence the neurocomputational mechanisms of self-benefitting and prosocial reinforcement learning. PMID 36848972</w:t>
      </w:r>
    </w:p>
    <w:p>
      <w:pPr>
        <w:numPr>
          <w:ilvl w:val="0"/>
          <w:numId w:val="1419"/>
        </w:numPr>
        <w:pStyle w:val="Compact"/>
      </w:pPr>
      <w:r>
        <w:t xml:space="preserve">2023 · Maslahati T ·</w:t>
      </w:r>
      <w:r>
        <w:t xml:space="preserve"> </w:t>
      </w:r>
      <w:r>
        <w:rPr>
          <w:iCs/>
          <w:i/>
        </w:rPr>
        <w:t xml:space="preserve">Transl Psychiatry</w:t>
      </w:r>
      <w:r>
        <w:t xml:space="preserve"> </w:t>
      </w:r>
      <w:r>
        <w:t xml:space="preserve">· Oxytocin vs. placebo effects on intrusive memory consolidation using a trauma film paradigm: a randomized, controlled experimental study in healthy women. PMID 36739422</w:t>
      </w:r>
    </w:p>
    <w:p>
      <w:pPr>
        <w:numPr>
          <w:ilvl w:val="0"/>
          <w:numId w:val="1419"/>
        </w:numPr>
        <w:pStyle w:val="Compact"/>
      </w:pPr>
      <w:r>
        <w:t xml:space="preserve">2023 · Vehlen A ·</w:t>
      </w:r>
      <w:r>
        <w:t xml:space="preserve"> </w:t>
      </w:r>
      <w:r>
        <w:rPr>
          <w:iCs/>
          <w:i/>
        </w:rPr>
        <w:t xml:space="preserve">J Psychiatr Res</w:t>
      </w:r>
      <w:r>
        <w:t xml:space="preserve"> </w:t>
      </w:r>
      <w:r>
        <w:t xml:space="preserve">· Reduced eye gaze during facial emotion recognition in chronic depression: Effects of intranasal oxytocin. PMID 36657314</w:t>
      </w:r>
    </w:p>
    <w:p>
      <w:pPr>
        <w:numPr>
          <w:ilvl w:val="0"/>
          <w:numId w:val="1419"/>
        </w:numPr>
        <w:pStyle w:val="Compact"/>
      </w:pPr>
      <w:r>
        <w:t xml:space="preserve">2023 · Grossman-Giron A ·</w:t>
      </w:r>
      <w:r>
        <w:t xml:space="preserve"> </w:t>
      </w:r>
      <w:r>
        <w:rPr>
          <w:iCs/>
          <w:i/>
        </w:rPr>
        <w:t xml:space="preserve">Neuropsychobiology</w:t>
      </w:r>
      <w:r>
        <w:t xml:space="preserve"> </w:t>
      </w:r>
      <w:r>
        <w:t xml:space="preserve">· Intranasal Oxytocin as Add-On Treatment for Inpatients with Severe Mental Illness: A Randomized Clinical Trial. PMID 36603563</w:t>
      </w:r>
    </w:p>
    <w:p>
      <w:pPr>
        <w:numPr>
          <w:ilvl w:val="0"/>
          <w:numId w:val="1419"/>
        </w:numPr>
        <w:pStyle w:val="Compact"/>
      </w:pPr>
      <w:r>
        <w:t xml:space="preserve">2023 · Guastella AJ ·</w:t>
      </w:r>
      <w:r>
        <w:t xml:space="preserve"> </w:t>
      </w:r>
      <w:r>
        <w:rPr>
          <w:iCs/>
          <w:i/>
        </w:rPr>
        <w:t xml:space="preserve">Mol Psychiatry</w:t>
      </w:r>
      <w:r>
        <w:t xml:space="preserve"> </w:t>
      </w:r>
      <w:r>
        <w:t xml:space="preserve">· The effect of oxytocin nasal spray on social interaction in young children with autism: a randomized clinical trial. PMID 36302965</w:t>
      </w:r>
    </w:p>
    <w:p>
      <w:pPr>
        <w:numPr>
          <w:ilvl w:val="0"/>
          <w:numId w:val="1419"/>
        </w:numPr>
        <w:pStyle w:val="Compact"/>
      </w:pPr>
      <w:r>
        <w:t xml:space="preserve">2023 · Seeley SH ·</w:t>
      </w:r>
      <w:r>
        <w:t xml:space="preserve"> </w:t>
      </w:r>
      <w:r>
        <w:rPr>
          <w:iCs/>
          <w:i/>
        </w:rPr>
        <w:t xml:space="preserve">Hum Brain Mapp</w:t>
      </w:r>
      <w:r>
        <w:t xml:space="preserve"> </w:t>
      </w:r>
      <w:r>
        <w:t xml:space="preserve">· Dwelling in prolonged grief: Resting state functional connectivity during oxytocin and placebo administration. PMID 36087094</w:t>
      </w:r>
    </w:p>
    <w:p>
      <w:pPr>
        <w:numPr>
          <w:ilvl w:val="0"/>
          <w:numId w:val="1419"/>
        </w:numPr>
        <w:pStyle w:val="Compact"/>
      </w:pPr>
      <w:r>
        <w:t xml:space="preserve">2023 · Ditzen B ·</w:t>
      </w:r>
      <w:r>
        <w:t xml:space="preserve"> </w:t>
      </w:r>
      <w:r>
        <w:rPr>
          <w:iCs/>
          <w:i/>
        </w:rPr>
        <w:t xml:space="preserve">Brain Behav Immun</w:t>
      </w:r>
      <w:r>
        <w:t xml:space="preserve"> </w:t>
      </w:r>
      <w:r>
        <w:t xml:space="preserve">· Effects of intranasal oxytocin and positive couple interaction on immune factors in skin wounds. PMID 36058418</w:t>
      </w:r>
    </w:p>
    <w:p>
      <w:pPr>
        <w:numPr>
          <w:ilvl w:val="0"/>
          <w:numId w:val="1419"/>
        </w:numPr>
        <w:pStyle w:val="Compact"/>
      </w:pPr>
      <w:r>
        <w:t xml:space="preserve">2022 · Coenjaerts M ·</w:t>
      </w:r>
      <w:r>
        <w:t xml:space="preserve"> </w:t>
      </w:r>
      <w:r>
        <w:rPr>
          <w:iCs/>
          <w:i/>
        </w:rPr>
        <w:t xml:space="preserve">Neuroimage</w:t>
      </w:r>
      <w:r>
        <w:t xml:space="preserve"> </w:t>
      </w:r>
      <w:r>
        <w:t xml:space="preserve">· Exogenous estradiol and oxytocin modulate sex differences in hippocampal reactivity during the encoding of episodic memories. PMID 36349596</w:t>
      </w:r>
    </w:p>
    <w:p>
      <w:pPr>
        <w:numPr>
          <w:ilvl w:val="0"/>
          <w:numId w:val="1419"/>
        </w:numPr>
        <w:pStyle w:val="Compact"/>
      </w:pPr>
      <w:r>
        <w:t xml:space="preserve">2022 · Melby K ·</w:t>
      </w:r>
      <w:r>
        <w:t xml:space="preserve"> </w:t>
      </w:r>
      <w:r>
        <w:rPr>
          <w:iCs/>
          <w:i/>
        </w:rPr>
        <w:t xml:space="preserve">Horm Behav</w:t>
      </w:r>
      <w:r>
        <w:t xml:space="preserve"> </w:t>
      </w:r>
      <w:r>
        <w:t xml:space="preserve">· The effect of intranasal oxytocin on processing emotional stimuli during alcohol withdrawal: A randomized placebo-controlled double-blind clinical trial. PMID 36242831</w:t>
      </w:r>
    </w:p>
    <w:p>
      <w:pPr>
        <w:numPr>
          <w:ilvl w:val="0"/>
          <w:numId w:val="1419"/>
        </w:numPr>
        <w:pStyle w:val="Compact"/>
      </w:pPr>
      <w:r>
        <w:t xml:space="preserve">2022 · Zhuang Q ·</w:t>
      </w:r>
      <w:r>
        <w:t xml:space="preserve"> </w:t>
      </w:r>
      <w:r>
        <w:rPr>
          <w:iCs/>
          <w:i/>
        </w:rPr>
        <w:t xml:space="preserve">Int J Neuropsychopharmacol</w:t>
      </w:r>
      <w:r>
        <w:t xml:space="preserve"> </w:t>
      </w:r>
      <w:r>
        <w:t xml:space="preserve">· Oral Administration of Oxytocin, Like Intranasal Administration, Decreases Top-Down Social Attention. PMID 36053298</w:t>
      </w:r>
    </w:p>
    <w:p>
      <w:pPr>
        <w:numPr>
          <w:ilvl w:val="0"/>
          <w:numId w:val="1419"/>
        </w:numPr>
        <w:pStyle w:val="Compact"/>
      </w:pPr>
      <w:r>
        <w:t xml:space="preserve">2022 · Korann V ·</w:t>
      </w:r>
      <w:r>
        <w:t xml:space="preserve"> </w:t>
      </w:r>
      <w:r>
        <w:rPr>
          <w:iCs/>
          <w:i/>
        </w:rPr>
        <w:t xml:space="preserve">Schizophr Bull</w:t>
      </w:r>
      <w:r>
        <w:t xml:space="preserve"> </w:t>
      </w:r>
      <w:r>
        <w:t xml:space="preserve">· Effect of Intranasal Oxytocin on Resting-state Effective Connectivity in Schizophrenia. PMID 35759349</w:t>
      </w:r>
    </w:p>
    <w:p>
      <w:pPr>
        <w:numPr>
          <w:ilvl w:val="0"/>
          <w:numId w:val="1419"/>
        </w:numPr>
        <w:pStyle w:val="Compact"/>
      </w:pPr>
      <w:r>
        <w:t xml:space="preserve">2022 · Flanagan JC ·</w:t>
      </w:r>
      <w:r>
        <w:t xml:space="preserve"> </w:t>
      </w:r>
      <w:r>
        <w:rPr>
          <w:iCs/>
          <w:i/>
        </w:rPr>
        <w:t xml:space="preserve">J Psychiatr Res</w:t>
      </w:r>
      <w:r>
        <w:t xml:space="preserve"> </w:t>
      </w:r>
      <w:r>
        <w:t xml:space="preserve">· A randomized controlled trial examining the effects of intranasal oxytocin on alcohol craving and intimate partner aggression among couples. PMID 35709548</w:t>
      </w:r>
    </w:p>
    <w:p>
      <w:pPr>
        <w:numPr>
          <w:ilvl w:val="0"/>
          <w:numId w:val="1419"/>
        </w:numPr>
        <w:pStyle w:val="Compact"/>
      </w:pPr>
      <w:r>
        <w:t xml:space="preserve">2022 · Doppler CEJ ·</w:t>
      </w:r>
      <w:r>
        <w:t xml:space="preserve"> </w:t>
      </w:r>
      <w:r>
        <w:rPr>
          <w:iCs/>
          <w:i/>
        </w:rPr>
        <w:t xml:space="preserve">Psychoneuroendocrinology</w:t>
      </w:r>
      <w:r>
        <w:t xml:space="preserve"> </w:t>
      </w:r>
      <w:r>
        <w:t xml:space="preserve">· Intranasal oxytocin attenuates the effects of monetary feedback on procedural learning. PMID 35689985</w:t>
      </w:r>
    </w:p>
    <w:p>
      <w:pPr>
        <w:numPr>
          <w:ilvl w:val="0"/>
          <w:numId w:val="1419"/>
        </w:numPr>
        <w:pStyle w:val="Compact"/>
      </w:pPr>
      <w:r>
        <w:t xml:space="preserve">2022 · Le J ·</w:t>
      </w:r>
      <w:r>
        <w:t xml:space="preserve"> </w:t>
      </w:r>
      <w:r>
        <w:rPr>
          <w:iCs/>
          <w:i/>
        </w:rPr>
        <w:t xml:space="preserve">Psychother Psychosom</w:t>
      </w:r>
      <w:r>
        <w:t xml:space="preserve"> </w:t>
      </w:r>
      <w:r>
        <w:t xml:space="preserve">· Infrequent Intranasal Oxytocin Followed by Positive Social Interaction Improves Symptoms in Autistic Children: A Pilot Randomized Clinical Trial. PMID 35545057</w:t>
      </w:r>
    </w:p>
    <w:p>
      <w:pPr>
        <w:numPr>
          <w:ilvl w:val="0"/>
          <w:numId w:val="1419"/>
        </w:numPr>
        <w:pStyle w:val="Compact"/>
      </w:pPr>
      <w:r>
        <w:t xml:space="preserve">2022 · Doerr JM ·</w:t>
      </w:r>
      <w:r>
        <w:t xml:space="preserve"> </w:t>
      </w:r>
      <w:r>
        <w:rPr>
          <w:iCs/>
          <w:i/>
        </w:rPr>
        <w:t xml:space="preserve">Psychosom Med</w:t>
      </w:r>
      <w:r>
        <w:t xml:space="preserve"> </w:t>
      </w:r>
      <w:r>
        <w:t xml:space="preserve">· The Effect of Intranasal Oxytocin on the Association Between Couple Interaction and Sleep: A Placebo-Controlled Study. PMID 35472193</w:t>
      </w:r>
    </w:p>
    <w:p>
      <w:pPr>
        <w:numPr>
          <w:ilvl w:val="0"/>
          <w:numId w:val="1419"/>
        </w:numPr>
        <w:pStyle w:val="Compact"/>
      </w:pPr>
      <w:r>
        <w:t xml:space="preserve">2022 · Back SN ·</w:t>
      </w:r>
      <w:r>
        <w:t xml:space="preserve"> </w:t>
      </w:r>
      <w:r>
        <w:rPr>
          <w:iCs/>
          <w:i/>
        </w:rPr>
        <w:t xml:space="preserve">J Neural Transm (Vienna)</w:t>
      </w:r>
      <w:r>
        <w:t xml:space="preserve"> </w:t>
      </w:r>
      <w:r>
        <w:t xml:space="preserve">· Reduced vagal activity in borderline personality disorder is unaffected by intranasal oxytocin administration, but predicted by the interaction between childhood trauma and attachment insecurity. PMID 35275249</w:t>
      </w:r>
    </w:p>
    <w:p>
      <w:pPr>
        <w:numPr>
          <w:ilvl w:val="0"/>
          <w:numId w:val="1419"/>
        </w:numPr>
        <w:pStyle w:val="Compact"/>
      </w:pPr>
      <w:r>
        <w:t xml:space="preserve">2022 · Liu P ·</w:t>
      </w:r>
      <w:r>
        <w:t xml:space="preserve"> </w:t>
      </w:r>
      <w:r>
        <w:rPr>
          <w:iCs/>
          <w:i/>
        </w:rPr>
        <w:t xml:space="preserve">Neuroimage</w:t>
      </w:r>
      <w:r>
        <w:t xml:space="preserve"> </w:t>
      </w:r>
      <w:r>
        <w:t xml:space="preserve">· Intranasal oxytocin modulates the salience network in aging. PMID 35259525</w:t>
      </w:r>
    </w:p>
    <w:p>
      <w:pPr>
        <w:numPr>
          <w:ilvl w:val="0"/>
          <w:numId w:val="1419"/>
        </w:numPr>
        <w:pStyle w:val="Compact"/>
      </w:pPr>
      <w:r>
        <w:t xml:space="preserve">2022 · Kou J ·</w:t>
      </w:r>
      <w:r>
        <w:t xml:space="preserve"> </w:t>
      </w:r>
      <w:r>
        <w:rPr>
          <w:iCs/>
          <w:i/>
        </w:rPr>
        <w:t xml:space="preserve">Psychother Psychosom</w:t>
      </w:r>
      <w:r>
        <w:t xml:space="preserve"> </w:t>
      </w:r>
      <w:r>
        <w:t xml:space="preserve">· Anxiolytic Effects of Chronic Intranasal Oxytocin on Neural Responses to Threat Are Dose-Frequency Dependent. PMID 35086102</w:t>
      </w:r>
    </w:p>
    <w:p>
      <w:pPr>
        <w:numPr>
          <w:ilvl w:val="0"/>
          <w:numId w:val="1419"/>
        </w:numPr>
        <w:pStyle w:val="Compact"/>
      </w:pPr>
      <w:r>
        <w:t xml:space="preserve">2022 · Yamasue H ·</w:t>
      </w:r>
      <w:r>
        <w:t xml:space="preserve"> </w:t>
      </w:r>
      <w:r>
        <w:rPr>
          <w:iCs/>
          <w:i/>
        </w:rPr>
        <w:t xml:space="preserve">Brain</w:t>
      </w:r>
      <w:r>
        <w:t xml:space="preserve"> </w:t>
      </w:r>
      <w:r>
        <w:t xml:space="preserve">· Effect of a novel nasal oxytocin spray with enhanced bioavailability on autism: a randomized trial. PMID 35067719</w:t>
      </w:r>
    </w:p>
    <w:p>
      <w:pPr>
        <w:numPr>
          <w:ilvl w:val="0"/>
          <w:numId w:val="1419"/>
        </w:numPr>
        <w:pStyle w:val="Compact"/>
      </w:pPr>
      <w:r>
        <w:t xml:space="preserve">2022 · Stauffer CS ·</w:t>
      </w:r>
      <w:r>
        <w:t xml:space="preserve"> </w:t>
      </w:r>
      <w:r>
        <w:rPr>
          <w:iCs/>
          <w:i/>
        </w:rPr>
        <w:t xml:space="preserve">Psychiatry Res</w:t>
      </w:r>
      <w:r>
        <w:t xml:space="preserve"> </w:t>
      </w:r>
      <w:r>
        <w:t xml:space="preserve">· Effects of oxytocin administration on fear-potentiated acoustic startle in co-occurring PTSD and alcohol use disorder: A randomized clinical trial. PMID 34983010</w:t>
      </w:r>
    </w:p>
    <w:p>
      <w:pPr>
        <w:numPr>
          <w:ilvl w:val="0"/>
          <w:numId w:val="1419"/>
        </w:numPr>
        <w:pStyle w:val="Compact"/>
      </w:pPr>
      <w:r>
        <w:t xml:space="preserve">2022 · Ma Y ·</w:t>
      </w:r>
      <w:r>
        <w:t xml:space="preserve"> </w:t>
      </w:r>
      <w:r>
        <w:rPr>
          <w:iCs/>
          <w:i/>
        </w:rPr>
        <w:t xml:space="preserve">Int J Psychophysiol</w:t>
      </w:r>
      <w:r>
        <w:t xml:space="preserve"> </w:t>
      </w:r>
      <w:r>
        <w:t xml:space="preserve">· Adult attachment style moderates the effect of oxytocin on neural responses to infant emotional faces. PMID 34919983</w:t>
      </w:r>
    </w:p>
    <w:p>
      <w:pPr>
        <w:numPr>
          <w:ilvl w:val="0"/>
          <w:numId w:val="1419"/>
        </w:numPr>
        <w:pStyle w:val="Compact"/>
      </w:pPr>
      <w:r>
        <w:t xml:space="preserve">2022 · Schultebraucks K ·</w:t>
      </w:r>
      <w:r>
        <w:t xml:space="preserve"> </w:t>
      </w:r>
      <w:r>
        <w:rPr>
          <w:iCs/>
          <w:i/>
        </w:rPr>
        <w:t xml:space="preserve">Neuropsychopharmacology</w:t>
      </w:r>
      <w:r>
        <w:t xml:space="preserve"> </w:t>
      </w:r>
      <w:r>
        <w:t xml:space="preserve">· Intranasal oxytocin administration impacts the acquisition and consolidation of trauma-associated memories: a double-blind randomized placebo-controlled experimental study in healthy women. PMID 34887528</w:t>
      </w:r>
    </w:p>
    <w:p>
      <w:pPr>
        <w:numPr>
          <w:ilvl w:val="0"/>
          <w:numId w:val="1419"/>
        </w:numPr>
        <w:pStyle w:val="Compact"/>
      </w:pPr>
      <w:r>
        <w:t xml:space="preserve">2022 · Lindley Baron-Cohen K ·</w:t>
      </w:r>
      <w:r>
        <w:t xml:space="preserve"> </w:t>
      </w:r>
      <w:r>
        <w:rPr>
          <w:iCs/>
          <w:i/>
        </w:rPr>
        <w:t xml:space="preserve">J Affect Disord</w:t>
      </w:r>
      <w:r>
        <w:t xml:space="preserve"> </w:t>
      </w:r>
      <w:r>
        <w:t xml:space="preserve">· Intranasal oxytocin administration improves mood in new mothers with moderate low mood but not in mothers with elevated symptoms of postnatal depression: A randomised controlled trial. PMID 34843839</w:t>
      </w:r>
    </w:p>
    <w:p>
      <w:pPr>
        <w:numPr>
          <w:ilvl w:val="0"/>
          <w:numId w:val="1419"/>
        </w:numPr>
        <w:pStyle w:val="Compact"/>
      </w:pPr>
      <w:r>
        <w:t xml:space="preserve">2022 · Kou J ·</w:t>
      </w:r>
      <w:r>
        <w:t xml:space="preserve"> </w:t>
      </w:r>
      <w:r>
        <w:rPr>
          <w:iCs/>
          <w:i/>
        </w:rPr>
        <w:t xml:space="preserve">Psychol Med</w:t>
      </w:r>
      <w:r>
        <w:t xml:space="preserve"> </w:t>
      </w:r>
      <w:r>
        <w:t xml:space="preserve">· A randomized trial shows dose-frequency and genotype may determine the therapeutic efficacy of intranasal oxytocin. PMID 33272333</w:t>
      </w:r>
    </w:p>
    <w:p>
      <w:pPr>
        <w:numPr>
          <w:ilvl w:val="0"/>
          <w:numId w:val="1419"/>
        </w:numPr>
        <w:pStyle w:val="Compact"/>
      </w:pPr>
      <w:r>
        <w:t xml:space="preserve">2021 · Sikich L ·</w:t>
      </w:r>
      <w:r>
        <w:t xml:space="preserve"> </w:t>
      </w:r>
      <w:r>
        <w:rPr>
          <w:iCs/>
          <w:i/>
        </w:rPr>
        <w:t xml:space="preserve">N Engl J Med</w:t>
      </w:r>
      <w:r>
        <w:t xml:space="preserve"> </w:t>
      </w:r>
      <w:r>
        <w:t xml:space="preserve">· Intranasal Oxytocin in Children and Adolescents with Autism Spectrum Disorder. PMID 34644471</w:t>
      </w:r>
    </w:p>
    <w:p>
      <w:pPr>
        <w:numPr>
          <w:ilvl w:val="0"/>
          <w:numId w:val="1419"/>
        </w:numPr>
        <w:pStyle w:val="Compact"/>
      </w:pPr>
      <w:r>
        <w:t xml:space="preserve">2021 · Fastman J ·</w:t>
      </w:r>
      <w:r>
        <w:t xml:space="preserve"> </w:t>
      </w:r>
      <w:r>
        <w:rPr>
          <w:iCs/>
          <w:i/>
        </w:rPr>
        <w:t xml:space="preserve">Mol Autism</w:t>
      </w:r>
      <w:r>
        <w:t xml:space="preserve"> </w:t>
      </w:r>
      <w:r>
        <w:t xml:space="preserve">· A randomized controlled trial of intranasal oxytocin in Phelan-McDermid syndrome. PMID 34593045</w:t>
      </w:r>
    </w:p>
    <w:p>
      <w:pPr>
        <w:numPr>
          <w:ilvl w:val="0"/>
          <w:numId w:val="1419"/>
        </w:numPr>
        <w:pStyle w:val="Compact"/>
      </w:pPr>
      <w:r>
        <w:t xml:space="preserve">2021 · Zhuang Q ·</w:t>
      </w:r>
      <w:r>
        <w:t xml:space="preserve"> </w:t>
      </w:r>
      <w:r>
        <w:rPr>
          <w:iCs/>
          <w:i/>
        </w:rPr>
        <w:t xml:space="preserve">Psychoneuroendocrinology</w:t>
      </w:r>
      <w:r>
        <w:t xml:space="preserve"> </w:t>
      </w:r>
      <w:r>
        <w:t xml:space="preserve">· Intranasal vasopressin like oxytocin increases social attention by influencing top-down control, but additionally enhances bottom-up control. PMID 34537624</w:t>
      </w:r>
    </w:p>
    <w:p>
      <w:pPr>
        <w:numPr>
          <w:ilvl w:val="0"/>
          <w:numId w:val="1419"/>
        </w:numPr>
        <w:pStyle w:val="Compact"/>
      </w:pPr>
      <w:r>
        <w:t xml:space="preserve">2021 · Zhang X ·</w:t>
      </w:r>
      <w:r>
        <w:t xml:space="preserve"> </w:t>
      </w:r>
      <w:r>
        <w:rPr>
          <w:iCs/>
          <w:i/>
        </w:rPr>
        <w:t xml:space="preserve">Psychoneuroendocrinology</w:t>
      </w:r>
      <w:r>
        <w:t xml:space="preserve"> </w:t>
      </w:r>
      <w:r>
        <w:t xml:space="preserve">· Oxytocin reduces romantic rejection-induced pain in online speed-dating as revealed by decreased frontal-midline theta oscillations. PMID 34537623</w:t>
      </w:r>
    </w:p>
    <w:p>
      <w:pPr>
        <w:numPr>
          <w:ilvl w:val="0"/>
          <w:numId w:val="1419"/>
        </w:numPr>
        <w:pStyle w:val="Compact"/>
      </w:pPr>
      <w:r>
        <w:t xml:space="preserve">2021 · Sippel LM ·</w:t>
      </w:r>
      <w:r>
        <w:t xml:space="preserve"> </w:t>
      </w:r>
      <w:r>
        <w:rPr>
          <w:iCs/>
          <w:i/>
        </w:rPr>
        <w:t xml:space="preserve">Psychiatry Res Neuroimaging</w:t>
      </w:r>
      <w:r>
        <w:t xml:space="preserve"> </w:t>
      </w:r>
      <w:r>
        <w:t xml:space="preserve">· Effects of intranasal oxytocin on threat- and reward-related functional connectivity in men and women with and without childhood abuse-related PTSD. PMID 34455213</w:t>
      </w:r>
    </w:p>
    <w:p>
      <w:pPr>
        <w:numPr>
          <w:ilvl w:val="0"/>
          <w:numId w:val="1419"/>
        </w:numPr>
        <w:pStyle w:val="Compact"/>
      </w:pPr>
      <w:r>
        <w:t xml:space="preserve">2021 · Henningsson S ·</w:t>
      </w:r>
      <w:r>
        <w:t xml:space="preserve"> </w:t>
      </w:r>
      <w:r>
        <w:rPr>
          <w:iCs/>
          <w:i/>
        </w:rPr>
        <w:t xml:space="preserve">Biol Psychol</w:t>
      </w:r>
      <w:r>
        <w:t xml:space="preserve"> </w:t>
      </w:r>
      <w:r>
        <w:t xml:space="preserve">· A randomized placebo-controlled intranasal oxytocin study on first impressions and reactions to social rejection. PMID 34331996</w:t>
      </w:r>
    </w:p>
    <w:p>
      <w:pPr>
        <w:numPr>
          <w:ilvl w:val="0"/>
          <w:numId w:val="1419"/>
        </w:numPr>
        <w:pStyle w:val="Compact"/>
      </w:pPr>
      <w:r>
        <w:t xml:space="preserve">2021 · Cherki BR ·</w:t>
      </w:r>
      <w:r>
        <w:t xml:space="preserve"> </w:t>
      </w:r>
      <w:r>
        <w:rPr>
          <w:iCs/>
          <w:i/>
        </w:rPr>
        <w:t xml:space="preserve">Psychoneuroendocrinology</w:t>
      </w:r>
      <w:r>
        <w:t xml:space="preserve"> </w:t>
      </w:r>
      <w:r>
        <w:t xml:space="preserve">· Intranasal oxytocin, testosterone reactivity, and human competitiveness. PMID 34298279</w:t>
      </w:r>
    </w:p>
    <w:p>
      <w:pPr>
        <w:numPr>
          <w:ilvl w:val="0"/>
          <w:numId w:val="1419"/>
        </w:numPr>
        <w:pStyle w:val="Compact"/>
      </w:pPr>
      <w:r>
        <w:t xml:space="preserve">2021 · Melkonian AJ ·</w:t>
      </w:r>
      <w:r>
        <w:t xml:space="preserve"> </w:t>
      </w:r>
      <w:r>
        <w:rPr>
          <w:iCs/>
          <w:i/>
        </w:rPr>
        <w:t xml:space="preserve">J Clin Psychopharmacol</w:t>
      </w:r>
      <w:r>
        <w:t xml:space="preserve"> </w:t>
      </w:r>
      <w:r>
        <w:t xml:space="preserve">· Craving Moderates the Effects of Intranasal Oxytocin on Anger in Response to Social Stress Among Veterans With Co-Occurring Posttraumatic Stress Disorder and Alcohol Use Disorder. PMID 34121063</w:t>
      </w:r>
    </w:p>
    <w:p>
      <w:pPr>
        <w:numPr>
          <w:ilvl w:val="0"/>
          <w:numId w:val="1419"/>
        </w:numPr>
        <w:pStyle w:val="Compact"/>
      </w:pPr>
      <w:r>
        <w:t xml:space="preserve">2021 · Le J ·</w:t>
      </w:r>
      <w:r>
        <w:t xml:space="preserve"> </w:t>
      </w:r>
      <w:r>
        <w:rPr>
          <w:iCs/>
          <w:i/>
        </w:rPr>
        <w:t xml:space="preserve">Psychophysiology</w:t>
      </w:r>
      <w:r>
        <w:t xml:space="preserve"> </w:t>
      </w:r>
      <w:r>
        <w:t xml:space="preserve">· Oxytocin facilitates socially directed attention. PMID 34032304</w:t>
      </w:r>
    </w:p>
    <w:p>
      <w:pPr>
        <w:numPr>
          <w:ilvl w:val="0"/>
          <w:numId w:val="1419"/>
        </w:numPr>
        <w:pStyle w:val="Compact"/>
      </w:pPr>
      <w:r>
        <w:t xml:space="preserve">2021 · Espinoza SE ·</w:t>
      </w:r>
      <w:r>
        <w:t xml:space="preserve"> </w:t>
      </w:r>
      <w:r>
        <w:rPr>
          <w:iCs/>
          <w:i/>
        </w:rPr>
        <w:t xml:space="preserve">J Am Med Dir Assoc</w:t>
      </w:r>
      <w:r>
        <w:t xml:space="preserve"> </w:t>
      </w:r>
      <w:r>
        <w:t xml:space="preserve">· Intranasal Oxytocin Improves Lean Muscle Mass and Lowers LDL Cholesterol in Older Adults with Sarcopenic Obesity: A Pilot Randomized Controlled Trial. PMID 34029521</w:t>
      </w:r>
    </w:p>
    <w:p>
      <w:pPr>
        <w:numPr>
          <w:ilvl w:val="0"/>
          <w:numId w:val="1419"/>
        </w:numPr>
        <w:pStyle w:val="Compact"/>
      </w:pPr>
      <w:r>
        <w:t xml:space="preserve">2021 · Rung JM ·</w:t>
      </w:r>
      <w:r>
        <w:t xml:space="preserve"> </w:t>
      </w:r>
      <w:r>
        <w:rPr>
          <w:iCs/>
          <w:i/>
        </w:rPr>
        <w:t xml:space="preserve">Psychopharmacology (Berl)</w:t>
      </w:r>
      <w:r>
        <w:t xml:space="preserve"> </w:t>
      </w:r>
      <w:r>
        <w:t xml:space="preserve">· Safety and tolerability of chronic intranasal oxytocin in older men: results from a randomized controlled trial. PMID 33982141</w:t>
      </w:r>
    </w:p>
    <w:p>
      <w:pPr>
        <w:numPr>
          <w:ilvl w:val="0"/>
          <w:numId w:val="1419"/>
        </w:numPr>
        <w:pStyle w:val="Compact"/>
      </w:pPr>
      <w:r>
        <w:t xml:space="preserve">2021 · Wong SF ·</w:t>
      </w:r>
      <w:r>
        <w:t xml:space="preserve"> </w:t>
      </w:r>
      <w:r>
        <w:rPr>
          <w:iCs/>
          <w:i/>
        </w:rPr>
        <w:t xml:space="preserve">Int J Psychophysiol</w:t>
      </w:r>
      <w:r>
        <w:t xml:space="preserve"> </w:t>
      </w:r>
      <w:r>
        <w:t xml:space="preserve">· Intranasal oxytocin increases state anhedonia following imagery training of positive social outcomes in individuals lower in extraversion, trust-altruism, and openness to experience. PMID 33839197</w:t>
      </w:r>
    </w:p>
    <w:p>
      <w:pPr>
        <w:numPr>
          <w:ilvl w:val="0"/>
          <w:numId w:val="1419"/>
        </w:numPr>
        <w:pStyle w:val="Compact"/>
      </w:pPr>
      <w:r>
        <w:t xml:space="preserve">2021 · Kapetaniou GE ·</w:t>
      </w:r>
      <w:r>
        <w:t xml:space="preserve"> </w:t>
      </w:r>
      <w:r>
        <w:rPr>
          <w:iCs/>
          <w:i/>
        </w:rPr>
        <w:t xml:space="preserve">Elife</w:t>
      </w:r>
      <w:r>
        <w:t xml:space="preserve"> </w:t>
      </w:r>
      <w:r>
        <w:t xml:space="preserve">· The role of oxytocin in delay of gratification and flexibility in non-social decision making. PMID 33821797</w:t>
      </w:r>
    </w:p>
    <w:p>
      <w:pPr>
        <w:numPr>
          <w:ilvl w:val="0"/>
          <w:numId w:val="1419"/>
        </w:numPr>
        <w:pStyle w:val="Compact"/>
      </w:pPr>
      <w:r>
        <w:t xml:space="preserve">2021 · Buchanan RW ·</w:t>
      </w:r>
      <w:r>
        <w:t xml:space="preserve"> </w:t>
      </w:r>
      <w:r>
        <w:rPr>
          <w:iCs/>
          <w:i/>
        </w:rPr>
        <w:t xml:space="preserve">J Clin Psychopharmacol</w:t>
      </w:r>
      <w:r>
        <w:t xml:space="preserve"> </w:t>
      </w:r>
      <w:r>
        <w:t xml:space="preserve">· Combined Oxytocin and Cognitive Behavioral Social Skills Training for Social Function in People With Schizophrenia. PMID 33783399</w:t>
      </w:r>
    </w:p>
    <w:p>
      <w:pPr>
        <w:numPr>
          <w:ilvl w:val="0"/>
          <w:numId w:val="1419"/>
        </w:numPr>
        <w:pStyle w:val="Compact"/>
      </w:pPr>
      <w:r>
        <w:t xml:space="preserve">2021 · Kato Y ·</w:t>
      </w:r>
      <w:r>
        <w:t xml:space="preserve"> </w:t>
      </w:r>
      <w:r>
        <w:rPr>
          <w:iCs/>
          <w:i/>
        </w:rPr>
        <w:t xml:space="preserve">Mol Autism</w:t>
      </w:r>
      <w:r>
        <w:t xml:space="preserve"> </w:t>
      </w:r>
      <w:r>
        <w:t xml:space="preserve">· Oxytocin-induced increase in N,N-dimethylglycine and time course of changes in oxytocin efficacy for autism social core symptoms. PMID 33622389</w:t>
      </w:r>
    </w:p>
    <w:p>
      <w:pPr>
        <w:numPr>
          <w:ilvl w:val="0"/>
          <w:numId w:val="1419"/>
        </w:numPr>
        <w:pStyle w:val="Compact"/>
      </w:pPr>
      <w:r>
        <w:t xml:space="preserve">2021 · Zheng X ·</w:t>
      </w:r>
      <w:r>
        <w:t xml:space="preserve"> </w:t>
      </w:r>
      <w:r>
        <w:rPr>
          <w:iCs/>
          <w:i/>
        </w:rPr>
        <w:t xml:space="preserve">J Psychopharmacol</w:t>
      </w:r>
      <w:r>
        <w:t xml:space="preserve"> </w:t>
      </w:r>
      <w:r>
        <w:t xml:space="preserve">· Intranasal oxytocin may help maintain romantic bonds by decreasing jealousy evoked by either imagined or real partner infidelity. PMID 33601928</w:t>
      </w:r>
    </w:p>
    <w:p>
      <w:pPr>
        <w:numPr>
          <w:ilvl w:val="0"/>
          <w:numId w:val="1419"/>
        </w:numPr>
        <w:pStyle w:val="Compact"/>
      </w:pPr>
      <w:r>
        <w:t xml:space="preserve">2021 · Andari E ·</w:t>
      </w:r>
      <w:r>
        <w:t xml:space="preserve"> </w:t>
      </w:r>
      <w:r>
        <w:rPr>
          <w:iCs/>
          <w:i/>
        </w:rPr>
        <w:t xml:space="preserve">J Clin Psychopharmacol</w:t>
      </w:r>
      <w:r>
        <w:t xml:space="preserve"> </w:t>
      </w:r>
      <w:r>
        <w:t xml:space="preserve">· Effects of Oxytocin on Emotion Recognition in Schizophrenia: A Randomized Double-Blind Pilot Study. PMID 33587397</w:t>
      </w:r>
    </w:p>
    <w:p>
      <w:pPr>
        <w:numPr>
          <w:ilvl w:val="0"/>
          <w:numId w:val="1419"/>
        </w:numPr>
        <w:pStyle w:val="Compact"/>
      </w:pPr>
      <w:r>
        <w:t xml:space="preserve">2021 · Kou J ·</w:t>
      </w:r>
      <w:r>
        <w:t xml:space="preserve"> </w:t>
      </w:r>
      <w:r>
        <w:rPr>
          <w:iCs/>
          <w:i/>
        </w:rPr>
        <w:t xml:space="preserve">Transl Psychiatry</w:t>
      </w:r>
      <w:r>
        <w:t xml:space="preserve"> </w:t>
      </w:r>
      <w:r>
        <w:t xml:space="preserve">· In the nose or on the tongue? Contrasting motivational effects of oral and intranasal oxytocin on arousal and reward during social processing. PMID 33542175</w:t>
      </w:r>
    </w:p>
    <w:p>
      <w:pPr>
        <w:numPr>
          <w:ilvl w:val="0"/>
          <w:numId w:val="1419"/>
        </w:numPr>
        <w:pStyle w:val="Compact"/>
      </w:pPr>
      <w:r>
        <w:t xml:space="preserve">2021 · Martins D ·</w:t>
      </w:r>
      <w:r>
        <w:t xml:space="preserve"> </w:t>
      </w:r>
      <w:r>
        <w:rPr>
          <w:iCs/>
          <w:i/>
        </w:rPr>
        <w:t xml:space="preserve">Commun Biol</w:t>
      </w:r>
      <w:r>
        <w:t xml:space="preserve"> </w:t>
      </w:r>
      <w:r>
        <w:t xml:space="preserve">· Oxytocin modulates local topography of human functional connectome in healthy men at rest. PMID 33452496</w:t>
      </w:r>
    </w:p>
    <w:p>
      <w:pPr>
        <w:numPr>
          <w:ilvl w:val="0"/>
          <w:numId w:val="1419"/>
        </w:numPr>
        <w:pStyle w:val="Compact"/>
      </w:pPr>
      <w:r>
        <w:t xml:space="preserve">2021 · Melby K ·</w:t>
      </w:r>
      <w:r>
        <w:t xml:space="preserve"> </w:t>
      </w:r>
      <w:r>
        <w:rPr>
          <w:iCs/>
          <w:i/>
        </w:rPr>
        <w:t xml:space="preserve">Alcohol Alcohol</w:t>
      </w:r>
      <w:r>
        <w:t xml:space="preserve"> </w:t>
      </w:r>
      <w:r>
        <w:t xml:space="preserve">· Efficacy of Self-Administered Intranasal Oxytocin on Alcohol Use and Craving After Detoxification in Patients With Alcohol Dependence. A Double-Blind Placebo-Controlled Trial. PMID 33352584</w:t>
      </w:r>
    </w:p>
    <w:p>
      <w:pPr>
        <w:numPr>
          <w:ilvl w:val="0"/>
          <w:numId w:val="1419"/>
        </w:numPr>
        <w:pStyle w:val="Compact"/>
      </w:pPr>
      <w:r>
        <w:t xml:space="preserve">2021 · Radke S ·</w:t>
      </w:r>
      <w:r>
        <w:t xml:space="preserve"> </w:t>
      </w:r>
      <w:r>
        <w:rPr>
          <w:iCs/>
          <w:i/>
        </w:rPr>
        <w:t xml:space="preserve">Soc Cogn Affect Neurosci</w:t>
      </w:r>
      <w:r>
        <w:t xml:space="preserve"> </w:t>
      </w:r>
      <w:r>
        <w:t xml:space="preserve">· Neurobiobehavioral responses to virtual social rejection in females-exploring the influence of oxytocin. PMID 33326562</w:t>
      </w:r>
    </w:p>
    <w:p>
      <w:pPr>
        <w:numPr>
          <w:ilvl w:val="0"/>
          <w:numId w:val="1419"/>
        </w:numPr>
        <w:pStyle w:val="Compact"/>
      </w:pPr>
      <w:r>
        <w:t xml:space="preserve">2021 · Alaerts K ·</w:t>
      </w:r>
      <w:r>
        <w:t xml:space="preserve"> </w:t>
      </w:r>
      <w:r>
        <w:rPr>
          <w:iCs/>
          <w:i/>
        </w:rPr>
        <w:t xml:space="preserve">Eur Neuropsychopharmacol</w:t>
      </w:r>
      <w:r>
        <w:t xml:space="preserve"> </w:t>
      </w:r>
      <w:r>
        <w:t xml:space="preserve">· Changes in endogenous oxytocin levels after intranasal oxytocin treatment in adult men with autism: An exploratory study with long-term follow-up. PMID 33309460</w:t>
      </w:r>
    </w:p>
    <w:p>
      <w:pPr>
        <w:numPr>
          <w:ilvl w:val="0"/>
          <w:numId w:val="1419"/>
        </w:numPr>
        <w:pStyle w:val="Compact"/>
      </w:pPr>
      <w:r>
        <w:t xml:space="preserve">2021 · Damen L ·</w:t>
      </w:r>
      <w:r>
        <w:t xml:space="preserve"> </w:t>
      </w:r>
      <w:r>
        <w:rPr>
          <w:iCs/>
          <w:i/>
        </w:rPr>
        <w:t xml:space="preserve">Clin Endocrinol (Oxf)</w:t>
      </w:r>
      <w:r>
        <w:t xml:space="preserve"> </w:t>
      </w:r>
      <w:r>
        <w:t xml:space="preserve">· Oxytocin in young children with Prader-Willi syndrome: Results of a randomized, double-blind, placebo-controlled, crossover trial investigating 3 months of oxytocin. PMID 33296519</w:t>
      </w:r>
    </w:p>
    <w:p>
      <w:pPr>
        <w:numPr>
          <w:ilvl w:val="0"/>
          <w:numId w:val="1419"/>
        </w:numPr>
        <w:pStyle w:val="Compact"/>
      </w:pPr>
      <w:r>
        <w:t xml:space="preserve">2021 · Meusel M ·</w:t>
      </w:r>
      <w:r>
        <w:t xml:space="preserve"> </w:t>
      </w:r>
      <w:r>
        <w:rPr>
          <w:iCs/>
          <w:i/>
        </w:rPr>
        <w:t xml:space="preserve">Am J Physiol Regul Integr Comp Physiol</w:t>
      </w:r>
      <w:r>
        <w:t xml:space="preserve"> </w:t>
      </w:r>
      <w:r>
        <w:t xml:space="preserve">· Intranasal oxytocin has sympathoexcitatory effects on vascular tone in healthy males. PMID 33296278</w:t>
      </w:r>
    </w:p>
    <w:p>
      <w:pPr>
        <w:numPr>
          <w:ilvl w:val="0"/>
          <w:numId w:val="1419"/>
        </w:numPr>
        <w:pStyle w:val="Compact"/>
      </w:pPr>
      <w:r>
        <w:t xml:space="preserve">2021 · Zhuang Q ·</w:t>
      </w:r>
      <w:r>
        <w:t xml:space="preserve"> </w:t>
      </w:r>
      <w:r>
        <w:rPr>
          <w:iCs/>
          <w:i/>
        </w:rPr>
        <w:t xml:space="preserve">J Psychopharmacol</w:t>
      </w:r>
      <w:r>
        <w:t xml:space="preserve"> </w:t>
      </w:r>
      <w:r>
        <w:t xml:space="preserve">· Oxytocin-induced facilitation of learning in a probabilistic task is associated with reduced feedback- and error-related negativity potentials. PMID 33274683</w:t>
      </w:r>
    </w:p>
    <w:p>
      <w:pPr>
        <w:numPr>
          <w:ilvl w:val="0"/>
          <w:numId w:val="1419"/>
        </w:numPr>
        <w:pStyle w:val="Compact"/>
      </w:pPr>
      <w:r>
        <w:t xml:space="preserve">2021 · Dou H ·</w:t>
      </w:r>
      <w:r>
        <w:t xml:space="preserve"> </w:t>
      </w:r>
      <w:r>
        <w:rPr>
          <w:iCs/>
          <w:i/>
        </w:rPr>
        <w:t xml:space="preserve">Psychopharmacology (Berl)</w:t>
      </w:r>
      <w:r>
        <w:t xml:space="preserve"> </w:t>
      </w:r>
      <w:r>
        <w:t xml:space="preserve">· Intranasal oxytocin decreases fear generalization in males, but does not modulate discrimination threshold. PMID 33241482</w:t>
      </w:r>
    </w:p>
    <w:p>
      <w:pPr>
        <w:numPr>
          <w:ilvl w:val="0"/>
          <w:numId w:val="1419"/>
        </w:numPr>
        <w:pStyle w:val="Compact"/>
      </w:pPr>
      <w:r>
        <w:t xml:space="preserve">2021 · Plessow F ·</w:t>
      </w:r>
      <w:r>
        <w:t xml:space="preserve"> </w:t>
      </w:r>
      <w:r>
        <w:rPr>
          <w:iCs/>
          <w:i/>
        </w:rPr>
        <w:t xml:space="preserve">Obesity (Silver Spring)</w:t>
      </w:r>
      <w:r>
        <w:t xml:space="preserve"> </w:t>
      </w:r>
      <w:r>
        <w:t xml:space="preserve">· Oxytocin Administration Increases Proactive Control in Men with Overweight or Obesity: A Randomized, Double-Blind, Placebo-Controlled Crossover Study. PMID 33225615</w:t>
      </w:r>
    </w:p>
    <w:p>
      <w:pPr>
        <w:numPr>
          <w:ilvl w:val="0"/>
          <w:numId w:val="1419"/>
        </w:numPr>
        <w:pStyle w:val="Compact"/>
      </w:pPr>
      <w:r>
        <w:t xml:space="preserve">2021 · Hollander E ·</w:t>
      </w:r>
      <w:r>
        <w:t xml:space="preserve"> </w:t>
      </w:r>
      <w:r>
        <w:rPr>
          <w:iCs/>
          <w:i/>
        </w:rPr>
        <w:t xml:space="preserve">J Psychiatr Res</w:t>
      </w:r>
      <w:r>
        <w:t xml:space="preserve"> </w:t>
      </w:r>
      <w:r>
        <w:t xml:space="preserve">· Intranasal oxytocin versus placebo for hyperphagia and repetitive behaviors in children with Prader-Willi Syndrome: A randomized controlled pilot trial. PMID 33190843</w:t>
      </w:r>
    </w:p>
    <w:p>
      <w:pPr>
        <w:numPr>
          <w:ilvl w:val="0"/>
          <w:numId w:val="1419"/>
        </w:numPr>
        <w:pStyle w:val="Compact"/>
      </w:pPr>
      <w:r>
        <w:t xml:space="preserve">2021 · Liao Z ·</w:t>
      </w:r>
      <w:r>
        <w:t xml:space="preserve"> </w:t>
      </w:r>
      <w:r>
        <w:rPr>
          <w:iCs/>
          <w:i/>
        </w:rPr>
        <w:t xml:space="preserve">Psychopharmacology (Berl)</w:t>
      </w:r>
      <w:r>
        <w:t xml:space="preserve"> </w:t>
      </w:r>
      <w:r>
        <w:t xml:space="preserve">· Intranasal oxytocin decreases self-oriented learning. PMID 33156402</w:t>
      </w:r>
    </w:p>
    <w:p>
      <w:pPr>
        <w:numPr>
          <w:ilvl w:val="0"/>
          <w:numId w:val="1419"/>
        </w:numPr>
        <w:pStyle w:val="Compact"/>
      </w:pPr>
      <w:r>
        <w:t xml:space="preserve">2021 · Flynn MJ ·</w:t>
      </w:r>
      <w:r>
        <w:t xml:space="preserve"> </w:t>
      </w:r>
      <w:r>
        <w:rPr>
          <w:iCs/>
          <w:i/>
        </w:rPr>
        <w:t xml:space="preserve">Int J Gynaecol Obstet</w:t>
      </w:r>
      <w:r>
        <w:t xml:space="preserve"> </w:t>
      </w:r>
      <w:r>
        <w:t xml:space="preserve">· Intranasal oxytocin as a treatment for chronic pelvic pain: A randomized controlled feasibility study. PMID 33112417</w:t>
      </w:r>
    </w:p>
    <w:p>
      <w:pPr>
        <w:numPr>
          <w:ilvl w:val="0"/>
          <w:numId w:val="1419"/>
        </w:numPr>
        <w:pStyle w:val="Compact"/>
      </w:pPr>
      <w:r>
        <w:t xml:space="preserve">2021 · Riem MME ·</w:t>
      </w:r>
      <w:r>
        <w:t xml:space="preserve"> </w:t>
      </w:r>
      <w:r>
        <w:rPr>
          <w:iCs/>
          <w:i/>
        </w:rPr>
        <w:t xml:space="preserve">J Affect Disord</w:t>
      </w:r>
      <w:r>
        <w:t xml:space="preserve"> </w:t>
      </w:r>
      <w:r>
        <w:t xml:space="preserve">· Intranasal oxytocin and the stress-buffering effects of social support during experimentally induced pain: The role of attachment security. PMID 32961410</w:t>
      </w:r>
    </w:p>
    <w:p>
      <w:pPr>
        <w:numPr>
          <w:ilvl w:val="0"/>
          <w:numId w:val="1419"/>
        </w:numPr>
        <w:pStyle w:val="Compact"/>
      </w:pPr>
      <w:r>
        <w:t xml:space="preserve">2020 · Melkonyan A ·</w:t>
      </w:r>
      <w:r>
        <w:t xml:space="preserve"> </w:t>
      </w:r>
      <w:r>
        <w:rPr>
          <w:iCs/>
          <w:i/>
        </w:rPr>
        <w:t xml:space="preserve">J Neuroendocrinol</w:t>
      </w:r>
      <w:r>
        <w:t xml:space="preserve"> </w:t>
      </w:r>
      <w:r>
        <w:t xml:space="preserve">· Unchanged food approach-avoidance behaviour of healthy men after oxytocin administration. PMID 33314397</w:t>
      </w:r>
    </w:p>
    <w:p>
      <w:pPr>
        <w:numPr>
          <w:ilvl w:val="0"/>
          <w:numId w:val="1419"/>
        </w:numPr>
        <w:pStyle w:val="Compact"/>
      </w:pPr>
      <w:r>
        <w:t xml:space="preserve">2020 · Ma Y ·</w:t>
      </w:r>
      <w:r>
        <w:t xml:space="preserve"> </w:t>
      </w:r>
      <w:r>
        <w:rPr>
          <w:iCs/>
          <w:i/>
        </w:rPr>
        <w:t xml:space="preserve">Biol Psychol</w:t>
      </w:r>
      <w:r>
        <w:t xml:space="preserve"> </w:t>
      </w:r>
      <w:r>
        <w:t xml:space="preserve">· Intranasal oxytocin attenuates insula activity in response to dynamic angry faces. PMID 33157152</w:t>
      </w:r>
    </w:p>
    <w:p>
      <w:pPr>
        <w:numPr>
          <w:ilvl w:val="0"/>
          <w:numId w:val="1419"/>
        </w:numPr>
        <w:pStyle w:val="Compact"/>
      </w:pPr>
      <w:r>
        <w:t xml:space="preserve">2020 · Oliver LD ·</w:t>
      </w:r>
      <w:r>
        <w:t xml:space="preserve"> </w:t>
      </w:r>
      <w:r>
        <w:rPr>
          <w:iCs/>
          <w:i/>
        </w:rPr>
        <w:t xml:space="preserve">Neurology</w:t>
      </w:r>
      <w:r>
        <w:t xml:space="preserve"> </w:t>
      </w:r>
      <w:r>
        <w:t xml:space="preserve">· Neural effects of oxytocin and mimicry in frontotemporal dementia: A randomized crossover study. PMID 32963103</w:t>
      </w:r>
    </w:p>
    <w:p>
      <w:pPr>
        <w:numPr>
          <w:ilvl w:val="0"/>
          <w:numId w:val="1419"/>
        </w:numPr>
        <w:pStyle w:val="Compact"/>
      </w:pPr>
      <w:r>
        <w:t xml:space="preserve">2020 · Hovey D ·</w:t>
      </w:r>
      <w:r>
        <w:t xml:space="preserve"> </w:t>
      </w:r>
      <w:r>
        <w:rPr>
          <w:iCs/>
          <w:i/>
        </w:rPr>
        <w:t xml:space="preserve">Transl Psychiatry</w:t>
      </w:r>
      <w:r>
        <w:t xml:space="preserve"> </w:t>
      </w:r>
      <w:r>
        <w:t xml:space="preserve">· The effect of intranasal oxytocin on visual processing and salience of human faces. PMID 32951002</w:t>
      </w:r>
    </w:p>
    <w:p>
      <w:pPr>
        <w:numPr>
          <w:ilvl w:val="0"/>
          <w:numId w:val="1419"/>
        </w:numPr>
        <w:pStyle w:val="Compact"/>
      </w:pPr>
      <w:r>
        <w:t xml:space="preserve">2020 · Jain V ·</w:t>
      </w:r>
      <w:r>
        <w:t xml:space="preserve"> </w:t>
      </w:r>
      <w:r>
        <w:rPr>
          <w:iCs/>
          <w:i/>
        </w:rPr>
        <w:t xml:space="preserve">Sleep Med</w:t>
      </w:r>
      <w:r>
        <w:t xml:space="preserve"> </w:t>
      </w:r>
      <w:r>
        <w:t xml:space="preserve">· Intranasal oxytocin increases respiratory rate and reduces obstructive event duration and oxygen desaturation in obstructive sleep apnea patients: a randomized double blinded placebo controlled study. PMID 32862007</w:t>
      </w:r>
    </w:p>
    <w:p>
      <w:pPr>
        <w:numPr>
          <w:ilvl w:val="0"/>
          <w:numId w:val="1419"/>
        </w:numPr>
        <w:pStyle w:val="Compact"/>
      </w:pPr>
      <w:r>
        <w:t xml:space="preserve">2020 · Chen Y ·</w:t>
      </w:r>
      <w:r>
        <w:t xml:space="preserve"> </w:t>
      </w:r>
      <w:r>
        <w:rPr>
          <w:iCs/>
          <w:i/>
        </w:rPr>
        <w:t xml:space="preserve">Eur Neuropsychopharmacol</w:t>
      </w:r>
      <w:r>
        <w:t xml:space="preserve"> </w:t>
      </w:r>
      <w:r>
        <w:t xml:space="preserve">· Oxytocin increases the pleasantness of affective touch and orbitofrontal cortex activity independent of valence. PMID 32861545</w:t>
      </w:r>
    </w:p>
    <w:p>
      <w:pPr>
        <w:numPr>
          <w:ilvl w:val="0"/>
          <w:numId w:val="1419"/>
        </w:numPr>
        <w:pStyle w:val="Compact"/>
      </w:pPr>
      <w:r>
        <w:t xml:space="preserve">2020 · Wang T ·</w:t>
      </w:r>
      <w:r>
        <w:t xml:space="preserve"> </w:t>
      </w:r>
      <w:r>
        <w:rPr>
          <w:iCs/>
          <w:i/>
        </w:rPr>
        <w:t xml:space="preserve">Pharmacol Biochem Behav</w:t>
      </w:r>
      <w:r>
        <w:t xml:space="preserve"> </w:t>
      </w:r>
      <w:r>
        <w:t xml:space="preserve">· Attachment anxiety moderates the effect of oxytocin on negative emotion recognition: Evidence from eye-movement data. PMID 32835786</w:t>
      </w:r>
    </w:p>
    <w:p>
      <w:pPr>
        <w:numPr>
          <w:ilvl w:val="0"/>
          <w:numId w:val="1419"/>
        </w:numPr>
        <w:pStyle w:val="Compact"/>
      </w:pPr>
      <w:r>
        <w:t xml:space="preserve">2020 · Morrison TE ·</w:t>
      </w:r>
      <w:r>
        <w:t xml:space="preserve"> </w:t>
      </w:r>
      <w:r>
        <w:rPr>
          <w:iCs/>
          <w:i/>
        </w:rPr>
        <w:t xml:space="preserve">Psychoneuroendocrinology</w:t>
      </w:r>
      <w:r>
        <w:t xml:space="preserve"> </w:t>
      </w:r>
      <w:r>
        <w:t xml:space="preserve">· Automatic Imitation in Comorbid PTSD &amp; Alcohol Use Disorder and Controls: an RCT of Intranasal Oxytocin. PMID 32745891</w:t>
      </w:r>
    </w:p>
    <w:p>
      <w:pPr>
        <w:numPr>
          <w:ilvl w:val="0"/>
          <w:numId w:val="1419"/>
        </w:numPr>
        <w:pStyle w:val="Compact"/>
      </w:pPr>
      <w:r>
        <w:t xml:space="preserve">2020 · Sippel LM ·</w:t>
      </w:r>
      <w:r>
        <w:t xml:space="preserve"> </w:t>
      </w:r>
      <w:r>
        <w:rPr>
          <w:iCs/>
          <w:i/>
        </w:rPr>
        <w:t xml:space="preserve">J Clin Psychopharmacol</w:t>
      </w:r>
      <w:r>
        <w:t xml:space="preserve"> </w:t>
      </w:r>
      <w:r>
        <w:t xml:space="preserve">· A Preliminary Examination of Endogenous Peripheral Oxytocin in a Pilot Randomized Clinical Trial of Oxytocin-Enhanced Psychotherapy for Posttraumatic Stress Disorder. PMID 32639293</w:t>
      </w:r>
    </w:p>
    <w:p>
      <w:pPr>
        <w:numPr>
          <w:ilvl w:val="0"/>
          <w:numId w:val="1419"/>
        </w:numPr>
        <w:pStyle w:val="Compact"/>
      </w:pPr>
      <w:r>
        <w:t xml:space="preserve">2020 · Borowiak K ·</w:t>
      </w:r>
      <w:r>
        <w:t xml:space="preserve"> </w:t>
      </w:r>
      <w:r>
        <w:rPr>
          <w:iCs/>
          <w:i/>
        </w:rPr>
        <w:t xml:space="preserve">Transl Psychiatry</w:t>
      </w:r>
      <w:r>
        <w:t xml:space="preserve"> </w:t>
      </w:r>
      <w:r>
        <w:t xml:space="preserve">· Intranasal oxytocin modulates brain responses to voice-identity recognition in typically developing individuals, but not in ASD. PMID 32636360</w:t>
      </w:r>
    </w:p>
    <w:p>
      <w:pPr>
        <w:numPr>
          <w:ilvl w:val="0"/>
          <w:numId w:val="1419"/>
        </w:numPr>
        <w:pStyle w:val="Compact"/>
      </w:pPr>
      <w:r>
        <w:t xml:space="preserve">2020 · Demartini B ·</w:t>
      </w:r>
      <w:r>
        <w:t xml:space="preserve"> </w:t>
      </w:r>
      <w:r>
        <w:rPr>
          <w:iCs/>
          <w:i/>
        </w:rPr>
        <w:t xml:space="preserve">J Clin Psychopharmacol</w:t>
      </w:r>
      <w:r>
        <w:t xml:space="preserve"> </w:t>
      </w:r>
      <w:r>
        <w:t xml:space="preserve">· The Effect of Intranasal Oxytocin in Patients With Functional Motor Symptoms: A Preliminary Open-Label Case Series. PMID 32604129</w:t>
      </w:r>
    </w:p>
    <w:p>
      <w:pPr>
        <w:numPr>
          <w:ilvl w:val="0"/>
          <w:numId w:val="1419"/>
        </w:numPr>
        <w:pStyle w:val="Compact"/>
      </w:pPr>
      <w:r>
        <w:t xml:space="preserve">2020 · Martins D ·</w:t>
      </w:r>
      <w:r>
        <w:t xml:space="preserve"> </w:t>
      </w:r>
      <w:r>
        <w:rPr>
          <w:iCs/>
          <w:i/>
        </w:rPr>
        <w:t xml:space="preserve">Transl Psychiatry</w:t>
      </w:r>
      <w:r>
        <w:t xml:space="preserve"> </w:t>
      </w:r>
      <w:r>
        <w:t xml:space="preserve">· Investigating resting brain perfusion abnormalities and disease target-engagement by intranasal oxytocin in women with bulimia nervosa and binge-eating disorder and healthy controls. PMID 32513936</w:t>
      </w:r>
    </w:p>
    <w:p>
      <w:pPr>
        <w:numPr>
          <w:ilvl w:val="0"/>
          <w:numId w:val="1419"/>
        </w:numPr>
        <w:pStyle w:val="Compact"/>
      </w:pPr>
      <w:r>
        <w:t xml:space="preserve">2020 · Le J ·</w:t>
      </w:r>
      <w:r>
        <w:t xml:space="preserve"> </w:t>
      </w:r>
      <w:r>
        <w:rPr>
          <w:iCs/>
          <w:i/>
        </w:rPr>
        <w:t xml:space="preserve">Transl Psychiatry</w:t>
      </w:r>
      <w:r>
        <w:t xml:space="preserve"> </w:t>
      </w:r>
      <w:r>
        <w:t xml:space="preserve">· Oxytocin biases eye-gaze to dynamic and static social images and the eyes of fearful faces: associations with trait autism. PMID 32398642</w:t>
      </w:r>
    </w:p>
    <w:p>
      <w:pPr>
        <w:numPr>
          <w:ilvl w:val="0"/>
          <w:numId w:val="1419"/>
        </w:numPr>
        <w:pStyle w:val="Compact"/>
      </w:pPr>
      <w:r>
        <w:t xml:space="preserve">2020 · Sherman BJ ·</w:t>
      </w:r>
      <w:r>
        <w:t xml:space="preserve"> </w:t>
      </w:r>
      <w:r>
        <w:rPr>
          <w:iCs/>
          <w:i/>
        </w:rPr>
        <w:t xml:space="preserve">Psychopharmacology (Berl)</w:t>
      </w:r>
      <w:r>
        <w:t xml:space="preserve"> </w:t>
      </w:r>
      <w:r>
        <w:t xml:space="preserve">· The effect of oxytocin, gender, and ovarian hormones on stress reactivity in individuals with cocaine use disorder. PMID 32388622</w:t>
      </w:r>
    </w:p>
    <w:p>
      <w:pPr>
        <w:numPr>
          <w:ilvl w:val="0"/>
          <w:numId w:val="1419"/>
        </w:numPr>
        <w:pStyle w:val="Compact"/>
      </w:pPr>
      <w:r>
        <w:t xml:space="preserve">2020 · Pfeifer AC ·</w:t>
      </w:r>
      <w:r>
        <w:t xml:space="preserve"> </w:t>
      </w:r>
      <w:r>
        <w:rPr>
          <w:iCs/>
          <w:i/>
        </w:rPr>
        <w:t xml:space="preserve">Mol Pain</w:t>
      </w:r>
      <w:r>
        <w:t xml:space="preserve"> </w:t>
      </w:r>
      <w:r>
        <w:t xml:space="preserve">· Oxytocin and positive couple interaction affect the perception of wound pain in everyday life. PMID 32308117</w:t>
      </w:r>
    </w:p>
    <w:p>
      <w:pPr>
        <w:numPr>
          <w:ilvl w:val="0"/>
          <w:numId w:val="1419"/>
        </w:numPr>
        <w:pStyle w:val="Compact"/>
      </w:pPr>
      <w:r>
        <w:t xml:space="preserve">2020 · Sabino ADV ·</w:t>
      </w:r>
      <w:r>
        <w:t xml:space="preserve"> </w:t>
      </w:r>
      <w:r>
        <w:rPr>
          <w:iCs/>
          <w:i/>
        </w:rPr>
        <w:t xml:space="preserve">Psychopharmacology (Berl)</w:t>
      </w:r>
      <w:r>
        <w:t xml:space="preserve"> </w:t>
      </w:r>
      <w:r>
        <w:t xml:space="preserve">· Acute effects of oxytocin in music performance anxiety: a crossover, randomized, placebo-controlled trial. PMID 32123973</w:t>
      </w:r>
    </w:p>
    <w:p>
      <w:pPr>
        <w:numPr>
          <w:ilvl w:val="0"/>
          <w:numId w:val="1419"/>
        </w:numPr>
        <w:pStyle w:val="Compact"/>
      </w:pPr>
      <w:r>
        <w:t xml:space="preserve">2020 · Wu Q ·</w:t>
      </w:r>
      <w:r>
        <w:t xml:space="preserve"> </w:t>
      </w:r>
      <w:r>
        <w:rPr>
          <w:iCs/>
          <w:i/>
        </w:rPr>
        <w:t xml:space="preserve">Psychoneuroendocrinology</w:t>
      </w:r>
      <w:r>
        <w:t xml:space="preserve"> </w:t>
      </w:r>
      <w:r>
        <w:t xml:space="preserve">· Oxytocin alters the effect of payoff but not base rate in emotion perception. PMID 32070797</w:t>
      </w:r>
    </w:p>
    <w:p>
      <w:pPr>
        <w:numPr>
          <w:ilvl w:val="0"/>
          <w:numId w:val="1419"/>
        </w:numPr>
        <w:pStyle w:val="Compact"/>
      </w:pPr>
      <w:r>
        <w:t xml:space="preserve">2020 · Melby K ·</w:t>
      </w:r>
      <w:r>
        <w:t xml:space="preserve"> </w:t>
      </w:r>
      <w:r>
        <w:rPr>
          <w:iCs/>
          <w:i/>
        </w:rPr>
        <w:t xml:space="preserve">PLoS One</w:t>
      </w:r>
      <w:r>
        <w:t xml:space="preserve"> </w:t>
      </w:r>
      <w:r>
        <w:t xml:space="preserve">· Actigraphy assessment of motor activity and sleep in patients with alcohol withdrawal syndrome and the effects of intranasal oxytocin. PMID 32053696</w:t>
      </w:r>
    </w:p>
    <w:p>
      <w:pPr>
        <w:numPr>
          <w:ilvl w:val="0"/>
          <w:numId w:val="1419"/>
        </w:numPr>
        <w:pStyle w:val="Compact"/>
      </w:pPr>
      <w:r>
        <w:t xml:space="preserve">2020 · Agurto C ·</w:t>
      </w:r>
      <w:r>
        <w:t xml:space="preserve"> </w:t>
      </w:r>
      <w:r>
        <w:rPr>
          <w:iCs/>
          <w:i/>
        </w:rPr>
        <w:t xml:space="preserve">Neuropsychopharmacology</w:t>
      </w:r>
      <w:r>
        <w:t xml:space="preserve"> </w:t>
      </w:r>
      <w:r>
        <w:t xml:space="preserve">· Detection of acute 3,4-methylenedioxymethamphetamine (MDMA) effects across protocols using automated natural language processing. PMID 31978933</w:t>
      </w:r>
    </w:p>
    <w:p>
      <w:pPr>
        <w:numPr>
          <w:ilvl w:val="0"/>
          <w:numId w:val="1419"/>
        </w:numPr>
        <w:pStyle w:val="Compact"/>
      </w:pPr>
      <w:r>
        <w:t xml:space="preserve">2020 · Bernaerts S ·</w:t>
      </w:r>
      <w:r>
        <w:t xml:space="preserve"> </w:t>
      </w:r>
      <w:r>
        <w:rPr>
          <w:iCs/>
          <w:i/>
        </w:rPr>
        <w:t xml:space="preserve">Mol Autism</w:t>
      </w:r>
      <w:r>
        <w:t xml:space="preserve"> </w:t>
      </w:r>
      <w:r>
        <w:t xml:space="preserve">· Behavioral effects of multiple-dose oxytocin treatment in autism: a randomized, placebo-controlled trial with long-term follow-up. PMID 31969977</w:t>
      </w:r>
    </w:p>
    <w:p>
      <w:pPr>
        <w:numPr>
          <w:ilvl w:val="0"/>
          <w:numId w:val="1419"/>
        </w:numPr>
        <w:pStyle w:val="Compact"/>
      </w:pPr>
      <w:r>
        <w:t xml:space="preserve">2020 · Sindermann C ·</w:t>
      </w:r>
      <w:r>
        <w:t xml:space="preserve"> </w:t>
      </w:r>
      <w:r>
        <w:rPr>
          <w:iCs/>
          <w:i/>
        </w:rPr>
        <w:t xml:space="preserve">Brain Behav</w:t>
      </w:r>
      <w:r>
        <w:t xml:space="preserve"> </w:t>
      </w:r>
      <w:r>
        <w:t xml:space="preserve">· The role of oxytocin on self-serving lying. PMID 31930678</w:t>
      </w:r>
    </w:p>
    <w:p>
      <w:pPr>
        <w:numPr>
          <w:ilvl w:val="0"/>
          <w:numId w:val="1419"/>
        </w:numPr>
        <w:pStyle w:val="Compact"/>
      </w:pPr>
      <w:r>
        <w:t xml:space="preserve">2020 · McClure EA ·</w:t>
      </w:r>
      <w:r>
        <w:t xml:space="preserve"> </w:t>
      </w:r>
      <w:r>
        <w:rPr>
          <w:iCs/>
          <w:i/>
        </w:rPr>
        <w:t xml:space="preserve">Psychopharmacology (Berl)</w:t>
      </w:r>
      <w:r>
        <w:t xml:space="preserve"> </w:t>
      </w:r>
      <w:r>
        <w:t xml:space="preserve">· The influence of gender and oxytocin on stress reactivity, cigarette craving, and smoking in a randomized, placebo-controlled laboratory relapse paradigm. PMID 31792646</w:t>
      </w:r>
    </w:p>
    <w:p>
      <w:pPr>
        <w:numPr>
          <w:ilvl w:val="0"/>
          <w:numId w:val="1419"/>
        </w:numPr>
        <w:pStyle w:val="Compact"/>
      </w:pPr>
      <w:r>
        <w:t xml:space="preserve">2020 · Lieberz J ·</w:t>
      </w:r>
      <w:r>
        <w:t xml:space="preserve"> </w:t>
      </w:r>
      <w:r>
        <w:rPr>
          <w:iCs/>
          <w:i/>
        </w:rPr>
        <w:t xml:space="preserve">Neuropsychopharmacology</w:t>
      </w:r>
      <w:r>
        <w:t xml:space="preserve"> </w:t>
      </w:r>
      <w:r>
        <w:t xml:space="preserve">· Kinetics of oxytocin effects on amygdala and striatal reactivity vary between women and men. PMID 31785587</w:t>
      </w:r>
    </w:p>
    <w:p>
      <w:pPr>
        <w:numPr>
          <w:ilvl w:val="0"/>
          <w:numId w:val="1419"/>
        </w:numPr>
        <w:pStyle w:val="Compact"/>
      </w:pPr>
      <w:r>
        <w:t xml:space="preserve">2020 · Verhees MWFT ·</w:t>
      </w:r>
      <w:r>
        <w:t xml:space="preserve"> </w:t>
      </w:r>
      <w:r>
        <w:rPr>
          <w:iCs/>
          <w:i/>
        </w:rPr>
        <w:t xml:space="preserve">J Behav Ther Exp Psychiatry</w:t>
      </w:r>
      <w:r>
        <w:t xml:space="preserve"> </w:t>
      </w:r>
      <w:r>
        <w:t xml:space="preserve">· Combining oxytocin and cognitive bias modification training in a randomized controlled trial: Effects on trust in maternal support. PMID 31610435</w:t>
      </w:r>
    </w:p>
    <w:p>
      <w:pPr>
        <w:numPr>
          <w:ilvl w:val="0"/>
          <w:numId w:val="1419"/>
        </w:numPr>
        <w:pStyle w:val="Compact"/>
      </w:pPr>
      <w:r>
        <w:t xml:space="preserve">2020 · Zhao W ·</w:t>
      </w:r>
      <w:r>
        <w:t xml:space="preserve"> </w:t>
      </w:r>
      <w:r>
        <w:rPr>
          <w:iCs/>
          <w:i/>
        </w:rPr>
        <w:t xml:space="preserve">Prog Neuropsychopharmacol Biol Psychiatry</w:t>
      </w:r>
      <w:r>
        <w:t xml:space="preserve"> </w:t>
      </w:r>
      <w:r>
        <w:t xml:space="preserve">· Oxytocin modulation of self-referential processing is partly replicable and sensitive to oxytocin receptor genotype. PMID 31415827</w:t>
      </w:r>
    </w:p>
    <w:p>
      <w:pPr>
        <w:numPr>
          <w:ilvl w:val="0"/>
          <w:numId w:val="1419"/>
        </w:numPr>
        <w:pStyle w:val="Compact"/>
      </w:pPr>
      <w:r>
        <w:t xml:space="preserve">2020 · Van Hedger K ·</w:t>
      </w:r>
      <w:r>
        <w:t xml:space="preserve"> </w:t>
      </w:r>
      <w:r>
        <w:rPr>
          <w:iCs/>
          <w:i/>
        </w:rPr>
        <w:t xml:space="preserve">Nicotine Tob Res</w:t>
      </w:r>
      <w:r>
        <w:t xml:space="preserve"> </w:t>
      </w:r>
      <w:r>
        <w:t xml:space="preserve">· Effects of Intranasal Oxytocin on Stress-Induced Cigarette Craving in Daily Smokers. PMID 30085292</w:t>
      </w:r>
    </w:p>
    <w:p>
      <w:pPr>
        <w:numPr>
          <w:ilvl w:val="0"/>
          <w:numId w:val="1419"/>
        </w:numPr>
        <w:pStyle w:val="Compact"/>
      </w:pPr>
      <w:r>
        <w:t xml:space="preserve">2020 · Yamasue H ·</w:t>
      </w:r>
      <w:r>
        <w:t xml:space="preserve"> </w:t>
      </w:r>
      <w:r>
        <w:rPr>
          <w:iCs/>
          <w:i/>
        </w:rPr>
        <w:t xml:space="preserve">Mol Psychiatry</w:t>
      </w:r>
      <w:r>
        <w:t xml:space="preserve"> </w:t>
      </w:r>
      <w:r>
        <w:t xml:space="preserve">· Effect of intranasal oxytocin on the core social symptoms of autism spectrum disorder: a randomized clinical trial. PMID 29955161</w:t>
      </w:r>
    </w:p>
    <w:p>
      <w:pPr>
        <w:numPr>
          <w:ilvl w:val="0"/>
          <w:numId w:val="1419"/>
        </w:numPr>
        <w:pStyle w:val="Compact"/>
      </w:pPr>
      <w:r>
        <w:t xml:space="preserve">2019 · Domes G ·</w:t>
      </w:r>
      <w:r>
        <w:t xml:space="preserve"> </w:t>
      </w:r>
      <w:r>
        <w:rPr>
          <w:iCs/>
          <w:i/>
        </w:rPr>
        <w:t xml:space="preserve">Transl Psychiatry</w:t>
      </w:r>
      <w:r>
        <w:t xml:space="preserve"> </w:t>
      </w:r>
      <w:r>
        <w:t xml:space="preserve">· Effects of intranasal oxytocin administration on empathy and approach motivation in women with borderline personality disorder: a randomized controlled trial. PMID 31801937</w:t>
      </w:r>
    </w:p>
    <w:p>
      <w:pPr>
        <w:numPr>
          <w:ilvl w:val="0"/>
          <w:numId w:val="1419"/>
        </w:numPr>
        <w:pStyle w:val="Compact"/>
      </w:pPr>
      <w:r>
        <w:t xml:space="preserve">2019 · Burmester V ·</w:t>
      </w:r>
      <w:r>
        <w:t xml:space="preserve"> </w:t>
      </w:r>
      <w:r>
        <w:rPr>
          <w:iCs/>
          <w:i/>
        </w:rPr>
        <w:t xml:space="preserve">Physiol Behav</w:t>
      </w:r>
      <w:r>
        <w:t xml:space="preserve"> </w:t>
      </w:r>
      <w:r>
        <w:t xml:space="preserve">· Oxytocin reduces post-stress sweet snack intake in women without attenuating salivary cortisol. PMID 31628930</w:t>
      </w:r>
    </w:p>
    <w:p>
      <w:pPr>
        <w:numPr>
          <w:ilvl w:val="0"/>
          <w:numId w:val="1419"/>
        </w:numPr>
        <w:pStyle w:val="Compact"/>
      </w:pPr>
      <w:r>
        <w:t xml:space="preserve">2019 · Stauffer CS ·</w:t>
      </w:r>
      <w:r>
        <w:t xml:space="preserve"> </w:t>
      </w:r>
      <w:r>
        <w:rPr>
          <w:iCs/>
          <w:i/>
        </w:rPr>
        <w:t xml:space="preserve">Alcohol Clin Exp Res</w:t>
      </w:r>
      <w:r>
        <w:t xml:space="preserve"> </w:t>
      </w:r>
      <w:r>
        <w:t xml:space="preserve">· Effects of Oxytocin Administration on Cue-Induced Craving in Co-occurring Alcohol Use Disorder and PTSD: A Within-Participant Randomized Clinical Trial. PMID 31610033</w:t>
      </w:r>
    </w:p>
    <w:p>
      <w:pPr>
        <w:numPr>
          <w:ilvl w:val="0"/>
          <w:numId w:val="1419"/>
        </w:numPr>
        <w:pStyle w:val="Compact"/>
      </w:pPr>
      <w:r>
        <w:t xml:space="preserve">2019 · Bradley ER ·</w:t>
      </w:r>
      <w:r>
        <w:t xml:space="preserve"> </w:t>
      </w:r>
      <w:r>
        <w:rPr>
          <w:iCs/>
          <w:i/>
        </w:rPr>
        <w:t xml:space="preserve">Schizophr Res</w:t>
      </w:r>
      <w:r>
        <w:t xml:space="preserve"> </w:t>
      </w:r>
      <w:r>
        <w:t xml:space="preserve">· Oxytocin increases eye gaze in schizophrenia. PMID 31416746</w:t>
      </w:r>
    </w:p>
    <w:p>
      <w:pPr>
        <w:numPr>
          <w:ilvl w:val="0"/>
          <w:numId w:val="1419"/>
        </w:numPr>
        <w:pStyle w:val="Compact"/>
      </w:pPr>
      <w:r>
        <w:t xml:space="preserve">2019 · Fragkaki I ·</w:t>
      </w:r>
      <w:r>
        <w:t xml:space="preserve"> </w:t>
      </w:r>
      <w:r>
        <w:rPr>
          <w:iCs/>
          <w:i/>
        </w:rPr>
        <w:t xml:space="preserve">Horm Behav</w:t>
      </w:r>
      <w:r>
        <w:t xml:space="preserve"> </w:t>
      </w:r>
      <w:r>
        <w:t xml:space="preserve">· The effect of oxytocin administration on empathy and emotion recognition in residential youth: A randomized, within-subjects trial. PMID 31351105</w:t>
      </w:r>
    </w:p>
    <w:p>
      <w:pPr>
        <w:numPr>
          <w:ilvl w:val="0"/>
          <w:numId w:val="1419"/>
        </w:numPr>
        <w:pStyle w:val="Compact"/>
      </w:pPr>
      <w:r>
        <w:t xml:space="preserve">2019 · Bozorgmehr A ·</w:t>
      </w:r>
      <w:r>
        <w:t xml:space="preserve"> </w:t>
      </w:r>
      <w:r>
        <w:rPr>
          <w:iCs/>
          <w:i/>
        </w:rPr>
        <w:t xml:space="preserve">Neurosci Lett</w:t>
      </w:r>
      <w:r>
        <w:t xml:space="preserve"> </w:t>
      </w:r>
      <w:r>
        <w:t xml:space="preserve">· Oxytocin moderates risky decision-making during the Iowa Gambling Task: A new insight based on the role of oxytocin receptor gene polymorphisms and interventional cognitive study. PMID 31200092</w:t>
      </w:r>
    </w:p>
    <w:p>
      <w:pPr>
        <w:numPr>
          <w:ilvl w:val="0"/>
          <w:numId w:val="1419"/>
        </w:numPr>
        <w:pStyle w:val="Compact"/>
      </w:pPr>
      <w:r>
        <w:t xml:space="preserve">2019 · Grace SA ·</w:t>
      </w:r>
      <w:r>
        <w:t xml:space="preserve"> </w:t>
      </w:r>
      <w:r>
        <w:rPr>
          <w:iCs/>
          <w:i/>
        </w:rPr>
        <w:t xml:space="preserve">Psychoneuroendocrinology</w:t>
      </w:r>
      <w:r>
        <w:t xml:space="preserve"> </w:t>
      </w:r>
      <w:r>
        <w:t xml:space="preserve">· Intranasal oxytocin alters amygdala-temporal resting-state functional connectivity in body dysmorphic disorder: A double-blind placebo-controlled randomized trial. PMID 31146138</w:t>
      </w:r>
    </w:p>
    <w:p>
      <w:pPr>
        <w:numPr>
          <w:ilvl w:val="0"/>
          <w:numId w:val="1419"/>
        </w:numPr>
        <w:pStyle w:val="Compact"/>
      </w:pPr>
      <w:r>
        <w:t xml:space="preserve">2019 · Tabak BA ·</w:t>
      </w:r>
      <w:r>
        <w:t xml:space="preserve"> </w:t>
      </w:r>
      <w:r>
        <w:rPr>
          <w:iCs/>
          <w:i/>
        </w:rPr>
        <w:t xml:space="preserve">Psychoneuroendocrinology</w:t>
      </w:r>
      <w:r>
        <w:t xml:space="preserve"> </w:t>
      </w:r>
      <w:r>
        <w:t xml:space="preserve">· Null results of oxytocin and vasopressin administration across a range of social cognitive and behavioral paradigms: Evidence from a randomized controlled trial. PMID 31128568</w:t>
      </w:r>
    </w:p>
    <w:p>
      <w:pPr>
        <w:numPr>
          <w:ilvl w:val="0"/>
          <w:numId w:val="1419"/>
        </w:numPr>
        <w:pStyle w:val="Compact"/>
      </w:pPr>
      <w:r>
        <w:t xml:space="preserve">2019 · Petereit P ·</w:t>
      </w:r>
      <w:r>
        <w:t xml:space="preserve"> </w:t>
      </w:r>
      <w:r>
        <w:rPr>
          <w:iCs/>
          <w:i/>
        </w:rPr>
        <w:t xml:space="preserve">Biol Psychol</w:t>
      </w:r>
      <w:r>
        <w:t xml:space="preserve"> </w:t>
      </w:r>
      <w:r>
        <w:t xml:space="preserve">· Oxytocin reduces the link between neural and affective responses after social exclusion. PMID 31075364</w:t>
      </w:r>
    </w:p>
    <w:p>
      <w:pPr>
        <w:numPr>
          <w:ilvl w:val="0"/>
          <w:numId w:val="1419"/>
        </w:numPr>
        <w:pStyle w:val="Compact"/>
      </w:pPr>
      <w:r>
        <w:t xml:space="preserve">2019 · Bartz JA ·</w:t>
      </w:r>
      <w:r>
        <w:t xml:space="preserve"> </w:t>
      </w:r>
      <w:r>
        <w:rPr>
          <w:iCs/>
          <w:i/>
        </w:rPr>
        <w:t xml:space="preserve">Biol Psychiatry Cogn Neurosci Neuroimaging</w:t>
      </w:r>
      <w:r>
        <w:t xml:space="preserve"> </w:t>
      </w:r>
      <w:r>
        <w:t xml:space="preserve">· Oxytocin Selectively Improves Empathic Accuracy: A Replication in Men and Novel Insights in Women. PMID 30954442</w:t>
      </w:r>
    </w:p>
    <w:p>
      <w:pPr>
        <w:numPr>
          <w:ilvl w:val="0"/>
          <w:numId w:val="1419"/>
        </w:numPr>
        <w:pStyle w:val="Compact"/>
      </w:pPr>
      <w:r>
        <w:t xml:space="preserve">2019 · Melby K ·</w:t>
      </w:r>
      <w:r>
        <w:t xml:space="preserve"> </w:t>
      </w:r>
      <w:r>
        <w:rPr>
          <w:iCs/>
          <w:i/>
        </w:rPr>
        <w:t xml:space="preserve">Drug Alcohol Depend</w:t>
      </w:r>
      <w:r>
        <w:t xml:space="preserve"> </w:t>
      </w:r>
      <w:r>
        <w:t xml:space="preserve">· Effect of intranasal oxytocin on alcohol withdrawal syndrome: A randomized placebo-controlled double-blind clinical trial. PMID 30784955</w:t>
      </w:r>
    </w:p>
    <w:p>
      <w:pPr>
        <w:numPr>
          <w:ilvl w:val="0"/>
          <w:numId w:val="1419"/>
        </w:numPr>
        <w:pStyle w:val="Compact"/>
      </w:pPr>
      <w:r>
        <w:t xml:space="preserve">2019 · Davies C ·</w:t>
      </w:r>
      <w:r>
        <w:t xml:space="preserve"> </w:t>
      </w:r>
      <w:r>
        <w:rPr>
          <w:iCs/>
          <w:i/>
        </w:rPr>
        <w:t xml:space="preserve">Neuropsychopharmacology</w:t>
      </w:r>
      <w:r>
        <w:t xml:space="preserve"> </w:t>
      </w:r>
      <w:r>
        <w:t xml:space="preserve">· Oxytocin modulates hippocampal perfusion in people at clinical high risk for psychosis. PMID 30626906</w:t>
      </w:r>
    </w:p>
    <w:p>
      <w:pPr>
        <w:numPr>
          <w:ilvl w:val="0"/>
          <w:numId w:val="1419"/>
        </w:numPr>
        <w:pStyle w:val="Compact"/>
      </w:pPr>
      <w:r>
        <w:t xml:space="preserve">2019 · Fang A ·</w:t>
      </w:r>
      <w:r>
        <w:t xml:space="preserve"> </w:t>
      </w:r>
      <w:r>
        <w:rPr>
          <w:iCs/>
          <w:i/>
        </w:rPr>
        <w:t xml:space="preserve">Depress Anxiety</w:t>
      </w:r>
      <w:r>
        <w:t xml:space="preserve"> </w:t>
      </w:r>
      <w:r>
        <w:t xml:space="preserve">· Intranasal oxytocin modulates higher order social cognition in body dysmorphic disorder. PMID 30614171</w:t>
      </w:r>
    </w:p>
    <w:p>
      <w:pPr>
        <w:numPr>
          <w:ilvl w:val="0"/>
          <w:numId w:val="1419"/>
        </w:numPr>
        <w:pStyle w:val="Compact"/>
      </w:pPr>
      <w:r>
        <w:t xml:space="preserve">2019 · Leslie M ·</w:t>
      </w:r>
      <w:r>
        <w:t xml:space="preserve"> </w:t>
      </w:r>
      <w:r>
        <w:rPr>
          <w:iCs/>
          <w:i/>
        </w:rPr>
        <w:t xml:space="preserve">Mol Cell Endocrinol</w:t>
      </w:r>
      <w:r>
        <w:t xml:space="preserve"> </w:t>
      </w:r>
      <w:r>
        <w:t xml:space="preserve">· The influence of oxytocin on eating behaviours and stress in women with bulimia nervosa and binge eating disorder. PMID 30579958</w:t>
      </w:r>
    </w:p>
    <w:p>
      <w:pPr>
        <w:numPr>
          <w:ilvl w:val="0"/>
          <w:numId w:val="1419"/>
        </w:numPr>
        <w:pStyle w:val="Compact"/>
      </w:pPr>
      <w:r>
        <w:t xml:space="preserve">2019 · Crucianelli L ·</w:t>
      </w:r>
      <w:r>
        <w:t xml:space="preserve"> </w:t>
      </w:r>
      <w:r>
        <w:rPr>
          <w:iCs/>
          <w:i/>
        </w:rPr>
        <w:t xml:space="preserve">J Cogn Neurosci</w:t>
      </w:r>
      <w:r>
        <w:t xml:space="preserve"> </w:t>
      </w:r>
      <w:r>
        <w:t xml:space="preserve">· Embodied Precision: Intranasal Oxytocin Modulates Multisensory Integration. PMID 30562138</w:t>
      </w:r>
    </w:p>
    <w:p>
      <w:pPr>
        <w:numPr>
          <w:ilvl w:val="0"/>
          <w:numId w:val="1419"/>
        </w:numPr>
        <w:pStyle w:val="Compact"/>
      </w:pPr>
      <w:r>
        <w:t xml:space="preserve">2019 · Koch SBJ ·</w:t>
      </w:r>
      <w:r>
        <w:t xml:space="preserve"> </w:t>
      </w:r>
      <w:r>
        <w:rPr>
          <w:iCs/>
          <w:i/>
        </w:rPr>
        <w:t xml:space="preserve">Eur Neuropsychopharmacol</w:t>
      </w:r>
      <w:r>
        <w:t xml:space="preserve"> </w:t>
      </w:r>
      <w:r>
        <w:t xml:space="preserve">· Effects of intranasal oxytocin on distraction as emotion regulation strategy in patients with post-traumatic stress disorder. PMID 30554861</w:t>
      </w:r>
    </w:p>
    <w:p>
      <w:pPr>
        <w:numPr>
          <w:ilvl w:val="0"/>
          <w:numId w:val="1419"/>
        </w:numPr>
        <w:pStyle w:val="Compact"/>
      </w:pPr>
      <w:r>
        <w:t xml:space="preserve">2019 · Kruppa JA ·</w:t>
      </w:r>
      <w:r>
        <w:t xml:space="preserve"> </w:t>
      </w:r>
      <w:r>
        <w:rPr>
          <w:iCs/>
          <w:i/>
        </w:rPr>
        <w:t xml:space="preserve">Neuropsychopharmacology</w:t>
      </w:r>
      <w:r>
        <w:t xml:space="preserve"> </w:t>
      </w:r>
      <w:r>
        <w:t xml:space="preserve">· Neural modulation of social reinforcement learning by intranasal oxytocin in male adults with high-functioning autism spectrum disorder: a randomized trial. PMID 30390065</w:t>
      </w:r>
    </w:p>
    <w:p>
      <w:pPr>
        <w:numPr>
          <w:ilvl w:val="0"/>
          <w:numId w:val="1419"/>
        </w:numPr>
        <w:pStyle w:val="Compact"/>
      </w:pPr>
      <w:r>
        <w:t xml:space="preserve">2019 · Flanagan JC ·</w:t>
      </w:r>
      <w:r>
        <w:t xml:space="preserve"> </w:t>
      </w:r>
      <w:r>
        <w:rPr>
          <w:iCs/>
          <w:i/>
        </w:rPr>
        <w:t xml:space="preserve">Exp Clin Psychopharmacol</w:t>
      </w:r>
      <w:r>
        <w:t xml:space="preserve"> </w:t>
      </w:r>
      <w:r>
        <w:t xml:space="preserve">· Effects of oxytocin on stress reactivity and craving in veterans with co-occurring PTSD and alcohol use disorder. PMID 30382728</w:t>
      </w:r>
    </w:p>
    <w:p>
      <w:pPr>
        <w:numPr>
          <w:ilvl w:val="0"/>
          <w:numId w:val="1419"/>
        </w:numPr>
        <w:pStyle w:val="Compact"/>
      </w:pPr>
      <w:r>
        <w:t xml:space="preserve">2019 · Eckstein M ·</w:t>
      </w:r>
      <w:r>
        <w:t xml:space="preserve"> </w:t>
      </w:r>
      <w:r>
        <w:rPr>
          <w:iCs/>
          <w:i/>
        </w:rPr>
        <w:t xml:space="preserve">Soc Neurosci</w:t>
      </w:r>
      <w:r>
        <w:t xml:space="preserve"> </w:t>
      </w:r>
      <w:r>
        <w:t xml:space="preserve">· Oxytocin increases eye-gaze towards novel social and non-social stimuli. PMID 30378456</w:t>
      </w:r>
    </w:p>
    <w:p>
      <w:pPr>
        <w:numPr>
          <w:ilvl w:val="0"/>
          <w:numId w:val="1419"/>
        </w:numPr>
        <w:pStyle w:val="Compact"/>
      </w:pPr>
      <w:r>
        <w:t xml:space="preserve">2019 · Grainger SA ·</w:t>
      </w:r>
      <w:r>
        <w:t xml:space="preserve"> </w:t>
      </w:r>
      <w:r>
        <w:rPr>
          <w:iCs/>
          <w:i/>
        </w:rPr>
        <w:t xml:space="preserve">J Psychopharmacol</w:t>
      </w:r>
      <w:r>
        <w:t xml:space="preserve"> </w:t>
      </w:r>
      <w:r>
        <w:t xml:space="preserve">· Intranasal oxytocin does not alter initial perceptions of facial trustworthiness in younger or older adults. PMID 30326770</w:t>
      </w:r>
    </w:p>
    <w:p>
      <w:pPr>
        <w:numPr>
          <w:ilvl w:val="0"/>
          <w:numId w:val="1419"/>
        </w:numPr>
        <w:pStyle w:val="Compact"/>
      </w:pPr>
      <w:r>
        <w:t xml:space="preserve">2019 · Quintana DS ·</w:t>
      </w:r>
      <w:r>
        <w:t xml:space="preserve"> </w:t>
      </w:r>
      <w:r>
        <w:rPr>
          <w:iCs/>
          <w:i/>
        </w:rPr>
        <w:t xml:space="preserve">Neuropsychopharmacology</w:t>
      </w:r>
      <w:r>
        <w:t xml:space="preserve"> </w:t>
      </w:r>
      <w:r>
        <w:t xml:space="preserve">· Low-dose intranasal oxytocin delivered with Breath Powered device modulates pupil diameter and amygdala activity: a randomized controlled pupillometry and fMRI study. PMID 30323359</w:t>
      </w:r>
    </w:p>
    <w:p>
      <w:pPr>
        <w:numPr>
          <w:ilvl w:val="0"/>
          <w:numId w:val="1419"/>
        </w:numPr>
        <w:pStyle w:val="Compact"/>
      </w:pPr>
      <w:r>
        <w:t xml:space="preserve">2019 · Halverson T ·</w:t>
      </w:r>
      <w:r>
        <w:t xml:space="preserve"> </w:t>
      </w:r>
      <w:r>
        <w:rPr>
          <w:iCs/>
          <w:i/>
        </w:rPr>
        <w:t xml:space="preserve">Schizophr Res</w:t>
      </w:r>
      <w:r>
        <w:t xml:space="preserve"> </w:t>
      </w:r>
      <w:r>
        <w:t xml:space="preserve">· Effects of oxytocin on empathy, introspective accuracy, and social symptoms in schizophrenia: A 12-week twice-daily randomized controlled trial. PMID 30243853</w:t>
      </w:r>
    </w:p>
    <w:p>
      <w:pPr>
        <w:numPr>
          <w:ilvl w:val="0"/>
          <w:numId w:val="1419"/>
        </w:numPr>
        <w:pStyle w:val="Compact"/>
      </w:pPr>
      <w:r>
        <w:t xml:space="preserve">2019 · Brede S ·</w:t>
      </w:r>
      <w:r>
        <w:t xml:space="preserve"> </w:t>
      </w:r>
      <w:r>
        <w:rPr>
          <w:iCs/>
          <w:i/>
        </w:rPr>
        <w:t xml:space="preserve">Diabetes Obes Metab</w:t>
      </w:r>
      <w:r>
        <w:t xml:space="preserve"> </w:t>
      </w:r>
      <w:r>
        <w:t xml:space="preserve">· Intranasal oxytocin fails to acutely improve glucose metabolism in obese men. PMID 30203536</w:t>
      </w:r>
    </w:p>
    <w:p>
      <w:pPr>
        <w:numPr>
          <w:ilvl w:val="0"/>
          <w:numId w:val="1419"/>
        </w:numPr>
        <w:pStyle w:val="Compact"/>
      </w:pPr>
      <w:r>
        <w:t xml:space="preserve">2019 · Schwaiger M ·</w:t>
      </w:r>
      <w:r>
        <w:t xml:space="preserve"> </w:t>
      </w:r>
      <w:r>
        <w:rPr>
          <w:iCs/>
          <w:i/>
        </w:rPr>
        <w:t xml:space="preserve">Psychoneuroendocrinology</w:t>
      </w:r>
      <w:r>
        <w:t xml:space="preserve"> </w:t>
      </w:r>
      <w:r>
        <w:t xml:space="preserve">· Oxytocin administration and emotion recognition abilities in adults with a history of childhood adversity. PMID 30189345</w:t>
      </w:r>
    </w:p>
    <w:p>
      <w:pPr>
        <w:numPr>
          <w:ilvl w:val="0"/>
          <w:numId w:val="1419"/>
        </w:numPr>
        <w:pStyle w:val="Compact"/>
      </w:pPr>
      <w:r>
        <w:t xml:space="preserve">2019 · Romney C ·</w:t>
      </w:r>
      <w:r>
        <w:t xml:space="preserve"> </w:t>
      </w:r>
      <w:r>
        <w:rPr>
          <w:iCs/>
          <w:i/>
        </w:rPr>
        <w:t xml:space="preserve">Int J Psychophysiol</w:t>
      </w:r>
      <w:r>
        <w:t xml:space="preserve"> </w:t>
      </w:r>
      <w:r>
        <w:t xml:space="preserve">· Where is the love? A double-blind, randomized study of the effects of intranasal oxytocin on stress regulation and aggression. PMID 30144492</w:t>
      </w:r>
    </w:p>
    <w:p>
      <w:pPr>
        <w:numPr>
          <w:ilvl w:val="0"/>
          <w:numId w:val="1419"/>
        </w:numPr>
        <w:pStyle w:val="Compact"/>
      </w:pPr>
      <w:r>
        <w:t xml:space="preserve">2018 · Finger E ·</w:t>
      </w:r>
      <w:r>
        <w:t xml:space="preserve"> </w:t>
      </w:r>
      <w:r>
        <w:rPr>
          <w:iCs/>
          <w:i/>
        </w:rPr>
        <w:t xml:space="preserve">Alzheimers Res Ther</w:t>
      </w:r>
      <w:r>
        <w:t xml:space="preserve"> </w:t>
      </w:r>
      <w:r>
        <w:t xml:space="preserve">· Adaptive crossover designs for assessment of symptomatic treatments targeting behaviour in neurodegenerative disease: a phase 2 clinical trial of intranasal oxytocin for frontotemporal dementia (FOXY). PMID 30261917</w:t>
      </w:r>
    </w:p>
    <w:p>
      <w:pPr>
        <w:numPr>
          <w:ilvl w:val="0"/>
          <w:numId w:val="1419"/>
        </w:numPr>
        <w:pStyle w:val="Compact"/>
      </w:pPr>
      <w:r>
        <w:t xml:space="preserve">2018 · Burmester V ·</w:t>
      </w:r>
      <w:r>
        <w:t xml:space="preserve"> </w:t>
      </w:r>
      <w:r>
        <w:rPr>
          <w:iCs/>
          <w:i/>
        </w:rPr>
        <w:t xml:space="preserve">Appetite</w:t>
      </w:r>
      <w:r>
        <w:t xml:space="preserve"> </w:t>
      </w:r>
      <w:r>
        <w:t xml:space="preserve">· Rapid-onset anorectic effects of intranasal oxytocin in young men. PMID 30081055</w:t>
      </w:r>
    </w:p>
    <w:p>
      <w:pPr>
        <w:numPr>
          <w:ilvl w:val="0"/>
          <w:numId w:val="1419"/>
        </w:numPr>
        <w:pStyle w:val="Compact"/>
      </w:pPr>
      <w:r>
        <w:t xml:space="preserve">2018 · Verhees MWFT ·</w:t>
      </w:r>
      <w:r>
        <w:t xml:space="preserve"> </w:t>
      </w:r>
      <w:r>
        <w:rPr>
          <w:iCs/>
          <w:i/>
        </w:rPr>
        <w:t xml:space="preserve">Psychopharmacology (Berl)</w:t>
      </w:r>
      <w:r>
        <w:t xml:space="preserve"> </w:t>
      </w:r>
      <w:r>
        <w:t xml:space="preserve">· No side-effects of single intranasal oxytocin administration in middle childhood. PMID 29915962</w:t>
      </w:r>
    </w:p>
    <w:p>
      <w:pPr>
        <w:numPr>
          <w:ilvl w:val="0"/>
          <w:numId w:val="1419"/>
        </w:numPr>
        <w:pStyle w:val="Compact"/>
      </w:pPr>
      <w:r>
        <w:t xml:space="preserve">2018 · Quintana DS ·</w:t>
      </w:r>
      <w:r>
        <w:t xml:space="preserve"> </w:t>
      </w:r>
      <w:r>
        <w:rPr>
          <w:iCs/>
          <w:i/>
        </w:rPr>
        <w:t xml:space="preserve">Horm Behav</w:t>
      </w:r>
      <w:r>
        <w:t xml:space="preserve"> </w:t>
      </w:r>
      <w:r>
        <w:t xml:space="preserve">· Saliva oxytocin measures do not reflect peripheral plasma concentrations after intranasal oxytocin administration in men. PMID 29750971</w:t>
      </w:r>
    </w:p>
    <w:p>
      <w:pPr>
        <w:numPr>
          <w:ilvl w:val="0"/>
          <w:numId w:val="1419"/>
        </w:numPr>
        <w:pStyle w:val="Compact"/>
      </w:pPr>
      <w:r>
        <w:t xml:space="preserve">2018 · Kruger THC ·</w:t>
      </w:r>
      <w:r>
        <w:t xml:space="preserve"> </w:t>
      </w:r>
      <w:r>
        <w:rPr>
          <w:iCs/>
          <w:i/>
        </w:rPr>
        <w:t xml:space="preserve">J Clin Psychopharmacol</w:t>
      </w:r>
      <w:r>
        <w:t xml:space="preserve"> </w:t>
      </w:r>
      <w:r>
        <w:t xml:space="preserve">· Effects of Intranasal Oxytocin Administration on Sexual Functions in Healthy Women: A Laboratory Paradigm. PMID 29596150</w:t>
      </w:r>
    </w:p>
    <w:p>
      <w:pPr>
        <w:numPr>
          <w:ilvl w:val="0"/>
          <w:numId w:val="1419"/>
        </w:numPr>
        <w:pStyle w:val="Compact"/>
      </w:pPr>
      <w:r>
        <w:t xml:space="preserve">2018 · Kim YR ·</w:t>
      </w:r>
      <w:r>
        <w:t xml:space="preserve"> </w:t>
      </w:r>
      <w:r>
        <w:rPr>
          <w:iCs/>
          <w:i/>
        </w:rPr>
        <w:t xml:space="preserve">Psychoneuroendocrinology</w:t>
      </w:r>
      <w:r>
        <w:t xml:space="preserve"> </w:t>
      </w:r>
      <w:r>
        <w:t xml:space="preserve">· Effects of intranasal oxytocin on the attentional bias to emotional stimuli in patients with bulimia nervosa. PMID 29529522</w:t>
      </w:r>
    </w:p>
    <w:p>
      <w:pPr>
        <w:numPr>
          <w:ilvl w:val="0"/>
          <w:numId w:val="1419"/>
        </w:numPr>
        <w:pStyle w:val="Compact"/>
      </w:pPr>
      <w:r>
        <w:t xml:space="preserve">2018 · Warren KR ·</w:t>
      </w:r>
      <w:r>
        <w:t xml:space="preserve"> </w:t>
      </w:r>
      <w:r>
        <w:rPr>
          <w:iCs/>
          <w:i/>
        </w:rPr>
        <w:t xml:space="preserve">Physiol Behav</w:t>
      </w:r>
      <w:r>
        <w:t xml:space="preserve"> </w:t>
      </w:r>
      <w:r>
        <w:t xml:space="preserve">· Effects of intranasal oxytocin on satiety signaling in people with schizophrenia. PMID 29524451</w:t>
      </w:r>
    </w:p>
    <w:p>
      <w:pPr>
        <w:numPr>
          <w:ilvl w:val="0"/>
          <w:numId w:val="1419"/>
        </w:numPr>
        <w:pStyle w:val="Compact"/>
      </w:pPr>
      <w:r>
        <w:t xml:space="preserve">2018 · Grainger SA ·</w:t>
      </w:r>
      <w:r>
        <w:t xml:space="preserve"> </w:t>
      </w:r>
      <w:r>
        <w:rPr>
          <w:iCs/>
          <w:i/>
        </w:rPr>
        <w:t xml:space="preserve">Horm Behav</w:t>
      </w:r>
      <w:r>
        <w:t xml:space="preserve"> </w:t>
      </w:r>
      <w:r>
        <w:t xml:space="preserve">· Intranasal oxytocin does not reduce age-related difficulties in social cognition. PMID 29408521</w:t>
      </w:r>
    </w:p>
    <w:p>
      <w:pPr>
        <w:numPr>
          <w:ilvl w:val="0"/>
          <w:numId w:val="1419"/>
        </w:numPr>
        <w:pStyle w:val="Compact"/>
      </w:pPr>
      <w:r>
        <w:t xml:space="preserve">2018 · Schumacher S ·</w:t>
      </w:r>
      <w:r>
        <w:t xml:space="preserve"> </w:t>
      </w:r>
      <w:r>
        <w:rPr>
          <w:iCs/>
          <w:i/>
        </w:rPr>
        <w:t xml:space="preserve">PLoS One</w:t>
      </w:r>
      <w:r>
        <w:t xml:space="preserve"> </w:t>
      </w:r>
      <w:r>
        <w:t xml:space="preserve">· Does trait anxiety influence effects of oxytocin on eye-blink startle reactivity? A randomized, double-blind, placebo-controlled crossover study. PMID 29300752</w:t>
      </w:r>
    </w:p>
    <w:p>
      <w:pPr>
        <w:numPr>
          <w:ilvl w:val="0"/>
          <w:numId w:val="1419"/>
        </w:numPr>
        <w:pStyle w:val="Compact"/>
      </w:pPr>
      <w:r>
        <w:t xml:space="preserve">2018 · Flanagan JC ·</w:t>
      </w:r>
      <w:r>
        <w:t xml:space="preserve"> </w:t>
      </w:r>
      <w:r>
        <w:rPr>
          <w:iCs/>
          <w:i/>
        </w:rPr>
        <w:t xml:space="preserve">J Psychiatr Res</w:t>
      </w:r>
      <w:r>
        <w:t xml:space="preserve"> </w:t>
      </w:r>
      <w:r>
        <w:t xml:space="preserve">· Augmenting Prolonged Exposure therapy for PTSD with intranasal oxytocin: A randomized, placebo-controlled pilot trial. PMID 29294429</w:t>
      </w:r>
    </w:p>
    <w:p>
      <w:pPr>
        <w:numPr>
          <w:ilvl w:val="0"/>
          <w:numId w:val="1419"/>
        </w:numPr>
        <w:pStyle w:val="Compact"/>
      </w:pPr>
      <w:r>
        <w:t xml:space="preserve">2018 · Ota M ·</w:t>
      </w:r>
      <w:r>
        <w:t xml:space="preserve"> </w:t>
      </w:r>
      <w:r>
        <w:rPr>
          <w:iCs/>
          <w:i/>
        </w:rPr>
        <w:t xml:space="preserve">Postgrad Med</w:t>
      </w:r>
      <w:r>
        <w:t xml:space="preserve"> </w:t>
      </w:r>
      <w:r>
        <w:t xml:space="preserve">· The effects of adjunctive intranasal oxytocin in patients with schizophrenia. PMID 29105546</w:t>
      </w:r>
    </w:p>
    <w:p>
      <w:pPr>
        <w:numPr>
          <w:ilvl w:val="0"/>
          <w:numId w:val="1419"/>
        </w:numPr>
        <w:pStyle w:val="Compact"/>
      </w:pPr>
      <w:r>
        <w:t xml:space="preserve">2018 · Hansson AC ·</w:t>
      </w:r>
      <w:r>
        <w:t xml:space="preserve"> </w:t>
      </w:r>
      <w:r>
        <w:rPr>
          <w:iCs/>
          <w:i/>
        </w:rPr>
        <w:t xml:space="preserve">Neuropsychopharmacology</w:t>
      </w:r>
      <w:r>
        <w:t xml:space="preserve"> </w:t>
      </w:r>
      <w:r>
        <w:t xml:space="preserve">· Oxytocin Reduces Alcohol Cue-Reactivity in Alcohol-Dependent Rats and Humans. PMID 29090683</w:t>
      </w:r>
    </w:p>
    <w:p>
      <w:pPr>
        <w:numPr>
          <w:ilvl w:val="0"/>
          <w:numId w:val="1419"/>
        </w:numPr>
        <w:pStyle w:val="Compact"/>
      </w:pPr>
      <w:r>
        <w:t xml:space="preserve">2018 · Russell J ·</w:t>
      </w:r>
      <w:r>
        <w:t xml:space="preserve"> </w:t>
      </w:r>
      <w:r>
        <w:rPr>
          <w:iCs/>
          <w:i/>
        </w:rPr>
        <w:t xml:space="preserve">Psychoneuroendocrinology</w:t>
      </w:r>
      <w:r>
        <w:t xml:space="preserve"> </w:t>
      </w:r>
      <w:r>
        <w:t xml:space="preserve">· Intranasal oxytocin in the treatment of anorexia nervosa: Randomized controlled trial during re-feeding. PMID 29049935</w:t>
      </w:r>
    </w:p>
    <w:p>
      <w:pPr>
        <w:numPr>
          <w:ilvl w:val="0"/>
          <w:numId w:val="1419"/>
        </w:numPr>
        <w:pStyle w:val="Compact"/>
      </w:pPr>
      <w:r>
        <w:t xml:space="preserve">2018 · Rutherford HJV ·</w:t>
      </w:r>
      <w:r>
        <w:t xml:space="preserve"> </w:t>
      </w:r>
      <w:r>
        <w:rPr>
          <w:iCs/>
          <w:i/>
        </w:rPr>
        <w:t xml:space="preserve">Int J Psychophysiol</w:t>
      </w:r>
      <w:r>
        <w:t xml:space="preserve"> </w:t>
      </w:r>
      <w:r>
        <w:t xml:space="preserve">· Intranasal oxytocin decreases cross-frequency coupling of neural oscillations at rest. PMID 28965930</w:t>
      </w:r>
    </w:p>
    <w:p>
      <w:pPr>
        <w:numPr>
          <w:ilvl w:val="0"/>
          <w:numId w:val="1419"/>
        </w:numPr>
        <w:pStyle w:val="Compact"/>
      </w:pPr>
      <w:r>
        <w:t xml:space="preserve">2018 · Labuschagne I ·</w:t>
      </w:r>
      <w:r>
        <w:t xml:space="preserve"> </w:t>
      </w:r>
      <w:r>
        <w:rPr>
          <w:iCs/>
          <w:i/>
        </w:rPr>
        <w:t xml:space="preserve">Prog Neuropsychopharmacol Biol Psychiatry</w:t>
      </w:r>
      <w:r>
        <w:t xml:space="preserve"> </w:t>
      </w:r>
      <w:r>
        <w:t xml:space="preserve">· Oxytocin selectively modulates brain processing of disgust in Huntington’s disease gene carriers. PMID 28947180</w:t>
      </w:r>
    </w:p>
    <w:p>
      <w:pPr>
        <w:numPr>
          <w:ilvl w:val="0"/>
          <w:numId w:val="1419"/>
        </w:numPr>
        <w:pStyle w:val="Compact"/>
      </w:pPr>
      <w:r>
        <w:t xml:space="preserve">2018 · Plessow F ·</w:t>
      </w:r>
      <w:r>
        <w:t xml:space="preserve"> </w:t>
      </w:r>
      <w:r>
        <w:rPr>
          <w:iCs/>
          <w:i/>
        </w:rPr>
        <w:t xml:space="preserve">Neuropsychopharmacology</w:t>
      </w:r>
      <w:r>
        <w:t xml:space="preserve"> </w:t>
      </w:r>
      <w:r>
        <w:t xml:space="preserve">· Effects of Intranasal Oxytocin on the Blood Oxygenation Level-Dependent Signal in Food Motivation and Cognitive Control Pathways in Overweight and Obese Men. PMID 28930284</w:t>
      </w:r>
    </w:p>
    <w:p>
      <w:pPr>
        <w:numPr>
          <w:ilvl w:val="0"/>
          <w:numId w:val="1419"/>
        </w:numPr>
        <w:pStyle w:val="Compact"/>
      </w:pPr>
      <w:r>
        <w:t xml:space="preserve">2018 · Tracy LM ·</w:t>
      </w:r>
      <w:r>
        <w:t xml:space="preserve"> </w:t>
      </w:r>
      <w:r>
        <w:rPr>
          <w:iCs/>
          <w:i/>
        </w:rPr>
        <w:t xml:space="preserve">Prog Neuropsychopharmacol Biol Psychiatry</w:t>
      </w:r>
      <w:r>
        <w:t xml:space="preserve"> </w:t>
      </w:r>
      <w:r>
        <w:t xml:space="preserve">· Intranasal oxytocin reduces heart rate variability during a mental arithmetic task: A randomised, double-blind, placebo-controlled cross-over study. PMID 28844717</w:t>
      </w:r>
    </w:p>
    <w:p>
      <w:pPr>
        <w:numPr>
          <w:ilvl w:val="0"/>
          <w:numId w:val="1419"/>
        </w:numPr>
        <w:pStyle w:val="Compact"/>
      </w:pPr>
      <w:r>
        <w:t xml:space="preserve">2018 · Strathearn L ·</w:t>
      </w:r>
      <w:r>
        <w:t xml:space="preserve"> </w:t>
      </w:r>
      <w:r>
        <w:rPr>
          <w:iCs/>
          <w:i/>
        </w:rPr>
        <w:t xml:space="preserve">Dev Psychopathol</w:t>
      </w:r>
      <w:r>
        <w:t xml:space="preserve"> </w:t>
      </w:r>
      <w:r>
        <w:t xml:space="preserve">· Visual systemizing preference in children with autism: A randomized controlled trial of intranasal oxytocin. PMID 28712371</w:t>
      </w:r>
    </w:p>
    <w:p>
      <w:pPr>
        <w:numPr>
          <w:ilvl w:val="0"/>
          <w:numId w:val="1419"/>
        </w:numPr>
        <w:pStyle w:val="Compact"/>
      </w:pPr>
      <w:r>
        <w:t xml:space="preserve">2017 · Tollenaar MS ·</w:t>
      </w:r>
      <w:r>
        <w:t xml:space="preserve"> </w:t>
      </w:r>
      <w:r>
        <w:rPr>
          <w:iCs/>
          <w:i/>
        </w:rPr>
        <w:t xml:space="preserve">Psychopharmacology (Berl)</w:t>
      </w:r>
      <w:r>
        <w:t xml:space="preserve"> </w:t>
      </w:r>
      <w:r>
        <w:t xml:space="preserve">· Does oxytocin lead to emotional interference during a working memory paradigm?. PMID 28913643</w:t>
      </w:r>
    </w:p>
    <w:p>
      <w:pPr>
        <w:numPr>
          <w:ilvl w:val="0"/>
          <w:numId w:val="1419"/>
        </w:numPr>
        <w:pStyle w:val="Compact"/>
      </w:pPr>
      <w:r>
        <w:t xml:space="preserve">2017 · Rutherford HJV ·</w:t>
      </w:r>
      <w:r>
        <w:t xml:space="preserve"> </w:t>
      </w:r>
      <w:r>
        <w:rPr>
          <w:iCs/>
          <w:i/>
        </w:rPr>
        <w:t xml:space="preserve">Biol Psychol</w:t>
      </w:r>
      <w:r>
        <w:t xml:space="preserve"> </w:t>
      </w:r>
      <w:r>
        <w:t xml:space="preserve">· Intranasal oxytocin and the neural correlates of infant face processing in non-parent women. PMID 28800972</w:t>
      </w:r>
    </w:p>
    <w:p>
      <w:pPr>
        <w:numPr>
          <w:ilvl w:val="0"/>
          <w:numId w:val="1419"/>
        </w:numPr>
        <w:pStyle w:val="Compact"/>
      </w:pPr>
      <w:r>
        <w:t xml:space="preserve">2017 · Brodmann K ·</w:t>
      </w:r>
      <w:r>
        <w:t xml:space="preserve"> </w:t>
      </w:r>
      <w:r>
        <w:rPr>
          <w:iCs/>
          <w:i/>
        </w:rPr>
        <w:t xml:space="preserve">Brain Connect</w:t>
      </w:r>
      <w:r>
        <w:t xml:space="preserve"> </w:t>
      </w:r>
      <w:r>
        <w:t xml:space="preserve">· Intranasal Oxytocin Selectively Modulates Large-Scale Brain Networks in Humans. PMID 28762756</w:t>
      </w:r>
    </w:p>
    <w:p>
      <w:pPr>
        <w:numPr>
          <w:ilvl w:val="0"/>
          <w:numId w:val="1419"/>
        </w:numPr>
        <w:pStyle w:val="Compact"/>
      </w:pPr>
      <w:r>
        <w:t xml:space="preserve">2017 · Parker KJ ·</w:t>
      </w:r>
      <w:r>
        <w:t xml:space="preserve"> </w:t>
      </w:r>
      <w:r>
        <w:rPr>
          <w:iCs/>
          <w:i/>
        </w:rPr>
        <w:t xml:space="preserve">Proc Natl Acad Sci U S A</w:t>
      </w:r>
      <w:r>
        <w:t xml:space="preserve"> </w:t>
      </w:r>
      <w:r>
        <w:t xml:space="preserve">· Intranasal oxytocin treatment for social deficits and biomarkers of response in children with autism. PMID 28696286</w:t>
      </w:r>
    </w:p>
    <w:p>
      <w:pPr>
        <w:numPr>
          <w:ilvl w:val="0"/>
          <w:numId w:val="1419"/>
        </w:numPr>
        <w:pStyle w:val="Compact"/>
      </w:pPr>
      <w:r>
        <w:t xml:space="preserve">2017 · Spengler FB ·</w:t>
      </w:r>
      <w:r>
        <w:t xml:space="preserve"> </w:t>
      </w:r>
      <w:r>
        <w:rPr>
          <w:iCs/>
          <w:i/>
        </w:rPr>
        <w:t xml:space="preserve">Biol Psychiatry</w:t>
      </w:r>
      <w:r>
        <w:t xml:space="preserve"> </w:t>
      </w:r>
      <w:r>
        <w:t xml:space="preserve">· Kinetics and Dose Dependency of Intranasal Oxytocin Effects on Amygdala Reactivity. PMID 28629540</w:t>
      </w:r>
    </w:p>
    <w:p>
      <w:pPr>
        <w:numPr>
          <w:ilvl w:val="0"/>
          <w:numId w:val="1419"/>
        </w:numPr>
        <w:pStyle w:val="Compact"/>
      </w:pPr>
      <w:r>
        <w:t xml:space="preserve">2017 · Tracy LM ·</w:t>
      </w:r>
      <w:r>
        <w:t xml:space="preserve"> </w:t>
      </w:r>
      <w:r>
        <w:rPr>
          <w:iCs/>
          <w:i/>
        </w:rPr>
        <w:t xml:space="preserve">Psychoneuroendocrinology</w:t>
      </w:r>
      <w:r>
        <w:t xml:space="preserve"> </w:t>
      </w:r>
      <w:r>
        <w:t xml:space="preserve">· Sex-specific effects of intranasal oxytocin on thermal pain perception: A randomised, double-blind, placebo-controlled cross-over study. PMID 28601750</w:t>
      </w:r>
    </w:p>
    <w:p>
      <w:pPr>
        <w:numPr>
          <w:ilvl w:val="0"/>
          <w:numId w:val="1419"/>
        </w:numPr>
        <w:pStyle w:val="Compact"/>
      </w:pPr>
      <w:r>
        <w:t xml:space="preserve">2017 · Buchanan RW ·</w:t>
      </w:r>
      <w:r>
        <w:t xml:space="preserve"> </w:t>
      </w:r>
      <w:r>
        <w:rPr>
          <w:iCs/>
          <w:i/>
        </w:rPr>
        <w:t xml:space="preserve">J Clin Psychopharmacol</w:t>
      </w:r>
      <w:r>
        <w:t xml:space="preserve"> </w:t>
      </w:r>
      <w:r>
        <w:t xml:space="preserve">· A Randomized Clinical Trial of Oxytocin or Galantamine for the Treatment of Negative Symptoms and Cognitive Impairments in People With Schizophrenia. PMID 28590362</w:t>
      </w:r>
    </w:p>
    <w:p>
      <w:pPr>
        <w:numPr>
          <w:ilvl w:val="0"/>
          <w:numId w:val="1419"/>
        </w:numPr>
        <w:pStyle w:val="Compact"/>
      </w:pPr>
      <w:r>
        <w:t xml:space="preserve">2017 · Quintana DS ·</w:t>
      </w:r>
      <w:r>
        <w:t xml:space="preserve"> </w:t>
      </w:r>
      <w:r>
        <w:rPr>
          <w:iCs/>
          <w:i/>
        </w:rPr>
        <w:t xml:space="preserve">Transl Psychiatry</w:t>
      </w:r>
      <w:r>
        <w:t xml:space="preserve"> </w:t>
      </w:r>
      <w:r>
        <w:t xml:space="preserve">· Dose-dependent social-cognitive effects of intranasal oxytocin delivered with novel Breath Powered device in adults with autism spectrum disorder: a randomized placebo-controlled double-blind crossover trial. PMID 28534875</w:t>
      </w:r>
    </w:p>
    <w:p>
      <w:pPr>
        <w:numPr>
          <w:ilvl w:val="0"/>
          <w:numId w:val="1419"/>
        </w:numPr>
        <w:pStyle w:val="Compact"/>
      </w:pPr>
      <w:r>
        <w:t xml:space="preserve">2017 · Caravaggio F ·</w:t>
      </w:r>
      <w:r>
        <w:t xml:space="preserve"> </w:t>
      </w:r>
      <w:r>
        <w:rPr>
          <w:iCs/>
          <w:i/>
        </w:rPr>
        <w:t xml:space="preserve">Psychoneuroendocrinology</w:t>
      </w:r>
      <w:r>
        <w:t xml:space="preserve"> </w:t>
      </w:r>
      <w:r>
        <w:t xml:space="preserve">· Intranasal oxytocin does not modulate jumping to conclusions in schizophrenia: Potential interactions with caudate volume and baseline social functioning. PMID 28431278</w:t>
      </w:r>
    </w:p>
    <w:p>
      <w:pPr>
        <w:numPr>
          <w:ilvl w:val="0"/>
          <w:numId w:val="1419"/>
        </w:numPr>
        <w:pStyle w:val="Compact"/>
      </w:pPr>
      <w:r>
        <w:t xml:space="preserve">2017 · Kanat M ·</w:t>
      </w:r>
      <w:r>
        <w:t xml:space="preserve"> </w:t>
      </w:r>
      <w:r>
        <w:rPr>
          <w:iCs/>
          <w:i/>
        </w:rPr>
        <w:t xml:space="preserve">Transl Psychiatry</w:t>
      </w:r>
      <w:r>
        <w:t xml:space="preserve"> </w:t>
      </w:r>
      <w:r>
        <w:t xml:space="preserve">· Restoring effects of oxytocin on the attentional preference for faces in autism. PMID 28418399</w:t>
      </w:r>
    </w:p>
    <w:p>
      <w:pPr>
        <w:numPr>
          <w:ilvl w:val="0"/>
          <w:numId w:val="1419"/>
        </w:numPr>
        <w:pStyle w:val="Compact"/>
      </w:pPr>
      <w:r>
        <w:t xml:space="preserve">2017 · Bethlehem RAI ·</w:t>
      </w:r>
      <w:r>
        <w:t xml:space="preserve"> </w:t>
      </w:r>
      <w:r>
        <w:rPr>
          <w:iCs/>
          <w:i/>
        </w:rPr>
        <w:t xml:space="preserve">Transl Psychiatry</w:t>
      </w:r>
      <w:r>
        <w:t xml:space="preserve"> </w:t>
      </w:r>
      <w:r>
        <w:t xml:space="preserve">· Intranasal oxytocin enhances intrinsic corticostriatal functional connectivity in women. PMID 28418398</w:t>
      </w:r>
    </w:p>
    <w:p>
      <w:pPr>
        <w:numPr>
          <w:ilvl w:val="0"/>
          <w:numId w:val="1419"/>
        </w:numPr>
        <w:pStyle w:val="Compact"/>
      </w:pPr>
      <w:r>
        <w:t xml:space="preserve">2017 · Rash JA ·</w:t>
      </w:r>
      <w:r>
        <w:t xml:space="preserve"> </w:t>
      </w:r>
      <w:r>
        <w:rPr>
          <w:iCs/>
          <w:i/>
        </w:rPr>
        <w:t xml:space="preserve">BMJ Open</w:t>
      </w:r>
      <w:r>
        <w:t xml:space="preserve"> </w:t>
      </w:r>
      <w:r>
        <w:t xml:space="preserve">· Protocol for a placebo-controlled, within-participants crossover trial evaluating the efficacy of intranasal oxytocin to improve pain and function among women with chronic pelvic musculoskeletal pain. PMID 28416501</w:t>
      </w:r>
    </w:p>
    <w:p>
      <w:pPr>
        <w:numPr>
          <w:ilvl w:val="0"/>
          <w:numId w:val="1419"/>
        </w:numPr>
        <w:pStyle w:val="Compact"/>
      </w:pPr>
      <w:r>
        <w:t xml:space="preserve">2017 · Miller JL ·</w:t>
      </w:r>
      <w:r>
        <w:t xml:space="preserve"> </w:t>
      </w:r>
      <w:r>
        <w:rPr>
          <w:iCs/>
          <w:i/>
        </w:rPr>
        <w:t xml:space="preserve">Am J Med Genet A</w:t>
      </w:r>
      <w:r>
        <w:t xml:space="preserve"> </w:t>
      </w:r>
      <w:r>
        <w:t xml:space="preserve">· Oxytocin treatment in children with Prader-Willi syndrome: A double-blind, placebo-controlled, crossover study. PMID 28371242</w:t>
      </w:r>
    </w:p>
    <w:p>
      <w:pPr>
        <w:numPr>
          <w:ilvl w:val="0"/>
          <w:numId w:val="1419"/>
        </w:numPr>
        <w:pStyle w:val="Compact"/>
      </w:pPr>
      <w:r>
        <w:t xml:space="preserve">2017 · Sack M ·</w:t>
      </w:r>
      <w:r>
        <w:t xml:space="preserve"> </w:t>
      </w:r>
      <w:r>
        <w:rPr>
          <w:iCs/>
          <w:i/>
        </w:rPr>
        <w:t xml:space="preserve">BMC Med</w:t>
      </w:r>
      <w:r>
        <w:t xml:space="preserve"> </w:t>
      </w:r>
      <w:r>
        <w:t xml:space="preserve">· Intranasal oxytocin reduces provoked symptoms in female patients with posttraumatic stress disorder despite exerting sympathomimetic and positive chronotropic effects in a randomized controlled trial. PMID 28209155</w:t>
      </w:r>
    </w:p>
    <w:p>
      <w:pPr>
        <w:numPr>
          <w:ilvl w:val="0"/>
          <w:numId w:val="1419"/>
        </w:numPr>
        <w:pStyle w:val="Compact"/>
      </w:pPr>
      <w:r>
        <w:t xml:space="preserve">2017 · Muin DA ·</w:t>
      </w:r>
      <w:r>
        <w:t xml:space="preserve"> </w:t>
      </w:r>
      <w:r>
        <w:rPr>
          <w:iCs/>
          <w:i/>
        </w:rPr>
        <w:t xml:space="preserve">Fertil Steril</w:t>
      </w:r>
      <w:r>
        <w:t xml:space="preserve"> </w:t>
      </w:r>
      <w:r>
        <w:t xml:space="preserve">· Men’s sexual response to female partner’s intranasal oxytocin administration for hypoactive sexual desire disorder: an open prospective cohort study. PMID 28189292</w:t>
      </w:r>
    </w:p>
    <w:p>
      <w:pPr>
        <w:numPr>
          <w:ilvl w:val="0"/>
          <w:numId w:val="1419"/>
        </w:numPr>
        <w:pStyle w:val="Compact"/>
      </w:pPr>
      <w:r>
        <w:t xml:space="preserve">2017 · Li T ·</w:t>
      </w:r>
      <w:r>
        <w:t xml:space="preserve"> </w:t>
      </w:r>
      <w:r>
        <w:rPr>
          <w:iCs/>
          <w:i/>
        </w:rPr>
        <w:t xml:space="preserve">Horm Behav</w:t>
      </w:r>
      <w:r>
        <w:t xml:space="preserve"> </w:t>
      </w:r>
      <w:r>
        <w:t xml:space="preserve">· Intranasal oxytocin, but not vasopressin, augments neural responses to toddlers in human fathers. PMID 28161387</w:t>
      </w:r>
    </w:p>
    <w:p>
      <w:pPr>
        <w:numPr>
          <w:ilvl w:val="0"/>
          <w:numId w:val="1419"/>
        </w:numPr>
        <w:pStyle w:val="Compact"/>
      </w:pPr>
      <w:r>
        <w:t xml:space="preserve">2017 · Chen X ·</w:t>
      </w:r>
      <w:r>
        <w:t xml:space="preserve"> </w:t>
      </w:r>
      <w:r>
        <w:rPr>
          <w:iCs/>
          <w:i/>
        </w:rPr>
        <w:t xml:space="preserve">Psychoneuroendocrinology</w:t>
      </w:r>
      <w:r>
        <w:t xml:space="preserve"> </w:t>
      </w:r>
      <w:r>
        <w:t xml:space="preserve">· Within vs. between-subject effects of intranasal oxytocin on the neural response to cooperative and non-cooperative social interactions. PMID 28142074</w:t>
      </w:r>
    </w:p>
    <w:p>
      <w:pPr>
        <w:numPr>
          <w:ilvl w:val="0"/>
          <w:numId w:val="1419"/>
        </w:numPr>
        <w:pStyle w:val="Compact"/>
      </w:pPr>
      <w:r>
        <w:t xml:space="preserve">2017 · Leppanen J ·</w:t>
      </w:r>
      <w:r>
        <w:t xml:space="preserve"> </w:t>
      </w:r>
      <w:r>
        <w:rPr>
          <w:iCs/>
          <w:i/>
        </w:rPr>
        <w:t xml:space="preserve">J Neuroendocrinol</w:t>
      </w:r>
      <w:r>
        <w:t xml:space="preserve"> </w:t>
      </w:r>
      <w:r>
        <w:t xml:space="preserve">· Effects of Intranasal Oxytocin on the Interpretation and Expression of Emotions in Anorexia Nervosa. PMID 28140486</w:t>
      </w:r>
    </w:p>
    <w:p>
      <w:pPr>
        <w:numPr>
          <w:ilvl w:val="0"/>
          <w:numId w:val="1419"/>
        </w:numPr>
        <w:pStyle w:val="Compact"/>
      </w:pPr>
      <w:r>
        <w:t xml:space="preserve">2017 · Jarskog LF ·</w:t>
      </w:r>
      <w:r>
        <w:t xml:space="preserve"> </w:t>
      </w:r>
      <w:r>
        <w:rPr>
          <w:iCs/>
          <w:i/>
        </w:rPr>
        <w:t xml:space="preserve">Schizophr Res</w:t>
      </w:r>
      <w:r>
        <w:t xml:space="preserve"> </w:t>
      </w:r>
      <w:r>
        <w:t xml:space="preserve">· A 12-week randomized controlled trial of twice-daily intranasal oxytocin for social cognitive deficits in people with schizophrenia. PMID 28094169</w:t>
      </w:r>
    </w:p>
    <w:p>
      <w:pPr>
        <w:numPr>
          <w:ilvl w:val="0"/>
          <w:numId w:val="1419"/>
        </w:numPr>
        <w:pStyle w:val="Compact"/>
      </w:pPr>
      <w:r>
        <w:t xml:space="preserve">2017 · Woolley JD ·</w:t>
      </w:r>
      <w:r>
        <w:t xml:space="preserve"> </w:t>
      </w:r>
      <w:r>
        <w:rPr>
          <w:iCs/>
          <w:i/>
        </w:rPr>
        <w:t xml:space="preserve">Psychol Med</w:t>
      </w:r>
      <w:r>
        <w:t xml:space="preserve"> </w:t>
      </w:r>
      <w:r>
        <w:t xml:space="preserve">· Intranasal oxytocin increases facial expressivity, but not ratings of trustworthiness, in patients with schizophrenia and healthy controls. PMID 28091349</w:t>
      </w:r>
    </w:p>
    <w:p>
      <w:pPr>
        <w:numPr>
          <w:ilvl w:val="0"/>
          <w:numId w:val="1419"/>
        </w:numPr>
        <w:pStyle w:val="Compact"/>
      </w:pPr>
      <w:r>
        <w:t xml:space="preserve">2017 · van Zuiden M ·</w:t>
      </w:r>
      <w:r>
        <w:t xml:space="preserve"> </w:t>
      </w:r>
      <w:r>
        <w:rPr>
          <w:iCs/>
          <w:i/>
        </w:rPr>
        <w:t xml:space="preserve">Biol Psychiatry</w:t>
      </w:r>
      <w:r>
        <w:t xml:space="preserve"> </w:t>
      </w:r>
      <w:r>
        <w:t xml:space="preserve">· Intranasal Oxytocin to Prevent Posttraumatic Stress Disorder Symptoms: A Randomized Controlled Trial in Emergency Department Patients. PMID 28087128</w:t>
      </w:r>
    </w:p>
    <w:p>
      <w:pPr>
        <w:numPr>
          <w:ilvl w:val="0"/>
          <w:numId w:val="1419"/>
        </w:numPr>
        <w:pStyle w:val="Compact"/>
      </w:pPr>
      <w:r>
        <w:t xml:space="preserve">2017 · Xu X ·</w:t>
      </w:r>
      <w:r>
        <w:t xml:space="preserve"> </w:t>
      </w:r>
      <w:r>
        <w:rPr>
          <w:iCs/>
          <w:i/>
        </w:rPr>
        <w:t xml:space="preserve">Sci Rep</w:t>
      </w:r>
      <w:r>
        <w:t xml:space="preserve"> </w:t>
      </w:r>
      <w:r>
        <w:t xml:space="preserve">· Oxytocin biases men but not women to restore social connections with individuals who socially exclude them. PMID 28079166</w:t>
      </w:r>
    </w:p>
    <w:p>
      <w:pPr>
        <w:numPr>
          <w:ilvl w:val="0"/>
          <w:numId w:val="1419"/>
        </w:numPr>
        <w:pStyle w:val="Compact"/>
      </w:pPr>
      <w:r>
        <w:t xml:space="preserve">2017 · Hecht EE ·</w:t>
      </w:r>
      <w:r>
        <w:t xml:space="preserve"> </w:t>
      </w:r>
      <w:r>
        <w:rPr>
          <w:iCs/>
          <w:i/>
        </w:rPr>
        <w:t xml:space="preserve">Neuroimage</w:t>
      </w:r>
      <w:r>
        <w:t xml:space="preserve"> </w:t>
      </w:r>
      <w:r>
        <w:t xml:space="preserve">· Intranasal oxytocin reduces social perception in women: Neural activation and individual variation. PMID 27989775</w:t>
      </w:r>
    </w:p>
    <w:p>
      <w:pPr>
        <w:numPr>
          <w:ilvl w:val="0"/>
          <w:numId w:val="1419"/>
        </w:numPr>
        <w:pStyle w:val="Compact"/>
      </w:pPr>
      <w:r>
        <w:t xml:space="preserve">2017 · Nawijn L ·</w:t>
      </w:r>
      <w:r>
        <w:t xml:space="preserve"> </w:t>
      </w:r>
      <w:r>
        <w:rPr>
          <w:iCs/>
          <w:i/>
        </w:rPr>
        <w:t xml:space="preserve">Soc Cogn Affect Neurosci</w:t>
      </w:r>
      <w:r>
        <w:t xml:space="preserve"> </w:t>
      </w:r>
      <w:r>
        <w:t xml:space="preserve">· Intranasal oxytocin increases neural responses to social reward in post-traumatic stress disorder. PMID 27614769</w:t>
      </w:r>
    </w:p>
    <w:p>
      <w:pPr>
        <w:numPr>
          <w:ilvl w:val="0"/>
          <w:numId w:val="1419"/>
        </w:numPr>
        <w:pStyle w:val="Compact"/>
      </w:pPr>
      <w:r>
        <w:t xml:space="preserve">2017 · Palgi S ·</w:t>
      </w:r>
      <w:r>
        <w:t xml:space="preserve"> </w:t>
      </w:r>
      <w:r>
        <w:rPr>
          <w:iCs/>
          <w:i/>
        </w:rPr>
        <w:t xml:space="preserve">Psychol Trauma</w:t>
      </w:r>
      <w:r>
        <w:t xml:space="preserve"> </w:t>
      </w:r>
      <w:r>
        <w:t xml:space="preserve">· The role of oxytocin in empathy in PTSD. PMID 27243570</w:t>
      </w:r>
    </w:p>
    <w:p>
      <w:pPr>
        <w:numPr>
          <w:ilvl w:val="0"/>
          <w:numId w:val="1419"/>
        </w:numPr>
        <w:pStyle w:val="Compact"/>
      </w:pPr>
      <w:r>
        <w:t xml:space="preserve">2017 · Mah BL ·</w:t>
      </w:r>
      <w:r>
        <w:t xml:space="preserve"> </w:t>
      </w:r>
      <w:r>
        <w:rPr>
          <w:iCs/>
          <w:i/>
        </w:rPr>
        <w:t xml:space="preserve">Child Psychiatry Hum Dev</w:t>
      </w:r>
      <w:r>
        <w:t xml:space="preserve"> </w:t>
      </w:r>
      <w:r>
        <w:t xml:space="preserve">· The Effects of Intranasal Oxytocin Administration on Sensitive Caregiving in Mothers with Postnatal Depression. PMID 27100724</w:t>
      </w:r>
    </w:p>
    <w:p>
      <w:pPr>
        <w:numPr>
          <w:ilvl w:val="0"/>
          <w:numId w:val="1419"/>
        </w:numPr>
        <w:pStyle w:val="Compact"/>
      </w:pPr>
      <w:r>
        <w:t xml:space="preserve">2016 · Gordon I ·</w:t>
      </w:r>
      <w:r>
        <w:t xml:space="preserve"> </w:t>
      </w:r>
      <w:r>
        <w:rPr>
          <w:iCs/>
          <w:i/>
        </w:rPr>
        <w:t xml:space="preserve">Sci Rep</w:t>
      </w:r>
      <w:r>
        <w:t xml:space="preserve"> </w:t>
      </w:r>
      <w:r>
        <w:t xml:space="preserve">· Intranasal Oxytocin Enhances Connectivity in the Neural Circuitry Supporting Social Motivation and Social Perception in Children with Autism. PMID 27845765</w:t>
      </w:r>
    </w:p>
    <w:p>
      <w:pPr>
        <w:numPr>
          <w:ilvl w:val="0"/>
          <w:numId w:val="1419"/>
        </w:numPr>
        <w:pStyle w:val="Compact"/>
      </w:pPr>
      <w:r>
        <w:t xml:space="preserve">2016 · Miller MA ·</w:t>
      </w:r>
      <w:r>
        <w:t xml:space="preserve"> </w:t>
      </w:r>
      <w:r>
        <w:rPr>
          <w:iCs/>
          <w:i/>
        </w:rPr>
        <w:t xml:space="preserve">Behav Pharmacol</w:t>
      </w:r>
      <w:r>
        <w:t xml:space="preserve"> </w:t>
      </w:r>
      <w:r>
        <w:t xml:space="preserve">· Intranasal oxytocin dampens cue-elicited cigarette craving in daily smokers: a pilot study. PMID 27661192</w:t>
      </w:r>
    </w:p>
    <w:p>
      <w:pPr>
        <w:numPr>
          <w:ilvl w:val="0"/>
          <w:numId w:val="1419"/>
        </w:numPr>
        <w:pStyle w:val="Compact"/>
      </w:pPr>
      <w:r>
        <w:t xml:space="preserve">2016 · Mickey BJ ·</w:t>
      </w:r>
      <w:r>
        <w:t xml:space="preserve"> </w:t>
      </w:r>
      <w:r>
        <w:rPr>
          <w:iCs/>
          <w:i/>
        </w:rPr>
        <w:t xml:space="preserve">Psychopharmacology (Berl)</w:t>
      </w:r>
      <w:r>
        <w:t xml:space="preserve"> </w:t>
      </w:r>
      <w:r>
        <w:t xml:space="preserve">· Oxytocin modulates hemodynamic responses to monetary incentives in humans. PMID 27614896</w:t>
      </w:r>
    </w:p>
    <w:p>
      <w:pPr>
        <w:numPr>
          <w:ilvl w:val="0"/>
          <w:numId w:val="1419"/>
        </w:numPr>
        <w:pStyle w:val="Compact"/>
      </w:pPr>
      <w:r>
        <w:t xml:space="preserve">2016 · Kosaka H ·</w:t>
      </w:r>
      <w:r>
        <w:t xml:space="preserve"> </w:t>
      </w:r>
      <w:r>
        <w:rPr>
          <w:iCs/>
          <w:i/>
        </w:rPr>
        <w:t xml:space="preserve">Transl Psychiatry</w:t>
      </w:r>
      <w:r>
        <w:t xml:space="preserve"> </w:t>
      </w:r>
      <w:r>
        <w:t xml:space="preserve">· Oxytocin efficacy is modulated by dosage and oxytocin receptor genotype in young adults with high-functioning autism: a 24-week randomized clinical trial. PMID 27552585</w:t>
      </w:r>
    </w:p>
    <w:p>
      <w:pPr>
        <w:numPr>
          <w:ilvl w:val="0"/>
          <w:numId w:val="1419"/>
        </w:numPr>
        <w:pStyle w:val="Compact"/>
      </w:pPr>
      <w:r>
        <w:t xml:space="preserve">2016 · Zunhammer M ·</w:t>
      </w:r>
      <w:r>
        <w:t xml:space="preserve"> </w:t>
      </w:r>
      <w:r>
        <w:rPr>
          <w:iCs/>
          <w:i/>
        </w:rPr>
        <w:t xml:space="preserve">Sci Rep</w:t>
      </w:r>
      <w:r>
        <w:t xml:space="preserve"> </w:t>
      </w:r>
      <w:r>
        <w:t xml:space="preserve">· Pain modulation by intranasal oxytocin and emotional picture viewing - a randomized double-blind fMRI study. PMID 27546446</w:t>
      </w:r>
    </w:p>
    <w:p>
      <w:pPr>
        <w:numPr>
          <w:ilvl w:val="0"/>
          <w:numId w:val="1419"/>
        </w:numPr>
        <w:pStyle w:val="Compact"/>
      </w:pPr>
      <w:r>
        <w:t xml:space="preserve">2016 · Brambilla M ·</w:t>
      </w:r>
      <w:r>
        <w:t xml:space="preserve"> </w:t>
      </w:r>
      <w:r>
        <w:rPr>
          <w:iCs/>
          <w:i/>
        </w:rPr>
        <w:t xml:space="preserve">Eur Neuropsychopharmacol</w:t>
      </w:r>
      <w:r>
        <w:t xml:space="preserve"> </w:t>
      </w:r>
      <w:r>
        <w:t xml:space="preserve">· Oxytocin to modulate emotional processing in schizophrenia: A randomized, double-blind, cross-over clinical trial. PMID 27527256</w:t>
      </w:r>
    </w:p>
    <w:p>
      <w:pPr>
        <w:numPr>
          <w:ilvl w:val="0"/>
          <w:numId w:val="1419"/>
        </w:numPr>
        <w:pStyle w:val="Compact"/>
      </w:pPr>
      <w:r>
        <w:t xml:space="preserve">2016 · Kuppens RJ ·</w:t>
      </w:r>
      <w:r>
        <w:t xml:space="preserve"> </w:t>
      </w:r>
      <w:r>
        <w:rPr>
          <w:iCs/>
          <w:i/>
        </w:rPr>
        <w:t xml:space="preserve">Clin Endocrinol (Oxf)</w:t>
      </w:r>
      <w:r>
        <w:t xml:space="preserve"> </w:t>
      </w:r>
      <w:r>
        <w:t xml:space="preserve">· Promising effects of oxytocin on social and food-related behaviour in young children with Prader-Willi syndrome: a randomized, double-blind, controlled crossover trial. PMID 27486141</w:t>
      </w:r>
    </w:p>
    <w:p>
      <w:pPr>
        <w:numPr>
          <w:ilvl w:val="0"/>
          <w:numId w:val="1419"/>
        </w:numPr>
        <w:pStyle w:val="Compact"/>
      </w:pPr>
      <w:r>
        <w:t xml:space="preserve">2016 · Cardoso C ·</w:t>
      </w:r>
      <w:r>
        <w:t xml:space="preserve"> </w:t>
      </w:r>
      <w:r>
        <w:rPr>
          <w:iCs/>
          <w:i/>
        </w:rPr>
        <w:t xml:space="preserve">Psychoneuroendocrinology</w:t>
      </w:r>
      <w:r>
        <w:t xml:space="preserve"> </w:t>
      </w:r>
      <w:r>
        <w:t xml:space="preserve">· Oxytocin and social context moderate social support seeking in women during negative memory recall. PMID 27164224</w:t>
      </w:r>
    </w:p>
    <w:p>
      <w:pPr>
        <w:numPr>
          <w:ilvl w:val="0"/>
          <w:numId w:val="1419"/>
        </w:numPr>
        <w:pStyle w:val="Compact"/>
      </w:pPr>
      <w:r>
        <w:t xml:space="preserve">2016 · Mitchell JM ·</w:t>
      </w:r>
      <w:r>
        <w:t xml:space="preserve"> </w:t>
      </w:r>
      <w:r>
        <w:rPr>
          <w:iCs/>
          <w:i/>
        </w:rPr>
        <w:t xml:space="preserve">J Addict Med</w:t>
      </w:r>
      <w:r>
        <w:t xml:space="preserve"> </w:t>
      </w:r>
      <w:r>
        <w:t xml:space="preserve">· Intranasal Oxytocin Selectively Modulates Social Perception, Craving, and Approach Behavior in Subjects With Alcohol Use Disorder. PMID 27159342</w:t>
      </w:r>
    </w:p>
    <w:p>
      <w:pPr>
        <w:numPr>
          <w:ilvl w:val="0"/>
          <w:numId w:val="1419"/>
        </w:numPr>
        <w:pStyle w:val="Compact"/>
      </w:pPr>
      <w:r>
        <w:t xml:space="preserve">2016 · Woolley JD ·</w:t>
      </w:r>
      <w:r>
        <w:t xml:space="preserve"> </w:t>
      </w:r>
      <w:r>
        <w:rPr>
          <w:iCs/>
          <w:i/>
        </w:rPr>
        <w:t xml:space="preserve">Psychopharmacology (Berl)</w:t>
      </w:r>
      <w:r>
        <w:t xml:space="preserve"> </w:t>
      </w:r>
      <w:r>
        <w:t xml:space="preserve">· The effects of intranasal oxytocin in opioid-dependent individuals and healthy control subjects: a pilot study. PMID 27137199</w:t>
      </w:r>
    </w:p>
    <w:p>
      <w:pPr>
        <w:numPr>
          <w:ilvl w:val="0"/>
          <w:numId w:val="1419"/>
        </w:numPr>
        <w:pStyle w:val="Compact"/>
      </w:pPr>
      <w:r>
        <w:t xml:space="preserve">2016 · Quintana DS ·</w:t>
      </w:r>
      <w:r>
        <w:t xml:space="preserve"> </w:t>
      </w:r>
      <w:r>
        <w:rPr>
          <w:iCs/>
          <w:i/>
        </w:rPr>
        <w:t xml:space="preserve">Psychoneuroendocrinology</w:t>
      </w:r>
      <w:r>
        <w:t xml:space="preserve"> </w:t>
      </w:r>
      <w:r>
        <w:t xml:space="preserve">· Low dose intranasal oxytocin delivered with Breath Powered device dampens amygdala response to emotional stimuli: A peripheral effect-controlled within-subjects randomized dose-response fMRI trial. PMID 27107209</w:t>
      </w:r>
    </w:p>
    <w:p>
      <w:pPr>
        <w:numPr>
          <w:ilvl w:val="0"/>
          <w:numId w:val="1419"/>
        </w:numPr>
        <w:pStyle w:val="Compact"/>
      </w:pPr>
      <w:r>
        <w:t xml:space="preserve">2016 · Hertz U ·</w:t>
      </w:r>
      <w:r>
        <w:t xml:space="preserve"> </w:t>
      </w:r>
      <w:r>
        <w:rPr>
          <w:iCs/>
          <w:i/>
        </w:rPr>
        <w:t xml:space="preserve">PLoS One</w:t>
      </w:r>
      <w:r>
        <w:t xml:space="preserve"> </w:t>
      </w:r>
      <w:r>
        <w:t xml:space="preserve">· Oxytocin Effect on Collective Decision Making: A Randomized Placebo Controlled Study. PMID 27070542</w:t>
      </w:r>
    </w:p>
    <w:p>
      <w:pPr>
        <w:numPr>
          <w:ilvl w:val="0"/>
          <w:numId w:val="1419"/>
        </w:numPr>
        <w:pStyle w:val="Compact"/>
      </w:pPr>
      <w:r>
        <w:t xml:space="preserve">2016 · Cardoso C ·</w:t>
      </w:r>
      <w:r>
        <w:t xml:space="preserve"> </w:t>
      </w:r>
      <w:r>
        <w:rPr>
          <w:iCs/>
          <w:i/>
        </w:rPr>
        <w:t xml:space="preserve">Psychoneuroendocrinology</w:t>
      </w:r>
      <w:r>
        <w:t xml:space="preserve"> </w:t>
      </w:r>
      <w:r>
        <w:t xml:space="preserve">· Memory response to oxytocin predicts relationship dissolution over 18 months. PMID 26986091</w:t>
      </w:r>
    </w:p>
    <w:p>
      <w:pPr>
        <w:numPr>
          <w:ilvl w:val="0"/>
          <w:numId w:val="1419"/>
        </w:numPr>
        <w:pStyle w:val="Compact"/>
      </w:pPr>
      <w:r>
        <w:t xml:space="preserve">2016 · Colonnello V ·</w:t>
      </w:r>
      <w:r>
        <w:t xml:space="preserve"> </w:t>
      </w:r>
      <w:r>
        <w:rPr>
          <w:iCs/>
          <w:i/>
        </w:rPr>
        <w:t xml:space="preserve">Psychoneuroendocrinology</w:t>
      </w:r>
      <w:r>
        <w:t xml:space="preserve"> </w:t>
      </w:r>
      <w:r>
        <w:t xml:space="preserve">· As time goes by: Oxytocin influences the subjective perception of time in a social context. PMID 26945451</w:t>
      </w:r>
    </w:p>
    <w:p>
      <w:pPr>
        <w:numPr>
          <w:ilvl w:val="0"/>
          <w:numId w:val="1419"/>
        </w:numPr>
        <w:pStyle w:val="Compact"/>
      </w:pPr>
      <w:r>
        <w:t xml:space="preserve">2016 · Dagani J ·</w:t>
      </w:r>
      <w:r>
        <w:t xml:space="preserve"> </w:t>
      </w:r>
      <w:r>
        <w:rPr>
          <w:iCs/>
          <w:i/>
        </w:rPr>
        <w:t xml:space="preserve">Schizophr Res</w:t>
      </w:r>
      <w:r>
        <w:t xml:space="preserve"> </w:t>
      </w:r>
      <w:r>
        <w:t xml:space="preserve">· Do we need oxytocin to treat schizophrenia? A randomized clinical trial. PMID 26883950</w:t>
      </w:r>
    </w:p>
    <w:p>
      <w:pPr>
        <w:numPr>
          <w:ilvl w:val="0"/>
          <w:numId w:val="1419"/>
        </w:numPr>
        <w:pStyle w:val="Compact"/>
      </w:pPr>
      <w:r>
        <w:t xml:space="preserve">2016 · Nawijn L ·</w:t>
      </w:r>
      <w:r>
        <w:t xml:space="preserve"> </w:t>
      </w:r>
      <w:r>
        <w:rPr>
          <w:iCs/>
          <w:i/>
        </w:rPr>
        <w:t xml:space="preserve">Psychoneuroendocrinology</w:t>
      </w:r>
      <w:r>
        <w:t xml:space="preserve"> </w:t>
      </w:r>
      <w:r>
        <w:t xml:space="preserve">· Intranasal oxytocin enhances neural processing of monetary reward and loss in post-traumatic stress disorder and traumatized controls. PMID 26851698</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Normalizes Amygdala Functional Connectivity in Posttraumatic Stress Disorder. PMID 26741286</w:t>
      </w:r>
    </w:p>
    <w:p>
      <w:pPr>
        <w:numPr>
          <w:ilvl w:val="0"/>
          <w:numId w:val="1419"/>
        </w:numPr>
        <w:pStyle w:val="Compact"/>
      </w:pPr>
      <w:r>
        <w:t xml:space="preserve">2016 · Busnelli M ·</w:t>
      </w:r>
      <w:r>
        <w:t xml:space="preserve"> </w:t>
      </w:r>
      <w:r>
        <w:rPr>
          <w:iCs/>
          <w:i/>
        </w:rPr>
        <w:t xml:space="preserve">J Neuroendocrinol</w:t>
      </w:r>
      <w:r>
        <w:t xml:space="preserve"> </w:t>
      </w:r>
      <w:r>
        <w:t xml:space="preserve">· Unaltered Oxytocin and Vasopressin Plasma Levels in Patients with Schizophrenia After 4 Months of Daily Treatment with Intranasal Oxytocin. PMID 26715485</w:t>
      </w:r>
    </w:p>
    <w:p>
      <w:pPr>
        <w:numPr>
          <w:ilvl w:val="0"/>
          <w:numId w:val="1419"/>
        </w:numPr>
        <w:pStyle w:val="Compact"/>
      </w:pPr>
      <w:r>
        <w:t xml:space="preserve">2016 · Palgi S ·</w:t>
      </w:r>
      <w:r>
        <w:t xml:space="preserve"> </w:t>
      </w:r>
      <w:r>
        <w:rPr>
          <w:iCs/>
          <w:i/>
        </w:rPr>
        <w:t xml:space="preserve">Psychoneuroendocrinology</w:t>
      </w:r>
      <w:r>
        <w:t xml:space="preserve"> </w:t>
      </w:r>
      <w:r>
        <w:t xml:space="preserve">· Oxytocin improves compassion toward women among patients with PTSD. PMID 26671007</w:t>
      </w:r>
    </w:p>
    <w:p>
      <w:pPr>
        <w:numPr>
          <w:ilvl w:val="0"/>
          <w:numId w:val="1419"/>
        </w:numPr>
        <w:pStyle w:val="Compact"/>
      </w:pPr>
      <w:r>
        <w:t xml:space="preserve">2016 · Paloyelis Y ·</w:t>
      </w:r>
      <w:r>
        <w:t xml:space="preserve"> </w:t>
      </w:r>
      <w:r>
        <w:rPr>
          <w:iCs/>
          <w:i/>
        </w:rPr>
        <w:t xml:space="preserve">J Neuroendocrinol</w:t>
      </w:r>
      <w:r>
        <w:t xml:space="preserve"> </w:t>
      </w:r>
      <w:r>
        <w:t xml:space="preserve">· The Analgesic Effect of Oxytocin in Humans: A Double-Blind, Placebo-Controlled Cross-Over Study Using Laser-Evoked Potentials. PMID 26660859</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Administration Dampens Amygdala Reactivity towards Emotional Faces in Male and Female PTSD Patients. PMID 26404844</w:t>
      </w:r>
    </w:p>
    <w:p>
      <w:pPr>
        <w:numPr>
          <w:ilvl w:val="0"/>
          <w:numId w:val="1419"/>
        </w:numPr>
        <w:pStyle w:val="Compact"/>
      </w:pPr>
      <w:r>
        <w:t xml:space="preserve">2016 · Frijling JL ·</w:t>
      </w:r>
      <w:r>
        <w:t xml:space="preserve"> </w:t>
      </w:r>
      <w:r>
        <w:rPr>
          <w:iCs/>
          <w:i/>
        </w:rPr>
        <w:t xml:space="preserve">Soc Cogn Affect Neurosci</w:t>
      </w:r>
      <w:r>
        <w:t xml:space="preserve"> </w:t>
      </w:r>
      <w:r>
        <w:t xml:space="preserve">· Effects of intranasal oxytocin on amygdala reactivity to emotional faces in recently trauma-exposed individuals. PMID 26382634</w:t>
      </w:r>
    </w:p>
    <w:p>
      <w:pPr>
        <w:numPr>
          <w:ilvl w:val="0"/>
          <w:numId w:val="1419"/>
        </w:numPr>
        <w:pStyle w:val="Compact"/>
      </w:pPr>
      <w:r>
        <w:t xml:space="preserve">2016 · Frijling JL ·</w:t>
      </w:r>
      <w:r>
        <w:t xml:space="preserve"> </w:t>
      </w:r>
      <w:r>
        <w:rPr>
          <w:iCs/>
          <w:i/>
        </w:rPr>
        <w:t xml:space="preserve">Neuropsychopharmacology</w:t>
      </w:r>
      <w:r>
        <w:t xml:space="preserve"> </w:t>
      </w:r>
      <w:r>
        <w:t xml:space="preserve">· Intranasal Oxytocin Affects Amygdala Functional Connectivity after Trauma Script-Driven Imagery in Distressed Recently Trauma-Exposed Individuals. PMID 26346640</w:t>
      </w:r>
    </w:p>
    <w:p>
      <w:pPr>
        <w:numPr>
          <w:ilvl w:val="0"/>
          <w:numId w:val="1419"/>
        </w:numPr>
        <w:pStyle w:val="Compact"/>
      </w:pPr>
      <w:r>
        <w:t xml:space="preserve">2016 · Eckstein M ·</w:t>
      </w:r>
      <w:r>
        <w:t xml:space="preserve"> </w:t>
      </w:r>
      <w:r>
        <w:rPr>
          <w:iCs/>
          <w:i/>
        </w:rPr>
        <w:t xml:space="preserve">Neuropsychopharmacology</w:t>
      </w:r>
      <w:r>
        <w:t xml:space="preserve"> </w:t>
      </w:r>
      <w:r>
        <w:t xml:space="preserve">· Oxytocin Facilitates Pavlovian Fear Learning in Males. PMID 26272050</w:t>
      </w:r>
    </w:p>
    <w:p>
      <w:pPr>
        <w:numPr>
          <w:ilvl w:val="0"/>
          <w:numId w:val="1419"/>
        </w:numPr>
        <w:pStyle w:val="Compact"/>
      </w:pPr>
      <w:r>
        <w:t xml:space="preserve">2016 · Goodyear K ·</w:t>
      </w:r>
      <w:r>
        <w:t xml:space="preserve"> </w:t>
      </w:r>
      <w:r>
        <w:rPr>
          <w:iCs/>
          <w:i/>
        </w:rPr>
        <w:t xml:space="preserve">Soc Neurosci</w:t>
      </w:r>
      <w:r>
        <w:t xml:space="preserve"> </w:t>
      </w:r>
      <w:r>
        <w:t xml:space="preserve">· Oxytocin influences intuitions about the relationship between belief in free will and moral responsibility. PMID 25916658</w:t>
      </w:r>
    </w:p>
    <w:p>
      <w:pPr>
        <w:numPr>
          <w:ilvl w:val="0"/>
          <w:numId w:val="1419"/>
        </w:numPr>
        <w:pStyle w:val="Compact"/>
      </w:pPr>
      <w:r>
        <w:t xml:space="preserve">2015 · Daughters K ·</w:t>
      </w:r>
      <w:r>
        <w:t xml:space="preserve"> </w:t>
      </w:r>
      <w:r>
        <w:rPr>
          <w:iCs/>
          <w:i/>
        </w:rPr>
        <w:t xml:space="preserve">PLoS One</w:t>
      </w:r>
      <w:r>
        <w:t xml:space="preserve"> </w:t>
      </w:r>
      <w:r>
        <w:t xml:space="preserve">· Salivary Oxytocin Concentrations in Males following Intranasal Administration of Oxytocin: A Double-Blind, Cross-Over Study. PMID 26669935</w:t>
      </w:r>
    </w:p>
    <w:p>
      <w:pPr>
        <w:numPr>
          <w:ilvl w:val="0"/>
          <w:numId w:val="1419"/>
        </w:numPr>
        <w:pStyle w:val="Compact"/>
      </w:pPr>
      <w:r>
        <w:t xml:space="preserve">2015 · Kim YR ·</w:t>
      </w:r>
      <w:r>
        <w:t xml:space="preserve"> </w:t>
      </w:r>
      <w:r>
        <w:rPr>
          <w:iCs/>
          <w:i/>
        </w:rPr>
        <w:t xml:space="preserve">PLoS One</w:t>
      </w:r>
      <w:r>
        <w:t xml:space="preserve"> </w:t>
      </w:r>
      <w:r>
        <w:t xml:space="preserve">· The Impact of Oxytocin on Food Intake and Emotion Recognition in Patients with Eating Disorders: A Double Blind Single Dose Within-Subject Cross-Over Design. PMID 26402337</w:t>
      </w:r>
    </w:p>
    <w:p>
      <w:pPr>
        <w:numPr>
          <w:ilvl w:val="0"/>
          <w:numId w:val="1419"/>
        </w:numPr>
        <w:pStyle w:val="Compact"/>
      </w:pPr>
      <w:r>
        <w:t xml:space="preserve">2015 · Flanagan JC ·</w:t>
      </w:r>
      <w:r>
        <w:t xml:space="preserve"> </w:t>
      </w:r>
      <w:r>
        <w:rPr>
          <w:iCs/>
          <w:i/>
        </w:rPr>
        <w:t xml:space="preserve">Psychiatry Res</w:t>
      </w:r>
      <w:r>
        <w:t xml:space="preserve"> </w:t>
      </w:r>
      <w:r>
        <w:t xml:space="preserve">· Effects of adverse childhood experiences on the association between intranasal oxytocin and social stress reactivity among individuals with cocaine dependence. PMID 26231584</w:t>
      </w:r>
    </w:p>
    <w:p>
      <w:pPr>
        <w:numPr>
          <w:ilvl w:val="0"/>
          <w:numId w:val="1419"/>
        </w:numPr>
        <w:pStyle w:val="Compact"/>
      </w:pPr>
      <w:r>
        <w:t xml:space="preserve">2015 · Quintana DS ·</w:t>
      </w:r>
      <w:r>
        <w:t xml:space="preserve"> </w:t>
      </w:r>
      <w:r>
        <w:rPr>
          <w:iCs/>
          <w:i/>
        </w:rPr>
        <w:t xml:space="preserve">Transl Psychiatry</w:t>
      </w:r>
      <w:r>
        <w:t xml:space="preserve"> </w:t>
      </w:r>
      <w:r>
        <w:t xml:space="preserve">· Low-dose oxytocin delivered intranasally with Breath Powered device affects social-cognitive behavior: a randomized four-way crossover trial with nasal cavity dimension assessment. PMID 26171983</w:t>
      </w:r>
    </w:p>
    <w:p>
      <w:pPr>
        <w:numPr>
          <w:ilvl w:val="0"/>
          <w:numId w:val="1419"/>
        </w:numPr>
        <w:pStyle w:val="Compact"/>
      </w:pPr>
      <w:r>
        <w:t xml:space="preserve">2015 · Muin DA ·</w:t>
      </w:r>
      <w:r>
        <w:t xml:space="preserve"> </w:t>
      </w:r>
      <w:r>
        <w:rPr>
          <w:iCs/>
          <w:i/>
        </w:rPr>
        <w:t xml:space="preserve">Fertil Steril</w:t>
      </w:r>
      <w:r>
        <w:t xml:space="preserve"> </w:t>
      </w:r>
      <w:r>
        <w:t xml:space="preserve">· Effect of long-term intranasal oxytocin on sexual dysfunction in premenopausal and postmenopausal women: a randomized trial. PMID 26151620</w:t>
      </w:r>
    </w:p>
    <w:p>
      <w:pPr>
        <w:numPr>
          <w:ilvl w:val="0"/>
          <w:numId w:val="1419"/>
        </w:numPr>
        <w:pStyle w:val="Compact"/>
      </w:pPr>
      <w:r>
        <w:t xml:space="preserve">2015 · Huang Y ·</w:t>
      </w:r>
      <w:r>
        <w:t xml:space="preserve"> </w:t>
      </w:r>
      <w:r>
        <w:rPr>
          <w:iCs/>
          <w:i/>
        </w:rPr>
        <w:t xml:space="preserve">Psychoneuroendocrinology</w:t>
      </w:r>
      <w:r>
        <w:t xml:space="preserve"> </w:t>
      </w:r>
      <w:r>
        <w:t xml:space="preserve">· Oxytocin enhances implicit social conformity to both in-group and out-group opinions. PMID 26143536</w:t>
      </w:r>
    </w:p>
    <w:p>
      <w:pPr>
        <w:numPr>
          <w:ilvl w:val="0"/>
          <w:numId w:val="1419"/>
        </w:numPr>
        <w:pStyle w:val="Compact"/>
      </w:pPr>
      <w:r>
        <w:t xml:space="preserve">2015 · Bartz JA ·</w:t>
      </w:r>
      <w:r>
        <w:t xml:space="preserve"> </w:t>
      </w:r>
      <w:r>
        <w:rPr>
          <w:iCs/>
          <w:i/>
        </w:rPr>
        <w:t xml:space="preserve">Psychol Sci</w:t>
      </w:r>
      <w:r>
        <w:t xml:space="preserve"> </w:t>
      </w:r>
      <w:r>
        <w:t xml:space="preserve">· Differential Effects of Oxytocin on Agency and Communion for Anxiously and Avoidantly Attached Individuals. PMID 26122122</w:t>
      </w:r>
    </w:p>
    <w:p>
      <w:pPr>
        <w:numPr>
          <w:ilvl w:val="0"/>
          <w:numId w:val="1419"/>
        </w:numPr>
        <w:pStyle w:val="Compact"/>
      </w:pPr>
      <w:r>
        <w:t xml:space="preserve">2015 · Wirth MM ·</w:t>
      </w:r>
      <w:r>
        <w:t xml:space="preserve"> </w:t>
      </w:r>
      <w:r>
        <w:rPr>
          <w:iCs/>
          <w:i/>
        </w:rPr>
        <w:t xml:space="preserve">Neuropsychobiology</w:t>
      </w:r>
      <w:r>
        <w:t xml:space="preserve"> </w:t>
      </w:r>
      <w:r>
        <w:t xml:space="preserve">· Effects of intranasal oxytocin on steroid hormones in men and women. PMID 26044829</w:t>
      </w:r>
    </w:p>
    <w:p>
      <w:pPr>
        <w:numPr>
          <w:ilvl w:val="0"/>
          <w:numId w:val="1419"/>
        </w:numPr>
        <w:pStyle w:val="Compact"/>
      </w:pPr>
      <w:r>
        <w:t xml:space="preserve">2015 · Feng C ·</w:t>
      </w:r>
      <w:r>
        <w:t xml:space="preserve"> </w:t>
      </w:r>
      <w:r>
        <w:rPr>
          <w:iCs/>
          <w:i/>
        </w:rPr>
        <w:t xml:space="preserve">Neuropsychologia</w:t>
      </w:r>
      <w:r>
        <w:t xml:space="preserve"> </w:t>
      </w:r>
      <w:r>
        <w:t xml:space="preserve">· Neuroticism modulates the effects of intranasal vasopressin treatment on the neural response to positive and negative social interactions. PMID 25979609</w:t>
      </w:r>
    </w:p>
    <w:p>
      <w:pPr>
        <w:numPr>
          <w:ilvl w:val="0"/>
          <w:numId w:val="1419"/>
        </w:numPr>
        <w:pStyle w:val="Compact"/>
      </w:pPr>
      <w:r>
        <w:t xml:space="preserve">2015 · Lawson EA ·</w:t>
      </w:r>
      <w:r>
        <w:t xml:space="preserve"> </w:t>
      </w:r>
      <w:r>
        <w:rPr>
          <w:iCs/>
          <w:i/>
        </w:rPr>
        <w:t xml:space="preserve">Obesity (Silver Spring)</w:t>
      </w:r>
      <w:r>
        <w:t xml:space="preserve"> </w:t>
      </w:r>
      <w:r>
        <w:t xml:space="preserve">· Oxytocin reduces caloric intake in men. PMID 25865294</w:t>
      </w:r>
    </w:p>
    <w:p>
      <w:pPr>
        <w:numPr>
          <w:ilvl w:val="0"/>
          <w:numId w:val="1419"/>
        </w:numPr>
        <w:pStyle w:val="Compact"/>
      </w:pPr>
      <w:r>
        <w:t xml:space="preserve">2015 · Acheson DT ·</w:t>
      </w:r>
      <w:r>
        <w:t xml:space="preserve"> </w:t>
      </w:r>
      <w:r>
        <w:rPr>
          <w:iCs/>
          <w:i/>
        </w:rPr>
        <w:t xml:space="preserve">Depress Anxiety</w:t>
      </w:r>
      <w:r>
        <w:t xml:space="preserve"> </w:t>
      </w:r>
      <w:r>
        <w:t xml:space="preserve">· Intranasal oxytocin administration prior to exposure therapy for arachnophobia impedes treatment response. PMID 25826649</w:t>
      </w:r>
    </w:p>
    <w:p>
      <w:pPr>
        <w:numPr>
          <w:ilvl w:val="0"/>
          <w:numId w:val="1419"/>
        </w:numPr>
        <w:pStyle w:val="Compact"/>
      </w:pPr>
      <w:r>
        <w:t xml:space="preserve">2015 · Auyeung B ·</w:t>
      </w:r>
      <w:r>
        <w:t xml:space="preserve"> </w:t>
      </w:r>
      <w:r>
        <w:rPr>
          <w:iCs/>
          <w:i/>
        </w:rPr>
        <w:t xml:space="preserve">Transl Psychiatry</w:t>
      </w:r>
      <w:r>
        <w:t xml:space="preserve"> </w:t>
      </w:r>
      <w:r>
        <w:t xml:space="preserve">· Oxytocin increases eye contact during a real-time, naturalistic social interaction in males with and without autism. PMID 25668435</w:t>
      </w:r>
    </w:p>
    <w:p>
      <w:pPr>
        <w:numPr>
          <w:ilvl w:val="0"/>
          <w:numId w:val="1419"/>
        </w:numPr>
        <w:pStyle w:val="Compact"/>
      </w:pPr>
      <w:r>
        <w:t xml:space="preserve">2015 · Shin NY ·</w:t>
      </w:r>
      <w:r>
        <w:t xml:space="preserve"> </w:t>
      </w:r>
      <w:r>
        <w:rPr>
          <w:iCs/>
          <w:i/>
        </w:rPr>
        <w:t xml:space="preserve">Neuropsychopharmacology</w:t>
      </w:r>
      <w:r>
        <w:t xml:space="preserve"> </w:t>
      </w:r>
      <w:r>
        <w:t xml:space="preserve">· Effects of Oxytocin on Neural Response to Facial Expressions in Patients with Schizophrenia. PMID 25666311</w:t>
      </w:r>
    </w:p>
    <w:p>
      <w:pPr>
        <w:numPr>
          <w:ilvl w:val="0"/>
          <w:numId w:val="1419"/>
        </w:numPr>
        <w:pStyle w:val="Compact"/>
      </w:pPr>
      <w:r>
        <w:t xml:space="preserve">2015 · Zunhammer M ·</w:t>
      </w:r>
      <w:r>
        <w:t xml:space="preserve"> </w:t>
      </w:r>
      <w:r>
        <w:rPr>
          <w:iCs/>
          <w:i/>
        </w:rPr>
        <w:t xml:space="preserve">Psychosom Med</w:t>
      </w:r>
      <w:r>
        <w:t xml:space="preserve"> </w:t>
      </w:r>
      <w:r>
        <w:t xml:space="preserve">· Effects of intranasal oxytocin on thermal pain in healthy men: a randomized functional magnetic resonance imaging study. PMID 25647754</w:t>
      </w:r>
    </w:p>
    <w:p>
      <w:pPr>
        <w:numPr>
          <w:ilvl w:val="0"/>
          <w:numId w:val="1419"/>
        </w:numPr>
        <w:pStyle w:val="Compact"/>
      </w:pPr>
      <w:r>
        <w:t xml:space="preserve">2015 · Woolley JD ·</w:t>
      </w:r>
      <w:r>
        <w:t xml:space="preserve"> </w:t>
      </w:r>
      <w:r>
        <w:rPr>
          <w:iCs/>
          <w:i/>
        </w:rPr>
        <w:t xml:space="preserve">Psychoneuroendocrinology</w:t>
      </w:r>
      <w:r>
        <w:t xml:space="preserve"> </w:t>
      </w:r>
      <w:r>
        <w:t xml:space="preserve">· Oxytocin administration selectively improves olfactory detection thresholds for lyral in patients with schizophrenia. PMID 25637811</w:t>
      </w:r>
    </w:p>
    <w:p>
      <w:pPr>
        <w:numPr>
          <w:ilvl w:val="0"/>
          <w:numId w:val="1419"/>
        </w:numPr>
        <w:pStyle w:val="Compact"/>
      </w:pPr>
      <w:r>
        <w:t xml:space="preserve">2015 · Brüne M ·</w:t>
      </w:r>
      <w:r>
        <w:t xml:space="preserve"> </w:t>
      </w:r>
      <w:r>
        <w:rPr>
          <w:iCs/>
          <w:i/>
        </w:rPr>
        <w:t xml:space="preserve">J Nerv Ment Dis</w:t>
      </w:r>
      <w:r>
        <w:t xml:space="preserve"> </w:t>
      </w:r>
      <w:r>
        <w:t xml:space="preserve">· Nonverbal communication of patients with borderline personality disorder during clinical interviews: a double-blind placebo-controlled study using intranasal oxytocin. PMID 25594788</w:t>
      </w:r>
    </w:p>
    <w:p>
      <w:pPr>
        <w:numPr>
          <w:ilvl w:val="0"/>
          <w:numId w:val="1419"/>
        </w:numPr>
        <w:pStyle w:val="Compact"/>
      </w:pPr>
      <w:r>
        <w:t xml:space="preserve">2015 · Gregory R ·</w:t>
      </w:r>
      <w:r>
        <w:t xml:space="preserve"> </w:t>
      </w:r>
      <w:r>
        <w:rPr>
          <w:iCs/>
          <w:i/>
        </w:rPr>
        <w:t xml:space="preserve">Horm Behav</w:t>
      </w:r>
      <w:r>
        <w:t xml:space="preserve"> </w:t>
      </w:r>
      <w:r>
        <w:t xml:space="preserve">· Oxytocin increases VTA activation to infant and sexual stimuli in nulliparous and postpartum women. PMID 25562711</w:t>
      </w:r>
    </w:p>
    <w:p>
      <w:pPr>
        <w:numPr>
          <w:ilvl w:val="0"/>
          <w:numId w:val="1419"/>
        </w:numPr>
        <w:pStyle w:val="Compact"/>
      </w:pPr>
      <w:r>
        <w:t xml:space="preserve">2015 · Finger EC ·</w:t>
      </w:r>
      <w:r>
        <w:t xml:space="preserve"> </w:t>
      </w:r>
      <w:r>
        <w:rPr>
          <w:iCs/>
          <w:i/>
        </w:rPr>
        <w:t xml:space="preserve">Neurology</w:t>
      </w:r>
      <w:r>
        <w:t xml:space="preserve"> </w:t>
      </w:r>
      <w:r>
        <w:t xml:space="preserve">· Oxytocin for frontotemporal dementia: a randomized dose-finding study of safety and tolerability. PMID 25503617</w:t>
      </w:r>
    </w:p>
    <w:p>
      <w:pPr>
        <w:numPr>
          <w:ilvl w:val="0"/>
          <w:numId w:val="1419"/>
        </w:numPr>
        <w:pStyle w:val="Compact"/>
      </w:pPr>
      <w:r>
        <w:t xml:space="preserve">2015 · Edelson MG ·</w:t>
      </w:r>
      <w:r>
        <w:t xml:space="preserve"> </w:t>
      </w:r>
      <w:r>
        <w:rPr>
          <w:iCs/>
          <w:i/>
        </w:rPr>
        <w:t xml:space="preserve">Neuropsychopharmacology</w:t>
      </w:r>
      <w:r>
        <w:t xml:space="preserve"> </w:t>
      </w:r>
      <w:r>
        <w:t xml:space="preserve">· Opposing effects of oxytocin on overt compliance and lasting changes to memory. PMID 25308350</w:t>
      </w:r>
    </w:p>
    <w:p>
      <w:pPr>
        <w:numPr>
          <w:ilvl w:val="0"/>
          <w:numId w:val="1419"/>
        </w:numPr>
        <w:pStyle w:val="Compact"/>
      </w:pPr>
      <w:r>
        <w:t xml:space="preserve">2015 · Scantamburlo G ·</w:t>
      </w:r>
      <w:r>
        <w:t xml:space="preserve"> </w:t>
      </w:r>
      <w:r>
        <w:rPr>
          <w:iCs/>
          <w:i/>
        </w:rPr>
        <w:t xml:space="preserve">Eur Psychiatry</w:t>
      </w:r>
      <w:r>
        <w:t xml:space="preserve"> </w:t>
      </w:r>
      <w:r>
        <w:t xml:space="preserve">· Additional intranasal oxytocin to escitalopram improves depressive symptoms in resistant depression: an open trial. PMID 25282363</w:t>
      </w:r>
    </w:p>
    <w:p>
      <w:pPr>
        <w:numPr>
          <w:ilvl w:val="0"/>
          <w:numId w:val="1419"/>
        </w:numPr>
        <w:pStyle w:val="Compact"/>
      </w:pPr>
      <w:r>
        <w:t xml:space="preserve">2015 · Guastella AJ ·</w:t>
      </w:r>
      <w:r>
        <w:t xml:space="preserve"> </w:t>
      </w:r>
      <w:r>
        <w:rPr>
          <w:iCs/>
          <w:i/>
        </w:rPr>
        <w:t xml:space="preserve">J Child Psychol Psychiatry</w:t>
      </w:r>
      <w:r>
        <w:t xml:space="preserve"> </w:t>
      </w:r>
      <w:r>
        <w:t xml:space="preserve">· The effects of a course of intranasal oxytocin on social behaviors in youth diagnosed with autism spectrum disorders: a randomized controlled trial. PMID 25087908</w:t>
      </w:r>
    </w:p>
    <w:p>
      <w:pPr>
        <w:numPr>
          <w:ilvl w:val="0"/>
          <w:numId w:val="1419"/>
        </w:numPr>
        <w:pStyle w:val="Compact"/>
      </w:pPr>
      <w:r>
        <w:t xml:space="preserve">2015 · Aoki Y ·</w:t>
      </w:r>
      <w:r>
        <w:t xml:space="preserve"> </w:t>
      </w:r>
      <w:r>
        <w:rPr>
          <w:iCs/>
          <w:i/>
        </w:rPr>
        <w:t xml:space="preserve">Mol Psychiatry</w:t>
      </w:r>
      <w:r>
        <w:t xml:space="preserve"> </w:t>
      </w:r>
      <w:r>
        <w:t xml:space="preserve">· Oxytocin’s neurochemical effects in the medial prefrontal cortex underlie recovery of task-specific brain activity in autism: a randomized controlled trial. PMID 25070538</w:t>
      </w:r>
    </w:p>
    <w:p>
      <w:pPr>
        <w:numPr>
          <w:ilvl w:val="0"/>
          <w:numId w:val="1419"/>
        </w:numPr>
        <w:pStyle w:val="Compact"/>
      </w:pPr>
      <w:r>
        <w:t xml:space="preserve">2014 · Kumar J ·</w:t>
      </w:r>
      <w:r>
        <w:t xml:space="preserve"> </w:t>
      </w:r>
      <w:r>
        <w:rPr>
          <w:iCs/>
          <w:i/>
        </w:rPr>
        <w:t xml:space="preserve">Int J Neuropsychopharmacol</w:t>
      </w:r>
      <w:r>
        <w:t xml:space="preserve"> </w:t>
      </w:r>
      <w:r>
        <w:t xml:space="preserve">· Oxytocin affects the connectivity of the precuneus and the amygdala: a randomized, double-blinded, placebo-controlled neuroimaging trial. PMID 25522395</w:t>
      </w:r>
    </w:p>
    <w:p>
      <w:pPr>
        <w:numPr>
          <w:ilvl w:val="0"/>
          <w:numId w:val="1419"/>
        </w:numPr>
        <w:pStyle w:val="Compact"/>
      </w:pPr>
      <w:r>
        <w:t xml:space="preserve">2014 · Colonnello V ·</w:t>
      </w:r>
      <w:r>
        <w:t xml:space="preserve"> </w:t>
      </w:r>
      <w:r>
        <w:rPr>
          <w:iCs/>
          <w:i/>
        </w:rPr>
        <w:t xml:space="preserve">J Psychosom Res</w:t>
      </w:r>
      <w:r>
        <w:t xml:space="preserve"> </w:t>
      </w:r>
      <w:r>
        <w:t xml:space="preserve">· Intranasal oxytocin enhances positive self-attribution in healthy men. PMID 25439340</w:t>
      </w:r>
    </w:p>
    <w:p>
      <w:pPr>
        <w:numPr>
          <w:ilvl w:val="0"/>
          <w:numId w:val="1419"/>
        </w:numPr>
        <w:pStyle w:val="Compact"/>
      </w:pPr>
      <w:r>
        <w:t xml:space="preserve">2014 · Horta de Macedo LR ·</w:t>
      </w:r>
      <w:r>
        <w:t xml:space="preserve"> </w:t>
      </w:r>
      <w:r>
        <w:rPr>
          <w:iCs/>
          <w:i/>
        </w:rPr>
        <w:t xml:space="preserve">Psychiatry Res</w:t>
      </w:r>
      <w:r>
        <w:t xml:space="preserve"> </w:t>
      </w:r>
      <w:r>
        <w:t xml:space="preserve">· Oxytocin does not improve performance of patients with schizophrenia and healthy volunteers in a facial emotion matching task. PMID 25190346</w:t>
      </w:r>
    </w:p>
    <w:p>
      <w:pPr>
        <w:numPr>
          <w:ilvl w:val="0"/>
          <w:numId w:val="1419"/>
        </w:numPr>
        <w:pStyle w:val="Compact"/>
      </w:pPr>
      <w:r>
        <w:t xml:space="preserve">2014 · Lee MR ·</w:t>
      </w:r>
      <w:r>
        <w:t xml:space="preserve"> </w:t>
      </w:r>
      <w:r>
        <w:rPr>
          <w:iCs/>
          <w:i/>
        </w:rPr>
        <w:t xml:space="preserve">Eur Neuropsychopharmacol</w:t>
      </w:r>
      <w:r>
        <w:t xml:space="preserve"> </w:t>
      </w:r>
      <w:r>
        <w:t xml:space="preserve">· Complexity of oxytocin׳s effects in a chronic cocaine dependent population. PMID 25044050</w:t>
      </w:r>
    </w:p>
    <w:p>
      <w:pPr>
        <w:numPr>
          <w:ilvl w:val="0"/>
          <w:numId w:val="1419"/>
        </w:numPr>
        <w:pStyle w:val="Compact"/>
      </w:pPr>
      <w:r>
        <w:t xml:space="preserve">2014 · Woolley JD ·</w:t>
      </w:r>
      <w:r>
        <w:t xml:space="preserve"> </w:t>
      </w:r>
      <w:r>
        <w:rPr>
          <w:iCs/>
          <w:i/>
        </w:rPr>
        <w:t xml:space="preserve">Psychoneuroendocrinology</w:t>
      </w:r>
      <w:r>
        <w:t xml:space="preserve"> </w:t>
      </w:r>
      <w:r>
        <w:t xml:space="preserve">· Oxytocin administration enhances controlled social cognition in patients with schizophrenia. PMID 25001961</w:t>
      </w:r>
    </w:p>
    <w:p>
      <w:pPr>
        <w:numPr>
          <w:ilvl w:val="0"/>
          <w:numId w:val="1419"/>
        </w:numPr>
        <w:pStyle w:val="Compact"/>
      </w:pPr>
      <w:r>
        <w:t xml:space="preserve">2014 · Einfeld SL ·</w:t>
      </w:r>
      <w:r>
        <w:t xml:space="preserve"> </w:t>
      </w:r>
      <w:r>
        <w:rPr>
          <w:iCs/>
          <w:i/>
        </w:rPr>
        <w:t xml:space="preserve">Am J Med Genet A</w:t>
      </w:r>
      <w:r>
        <w:t xml:space="preserve"> </w:t>
      </w:r>
      <w:r>
        <w:t xml:space="preserve">· A double-blind randomized controlled trial of oxytocin nasal spray in Prader Willi syndrome. PMID 24980612</w:t>
      </w:r>
    </w:p>
    <w:p>
      <w:pPr>
        <w:numPr>
          <w:ilvl w:val="0"/>
          <w:numId w:val="1419"/>
        </w:numPr>
        <w:pStyle w:val="Compact"/>
      </w:pPr>
      <w:r>
        <w:t xml:space="preserve">2014 · Rash JA ·</w:t>
      </w:r>
      <w:r>
        <w:t xml:space="preserve"> </w:t>
      </w:r>
      <w:r>
        <w:rPr>
          <w:iCs/>
          <w:i/>
        </w:rPr>
        <w:t xml:space="preserve">Psychosom Med</w:t>
      </w:r>
      <w:r>
        <w:t xml:space="preserve"> </w:t>
      </w:r>
      <w:r>
        <w:t xml:space="preserve">· The effect of intranasal oxytocin administration on acute cold pressor pain: a placebo-controlled, double-blind, within-participants crossover investigation. PMID 24979580</w:t>
      </w:r>
    </w:p>
    <w:p>
      <w:pPr>
        <w:numPr>
          <w:ilvl w:val="0"/>
          <w:numId w:val="1419"/>
        </w:numPr>
        <w:pStyle w:val="Compact"/>
      </w:pPr>
      <w:r>
        <w:t xml:space="preserve">2014 · Bhandari R ·</w:t>
      </w:r>
      <w:r>
        <w:t xml:space="preserve"> </w:t>
      </w:r>
      <w:r>
        <w:rPr>
          <w:iCs/>
          <w:i/>
        </w:rPr>
        <w:t xml:space="preserve">Soc Neurosci</w:t>
      </w:r>
      <w:r>
        <w:t xml:space="preserve"> </w:t>
      </w:r>
      <w:r>
        <w:t xml:space="preserve">· Effects of intranasal oxytocin administration on memory for infant cues: moderation by childhood emotional maltreatment. PMID 24968101</w:t>
      </w:r>
    </w:p>
    <w:p>
      <w:pPr>
        <w:numPr>
          <w:ilvl w:val="0"/>
          <w:numId w:val="1419"/>
        </w:numPr>
        <w:pStyle w:val="Compact"/>
      </w:pPr>
      <w:r>
        <w:t xml:space="preserve">2014 · Yao S ·</w:t>
      </w:r>
      <w:r>
        <w:t xml:space="preserve"> </w:t>
      </w:r>
      <w:r>
        <w:rPr>
          <w:iCs/>
          <w:i/>
        </w:rPr>
        <w:t xml:space="preserve">Int J Neuropsychopharmacol</w:t>
      </w:r>
      <w:r>
        <w:t xml:space="preserve"> </w:t>
      </w:r>
      <w:r>
        <w:t xml:space="preserve">· Oxytocin makes females, but not males, less forgiving following betrayal of trust. PMID 24916520</w:t>
      </w:r>
    </w:p>
    <w:p>
      <w:pPr>
        <w:numPr>
          <w:ilvl w:val="0"/>
          <w:numId w:val="1419"/>
        </w:numPr>
        <w:pStyle w:val="Compact"/>
      </w:pPr>
      <w:r>
        <w:t xml:space="preserve">2014 · Hoge EA ·</w:t>
      </w:r>
      <w:r>
        <w:t xml:space="preserve"> </w:t>
      </w:r>
      <w:r>
        <w:rPr>
          <w:iCs/>
          <w:i/>
        </w:rPr>
        <w:t xml:space="preserve">Hum Psychopharmacol</w:t>
      </w:r>
      <w:r>
        <w:t xml:space="preserve"> </w:t>
      </w:r>
      <w:r>
        <w:t xml:space="preserve">· Gender moderates the effect of oxytocin on social judgments. PMID 24911580</w:t>
      </w:r>
    </w:p>
    <w:p>
      <w:pPr>
        <w:numPr>
          <w:ilvl w:val="0"/>
          <w:numId w:val="1419"/>
        </w:numPr>
        <w:pStyle w:val="Compact"/>
      </w:pPr>
      <w:r>
        <w:t xml:space="preserve">2014 · Kirkpatrick MG ·</w:t>
      </w:r>
      <w:r>
        <w:t xml:space="preserve"> </w:t>
      </w:r>
      <w:r>
        <w:rPr>
          <w:iCs/>
          <w:i/>
        </w:rPr>
        <w:t xml:space="preserve">Psychoneuroendocrinology</w:t>
      </w:r>
      <w:r>
        <w:t xml:space="preserve"> </w:t>
      </w:r>
      <w:r>
        <w:t xml:space="preserve">· Plasma oxytocin concentrations following MDMA or intranasal oxytocin in humans. PMID 24882155</w:t>
      </w:r>
    </w:p>
    <w:p>
      <w:pPr>
        <w:numPr>
          <w:ilvl w:val="0"/>
          <w:numId w:val="1419"/>
        </w:numPr>
        <w:pStyle w:val="Compact"/>
      </w:pPr>
      <w:r>
        <w:t xml:space="preserve">2014 · Gibson CM ·</w:t>
      </w:r>
      <w:r>
        <w:t xml:space="preserve"> </w:t>
      </w:r>
      <w:r>
        <w:rPr>
          <w:iCs/>
          <w:i/>
        </w:rPr>
        <w:t xml:space="preserve">Schizophr Res</w:t>
      </w:r>
      <w:r>
        <w:t xml:space="preserve"> </w:t>
      </w:r>
      <w:r>
        <w:t xml:space="preserve">· A pilot six-week randomized controlled trial of oxytocin on social cognition and social skills in schizophrenia. PMID 24799299</w:t>
      </w:r>
    </w:p>
    <w:p>
      <w:pPr>
        <w:numPr>
          <w:ilvl w:val="0"/>
          <w:numId w:val="1419"/>
        </w:numPr>
        <w:pStyle w:val="Compact"/>
      </w:pPr>
      <w:r>
        <w:t xml:space="preserve">2014 · Frijling JL ·</w:t>
      </w:r>
      <w:r>
        <w:t xml:space="preserve"> </w:t>
      </w:r>
      <w:r>
        <w:rPr>
          <w:iCs/>
          <w:i/>
        </w:rPr>
        <w:t xml:space="preserve">BMC Psychiatry</w:t>
      </w:r>
      <w:r>
        <w:t xml:space="preserve"> </w:t>
      </w:r>
      <w:r>
        <w:t xml:space="preserve">· Efficacy of oxytocin administration early after psychotrauma in preventing the development of PTSD: study protocol of a randomized controlled trial. PMID 24679046</w:t>
      </w:r>
    </w:p>
    <w:p>
      <w:pPr>
        <w:numPr>
          <w:ilvl w:val="0"/>
          <w:numId w:val="1419"/>
        </w:numPr>
        <w:pStyle w:val="Compact"/>
      </w:pPr>
      <w:r>
        <w:t xml:space="preserve">2014 · Davis MC ·</w:t>
      </w:r>
      <w:r>
        <w:t xml:space="preserve"> </w:t>
      </w:r>
      <w:r>
        <w:rPr>
          <w:iCs/>
          <w:i/>
        </w:rPr>
        <w:t xml:space="preserve">Neuropsychopharmacology</w:t>
      </w:r>
      <w:r>
        <w:t xml:space="preserve"> </w:t>
      </w:r>
      <w:r>
        <w:t xml:space="preserve">· Oxytocin-augmented social cognitive skills training in schizophrenia. PMID 24637803</w:t>
      </w:r>
    </w:p>
    <w:p>
      <w:pPr>
        <w:numPr>
          <w:ilvl w:val="0"/>
          <w:numId w:val="1419"/>
        </w:numPr>
        <w:pStyle w:val="Compact"/>
      </w:pPr>
      <w:r>
        <w:t xml:space="preserve">2014 · Kim YR ·</w:t>
      </w:r>
      <w:r>
        <w:t xml:space="preserve"> </w:t>
      </w:r>
      <w:r>
        <w:rPr>
          <w:iCs/>
          <w:i/>
        </w:rPr>
        <w:t xml:space="preserve">PLoS One</w:t>
      </w:r>
      <w:r>
        <w:t xml:space="preserve"> </w:t>
      </w:r>
      <w:r>
        <w:t xml:space="preserve">· The impact of intranasal oxytocin on attention to social emotional stimuli in patients with anorexia nervosa: a double blind within-subject cross-over experiment. PMID 24603863</w:t>
      </w:r>
    </w:p>
    <w:p>
      <w:pPr>
        <w:numPr>
          <w:ilvl w:val="0"/>
          <w:numId w:val="1419"/>
        </w:numPr>
        <w:pStyle w:val="Compact"/>
      </w:pPr>
      <w:r>
        <w:t xml:space="preserve">2014 · Behnia B ·</w:t>
      </w:r>
      <w:r>
        <w:t xml:space="preserve"> </w:t>
      </w:r>
      <w:r>
        <w:rPr>
          <w:iCs/>
          <w:i/>
        </w:rPr>
        <w:t xml:space="preserve">Horm Behav</w:t>
      </w:r>
      <w:r>
        <w:t xml:space="preserve"> </w:t>
      </w:r>
      <w:r>
        <w:t xml:space="preserve">· Differential effects of intranasal oxytocin on sexual experiences and partner interactions in couples. PMID 24503174</w:t>
      </w:r>
    </w:p>
    <w:p>
      <w:pPr>
        <w:numPr>
          <w:ilvl w:val="0"/>
          <w:numId w:val="1419"/>
        </w:numPr>
        <w:pStyle w:val="Compact"/>
      </w:pPr>
      <w:r>
        <w:t xml:space="preserve">2014 · Riem MM ·</w:t>
      </w:r>
      <w:r>
        <w:t xml:space="preserve"> </w:t>
      </w:r>
      <w:r>
        <w:rPr>
          <w:iCs/>
          <w:i/>
        </w:rPr>
        <w:t xml:space="preserve">Prog Neuropsychopharmacol Biol Psychiatry</w:t>
      </w:r>
      <w:r>
        <w:t xml:space="preserve"> </w:t>
      </w:r>
      <w:r>
        <w:t xml:space="preserve">· Oxytocin effects on mind-reading are moderated by experiences of maternal love withdrawal: an fMRI study. PMID 24486563</w:t>
      </w:r>
    </w:p>
    <w:p>
      <w:pPr>
        <w:numPr>
          <w:ilvl w:val="0"/>
          <w:numId w:val="1419"/>
        </w:numPr>
        <w:pStyle w:val="Compact"/>
      </w:pPr>
      <w:r>
        <w:t xml:space="preserve">2014 · Kirkpatrick MG ·</w:t>
      </w:r>
      <w:r>
        <w:t xml:space="preserve"> </w:t>
      </w:r>
      <w:r>
        <w:rPr>
          <w:iCs/>
          <w:i/>
        </w:rPr>
        <w:t xml:space="preserve">Neuropsychopharmacology</w:t>
      </w:r>
      <w:r>
        <w:t xml:space="preserve"> </w:t>
      </w:r>
      <w:r>
        <w:t xml:space="preserve">· Effects of MDMA and Intranasal oxytocin on social and emotional processing. PMID 24448644</w:t>
      </w:r>
    </w:p>
    <w:p>
      <w:pPr>
        <w:numPr>
          <w:ilvl w:val="0"/>
          <w:numId w:val="1419"/>
        </w:numPr>
        <w:pStyle w:val="Compact"/>
      </w:pPr>
      <w:r>
        <w:t xml:space="preserve">2014 · Cardoso C ·</w:t>
      </w:r>
      <w:r>
        <w:t xml:space="preserve"> </w:t>
      </w:r>
      <w:r>
        <w:rPr>
          <w:iCs/>
          <w:i/>
        </w:rPr>
        <w:t xml:space="preserve">Soc Neurosci</w:t>
      </w:r>
      <w:r>
        <w:t xml:space="preserve"> </w:t>
      </w:r>
      <w:r>
        <w:t xml:space="preserve">· Oxytocin and enhancement of the positive valence of social affiliation memories: an autobiographical memory study. PMID 24387003</w:t>
      </w:r>
    </w:p>
    <w:p>
      <w:pPr>
        <w:numPr>
          <w:ilvl w:val="0"/>
          <w:numId w:val="1419"/>
        </w:numPr>
        <w:pStyle w:val="Compact"/>
      </w:pPr>
      <w:r>
        <w:t xml:space="preserve">2014 · Watanabe T ·</w:t>
      </w:r>
      <w:r>
        <w:t xml:space="preserve"> </w:t>
      </w:r>
      <w:r>
        <w:rPr>
          <w:iCs/>
          <w:i/>
        </w:rPr>
        <w:t xml:space="preserve">JAMA Psychiatry</w:t>
      </w:r>
      <w:r>
        <w:t xml:space="preserve"> </w:t>
      </w:r>
      <w:r>
        <w:t xml:space="preserve">· Mitigation of sociocommunicational deficits of autism through oxytocin-induced recovery of medial prefrontal activity: a randomized trial. PMID 24352377</w:t>
      </w:r>
    </w:p>
    <w:p>
      <w:pPr>
        <w:numPr>
          <w:ilvl w:val="0"/>
          <w:numId w:val="1419"/>
        </w:numPr>
        <w:pStyle w:val="Compact"/>
      </w:pPr>
      <w:r>
        <w:t xml:space="preserve">2014 · Cardoso C ·</w:t>
      </w:r>
      <w:r>
        <w:t xml:space="preserve"> </w:t>
      </w:r>
      <w:r>
        <w:rPr>
          <w:iCs/>
          <w:i/>
        </w:rPr>
        <w:t xml:space="preserve">Emotion</w:t>
      </w:r>
      <w:r>
        <w:t xml:space="preserve"> </w:t>
      </w:r>
      <w:r>
        <w:t xml:space="preserve">· The effect of intranasal oxytocin on perceiving and understanding emotion on the Mayer-Salovey-Caruso Emotional Intelligence Test (MSCEIT). PMID 24188065</w:t>
      </w:r>
    </w:p>
    <w:p>
      <w:pPr>
        <w:numPr>
          <w:ilvl w:val="0"/>
          <w:numId w:val="1419"/>
        </w:numPr>
        <w:pStyle w:val="Compact"/>
      </w:pPr>
      <w:r>
        <w:t xml:space="preserve">2014 · Rilling JK ·</w:t>
      </w:r>
      <w:r>
        <w:t xml:space="preserve"> </w:t>
      </w:r>
      <w:r>
        <w:rPr>
          <w:iCs/>
          <w:i/>
        </w:rPr>
        <w:t xml:space="preserve">Psychoneuroendocrinology</w:t>
      </w:r>
      <w:r>
        <w:t xml:space="preserve"> </w:t>
      </w:r>
      <w:r>
        <w:t xml:space="preserve">· Sex differences in the neural and behavioral response to intranasal oxytocin and vasopressin during human social interaction. PMID 24157401</w:t>
      </w:r>
    </w:p>
    <w:p>
      <w:pPr>
        <w:numPr>
          <w:ilvl w:val="0"/>
          <w:numId w:val="1419"/>
        </w:numPr>
        <w:pStyle w:val="Compact"/>
      </w:pPr>
      <w:r>
        <w:t xml:space="preserve">2014 · Domes G ·</w:t>
      </w:r>
      <w:r>
        <w:t xml:space="preserve"> </w:t>
      </w:r>
      <w:r>
        <w:rPr>
          <w:iCs/>
          <w:i/>
        </w:rPr>
        <w:t xml:space="preserve">Neuropsychopharmacology</w:t>
      </w:r>
      <w:r>
        <w:t xml:space="preserve"> </w:t>
      </w:r>
      <w:r>
        <w:t xml:space="preserve">· Oxytocin promotes facial emotion recognition and amygdala reactivity in adults with asperger syndrome. PMID 24067301</w:t>
      </w:r>
    </w:p>
    <w:p>
      <w:pPr>
        <w:numPr>
          <w:ilvl w:val="0"/>
          <w:numId w:val="1419"/>
        </w:numPr>
        <w:pStyle w:val="Compact"/>
      </w:pPr>
      <w:r>
        <w:t xml:space="preserve">2014 · Dadds MR ·</w:t>
      </w:r>
      <w:r>
        <w:t xml:space="preserve"> </w:t>
      </w:r>
      <w:r>
        <w:rPr>
          <w:iCs/>
          <w:i/>
        </w:rPr>
        <w:t xml:space="preserve">J Autism Dev Disord</w:t>
      </w:r>
      <w:r>
        <w:t xml:space="preserve"> </w:t>
      </w:r>
      <w:r>
        <w:t xml:space="preserve">· Nasal oxytocin for social deficits in childhood autism: a randomized controlled trial. PMID 23888359</w:t>
      </w:r>
    </w:p>
    <w:p>
      <w:pPr>
        <w:numPr>
          <w:ilvl w:val="0"/>
          <w:numId w:val="1419"/>
        </w:numPr>
        <w:pStyle w:val="Compact"/>
      </w:pPr>
      <w:r>
        <w:t xml:space="preserve">2014 · Rupp HA ·</w:t>
      </w:r>
      <w:r>
        <w:t xml:space="preserve"> </w:t>
      </w:r>
      <w:r>
        <w:rPr>
          <w:iCs/>
          <w:i/>
        </w:rPr>
        <w:t xml:space="preserve">Soc Cogn Affect Neurosci</w:t>
      </w:r>
      <w:r>
        <w:t xml:space="preserve"> </w:t>
      </w:r>
      <w:r>
        <w:t xml:space="preserve">· Amygdala response to negative images in postpartum vs nulliparous women and intranasal oxytocin. PMID 22956670</w:t>
      </w:r>
    </w:p>
    <w:p>
      <w:pPr>
        <w:numPr>
          <w:ilvl w:val="0"/>
          <w:numId w:val="1419"/>
        </w:numPr>
        <w:pStyle w:val="Compact"/>
      </w:pPr>
      <w:r>
        <w:t xml:space="preserve">2013 · Striepens N ·</w:t>
      </w:r>
      <w:r>
        <w:t xml:space="preserve"> </w:t>
      </w:r>
      <w:r>
        <w:rPr>
          <w:iCs/>
          <w:i/>
        </w:rPr>
        <w:t xml:space="preserve">Sci Rep</w:t>
      </w:r>
      <w:r>
        <w:t xml:space="preserve"> </w:t>
      </w:r>
      <w:r>
        <w:t xml:space="preserve">· Elevated cerebrospinal fluid and blood concentrations of oxytocin following its intranasal administration in humans. PMID 24310737</w:t>
      </w:r>
    </w:p>
    <w:p>
      <w:pPr>
        <w:numPr>
          <w:ilvl w:val="0"/>
          <w:numId w:val="1419"/>
        </w:numPr>
        <w:pStyle w:val="Compact"/>
      </w:pPr>
      <w:r>
        <w:t xml:space="preserve">2013 · Montag C ·</w:t>
      </w:r>
      <w:r>
        <w:t xml:space="preserve"> </w:t>
      </w:r>
      <w:r>
        <w:rPr>
          <w:iCs/>
          <w:i/>
        </w:rPr>
        <w:t xml:space="preserve">Eur Arch Psychiatry Clin Neurosci</w:t>
      </w:r>
      <w:r>
        <w:t xml:space="preserve"> </w:t>
      </w:r>
      <w:r>
        <w:t xml:space="preserve">· An interaction between oxytocin and a genetic variation of the oxytocin receptor modulates amygdala activity toward direct gaze: evidence from a pharmacological imaging genetics study. PMID 24071915</w:t>
      </w:r>
    </w:p>
    <w:p>
      <w:pPr>
        <w:numPr>
          <w:ilvl w:val="0"/>
          <w:numId w:val="1419"/>
        </w:numPr>
        <w:pStyle w:val="Compact"/>
      </w:pPr>
      <w:r>
        <w:t xml:space="preserve">2013 · Ebert A ·</w:t>
      </w:r>
      <w:r>
        <w:t xml:space="preserve"> </w:t>
      </w:r>
      <w:r>
        <w:rPr>
          <w:iCs/>
          <w:i/>
        </w:rPr>
        <w:t xml:space="preserve">Soc Neurosci</w:t>
      </w:r>
      <w:r>
        <w:t xml:space="preserve"> </w:t>
      </w:r>
      <w:r>
        <w:t xml:space="preserve">· Modulation of interpersonal trust in borderline personality disorder by intranasal oxytocin and childhood trauma. PMID 23802121</w:t>
      </w:r>
    </w:p>
    <w:p>
      <w:pPr>
        <w:numPr>
          <w:ilvl w:val="0"/>
          <w:numId w:val="1419"/>
        </w:numPr>
        <w:pStyle w:val="Compact"/>
      </w:pPr>
      <w:r>
        <w:t xml:space="preserve">2013 · Cardoso C ·</w:t>
      </w:r>
      <w:r>
        <w:t xml:space="preserve"> </w:t>
      </w:r>
      <w:r>
        <w:rPr>
          <w:iCs/>
          <w:i/>
        </w:rPr>
        <w:t xml:space="preserve">Psychoneuroendocrinology</w:t>
      </w:r>
      <w:r>
        <w:t xml:space="preserve"> </w:t>
      </w:r>
      <w:r>
        <w:t xml:space="preserve">· Stress-induced negative mood moderates the relation between oxytocin administration and trust: evidence for the tend-and-befriend response to stress?. PMID 23768973</w:t>
      </w:r>
    </w:p>
    <w:p>
      <w:pPr>
        <w:numPr>
          <w:ilvl w:val="0"/>
          <w:numId w:val="1419"/>
        </w:numPr>
        <w:pStyle w:val="Compact"/>
      </w:pPr>
      <w:r>
        <w:t xml:space="preserve">2013 · Zhang H ·</w:t>
      </w:r>
      <w:r>
        <w:t xml:space="preserve"> </w:t>
      </w:r>
      <w:r>
        <w:rPr>
          <w:iCs/>
          <w:i/>
        </w:rPr>
        <w:t xml:space="preserve">PLoS One</w:t>
      </w:r>
      <w:r>
        <w:t xml:space="preserve"> </w:t>
      </w:r>
      <w:r>
        <w:t xml:space="preserve">· Treatment of obesity and diabetes using oxytocin or analogs in patients and mouse models. PMID 23700406</w:t>
      </w:r>
    </w:p>
    <w:p>
      <w:pPr>
        <w:numPr>
          <w:ilvl w:val="0"/>
          <w:numId w:val="1419"/>
        </w:numPr>
        <w:pStyle w:val="Compact"/>
      </w:pPr>
      <w:r>
        <w:t xml:space="preserve">2013 · Davis MC ·</w:t>
      </w:r>
      <w:r>
        <w:t xml:space="preserve"> </w:t>
      </w:r>
      <w:r>
        <w:rPr>
          <w:iCs/>
          <w:i/>
        </w:rPr>
        <w:t xml:space="preserve">Schizophr Res</w:t>
      </w:r>
      <w:r>
        <w:t xml:space="preserve"> </w:t>
      </w:r>
      <w:r>
        <w:t xml:space="preserve">· Effects of single dose intranasal oxytocin on social cognition in schizophrenia. PMID 23676253</w:t>
      </w:r>
    </w:p>
    <w:p>
      <w:pPr>
        <w:numPr>
          <w:ilvl w:val="0"/>
          <w:numId w:val="1419"/>
        </w:numPr>
        <w:pStyle w:val="Compact"/>
      </w:pPr>
      <w:r>
        <w:t xml:space="preserve">2013 · Acheson D ·</w:t>
      </w:r>
      <w:r>
        <w:t xml:space="preserve"> </w:t>
      </w:r>
      <w:r>
        <w:rPr>
          <w:iCs/>
          <w:i/>
        </w:rPr>
        <w:t xml:space="preserve">Psychopharmacology (Berl)</w:t>
      </w:r>
      <w:r>
        <w:t xml:space="preserve"> </w:t>
      </w:r>
      <w:r>
        <w:t xml:space="preserve">· The effect of intranasal oxytocin treatment on conditioned fear extinction and recall in a healthy human sample. PMID 23644911</w:t>
      </w:r>
    </w:p>
    <w:p>
      <w:pPr>
        <w:numPr>
          <w:ilvl w:val="0"/>
          <w:numId w:val="1419"/>
        </w:numPr>
        <w:pStyle w:val="Compact"/>
      </w:pPr>
      <w:r>
        <w:t xml:space="preserve">2013 · Prehn K ·</w:t>
      </w:r>
      <w:r>
        <w:t xml:space="preserve"> </w:t>
      </w:r>
      <w:r>
        <w:rPr>
          <w:iCs/>
          <w:i/>
        </w:rPr>
        <w:t xml:space="preserve">Psychophysiology</w:t>
      </w:r>
      <w:r>
        <w:t xml:space="preserve"> </w:t>
      </w:r>
      <w:r>
        <w:t xml:space="preserve">· Effects of intranasal oxytocin on pupil dilation indicate increased salience of socioaffective stimuli. PMID 23551070</w:t>
      </w:r>
    </w:p>
    <w:p>
      <w:pPr>
        <w:numPr>
          <w:ilvl w:val="0"/>
          <w:numId w:val="1419"/>
        </w:numPr>
        <w:pStyle w:val="Compact"/>
      </w:pPr>
      <w:r>
        <w:t xml:space="preserve">2013 · Domes G ·</w:t>
      </w:r>
      <w:r>
        <w:t xml:space="preserve"> </w:t>
      </w:r>
      <w:r>
        <w:rPr>
          <w:iCs/>
          <w:i/>
        </w:rPr>
        <w:t xml:space="preserve">Biol Psychiatry</w:t>
      </w:r>
      <w:r>
        <w:t xml:space="preserve"> </w:t>
      </w:r>
      <w:r>
        <w:t xml:space="preserve">· Effects of intranasal oxytocin on the neural basis of face processing in autism spectrum disorder. PMID 23510581</w:t>
      </w:r>
    </w:p>
    <w:p>
      <w:pPr>
        <w:numPr>
          <w:ilvl w:val="0"/>
          <w:numId w:val="1419"/>
        </w:numPr>
        <w:pStyle w:val="Compact"/>
      </w:pPr>
      <w:r>
        <w:t xml:space="preserve">2013 · Tachibana M ·</w:t>
      </w:r>
      <w:r>
        <w:t xml:space="preserve"> </w:t>
      </w:r>
      <w:r>
        <w:rPr>
          <w:iCs/>
          <w:i/>
        </w:rPr>
        <w:t xml:space="preserve">J Child Adolesc Psychopharmacol</w:t>
      </w:r>
      <w:r>
        <w:t xml:space="preserve"> </w:t>
      </w:r>
      <w:r>
        <w:t xml:space="preserve">· Long-term administration of intranasal oxytocin is a safe and promising therapy for early adolescent boys with autism spectrum disorders. PMID 23480321</w:t>
      </w:r>
    </w:p>
    <w:p>
      <w:pPr>
        <w:numPr>
          <w:ilvl w:val="0"/>
          <w:numId w:val="1419"/>
        </w:numPr>
        <w:pStyle w:val="Compact"/>
      </w:pPr>
      <w:r>
        <w:t xml:space="preserve">2013 · Theodoridou A ·</w:t>
      </w:r>
      <w:r>
        <w:t xml:space="preserve"> </w:t>
      </w:r>
      <w:r>
        <w:rPr>
          <w:iCs/>
          <w:i/>
        </w:rPr>
        <w:t xml:space="preserve">PLoS One</w:t>
      </w:r>
      <w:r>
        <w:t xml:space="preserve"> </w:t>
      </w:r>
      <w:r>
        <w:t xml:space="preserve">· A direct examination of the effect of intranasal administration of oxytocin on approach-avoidance motor responses to emotional stimuli. PMID 23469148</w:t>
      </w:r>
    </w:p>
    <w:p>
      <w:pPr>
        <w:numPr>
          <w:ilvl w:val="0"/>
          <w:numId w:val="1419"/>
        </w:numPr>
        <w:pStyle w:val="Compact"/>
      </w:pPr>
      <w:r>
        <w:t xml:space="preserve">2013 · Groppe SE ·</w:t>
      </w:r>
      <w:r>
        <w:t xml:space="preserve"> </w:t>
      </w:r>
      <w:r>
        <w:rPr>
          <w:iCs/>
          <w:i/>
        </w:rPr>
        <w:t xml:space="preserve">Biol Psychiatry</w:t>
      </w:r>
      <w:r>
        <w:t xml:space="preserve"> </w:t>
      </w:r>
      <w:r>
        <w:t xml:space="preserve">· Oxytocin influences processing of socially relevant cues in the ventral tegmental area of the human brain. PMID 23419544</w:t>
      </w:r>
    </w:p>
    <w:p>
      <w:pPr>
        <w:numPr>
          <w:ilvl w:val="0"/>
          <w:numId w:val="1419"/>
        </w:numPr>
        <w:pStyle w:val="Compact"/>
      </w:pPr>
      <w:r>
        <w:t xml:space="preserve">2013 · Lee MR ·</w:t>
      </w:r>
      <w:r>
        <w:t xml:space="preserve"> </w:t>
      </w:r>
      <w:r>
        <w:rPr>
          <w:iCs/>
          <w:i/>
        </w:rPr>
        <w:t xml:space="preserve">Schizophr Res</w:t>
      </w:r>
      <w:r>
        <w:t xml:space="preserve"> </w:t>
      </w:r>
      <w:r>
        <w:t xml:space="preserve">· Effects of adjunctive intranasal oxytocin on olfactory identification and clinical symptoms in schizophrenia: results from a randomized double blind placebo controlled pilot study. PMID 23415472</w:t>
      </w:r>
    </w:p>
    <w:p>
      <w:pPr>
        <w:numPr>
          <w:ilvl w:val="0"/>
          <w:numId w:val="1419"/>
        </w:numPr>
        <w:pStyle w:val="Compact"/>
      </w:pPr>
      <w:r>
        <w:t xml:space="preserve">2013 · Riem MM ·</w:t>
      </w:r>
      <w:r>
        <w:t xml:space="preserve"> </w:t>
      </w:r>
      <w:r>
        <w:rPr>
          <w:iCs/>
          <w:i/>
        </w:rPr>
        <w:t xml:space="preserve">Psychoneuroendocrinology</w:t>
      </w:r>
      <w:r>
        <w:t xml:space="preserve"> </w:t>
      </w:r>
      <w:r>
        <w:t xml:space="preserve">· Does intranasal oxytocin promote prosocial behavior to an excluded fellow player? A randomized-controlled trial with Cyberball. PMID 23352229</w:t>
      </w:r>
    </w:p>
    <w:p>
      <w:pPr>
        <w:numPr>
          <w:ilvl w:val="0"/>
          <w:numId w:val="1419"/>
        </w:numPr>
        <w:pStyle w:val="Compact"/>
      </w:pPr>
      <w:r>
        <w:t xml:space="preserve">2013 · Weigand A ·</w:t>
      </w:r>
      <w:r>
        <w:t xml:space="preserve"> </w:t>
      </w:r>
      <w:r>
        <w:rPr>
          <w:iCs/>
          <w:i/>
        </w:rPr>
        <w:t xml:space="preserve">Psychopharmacology (Berl)</w:t>
      </w:r>
      <w:r>
        <w:t xml:space="preserve"> </w:t>
      </w:r>
      <w:r>
        <w:t xml:space="preserve">· Effects of intranasal oxytocin prior to encoding and retrieval on recognition memory. PMID 23334103</w:t>
      </w:r>
    </w:p>
    <w:p>
      <w:pPr>
        <w:numPr>
          <w:ilvl w:val="0"/>
          <w:numId w:val="1419"/>
        </w:numPr>
        <w:pStyle w:val="Compact"/>
      </w:pPr>
      <w:r>
        <w:t xml:space="preserve">2013 · Modabbernia A ·</w:t>
      </w:r>
      <w:r>
        <w:t xml:space="preserve"> </w:t>
      </w:r>
      <w:r>
        <w:rPr>
          <w:iCs/>
          <w:i/>
        </w:rPr>
        <w:t xml:space="preserve">CNS Drugs</w:t>
      </w:r>
      <w:r>
        <w:t xml:space="preserve"> </w:t>
      </w:r>
      <w:r>
        <w:t xml:space="preserve">· Intranasal oxytocin as an adjunct to risperidone in patients with schizophrenia : an 8-week, randomized, double-blind, placebo-controlled study. PMID 23233269</w:t>
      </w:r>
    </w:p>
    <w:p>
      <w:pPr>
        <w:numPr>
          <w:ilvl w:val="0"/>
          <w:numId w:val="1419"/>
        </w:numPr>
        <w:pStyle w:val="Compact"/>
      </w:pPr>
      <w:r>
        <w:t xml:space="preserve">2013 · Huffmeijer R ·</w:t>
      </w:r>
      <w:r>
        <w:t xml:space="preserve"> </w:t>
      </w:r>
      <w:r>
        <w:rPr>
          <w:iCs/>
          <w:i/>
        </w:rPr>
        <w:t xml:space="preserve">Horm Behav</w:t>
      </w:r>
      <w:r>
        <w:t xml:space="preserve"> </w:t>
      </w:r>
      <w:r>
        <w:t xml:space="preserve">· The impact of oxytocin administration and maternal love withdrawal on event-related potential (ERP) responses to emotional faces with performance feedback. PMID 23159479</w:t>
      </w:r>
    </w:p>
    <w:p>
      <w:pPr>
        <w:numPr>
          <w:ilvl w:val="0"/>
          <w:numId w:val="1419"/>
        </w:numPr>
        <w:pStyle w:val="Compact"/>
      </w:pPr>
      <w:r>
        <w:t xml:space="preserve">2013 · Domes G ·</w:t>
      </w:r>
      <w:r>
        <w:t xml:space="preserve"> </w:t>
      </w:r>
      <w:r>
        <w:rPr>
          <w:iCs/>
          <w:i/>
        </w:rPr>
        <w:t xml:space="preserve">Psychol Med</w:t>
      </w:r>
      <w:r>
        <w:t xml:space="preserve"> </w:t>
      </w:r>
      <w:r>
        <w:t xml:space="preserve">· Intranasal oxytocin increases covert attention to positive social cues. PMID 23146328</w:t>
      </w:r>
    </w:p>
    <w:p>
      <w:pPr>
        <w:numPr>
          <w:ilvl w:val="0"/>
          <w:numId w:val="1419"/>
        </w:numPr>
        <w:pStyle w:val="Compact"/>
      </w:pPr>
      <w:r>
        <w:t xml:space="preserve">2013 · Mah BL ·</w:t>
      </w:r>
      <w:r>
        <w:t xml:space="preserve"> </w:t>
      </w:r>
      <w:r>
        <w:rPr>
          <w:iCs/>
          <w:i/>
        </w:rPr>
        <w:t xml:space="preserve">Prog Neuropsychopharmacol Biol Psychiatry</w:t>
      </w:r>
      <w:r>
        <w:t xml:space="preserve"> </w:t>
      </w:r>
      <w:r>
        <w:t xml:space="preserve">· Oxytocin in postnatally depressed mothers: its influence on mood and expressed emotion. PMID 23085508</w:t>
      </w:r>
    </w:p>
    <w:p>
      <w:pPr>
        <w:numPr>
          <w:ilvl w:val="0"/>
          <w:numId w:val="1419"/>
        </w:numPr>
        <w:pStyle w:val="Compact"/>
      </w:pPr>
      <w:r>
        <w:t xml:space="preserve">2013 · Pedersen CA ·</w:t>
      </w:r>
      <w:r>
        <w:t xml:space="preserve"> </w:t>
      </w:r>
      <w:r>
        <w:rPr>
          <w:iCs/>
          <w:i/>
        </w:rPr>
        <w:t xml:space="preserve">Alcohol Clin Exp Res</w:t>
      </w:r>
      <w:r>
        <w:t xml:space="preserve"> </w:t>
      </w:r>
      <w:r>
        <w:t xml:space="preserve">· Intranasal oxytocin blocks alcohol withdrawal in human subjects. PMID 23025690</w:t>
      </w:r>
    </w:p>
    <w:p>
      <w:pPr>
        <w:numPr>
          <w:ilvl w:val="0"/>
          <w:numId w:val="1419"/>
        </w:numPr>
        <w:pStyle w:val="Compact"/>
      </w:pPr>
      <w:r>
        <w:t xml:space="preserve">2013 · Ellenbogen MA ·</w:t>
      </w:r>
      <w:r>
        <w:t xml:space="preserve"> </w:t>
      </w:r>
      <w:r>
        <w:rPr>
          <w:iCs/>
          <w:i/>
        </w:rPr>
        <w:t xml:space="preserve">Psychoneuroendocrinology</w:t>
      </w:r>
      <w:r>
        <w:t xml:space="preserve"> </w:t>
      </w:r>
      <w:r>
        <w:t xml:space="preserve">· Intranasal oxytocin impedes the ability to ignore task-irrelevant facial expressions of sadness in students with depressive symptoms. PMID 22902063</w:t>
      </w:r>
    </w:p>
    <w:p>
      <w:pPr>
        <w:numPr>
          <w:ilvl w:val="0"/>
          <w:numId w:val="1419"/>
        </w:numPr>
        <w:pStyle w:val="Compact"/>
      </w:pPr>
      <w:r>
        <w:t xml:space="preserve">2013 · Cardoso C ·</w:t>
      </w:r>
      <w:r>
        <w:t xml:space="preserve"> </w:t>
      </w:r>
      <w:r>
        <w:rPr>
          <w:iCs/>
          <w:i/>
        </w:rPr>
        <w:t xml:space="preserve">Psychoneuroendocrinology</w:t>
      </w:r>
      <w:r>
        <w:t xml:space="preserve"> </w:t>
      </w:r>
      <w:r>
        <w:t xml:space="preserve">· Intranasal oxytocin attenuates the cortisol response to physical stress: a dose-response study. PMID 22889586</w:t>
      </w:r>
    </w:p>
    <w:p>
      <w:pPr>
        <w:numPr>
          <w:ilvl w:val="0"/>
          <w:numId w:val="1419"/>
        </w:numPr>
        <w:pStyle w:val="Compact"/>
      </w:pPr>
      <w:r>
        <w:t xml:space="preserve">2013 · Ditzen B ·</w:t>
      </w:r>
      <w:r>
        <w:t xml:space="preserve"> </w:t>
      </w:r>
      <w:r>
        <w:rPr>
          <w:iCs/>
          <w:i/>
        </w:rPr>
        <w:t xml:space="preserve">Soc Cogn Affect Neurosci</w:t>
      </w:r>
      <w:r>
        <w:t xml:space="preserve"> </w:t>
      </w:r>
      <w:r>
        <w:t xml:space="preserve">· Sex-specific effects of intranasal oxytocin on autonomic nervous system and emotional responses to couple conflict. PMID 22842905</w:t>
      </w:r>
    </w:p>
    <w:p>
      <w:pPr>
        <w:numPr>
          <w:ilvl w:val="0"/>
          <w:numId w:val="1419"/>
        </w:numPr>
        <w:pStyle w:val="Compact"/>
      </w:pPr>
      <w:r>
        <w:t xml:space="preserve">2013 · Leknes S ·</w:t>
      </w:r>
      <w:r>
        <w:t xml:space="preserve"> </w:t>
      </w:r>
      <w:r>
        <w:rPr>
          <w:iCs/>
          <w:i/>
        </w:rPr>
        <w:t xml:space="preserve">Soc Cogn Affect Neurosci</w:t>
      </w:r>
      <w:r>
        <w:t xml:space="preserve"> </w:t>
      </w:r>
      <w:r>
        <w:t xml:space="preserve">· Oxytocin enhances pupil dilation and sensitivity to</w:t>
      </w:r>
      <w:r>
        <w:t xml:space="preserve"> </w:t>
      </w:r>
      <w:r>
        <w:t xml:space="preserve">‘</w:t>
      </w:r>
      <w:r>
        <w:t xml:space="preserve">hidden</w:t>
      </w:r>
      <w:r>
        <w:t xml:space="preserve">’</w:t>
      </w:r>
      <w:r>
        <w:t xml:space="preserve"> </w:t>
      </w:r>
      <w:r>
        <w:t xml:space="preserve">emotional expressions. PMID 22648957</w:t>
      </w:r>
    </w:p>
    <w:p>
      <w:pPr>
        <w:numPr>
          <w:ilvl w:val="0"/>
          <w:numId w:val="1419"/>
        </w:numPr>
        <w:pStyle w:val="Compact"/>
      </w:pPr>
      <w:r>
        <w:t xml:space="preserve">2013 · Krueger F ·</w:t>
      </w:r>
      <w:r>
        <w:t xml:space="preserve"> </w:t>
      </w:r>
      <w:r>
        <w:rPr>
          <w:iCs/>
          <w:i/>
        </w:rPr>
        <w:t xml:space="preserve">Soc Cogn Affect Neurosci</w:t>
      </w:r>
      <w:r>
        <w:t xml:space="preserve"> </w:t>
      </w:r>
      <w:r>
        <w:t xml:space="preserve">· Oxytocin selectively increases perceptions of harm for victims but not the desire to punish offenders of criminal offenses. PMID 22368214</w:t>
      </w:r>
    </w:p>
    <w:p>
      <w:pPr>
        <w:numPr>
          <w:ilvl w:val="0"/>
          <w:numId w:val="1419"/>
        </w:numPr>
        <w:pStyle w:val="Compact"/>
      </w:pPr>
      <w:r>
        <w:t xml:space="preserve">2012 · Feifel D ·</w:t>
      </w:r>
      <w:r>
        <w:t xml:space="preserve"> </w:t>
      </w:r>
      <w:r>
        <w:rPr>
          <w:iCs/>
          <w:i/>
        </w:rPr>
        <w:t xml:space="preserve">Schizophr Res</w:t>
      </w:r>
      <w:r>
        <w:t xml:space="preserve"> </w:t>
      </w:r>
      <w:r>
        <w:t xml:space="preserve">· Adjunctive intranasal oxytocin improves verbal memory in people with schizophrenia. PMID 22682705</w:t>
      </w:r>
    </w:p>
    <w:p>
      <w:pPr>
        <w:numPr>
          <w:ilvl w:val="0"/>
          <w:numId w:val="1419"/>
        </w:numPr>
        <w:pStyle w:val="Compact"/>
      </w:pPr>
      <w:r>
        <w:t xml:space="preserve">2012 · Huffmeijer R ·</w:t>
      </w:r>
      <w:r>
        <w:t xml:space="preserve"> </w:t>
      </w:r>
      <w:r>
        <w:rPr>
          <w:iCs/>
          <w:i/>
        </w:rPr>
        <w:t xml:space="preserve">Neuro Endocrinol Lett</w:t>
      </w:r>
      <w:r>
        <w:t xml:space="preserve"> </w:t>
      </w:r>
      <w:r>
        <w:t xml:space="preserve">· Salivary levels of oxytocin remain elevated for more than two hours after intranasal oxytocin administration. PMID 22467107</w:t>
      </w:r>
    </w:p>
    <w:p>
      <w:pPr>
        <w:numPr>
          <w:ilvl w:val="0"/>
          <w:numId w:val="1419"/>
        </w:numPr>
        <w:pStyle w:val="Compact"/>
      </w:pPr>
      <w:r>
        <w:t xml:space="preserve">2012 · Weisman O ·</w:t>
      </w:r>
      <w:r>
        <w:t xml:space="preserve"> </w:t>
      </w:r>
      <w:r>
        <w:rPr>
          <w:iCs/>
          <w:i/>
        </w:rPr>
        <w:t xml:space="preserve">Psychoneuroendocrinology</w:t>
      </w:r>
      <w:r>
        <w:t xml:space="preserve"> </w:t>
      </w:r>
      <w:r>
        <w:t xml:space="preserve">· Intranasal oxytocin administration is reflected in human saliva. PMID 22436536</w:t>
      </w:r>
    </w:p>
    <w:p>
      <w:pPr>
        <w:numPr>
          <w:ilvl w:val="0"/>
          <w:numId w:val="1419"/>
        </w:numPr>
        <w:pStyle w:val="Compact"/>
      </w:pPr>
      <w:r>
        <w:t xml:space="preserve">2012 · Riem MM ·</w:t>
      </w:r>
      <w:r>
        <w:t xml:space="preserve"> </w:t>
      </w:r>
      <w:r>
        <w:rPr>
          <w:iCs/>
          <w:i/>
        </w:rPr>
        <w:t xml:space="preserve">Neuropsychopharmacology</w:t>
      </w:r>
      <w:r>
        <w:t xml:space="preserve"> </w:t>
      </w:r>
      <w:r>
        <w:t xml:space="preserve">· No laughing matter: intranasal oxytocin administration changes functional brain connectivity during exposure to infant laughter. PMID 22189289</w:t>
      </w:r>
    </w:p>
    <w:p>
      <w:pPr>
        <w:numPr>
          <w:ilvl w:val="0"/>
          <w:numId w:val="1419"/>
        </w:numPr>
        <w:pStyle w:val="Compact"/>
      </w:pPr>
      <w:r>
        <w:t xml:space="preserve">2012 · De Dreu CK ·</w:t>
      </w:r>
      <w:r>
        <w:t xml:space="preserve"> </w:t>
      </w:r>
      <w:r>
        <w:rPr>
          <w:iCs/>
          <w:i/>
        </w:rPr>
        <w:t xml:space="preserve">Psychoneuroendocrinology</w:t>
      </w:r>
      <w:r>
        <w:t xml:space="preserve"> </w:t>
      </w:r>
      <w:r>
        <w:t xml:space="preserve">· Oxytocin modulates the link between adult attachment and cooperation through reduced betrayal aversion. PMID 22055739</w:t>
      </w:r>
    </w:p>
    <w:p>
      <w:pPr>
        <w:numPr>
          <w:ilvl w:val="0"/>
          <w:numId w:val="1419"/>
        </w:numPr>
        <w:pStyle w:val="Compact"/>
      </w:pPr>
      <w:r>
        <w:t xml:space="preserve">2012 · Linnen AM ·</w:t>
      </w:r>
      <w:r>
        <w:t xml:space="preserve"> </w:t>
      </w:r>
      <w:r>
        <w:rPr>
          <w:iCs/>
          <w:i/>
        </w:rPr>
        <w:t xml:space="preserve">Stress</w:t>
      </w:r>
      <w:r>
        <w:t xml:space="preserve"> </w:t>
      </w:r>
      <w:r>
        <w:t xml:space="preserve">· Intranasal oxytocin and salivary cortisol concentrations during social rejection in university students. PMID 22044077</w:t>
      </w:r>
    </w:p>
    <w:p>
      <w:pPr>
        <w:numPr>
          <w:ilvl w:val="0"/>
          <w:numId w:val="1419"/>
        </w:numPr>
        <w:pStyle w:val="Compact"/>
      </w:pPr>
      <w:r>
        <w:t xml:space="preserve">2012 · Cardoso C ·</w:t>
      </w:r>
      <w:r>
        <w:t xml:space="preserve"> </w:t>
      </w:r>
      <w:r>
        <w:rPr>
          <w:iCs/>
          <w:i/>
        </w:rPr>
        <w:t xml:space="preserve">Psychopharmacology (Berl)</w:t>
      </w:r>
      <w:r>
        <w:t xml:space="preserve"> </w:t>
      </w:r>
      <w:r>
        <w:t xml:space="preserve">· Acute intranasal oxytocin improves positive self-perceptions of personality. PMID 22012170</w:t>
      </w:r>
    </w:p>
    <w:p>
      <w:pPr>
        <w:numPr>
          <w:ilvl w:val="0"/>
          <w:numId w:val="1419"/>
        </w:numPr>
        <w:pStyle w:val="Compact"/>
      </w:pPr>
      <w:r>
        <w:t xml:space="preserve">2012 · Cardoso C ·</w:t>
      </w:r>
      <w:r>
        <w:t xml:space="preserve"> </w:t>
      </w:r>
      <w:r>
        <w:rPr>
          <w:iCs/>
          <w:i/>
        </w:rPr>
        <w:t xml:space="preserve">Exp Clin Psychopharmacol</w:t>
      </w:r>
      <w:r>
        <w:t xml:space="preserve"> </w:t>
      </w:r>
      <w:r>
        <w:t xml:space="preserve">· Coping style moderates the effect of intranasal oxytocin on the mood response to interpersonal stress. PMID 21988218</w:t>
      </w:r>
    </w:p>
    <w:p>
      <w:pPr>
        <w:numPr>
          <w:ilvl w:val="0"/>
          <w:numId w:val="1419"/>
        </w:numPr>
        <w:pStyle w:val="Compact"/>
      </w:pPr>
      <w:r>
        <w:t xml:space="preserve">2012 · Hall SS ·</w:t>
      </w:r>
      <w:r>
        <w:t xml:space="preserve"> </w:t>
      </w:r>
      <w:r>
        <w:rPr>
          <w:iCs/>
          <w:i/>
        </w:rPr>
        <w:t xml:space="preserve">Psychoneuroendocrinology</w:t>
      </w:r>
      <w:r>
        <w:t xml:space="preserve"> </w:t>
      </w:r>
      <w:r>
        <w:t xml:space="preserve">· Effects of intranasal oxytocin on social anxiety in males with fragile X syndrome. PMID 21862226</w:t>
      </w:r>
    </w:p>
    <w:p>
      <w:pPr>
        <w:numPr>
          <w:ilvl w:val="0"/>
          <w:numId w:val="1419"/>
        </w:numPr>
        <w:pStyle w:val="Compact"/>
      </w:pPr>
      <w:r>
        <w:t xml:space="preserve">2012 · Lischke A ·</w:t>
      </w:r>
      <w:r>
        <w:t xml:space="preserve"> </w:t>
      </w:r>
      <w:r>
        <w:rPr>
          <w:iCs/>
          <w:i/>
        </w:rPr>
        <w:t xml:space="preserve">Psychoneuroendocrinology</w:t>
      </w:r>
      <w:r>
        <w:t xml:space="preserve"> </w:t>
      </w:r>
      <w:r>
        <w:t xml:space="preserve">· Intranasal oxytocin enhances emotion recognition from dynamic facial expressions and leaves eye-gaze unaffected. PMID 21862223</w:t>
      </w:r>
    </w:p>
    <w:p>
      <w:pPr>
        <w:numPr>
          <w:ilvl w:val="0"/>
          <w:numId w:val="1419"/>
        </w:numPr>
        <w:pStyle w:val="Compact"/>
      </w:pPr>
      <w:r>
        <w:t xml:space="preserve">2012 · Rilling JK ·</w:t>
      </w:r>
      <w:r>
        <w:t xml:space="preserve"> </w:t>
      </w:r>
      <w:r>
        <w:rPr>
          <w:iCs/>
          <w:i/>
        </w:rPr>
        <w:t xml:space="preserve">Psychoneuroendocrinology</w:t>
      </w:r>
      <w:r>
        <w:t xml:space="preserve"> </w:t>
      </w:r>
      <w:r>
        <w:t xml:space="preserve">· Effects of intranasal oxytocin and vasopressin on cooperative behavior and associated brain activity in men. PMID 21840129</w:t>
      </w:r>
    </w:p>
    <w:p>
      <w:pPr>
        <w:numPr>
          <w:ilvl w:val="0"/>
          <w:numId w:val="1419"/>
        </w:numPr>
        <w:pStyle w:val="Compact"/>
      </w:pPr>
      <w:r>
        <w:t xml:space="preserve">2011 · Jesso S ·</w:t>
      </w:r>
      <w:r>
        <w:t xml:space="preserve"> </w:t>
      </w:r>
      <w:r>
        <w:rPr>
          <w:iCs/>
          <w:i/>
        </w:rPr>
        <w:t xml:space="preserve">Brain</w:t>
      </w:r>
      <w:r>
        <w:t xml:space="preserve"> </w:t>
      </w:r>
      <w:r>
        <w:t xml:space="preserve">· The effects of oxytocin on social cognition and behaviour in frontotemporal dementia. PMID 21859765</w:t>
      </w:r>
    </w:p>
    <w:p>
      <w:pPr>
        <w:numPr>
          <w:ilvl w:val="0"/>
          <w:numId w:val="1419"/>
        </w:numPr>
        <w:pStyle w:val="Compact"/>
      </w:pPr>
      <w:r>
        <w:t xml:space="preserve">2011 · Pedersen CA ·</w:t>
      </w:r>
      <w:r>
        <w:t xml:space="preserve"> </w:t>
      </w:r>
      <w:r>
        <w:rPr>
          <w:iCs/>
          <w:i/>
        </w:rPr>
        <w:t xml:space="preserve">Schizophr Res</w:t>
      </w:r>
      <w:r>
        <w:t xml:space="preserve"> </w:t>
      </w:r>
      <w:r>
        <w:t xml:space="preserve">· Intranasal oxytocin reduces psychotic symptoms and improves Theory of Mind and social perception in schizophrenia. PMID 21840177</w:t>
      </w:r>
    </w:p>
    <w:p>
      <w:pPr>
        <w:numPr>
          <w:ilvl w:val="0"/>
          <w:numId w:val="1419"/>
        </w:numPr>
        <w:pStyle w:val="Compact"/>
      </w:pPr>
      <w:r>
        <w:t xml:space="preserve">2011 · Rockliff H ·</w:t>
      </w:r>
      <w:r>
        <w:t xml:space="preserve"> </w:t>
      </w:r>
      <w:r>
        <w:rPr>
          <w:iCs/>
          <w:i/>
        </w:rPr>
        <w:t xml:space="preserve">Emotion</w:t>
      </w:r>
      <w:r>
        <w:t xml:space="preserve"> </w:t>
      </w:r>
      <w:r>
        <w:t xml:space="preserve">· Effects of intranasal oxytocin on</w:t>
      </w:r>
      <w:r>
        <w:t xml:space="preserve"> </w:t>
      </w:r>
      <w:r>
        <w:t xml:space="preserve">‘</w:t>
      </w:r>
      <w:r>
        <w:t xml:space="preserve">compassion focused imagery</w:t>
      </w:r>
      <w:r>
        <w:t xml:space="preserve">’</w:t>
      </w:r>
      <w:r>
        <w:t xml:space="preserve">. PMID 21707149</w:t>
      </w:r>
    </w:p>
    <w:p>
      <w:pPr>
        <w:numPr>
          <w:ilvl w:val="0"/>
          <w:numId w:val="1419"/>
        </w:numPr>
        <w:pStyle w:val="Compact"/>
      </w:pPr>
      <w:r>
        <w:t xml:space="preserve">2011 · Simeon D ·</w:t>
      </w:r>
      <w:r>
        <w:t xml:space="preserve"> </w:t>
      </w:r>
      <w:r>
        <w:rPr>
          <w:iCs/>
          <w:i/>
        </w:rPr>
        <w:t xml:space="preserve">Psychoneuroendocrinology</w:t>
      </w:r>
      <w:r>
        <w:t xml:space="preserve"> </w:t>
      </w:r>
      <w:r>
        <w:t xml:space="preserve">· Oxytocin administration attenuates stress reactivity in borderline personality disorder: a pilot study. PMID 21546164</w:t>
      </w:r>
    </w:p>
    <w:p>
      <w:pPr>
        <w:numPr>
          <w:ilvl w:val="0"/>
          <w:numId w:val="1419"/>
        </w:numPr>
        <w:pStyle w:val="Compact"/>
      </w:pPr>
      <w:r>
        <w:t xml:space="preserve">2011 · Schulze L ·</w:t>
      </w:r>
      <w:r>
        <w:t xml:space="preserve"> </w:t>
      </w:r>
      <w:r>
        <w:rPr>
          <w:iCs/>
          <w:i/>
        </w:rPr>
        <w:t xml:space="preserve">Psychoneuroendocrinology</w:t>
      </w:r>
      <w:r>
        <w:t xml:space="preserve"> </w:t>
      </w:r>
      <w:r>
        <w:t xml:space="preserve">· Oxytocin increases recognition of masked emotional faces. PMID 21477929</w:t>
      </w:r>
    </w:p>
    <w:p>
      <w:pPr>
        <w:numPr>
          <w:ilvl w:val="0"/>
          <w:numId w:val="1419"/>
        </w:numPr>
        <w:pStyle w:val="Compact"/>
      </w:pPr>
      <w:r>
        <w:t xml:space="preserve">2011 · Goldman MB ·</w:t>
      </w:r>
      <w:r>
        <w:t xml:space="preserve"> </w:t>
      </w:r>
      <w:r>
        <w:rPr>
          <w:iCs/>
          <w:i/>
        </w:rPr>
        <w:t xml:space="preserve">Psychopharmacology (Berl)</w:t>
      </w:r>
      <w:r>
        <w:t xml:space="preserve"> </w:t>
      </w:r>
      <w:r>
        <w:t xml:space="preserve">· Divergent effects of two different doses of intranasal oxytocin on facial affect discrimination in schizophrenic patients with and without polydipsia. PMID 21301811</w:t>
      </w:r>
    </w:p>
    <w:p>
      <w:pPr>
        <w:numPr>
          <w:ilvl w:val="0"/>
          <w:numId w:val="1419"/>
        </w:numPr>
        <w:pStyle w:val="Compact"/>
      </w:pPr>
      <w:r>
        <w:t xml:space="preserve">2011 · Quirin M ·</w:t>
      </w:r>
      <w:r>
        <w:t xml:space="preserve"> </w:t>
      </w:r>
      <w:r>
        <w:rPr>
          <w:iCs/>
          <w:i/>
        </w:rPr>
        <w:t xml:space="preserve">Psychoneuroendocrinology</w:t>
      </w:r>
      <w:r>
        <w:t xml:space="preserve"> </w:t>
      </w:r>
      <w:r>
        <w:t xml:space="preserve">· Oxytocin buffers cortisol responses to stress in individuals with impaired emotion regulation abilities. PMID 21208748</w:t>
      </w:r>
    </w:p>
    <w:p>
      <w:pPr>
        <w:numPr>
          <w:ilvl w:val="0"/>
          <w:numId w:val="1419"/>
        </w:numPr>
        <w:pStyle w:val="Compact"/>
      </w:pPr>
      <w:r>
        <w:t xml:space="preserve">2011 · Bartz J ·</w:t>
      </w:r>
      <w:r>
        <w:t xml:space="preserve"> </w:t>
      </w:r>
      <w:r>
        <w:rPr>
          <w:iCs/>
          <w:i/>
        </w:rPr>
        <w:t xml:space="preserve">Soc Cogn Affect Neurosci</w:t>
      </w:r>
      <w:r>
        <w:t xml:space="preserve"> </w:t>
      </w:r>
      <w:r>
        <w:t xml:space="preserve">· Oxytocin can hinder trust and cooperation in borderline personality disorder. PMID 21115541</w:t>
      </w:r>
    </w:p>
    <w:p>
      <w:pPr>
        <w:numPr>
          <w:ilvl w:val="0"/>
          <w:numId w:val="1419"/>
        </w:numPr>
        <w:pStyle w:val="Compact"/>
      </w:pPr>
      <w:r>
        <w:t xml:space="preserve">2010 · Alvares GA ·</w:t>
      </w:r>
      <w:r>
        <w:t xml:space="preserve"> </w:t>
      </w:r>
      <w:r>
        <w:rPr>
          <w:iCs/>
          <w:i/>
        </w:rPr>
        <w:t xml:space="preserve">Exp Clin Psychopharmacol</w:t>
      </w:r>
      <w:r>
        <w:t xml:space="preserve"> </w:t>
      </w:r>
      <w:r>
        <w:t xml:space="preserve">· Acute effects of intranasal oxytocin on subjective and behavioral responses to social rejection. PMID 20695687</w:t>
      </w:r>
    </w:p>
    <w:p>
      <w:pPr>
        <w:numPr>
          <w:ilvl w:val="0"/>
          <w:numId w:val="1419"/>
        </w:numPr>
        <w:pStyle w:val="Compact"/>
      </w:pPr>
      <w:r>
        <w:t xml:space="preserve">2010 · Feifel D ·</w:t>
      </w:r>
      <w:r>
        <w:t xml:space="preserve"> </w:t>
      </w:r>
      <w:r>
        <w:rPr>
          <w:iCs/>
          <w:i/>
        </w:rPr>
        <w:t xml:space="preserve">Biol Psychiatry</w:t>
      </w:r>
      <w:r>
        <w:t xml:space="preserve"> </w:t>
      </w:r>
      <w:r>
        <w:t xml:space="preserve">· Adjunctive intranasal oxytocin reduces symptoms in schizophrenia patients. PMID 20615494</w:t>
      </w:r>
    </w:p>
    <w:p>
      <w:pPr>
        <w:numPr>
          <w:ilvl w:val="0"/>
          <w:numId w:val="1419"/>
        </w:numPr>
        <w:pStyle w:val="Compact"/>
      </w:pPr>
      <w:r>
        <w:t xml:space="preserve">2010 · Perry A ·</w:t>
      </w:r>
      <w:r>
        <w:t xml:space="preserve"> </w:t>
      </w:r>
      <w:r>
        <w:rPr>
          <w:iCs/>
          <w:i/>
        </w:rPr>
        <w:t xml:space="preserve">Psychoneuroendocrinology</w:t>
      </w:r>
      <w:r>
        <w:t xml:space="preserve"> </w:t>
      </w:r>
      <w:r>
        <w:t xml:space="preserve">· Intranasal oxytocin modulates EEG mu/alpha and beta rhythms during perception of biological motion. PMID 20493637</w:t>
      </w:r>
    </w:p>
    <w:p>
      <w:pPr>
        <w:numPr>
          <w:ilvl w:val="0"/>
          <w:numId w:val="1419"/>
        </w:numPr>
        <w:pStyle w:val="Compact"/>
      </w:pPr>
      <w:r>
        <w:t xml:space="preserve">2010 · Naber F ·</w:t>
      </w:r>
      <w:r>
        <w:t xml:space="preserve"> </w:t>
      </w:r>
      <w:r>
        <w:rPr>
          <w:iCs/>
          <w:i/>
        </w:rPr>
        <w:t xml:space="preserve">Psychoneuroendocrinology</w:t>
      </w:r>
      <w:r>
        <w:t xml:space="preserve"> </w:t>
      </w:r>
      <w:r>
        <w:t xml:space="preserve">· Intranasal oxytocin increases fathers’ observed responsiveness during play with their children: a double-blind within-subject experiment. PMID 20457491</w:t>
      </w:r>
    </w:p>
    <w:p>
      <w:pPr>
        <w:numPr>
          <w:ilvl w:val="0"/>
          <w:numId w:val="1419"/>
        </w:numPr>
        <w:pStyle w:val="Compact"/>
      </w:pPr>
      <w:r>
        <w:t xml:space="preserve">2010 · Ochsenkühn R ·</w:t>
      </w:r>
      <w:r>
        <w:t xml:space="preserve"> </w:t>
      </w:r>
      <w:r>
        <w:rPr>
          <w:iCs/>
          <w:i/>
        </w:rPr>
        <w:t xml:space="preserve">Arch Gynecol Obstet</w:t>
      </w:r>
      <w:r>
        <w:t xml:space="preserve"> </w:t>
      </w:r>
      <w:r>
        <w:t xml:space="preserve">· The effect of nasal oxytocin on pregnancy rates following intrauterine insemination: double-blind, randomized, clinical pilot study. PMID 19921230</w:t>
      </w:r>
    </w:p>
    <w:p>
      <w:pPr>
        <w:numPr>
          <w:ilvl w:val="0"/>
          <w:numId w:val="1419"/>
        </w:numPr>
        <w:pStyle w:val="Compact"/>
      </w:pPr>
      <w:r>
        <w:t xml:space="preserve">2010 · Guastella AJ ·</w:t>
      </w:r>
      <w:r>
        <w:t xml:space="preserve"> </w:t>
      </w:r>
      <w:r>
        <w:rPr>
          <w:iCs/>
          <w:i/>
        </w:rPr>
        <w:t xml:space="preserve">Biol Psychiatry</w:t>
      </w:r>
      <w:r>
        <w:t xml:space="preserve"> </w:t>
      </w:r>
      <w:r>
        <w:t xml:space="preserve">· Intranasal oxytocin improves emotion recognition for youth with autism spectrum disorders. PMID 19897177</w:t>
      </w:r>
    </w:p>
    <w:p>
      <w:pPr>
        <w:numPr>
          <w:ilvl w:val="0"/>
          <w:numId w:val="1419"/>
        </w:numPr>
        <w:pStyle w:val="Compact"/>
      </w:pPr>
      <w:r>
        <w:t xml:space="preserve">2009 · Guastella AJ ·</w:t>
      </w:r>
      <w:r>
        <w:t xml:space="preserve"> </w:t>
      </w:r>
      <w:r>
        <w:rPr>
          <w:iCs/>
          <w:i/>
        </w:rPr>
        <w:t xml:space="preserve">Psychoneuroendocrinology</w:t>
      </w:r>
      <w:r>
        <w:t xml:space="preserve"> </w:t>
      </w:r>
      <w:r>
        <w:t xml:space="preserve">· A randomized controlled trial of intranasal oxytocin as an adjunct to exposure therapy for social anxiety disorder. PMID 19246160</w:t>
      </w:r>
    </w:p>
    <w:p>
      <w:pPr>
        <w:numPr>
          <w:ilvl w:val="0"/>
          <w:numId w:val="1419"/>
        </w:numPr>
        <w:pStyle w:val="Compact"/>
      </w:pPr>
      <w:r>
        <w:t xml:space="preserve">2009 · Ditzen B ·</w:t>
      </w:r>
      <w:r>
        <w:t xml:space="preserve"> </w:t>
      </w:r>
      <w:r>
        <w:rPr>
          <w:iCs/>
          <w:i/>
        </w:rPr>
        <w:t xml:space="preserve">Biol Psychiatry</w:t>
      </w:r>
      <w:r>
        <w:t xml:space="preserve"> </w:t>
      </w:r>
      <w:r>
        <w:t xml:space="preserve">· Intranasal oxytocin increases positive communication and reduces cortisol levels during couple conflict. PMID 19027101</w:t>
      </w:r>
    </w:p>
    <w:p>
      <w:pPr>
        <w:numPr>
          <w:ilvl w:val="0"/>
          <w:numId w:val="1419"/>
        </w:numPr>
        <w:pStyle w:val="Compact"/>
      </w:pPr>
      <w:r>
        <w:t xml:space="preserve">2008 · Burri A ·</w:t>
      </w:r>
      <w:r>
        <w:t xml:space="preserve"> </w:t>
      </w:r>
      <w:r>
        <w:rPr>
          <w:iCs/>
          <w:i/>
        </w:rPr>
        <w:t xml:space="preserve">Psychoneuroendocrinology</w:t>
      </w:r>
      <w:r>
        <w:t xml:space="preserve"> </w:t>
      </w:r>
      <w:r>
        <w:t xml:space="preserve">· The acute effects of intranasal oxytocin administration on endocrine and sexual function in males. PMID 18375074</w:t>
      </w:r>
    </w:p>
    <w:p>
      <w:pPr>
        <w:numPr>
          <w:ilvl w:val="0"/>
          <w:numId w:val="1419"/>
        </w:numPr>
        <w:pStyle w:val="Compact"/>
      </w:pPr>
      <w:r>
        <w:t xml:space="preserve">2008 · Savaskan E ·</w:t>
      </w:r>
      <w:r>
        <w:t xml:space="preserve"> </w:t>
      </w:r>
      <w:r>
        <w:rPr>
          <w:iCs/>
          <w:i/>
        </w:rPr>
        <w:t xml:space="preserve">Psychoneuroendocrinology</w:t>
      </w:r>
      <w:r>
        <w:t xml:space="preserve"> </w:t>
      </w:r>
      <w:r>
        <w:t xml:space="preserve">· Post-learning intranasal oxytocin modulates human memory for facial identity. PMID 18221838</w:t>
      </w:r>
    </w:p>
    <w:p>
      <w:pPr>
        <w:numPr>
          <w:ilvl w:val="0"/>
          <w:numId w:val="1419"/>
        </w:numPr>
        <w:pStyle w:val="Compact"/>
      </w:pPr>
      <w:r>
        <w:t xml:space="preserve">2007 · Meinlschmidt G ·</w:t>
      </w:r>
      <w:r>
        <w:t xml:space="preserve"> </w:t>
      </w:r>
      <w:r>
        <w:rPr>
          <w:iCs/>
          <w:i/>
        </w:rPr>
        <w:t xml:space="preserve">Biol Psychiatry</w:t>
      </w:r>
      <w:r>
        <w:t xml:space="preserve"> </w:t>
      </w:r>
      <w:r>
        <w:t xml:space="preserve">· Sensitivity to intranasal oxytocin in adult men with early parental separation. PMID 17141739</w:t>
      </w:r>
    </w:p>
    <w:p>
      <w:pPr>
        <w:numPr>
          <w:ilvl w:val="0"/>
          <w:numId w:val="1419"/>
        </w:numPr>
        <w:pStyle w:val="Compact"/>
      </w:pPr>
      <w:r>
        <w:t xml:space="preserve">2004 · Heinrichs M ·</w:t>
      </w:r>
      <w:r>
        <w:t xml:space="preserve"> </w:t>
      </w:r>
      <w:r>
        <w:rPr>
          <w:iCs/>
          <w:i/>
        </w:rPr>
        <w:t xml:space="preserve">Physiol Behav</w:t>
      </w:r>
      <w:r>
        <w:t xml:space="preserve"> </w:t>
      </w:r>
      <w:r>
        <w:t xml:space="preserve">· Selective amnesic effects of oxytocin on human memory. PMID 15501488</w:t>
      </w:r>
    </w:p>
    <w:p>
      <w:pPr>
        <w:numPr>
          <w:ilvl w:val="0"/>
          <w:numId w:val="1419"/>
        </w:numPr>
        <w:pStyle w:val="Compact"/>
      </w:pPr>
      <w:r>
        <w:t xml:space="preserve">2003 · Heinrichs M ·</w:t>
      </w:r>
      <w:r>
        <w:t xml:space="preserve"> </w:t>
      </w:r>
      <w:r>
        <w:rPr>
          <w:iCs/>
          <w:i/>
        </w:rPr>
        <w:t xml:space="preserve">Biol Psychiatry</w:t>
      </w:r>
      <w:r>
        <w:t xml:space="preserve"> </w:t>
      </w:r>
      <w:r>
        <w:t xml:space="preserve">· Social support and oxytocin interact to suppress cortisol and subjective responses to psychosocial stress. PMID 14675803</w:t>
      </w:r>
    </w:p>
    <w:p>
      <w:pPr>
        <w:numPr>
          <w:ilvl w:val="0"/>
          <w:numId w:val="1419"/>
        </w:numPr>
        <w:pStyle w:val="Compact"/>
      </w:pPr>
      <w:r>
        <w:t xml:space="preserve">1996 · Epperson CN ·</w:t>
      </w:r>
      <w:r>
        <w:t xml:space="preserve"> </w:t>
      </w:r>
      <w:r>
        <w:rPr>
          <w:iCs/>
          <w:i/>
        </w:rPr>
        <w:t xml:space="preserve">Biol Psychiatry</w:t>
      </w:r>
      <w:r>
        <w:t xml:space="preserve"> </w:t>
      </w:r>
      <w:r>
        <w:t xml:space="preserve">· Intranasal oxytocin in obsessive-compulsive disorder. PMID 8879477</w:t>
      </w:r>
    </w:p>
    <w:p>
      <w:pPr>
        <w:numPr>
          <w:ilvl w:val="0"/>
          <w:numId w:val="1419"/>
        </w:numPr>
        <w:pStyle w:val="Compact"/>
      </w:pPr>
      <w:r>
        <w:t xml:space="preserve">1985 · Andreasson B ·</w:t>
      </w:r>
      <w:r>
        <w:t xml:space="preserve"> </w:t>
      </w:r>
      <w:r>
        <w:rPr>
          <w:iCs/>
          <w:i/>
        </w:rPr>
        <w:t xml:space="preserve">Acta Obstet Gynecol Scand</w:t>
      </w:r>
      <w:r>
        <w:t xml:space="preserve"> </w:t>
      </w:r>
      <w:r>
        <w:t xml:space="preserve">· Induction of labor. A double-blind randomized controlled study of prostaglandin E2 vaginal suppositories compared with intranasal oxytocin and with sequential treatment. PMID 3885670</w:t>
      </w:r>
    </w:p>
    <w:p>
      <w:pPr>
        <w:numPr>
          <w:ilvl w:val="0"/>
          <w:numId w:val="1419"/>
        </w:numPr>
        <w:pStyle w:val="Compact"/>
      </w:pPr>
      <w:r>
        <w:t xml:space="preserve">1983 · Larsen J ·</w:t>
      </w:r>
      <w:r>
        <w:t xml:space="preserve"> </w:t>
      </w:r>
      <w:r>
        <w:rPr>
          <w:iCs/>
          <w:i/>
        </w:rPr>
        <w:t xml:space="preserve">Ugeskr Laeger</w:t>
      </w:r>
      <w:r>
        <w:t xml:space="preserve"> </w:t>
      </w:r>
      <w:r>
        <w:t xml:space="preserve">· [Induction of labor. A double-blind randomized study of prostaglandin E2 vaginal suppositories compared with intranasal oxytocin]. PMID 6351397</w:t>
      </w:r>
    </w:p>
    <w:bookmarkEnd w:id="1166"/>
    <w:bookmarkStart w:id="1167" w:name="gonadorelina-9"/>
    <w:p>
      <w:pPr>
        <w:pStyle w:val="Heading2"/>
      </w:pPr>
      <w:r>
        <w:t xml:space="preserve">Gonadorelina (9)</w:t>
      </w:r>
    </w:p>
    <w:p>
      <w:pPr>
        <w:numPr>
          <w:ilvl w:val="0"/>
          <w:numId w:val="1420"/>
        </w:numPr>
        <w:pStyle w:val="Compact"/>
      </w:pPr>
      <w:r>
        <w:t xml:space="preserve">2022 · Fiala V ·</w:t>
      </w:r>
      <w:r>
        <w:t xml:space="preserve"> </w:t>
      </w:r>
      <w:r>
        <w:rPr>
          <w:iCs/>
          <w:i/>
        </w:rPr>
        <w:t xml:space="preserve">J Pediatr Urol</w:t>
      </w:r>
      <w:r>
        <w:t xml:space="preserve"> </w:t>
      </w:r>
      <w:r>
        <w:t xml:space="preserve">· The safety of neoadjuvant hormonal treatment in infants with cryptorchidism. PMID 35691791</w:t>
      </w:r>
    </w:p>
    <w:p>
      <w:pPr>
        <w:numPr>
          <w:ilvl w:val="0"/>
          <w:numId w:val="1420"/>
        </w:numPr>
        <w:pStyle w:val="Compact"/>
      </w:pPr>
      <w:r>
        <w:t xml:space="preserve">2014 · Spinelli C ·</w:t>
      </w:r>
      <w:r>
        <w:t xml:space="preserve"> </w:t>
      </w:r>
      <w:r>
        <w:rPr>
          <w:iCs/>
          <w:i/>
        </w:rPr>
        <w:t xml:space="preserve">Pediatr Surg Int</w:t>
      </w:r>
      <w:r>
        <w:t xml:space="preserve"> </w:t>
      </w:r>
      <w:r>
        <w:t xml:space="preserve">· Effects on normalized testicular atrophy index (TAIn) in cryptorchid infants treated with GnRHa pre and post-operative vs surgery alone: a prospective randomized trial and long-term follow-up on 62 cases. PMID 25106891</w:t>
      </w:r>
    </w:p>
    <w:p>
      <w:pPr>
        <w:numPr>
          <w:ilvl w:val="0"/>
          <w:numId w:val="1420"/>
        </w:numPr>
        <w:pStyle w:val="Compact"/>
      </w:pPr>
      <w:r>
        <w:t xml:space="preserve">2011 · Shamash J ·</w:t>
      </w:r>
      <w:r>
        <w:t xml:space="preserve"> </w:t>
      </w:r>
      <w:r>
        <w:rPr>
          <w:iCs/>
          <w:i/>
        </w:rPr>
        <w:t xml:space="preserve">Br J Cancer</w:t>
      </w:r>
      <w:r>
        <w:t xml:space="preserve"> </w:t>
      </w:r>
      <w:r>
        <w:t xml:space="preserve">· A multi-centre randomised phase III trial of Dexamethasone vs Dexamethasone and diethylstilbestrol in castration-resistant prostate cancer: immediate vs deferred Diethylstilbestrol. PMID 21285990</w:t>
      </w:r>
    </w:p>
    <w:p>
      <w:pPr>
        <w:numPr>
          <w:ilvl w:val="0"/>
          <w:numId w:val="1420"/>
        </w:numPr>
        <w:pStyle w:val="Compact"/>
      </w:pPr>
      <w:r>
        <w:t xml:space="preserve">1997 · Falkenbach A ·</w:t>
      </w:r>
      <w:r>
        <w:t xml:space="preserve"> </w:t>
      </w:r>
      <w:r>
        <w:rPr>
          <w:iCs/>
          <w:i/>
        </w:rPr>
        <w:t xml:space="preserve">Eur J Appl Physiol Occup Physiol</w:t>
      </w:r>
      <w:r>
        <w:t xml:space="preserve"> </w:t>
      </w:r>
      <w:r>
        <w:t xml:space="preserve">· Unchanged response to stimulation of pituitary hormone release after serial UV irradiation in men. PMID 9189734</w:t>
      </w:r>
    </w:p>
    <w:p>
      <w:pPr>
        <w:numPr>
          <w:ilvl w:val="0"/>
          <w:numId w:val="1420"/>
        </w:numPr>
        <w:pStyle w:val="Compact"/>
      </w:pPr>
      <w:r>
        <w:t xml:space="preserve">1996 · Segarra A ·</w:t>
      </w:r>
      <w:r>
        <w:t xml:space="preserve"> </w:t>
      </w:r>
      <w:r>
        <w:rPr>
          <w:iCs/>
          <w:i/>
        </w:rPr>
        <w:t xml:space="preserve">Nephron</w:t>
      </w:r>
      <w:r>
        <w:t xml:space="preserve"> </w:t>
      </w:r>
      <w:r>
        <w:t xml:space="preserve">· Prospective case control study to determine the effect of lovastatin on serum testosterone and cortisol concentrations in hyperlipidemic nephrotic patients with chronic renal failure. PMID 8773342</w:t>
      </w:r>
    </w:p>
    <w:p>
      <w:pPr>
        <w:numPr>
          <w:ilvl w:val="0"/>
          <w:numId w:val="1420"/>
        </w:numPr>
        <w:pStyle w:val="Compact"/>
      </w:pPr>
      <w:r>
        <w:t xml:space="preserve">1990 · Santoro N ·</w:t>
      </w:r>
      <w:r>
        <w:t xml:space="preserve"> </w:t>
      </w:r>
      <w:r>
        <w:rPr>
          <w:iCs/>
          <w:i/>
        </w:rPr>
        <w:t xml:space="preserve">Am J Obstet Gynecol</w:t>
      </w:r>
      <w:r>
        <w:t xml:space="preserve"> </w:t>
      </w:r>
      <w:r>
        <w:t xml:space="preserve">· Efficacy and safety of intravenous pulsatile gonadotropin-releasing hormone: Lutrepulse for injection. PMID 2122733</w:t>
      </w:r>
    </w:p>
    <w:p>
      <w:pPr>
        <w:numPr>
          <w:ilvl w:val="0"/>
          <w:numId w:val="1420"/>
        </w:numPr>
        <w:pStyle w:val="Compact"/>
      </w:pPr>
      <w:r>
        <w:t xml:space="preserve">1987 · Kadrnka-Lovrencić M ·</w:t>
      </w:r>
      <w:r>
        <w:t xml:space="preserve"> </w:t>
      </w:r>
      <w:r>
        <w:rPr>
          <w:iCs/>
          <w:i/>
        </w:rPr>
        <w:t xml:space="preserve">Lijec Vjesn</w:t>
      </w:r>
      <w:r>
        <w:t xml:space="preserve"> </w:t>
      </w:r>
      <w:r>
        <w:t xml:space="preserve">· [Comparative clinico-therapeutic study of gonadorelin and chorionic gonadotropin in boys with undescended testes]. PMID 2885699</w:t>
      </w:r>
    </w:p>
    <w:p>
      <w:pPr>
        <w:numPr>
          <w:ilvl w:val="0"/>
          <w:numId w:val="1420"/>
        </w:numPr>
        <w:pStyle w:val="Compact"/>
      </w:pPr>
      <w:r>
        <w:t xml:space="preserve">1986 · Lopes P ·</w:t>
      </w:r>
      <w:r>
        <w:t xml:space="preserve"> </w:t>
      </w:r>
      <w:r>
        <w:rPr>
          <w:iCs/>
          <w:i/>
        </w:rPr>
        <w:t xml:space="preserve">Presse Med</w:t>
      </w:r>
      <w:r>
        <w:t xml:space="preserve"> </w:t>
      </w:r>
      <w:r>
        <w:t xml:space="preserve">· [Value of short-term use of a gonadorelin analog in an in vitro fertilization program]. PMID 2949236</w:t>
      </w:r>
    </w:p>
    <w:p>
      <w:pPr>
        <w:numPr>
          <w:ilvl w:val="0"/>
          <w:numId w:val="1420"/>
        </w:numPr>
        <w:pStyle w:val="Compact"/>
      </w:pPr>
      <w:r>
        <w:t xml:space="preserve">1985 · Steg A ·</w:t>
      </w:r>
      <w:r>
        <w:t xml:space="preserve"> </w:t>
      </w:r>
      <w:r>
        <w:rPr>
          <w:iCs/>
          <w:i/>
        </w:rPr>
        <w:t xml:space="preserve">Presse Med</w:t>
      </w:r>
      <w:r>
        <w:t xml:space="preserve"> </w:t>
      </w:r>
      <w:r>
        <w:t xml:space="preserve">· [Treatment of advanced prostatic cancer with a gonadorelin agonist, dTrp6 LHRH. 41 cases]. PMID 2934695</w:t>
      </w:r>
    </w:p>
    <w:bookmarkEnd w:id="1167"/>
    <w:bookmarkStart w:id="1168" w:name="Xefac3dfbcc4b80f2e614ff3f32fd63dcc1b3db6"/>
    <w:p>
      <w:pPr>
        <w:pStyle w:val="Heading2"/>
      </w:pPr>
      <w:r>
        <w:t xml:space="preserve">Péptidos de colágeno (colágeno hidrolizado) (101)</w:t>
      </w:r>
    </w:p>
    <w:p>
      <w:pPr>
        <w:numPr>
          <w:ilvl w:val="0"/>
          <w:numId w:val="1421"/>
        </w:numPr>
        <w:pStyle w:val="Compact"/>
      </w:pPr>
      <w:r>
        <w:t xml:space="preserve">2026 · Hwang S ·</w:t>
      </w:r>
      <w:r>
        <w:t xml:space="preserve"> </w:t>
      </w:r>
      <w:r>
        <w:rPr>
          <w:iCs/>
          <w:i/>
        </w:rPr>
        <w:t xml:space="preserve">J Med Food</w:t>
      </w:r>
      <w:r>
        <w:t xml:space="preserve"> </w:t>
      </w:r>
      <w:r>
        <w:t xml:space="preserve">· Low-Molecular-Weight Collagen Peptide Supplementation Improves Cellulite Severity, Skin Elasticity, and Hair Shaft Diameter: A Clinical Study with Pharmacokinetic Evaluation. PMID 41788055</w:t>
      </w:r>
    </w:p>
    <w:p>
      <w:pPr>
        <w:numPr>
          <w:ilvl w:val="0"/>
          <w:numId w:val="1421"/>
        </w:numPr>
        <w:pStyle w:val="Compact"/>
      </w:pPr>
      <w:r>
        <w:t xml:space="preserve">2026 · Proksch E ·</w:t>
      </w:r>
      <w:r>
        <w:t xml:space="preserve"> </w:t>
      </w:r>
      <w:r>
        <w:rPr>
          <w:iCs/>
          <w:i/>
        </w:rPr>
        <w:t xml:space="preserve">Skin Pharmacol Physiol</w:t>
      </w:r>
      <w:r>
        <w:t xml:space="preserve"> </w:t>
      </w:r>
      <w:r>
        <w:t xml:space="preserve">· Oral Administration of Specific Bioactive Collagen Peptides in the Treatment of Moderate Forms of Atopic Dermatitis: A New Approach. PMID 41758763</w:t>
      </w:r>
    </w:p>
    <w:p>
      <w:pPr>
        <w:numPr>
          <w:ilvl w:val="0"/>
          <w:numId w:val="1421"/>
        </w:numPr>
        <w:pStyle w:val="Compact"/>
      </w:pPr>
      <w:r>
        <w:t xml:space="preserve">2025 · Aguilera JA ·</w:t>
      </w:r>
      <w:r>
        <w:t xml:space="preserve"> </w:t>
      </w:r>
      <w:r>
        <w:rPr>
          <w:iCs/>
          <w:i/>
        </w:rPr>
        <w:t xml:space="preserve">J Int Soc Sports Nutr</w:t>
      </w:r>
      <w:r>
        <w:t xml:space="preserve"> </w:t>
      </w:r>
      <w:r>
        <w:t xml:space="preserve">· Dileucine-supplemented essential amino acids support whole-body anabolism after resistance exercise and serum-stimulated cell-based anabolism. PMID 41321015</w:t>
      </w:r>
    </w:p>
    <w:p>
      <w:pPr>
        <w:numPr>
          <w:ilvl w:val="0"/>
          <w:numId w:val="1421"/>
        </w:numPr>
        <w:pStyle w:val="Compact"/>
      </w:pPr>
      <w:r>
        <w:t xml:space="preserve">2025 · Wang Y ·</w:t>
      </w:r>
      <w:r>
        <w:t xml:space="preserve"> </w:t>
      </w:r>
      <w:r>
        <w:rPr>
          <w:iCs/>
          <w:i/>
        </w:rPr>
        <w:t xml:space="preserve">J Cosmet Dermatol</w:t>
      </w:r>
      <w:r>
        <w:t xml:space="preserve"> </w:t>
      </w:r>
      <w:r>
        <w:t xml:space="preserve">· The Sustained Effects of Bioactive Collagen Peptides on Skin Health: A Randomized, Double-Blind, Placebo-Controlled Clinical Study. PMID 41311286</w:t>
      </w:r>
    </w:p>
    <w:p>
      <w:pPr>
        <w:numPr>
          <w:ilvl w:val="0"/>
          <w:numId w:val="1421"/>
        </w:numPr>
        <w:pStyle w:val="Compact"/>
      </w:pPr>
      <w:r>
        <w:t xml:space="preserve">2025 · Chavez-Alfaro MA ·</w:t>
      </w:r>
      <w:r>
        <w:t xml:space="preserve"> </w:t>
      </w:r>
      <w:r>
        <w:rPr>
          <w:iCs/>
          <w:i/>
        </w:rPr>
        <w:t xml:space="preserve">Food Funct</w:t>
      </w:r>
      <w:r>
        <w:t xml:space="preserve"> </w:t>
      </w:r>
      <w:r>
        <w:t xml:space="preserve">· Effects of porcine-derived collagen hydrolysates on 24 h blood pressure profiles, markers for endothelial dysfunction and low-grade inflammation and the retinal vasculature in adults with overweight/obesity: a randomized, controlled trial. PMID 41288414</w:t>
      </w:r>
    </w:p>
    <w:p>
      <w:pPr>
        <w:numPr>
          <w:ilvl w:val="0"/>
          <w:numId w:val="1421"/>
        </w:numPr>
        <w:pStyle w:val="Compact"/>
      </w:pPr>
      <w:r>
        <w:t xml:space="preserve">2025 · Lee E ·</w:t>
      </w:r>
      <w:r>
        <w:t xml:space="preserve"> </w:t>
      </w:r>
      <w:r>
        <w:rPr>
          <w:iCs/>
          <w:i/>
        </w:rPr>
        <w:t xml:space="preserve">J Microbiol Biotechnol</w:t>
      </w:r>
      <w:r>
        <w:t xml:space="preserve"> </w:t>
      </w:r>
      <w:r>
        <w:t xml:space="preserve">· Skin Anti-Aging and Moisturizing Effects of Low-Molecular-Weight Collagen Peptide Supplementation in Healthy Adults: A Randomized, Double-Blind, Placebo-Controlled Clinical Trial. PMID 40935395</w:t>
      </w:r>
    </w:p>
    <w:p>
      <w:pPr>
        <w:numPr>
          <w:ilvl w:val="0"/>
          <w:numId w:val="1421"/>
        </w:numPr>
        <w:pStyle w:val="Compact"/>
      </w:pPr>
      <w:r>
        <w:t xml:space="preserve">2025 · Reynolds KM ·</w:t>
      </w:r>
      <w:r>
        <w:t xml:space="preserve"> </w:t>
      </w:r>
      <w:r>
        <w:rPr>
          <w:iCs/>
          <w:i/>
        </w:rPr>
        <w:t xml:space="preserve">Br J Nutr</w:t>
      </w:r>
      <w:r>
        <w:t xml:space="preserve"> </w:t>
      </w:r>
      <w:r>
        <w:t xml:space="preserve">· The effects of collagen peptide supplementation on appetite and post-exercise energy intake in females: a randomised controlled trial. PMID 40685650</w:t>
      </w:r>
    </w:p>
    <w:p>
      <w:pPr>
        <w:numPr>
          <w:ilvl w:val="0"/>
          <w:numId w:val="1421"/>
        </w:numPr>
        <w:pStyle w:val="Compact"/>
      </w:pPr>
      <w:r>
        <w:t xml:space="preserve">2025 · Miyamoto N ·</w:t>
      </w:r>
      <w:r>
        <w:t xml:space="preserve"> </w:t>
      </w:r>
      <w:r>
        <w:rPr>
          <w:iCs/>
          <w:i/>
        </w:rPr>
        <w:t xml:space="preserve">Med Sci Sports Exerc</w:t>
      </w:r>
      <w:r>
        <w:t xml:space="preserve"> </w:t>
      </w:r>
      <w:r>
        <w:t xml:space="preserve">· Collagen Peptide Supplementation Enhances Muscle-Tendon Stiffness and Explosive Strength: A 16-wk Randomized Controlled Trial. PMID 40623147</w:t>
      </w:r>
    </w:p>
    <w:p>
      <w:pPr>
        <w:numPr>
          <w:ilvl w:val="0"/>
          <w:numId w:val="1421"/>
        </w:numPr>
        <w:pStyle w:val="Compact"/>
      </w:pPr>
      <w:r>
        <w:t xml:space="preserve">2025 · Aussieker T ·</w:t>
      </w:r>
      <w:r>
        <w:t xml:space="preserve"> </w:t>
      </w:r>
      <w:r>
        <w:rPr>
          <w:iCs/>
          <w:i/>
        </w:rPr>
        <w:t xml:space="preserve">Med Sci Sports Exerc</w:t>
      </w:r>
      <w:r>
        <w:t xml:space="preserve"> </w:t>
      </w:r>
      <w:r>
        <w:t xml:space="preserve">· The Effects of Ingesting a Single Bolus of Hydrolyzed Collagen versus Free Amino Acids on Muscle Connective Protein Synthesis Rates. PMID 40523226</w:t>
      </w:r>
    </w:p>
    <w:p>
      <w:pPr>
        <w:numPr>
          <w:ilvl w:val="0"/>
          <w:numId w:val="1421"/>
        </w:numPr>
        <w:pStyle w:val="Compact"/>
      </w:pPr>
      <w:r>
        <w:t xml:space="preserve">2025 · Zague V ·</w:t>
      </w:r>
      <w:r>
        <w:t xml:space="preserve"> </w:t>
      </w:r>
      <w:r>
        <w:rPr>
          <w:iCs/>
          <w:i/>
        </w:rPr>
        <w:t xml:space="preserve">J Med Food</w:t>
      </w:r>
      <w:r>
        <w:t xml:space="preserve"> </w:t>
      </w:r>
      <w:r>
        <w:t xml:space="preserve">· Oral Collagen Oligopeptides as a Modulator of Skin Health: A Comprehensive Evaluation of Clinical and Molecular Effects. PMID 40518844</w:t>
      </w:r>
    </w:p>
    <w:p>
      <w:pPr>
        <w:numPr>
          <w:ilvl w:val="0"/>
          <w:numId w:val="1421"/>
        </w:numPr>
        <w:pStyle w:val="Compact"/>
      </w:pPr>
      <w:r>
        <w:t xml:space="preserve">2025 · Bhardwaj V ·</w:t>
      </w:r>
      <w:r>
        <w:t xml:space="preserve"> </w:t>
      </w:r>
      <w:r>
        <w:rPr>
          <w:iCs/>
          <w:i/>
        </w:rPr>
        <w:t xml:space="preserve">J Drugs Dermatol</w:t>
      </w:r>
      <w:r>
        <w:t xml:space="preserve"> </w:t>
      </w:r>
      <w:r>
        <w:t xml:space="preserve">· Artificial Intelligence-Based Personalization of Treatment Regimen for Hair Loss: A 6-Month Clinical Trial. PMID 40043278</w:t>
      </w:r>
    </w:p>
    <w:p>
      <w:pPr>
        <w:numPr>
          <w:ilvl w:val="0"/>
          <w:numId w:val="1421"/>
        </w:numPr>
        <w:pStyle w:val="Compact"/>
      </w:pPr>
      <w:r>
        <w:t xml:space="preserve">2025 · Xing X ·</w:t>
      </w:r>
      <w:r>
        <w:t xml:space="preserve"> </w:t>
      </w:r>
      <w:r>
        <w:rPr>
          <w:iCs/>
          <w:i/>
        </w:rPr>
        <w:t xml:space="preserve">Food Funct</w:t>
      </w:r>
      <w:r>
        <w:t xml:space="preserve"> </w:t>
      </w:r>
      <w:r>
        <w:t xml:space="preserve">· Effects of protein-rich multi-nutrient intervention on bone mineralization and development: insights from a randomized controlled trial in prepubertal children and a zebrafish experiment. PMID 39991811</w:t>
      </w:r>
    </w:p>
    <w:p>
      <w:pPr>
        <w:numPr>
          <w:ilvl w:val="0"/>
          <w:numId w:val="1421"/>
        </w:numPr>
        <w:pStyle w:val="Compact"/>
      </w:pPr>
      <w:r>
        <w:t xml:space="preserve">2025 · Paulus MC ·</w:t>
      </w:r>
      <w:r>
        <w:t xml:space="preserve"> </w:t>
      </w:r>
      <w:r>
        <w:rPr>
          <w:iCs/>
          <w:i/>
        </w:rPr>
        <w:t xml:space="preserve">Clin Nutr</w:t>
      </w:r>
      <w:r>
        <w:t xml:space="preserve"> </w:t>
      </w:r>
      <w:r>
        <w:t xml:space="preserve">· Feasibility challenges in protein supplementation research: Insights from the convalescence of functional outcomes after intensive care unit stay in a Randomised Controlled Trial. PMID 39914233</w:t>
      </w:r>
    </w:p>
    <w:p>
      <w:pPr>
        <w:numPr>
          <w:ilvl w:val="0"/>
          <w:numId w:val="1421"/>
        </w:numPr>
        <w:pStyle w:val="Compact"/>
      </w:pPr>
      <w:r>
        <w:t xml:space="preserve">2025 · Genç AS ·</w:t>
      </w:r>
      <w:r>
        <w:t xml:space="preserve"> </w:t>
      </w:r>
      <w:r>
        <w:rPr>
          <w:iCs/>
          <w:i/>
        </w:rPr>
        <w:t xml:space="preserve">BMC Musculoskelet Disord</w:t>
      </w:r>
      <w:r>
        <w:t xml:space="preserve"> </w:t>
      </w:r>
      <w:r>
        <w:t xml:space="preserve">· The effect of supplementation with type I and type III collagen peptide and type II hydrolyzed collagen on pain, quality of life and physical function in patients with meniscopathy: a randomized, double-blind, placebo-controlled study. PMID 39755603</w:t>
      </w:r>
    </w:p>
    <w:p>
      <w:pPr>
        <w:numPr>
          <w:ilvl w:val="0"/>
          <w:numId w:val="1421"/>
        </w:numPr>
        <w:pStyle w:val="Compact"/>
      </w:pPr>
      <w:r>
        <w:t xml:space="preserve">2025 · Genç AS ·</w:t>
      </w:r>
      <w:r>
        <w:t xml:space="preserve"> </w:t>
      </w:r>
      <w:r>
        <w:rPr>
          <w:iCs/>
          <w:i/>
        </w:rPr>
        <w:t xml:space="preserve">Jt Dis Relat Surg</w:t>
      </w:r>
      <w:r>
        <w:t xml:space="preserve"> </w:t>
      </w:r>
      <w:r>
        <w:t xml:space="preserve">· Effect of supplementation with type 1 and type 3 collagen peptide and type 2 hydrolyzed collagen on osteoarthritis-related pain, quality of life, and physical function: A double-blind, randomized, placebo-controlled study. PMID 39719905</w:t>
      </w:r>
    </w:p>
    <w:p>
      <w:pPr>
        <w:numPr>
          <w:ilvl w:val="0"/>
          <w:numId w:val="1421"/>
        </w:numPr>
        <w:pStyle w:val="Compact"/>
      </w:pPr>
      <w:r>
        <w:t xml:space="preserve">2024 · Nilsson MI ·</w:t>
      </w:r>
      <w:r>
        <w:t xml:space="preserve"> </w:t>
      </w:r>
      <w:r>
        <w:rPr>
          <w:iCs/>
          <w:i/>
        </w:rPr>
        <w:t xml:space="preserve">Nutrients</w:t>
      </w:r>
      <w:r>
        <w:t xml:space="preserve"> </w:t>
      </w:r>
      <w:r>
        <w:t xml:space="preserve">· Obesity and Metabolic Disease Impair the Anabolic Response to Protein Supplementation and Resistance Exercise: A Retrospective Analysis of a Randomized Clinical Trial with Implications for Aging, Sarcopenic Obesity, and Weight Management. PMID 39771028</w:t>
      </w:r>
    </w:p>
    <w:p>
      <w:pPr>
        <w:numPr>
          <w:ilvl w:val="0"/>
          <w:numId w:val="1421"/>
        </w:numPr>
        <w:pStyle w:val="Compact"/>
      </w:pPr>
      <w:r>
        <w:t xml:space="preserve">2024 · Barclay R ·</w:t>
      </w:r>
      <w:r>
        <w:t xml:space="preserve"> </w:t>
      </w:r>
      <w:r>
        <w:rPr>
          <w:iCs/>
          <w:i/>
        </w:rPr>
        <w:t xml:space="preserve">Nutrients</w:t>
      </w:r>
      <w:r>
        <w:t xml:space="preserve"> </w:t>
      </w:r>
      <w:r>
        <w:t xml:space="preserve">· Comparing the Effects of Collagen Hydrolysate and Dairy Protein on Recovery from Eccentric Exercise: A Double Blind, Placebo-Controlled Study. PMID 39771010</w:t>
      </w:r>
    </w:p>
    <w:p>
      <w:pPr>
        <w:numPr>
          <w:ilvl w:val="0"/>
          <w:numId w:val="1421"/>
        </w:numPr>
        <w:pStyle w:val="Compact"/>
      </w:pPr>
      <w:r>
        <w:t xml:space="preserve">2024 · Vleminckx S ·</w:t>
      </w:r>
      <w:r>
        <w:t xml:space="preserve"> </w:t>
      </w:r>
      <w:r>
        <w:rPr>
          <w:iCs/>
          <w:i/>
        </w:rPr>
        <w:t xml:space="preserve">J Cosmet Dermatol</w:t>
      </w:r>
      <w:r>
        <w:t xml:space="preserve"> </w:t>
      </w:r>
      <w:r>
        <w:t xml:space="preserve">· Influence of collagen peptide supplementation on visible signs of skin and nail health and -aging in an East Asian population: A double blind, randomized, placebo-controlled trial. PMID 39143887</w:t>
      </w:r>
    </w:p>
    <w:p>
      <w:pPr>
        <w:numPr>
          <w:ilvl w:val="0"/>
          <w:numId w:val="1421"/>
        </w:numPr>
        <w:pStyle w:val="Compact"/>
      </w:pPr>
      <w:r>
        <w:t xml:space="preserve">2024 · Kirmse M ·</w:t>
      </w:r>
      <w:r>
        <w:t xml:space="preserve"> </w:t>
      </w:r>
      <w:r>
        <w:rPr>
          <w:iCs/>
          <w:i/>
        </w:rPr>
        <w:t xml:space="preserve">Med Sci Sports Exerc</w:t>
      </w:r>
      <w:r>
        <w:t xml:space="preserve"> </w:t>
      </w:r>
      <w:r>
        <w:t xml:space="preserve">· Collagen Peptide Supplementation during Training Does Not Further Increase Connective Tissue Protein Synthesis Rates. PMID 39086044</w:t>
      </w:r>
    </w:p>
    <w:p>
      <w:pPr>
        <w:numPr>
          <w:ilvl w:val="0"/>
          <w:numId w:val="1421"/>
        </w:numPr>
        <w:pStyle w:val="Compact"/>
      </w:pPr>
      <w:r>
        <w:t xml:space="preserve">2024 · Morakul B ·</w:t>
      </w:r>
      <w:r>
        <w:t xml:space="preserve"> </w:t>
      </w:r>
      <w:r>
        <w:rPr>
          <w:iCs/>
          <w:i/>
        </w:rPr>
        <w:t xml:space="preserve">J Cosmet Dermatol</w:t>
      </w:r>
      <w:r>
        <w:t xml:space="preserve"> </w:t>
      </w:r>
      <w:r>
        <w:t xml:space="preserve">· The evidence from in vitro primary fibroblasts and a randomized, double-blind, placebo-controlled clinical trial of tuna collagen peptides intake on skin health. PMID 39075819</w:t>
      </w:r>
    </w:p>
    <w:p>
      <w:pPr>
        <w:numPr>
          <w:ilvl w:val="0"/>
          <w:numId w:val="1421"/>
        </w:numPr>
        <w:pStyle w:val="Compact"/>
      </w:pPr>
      <w:r>
        <w:t xml:space="preserve">2024 · Schulze C ·</w:t>
      </w:r>
      <w:r>
        <w:t xml:space="preserve"> </w:t>
      </w:r>
      <w:r>
        <w:rPr>
          <w:iCs/>
          <w:i/>
        </w:rPr>
        <w:t xml:space="preserve">Int J Environ Res Public Health</w:t>
      </w:r>
      <w:r>
        <w:t xml:space="preserve"> </w:t>
      </w:r>
      <w:r>
        <w:t xml:space="preserve">· Impact of Specific Bioactive Collagen Peptides on Joint Discomforts in the Lower Extremity during Daily Activities: A Randomized Controlled Trial. PMID 38928934</w:t>
      </w:r>
    </w:p>
    <w:p>
      <w:pPr>
        <w:numPr>
          <w:ilvl w:val="0"/>
          <w:numId w:val="1421"/>
        </w:numPr>
        <w:pStyle w:val="Compact"/>
      </w:pPr>
      <w:r>
        <w:t xml:space="preserve">2024 · Devasia S ·</w:t>
      </w:r>
      <w:r>
        <w:t xml:space="preserve"> </w:t>
      </w:r>
      <w:r>
        <w:rPr>
          <w:iCs/>
          <w:i/>
        </w:rPr>
        <w:t xml:space="preserve">Cartilage</w:t>
      </w:r>
      <w:r>
        <w:t xml:space="preserve"> </w:t>
      </w:r>
      <w:r>
        <w:t xml:space="preserve">· Management and Amelioration of Knee Joint Osteoarthritis in Adults Using a Novel High-Functional Bovine Collagen Peptide as a Nutritional Therapy: A Double-Blind, Prospective, Multicentric, Randomized, Active and Placebo Controlled, Five-Arm, Clinical Study to Evaluate the Efficacy, Safety, and Tolerability. PMID 38235711</w:t>
      </w:r>
    </w:p>
    <w:p>
      <w:pPr>
        <w:numPr>
          <w:ilvl w:val="0"/>
          <w:numId w:val="1421"/>
        </w:numPr>
        <w:pStyle w:val="Compact"/>
      </w:pPr>
      <w:r>
        <w:t xml:space="preserve">2024 · Salehi S ·</w:t>
      </w:r>
      <w:r>
        <w:t xml:space="preserve"> </w:t>
      </w:r>
      <w:r>
        <w:rPr>
          <w:iCs/>
          <w:i/>
        </w:rPr>
        <w:t xml:space="preserve">Burns</w:t>
      </w:r>
      <w:r>
        <w:t xml:space="preserve"> </w:t>
      </w:r>
      <w:r>
        <w:t xml:space="preserve">· Effects of hydrolyzed collagen alone or in combination with fish oil on the gut microbiome in patients with major burns. PMID 38114377</w:t>
      </w:r>
    </w:p>
    <w:p>
      <w:pPr>
        <w:numPr>
          <w:ilvl w:val="0"/>
          <w:numId w:val="1421"/>
        </w:numPr>
        <w:pStyle w:val="Compact"/>
      </w:pPr>
      <w:r>
        <w:t xml:space="preserve">2024 · Robberechts R ·</w:t>
      </w:r>
      <w:r>
        <w:t xml:space="preserve"> </w:t>
      </w:r>
      <w:r>
        <w:rPr>
          <w:iCs/>
          <w:i/>
        </w:rPr>
        <w:t xml:space="preserve">Int J Sport Nutr Exerc Metab</w:t>
      </w:r>
      <w:r>
        <w:t xml:space="preserve"> </w:t>
      </w:r>
      <w:r>
        <w:t xml:space="preserve">· Partly Substituting Whey for Collagen Peptide Supplementation Improves Neither Indices of Muscle Damage Nor Recovery of Functional Capacity During Eccentric Exercise Training in Fit Males. PMID 37922892</w:t>
      </w:r>
    </w:p>
    <w:p>
      <w:pPr>
        <w:numPr>
          <w:ilvl w:val="0"/>
          <w:numId w:val="1421"/>
        </w:numPr>
        <w:pStyle w:val="Compact"/>
      </w:pPr>
      <w:r>
        <w:t xml:space="preserve">2024 · Thomas C ·</w:t>
      </w:r>
      <w:r>
        <w:t xml:space="preserve"> </w:t>
      </w:r>
      <w:r>
        <w:rPr>
          <w:iCs/>
          <w:i/>
        </w:rPr>
        <w:t xml:space="preserve">Eur J Nutr</w:t>
      </w:r>
      <w:r>
        <w:t xml:space="preserve"> </w:t>
      </w:r>
      <w:r>
        <w:t xml:space="preserve">· Collagen peptide supplementation before bedtime reduces sleep fragmentation and improves cognitive function in physically active males with sleep complaints. PMID 37874350</w:t>
      </w:r>
    </w:p>
    <w:p>
      <w:pPr>
        <w:numPr>
          <w:ilvl w:val="0"/>
          <w:numId w:val="1421"/>
        </w:numPr>
        <w:pStyle w:val="Compact"/>
      </w:pPr>
      <w:r>
        <w:t xml:space="preserve">2024 · Seong SH ·</w:t>
      </w:r>
      <w:r>
        <w:t xml:space="preserve"> </w:t>
      </w:r>
      <w:r>
        <w:rPr>
          <w:iCs/>
          <w:i/>
        </w:rPr>
        <w:t xml:space="preserve">J Cosmet Dermatol</w:t>
      </w:r>
      <w:r>
        <w:t xml:space="preserve"> </w:t>
      </w:r>
      <w:r>
        <w:t xml:space="preserve">· Low-molecular-weight collagen peptides supplement promotes a healthy skin: A randomized, double-blinded, placebo-controlled study. PMID 37822045</w:t>
      </w:r>
    </w:p>
    <w:p>
      <w:pPr>
        <w:numPr>
          <w:ilvl w:val="0"/>
          <w:numId w:val="1421"/>
        </w:numPr>
        <w:pStyle w:val="Compact"/>
      </w:pPr>
      <w:r>
        <w:t xml:space="preserve">2023 · Chen L ·</w:t>
      </w:r>
      <w:r>
        <w:t xml:space="preserve"> </w:t>
      </w:r>
      <w:r>
        <w:rPr>
          <w:iCs/>
          <w:i/>
        </w:rPr>
        <w:t xml:space="preserve">Food Funct</w:t>
      </w:r>
      <w:r>
        <w:t xml:space="preserve"> </w:t>
      </w:r>
      <w:r>
        <w:t xml:space="preserve">· The effect of oral supplements containing collagen peptides rich in X-Hyp or X-Hyp-Gly compared with normal collagen hydrolysates on skin elasticity and collagen holes: a randomised double-blind clinical study. PMID 37970760</w:t>
      </w:r>
    </w:p>
    <w:p>
      <w:pPr>
        <w:numPr>
          <w:ilvl w:val="0"/>
          <w:numId w:val="1421"/>
        </w:numPr>
        <w:pStyle w:val="Compact"/>
      </w:pPr>
      <w:r>
        <w:t xml:space="preserve">2023 · Kviatkovsky SA ·</w:t>
      </w:r>
      <w:r>
        <w:t xml:space="preserve"> </w:t>
      </w:r>
      <w:r>
        <w:rPr>
          <w:iCs/>
          <w:i/>
        </w:rPr>
        <w:t xml:space="preserve">J Int Soc Sports Nutr</w:t>
      </w:r>
      <w:r>
        <w:t xml:space="preserve"> </w:t>
      </w:r>
      <w:r>
        <w:t xml:space="preserve">· Collagen peptides supplementation improves function, pain, and physical and mental outcomes in active adults. PMID 37551682</w:t>
      </w:r>
    </w:p>
    <w:p>
      <w:pPr>
        <w:numPr>
          <w:ilvl w:val="0"/>
          <w:numId w:val="1421"/>
        </w:numPr>
        <w:pStyle w:val="Compact"/>
      </w:pPr>
      <w:r>
        <w:t xml:space="preserve">2023 · Balshaw TG ·</w:t>
      </w:r>
      <w:r>
        <w:t xml:space="preserve"> </w:t>
      </w:r>
      <w:r>
        <w:rPr>
          <w:iCs/>
          <w:i/>
        </w:rPr>
        <w:t xml:space="preserve">Med Sci Sports Exerc</w:t>
      </w:r>
      <w:r>
        <w:t xml:space="preserve"> </w:t>
      </w:r>
      <w:r>
        <w:t xml:space="preserve">· The Effect of Specific Bioactive Collagen Peptides on Tendon Remodeling during 15 wk of Lower Body Resistance Training. PMID 37436929</w:t>
      </w:r>
    </w:p>
    <w:p>
      <w:pPr>
        <w:numPr>
          <w:ilvl w:val="0"/>
          <w:numId w:val="1421"/>
        </w:numPr>
        <w:pStyle w:val="Compact"/>
      </w:pPr>
      <w:r>
        <w:t xml:space="preserve">2023 · Jerger S ·</w:t>
      </w:r>
      <w:r>
        <w:t xml:space="preserve"> </w:t>
      </w:r>
      <w:r>
        <w:rPr>
          <w:iCs/>
          <w:i/>
        </w:rPr>
        <w:t xml:space="preserve">Eur J Sport Sci</w:t>
      </w:r>
      <w:r>
        <w:t xml:space="preserve"> </w:t>
      </w:r>
      <w:r>
        <w:t xml:space="preserve">· Specific collagen peptides increase adaptions of patellar tendon morphology following 14-weeks of high-load resistance training: A randomized-controlled trial. PMID 37424319</w:t>
      </w:r>
    </w:p>
    <w:p>
      <w:pPr>
        <w:numPr>
          <w:ilvl w:val="0"/>
          <w:numId w:val="1421"/>
        </w:numPr>
        <w:pStyle w:val="Compact"/>
      </w:pPr>
      <w:r>
        <w:t xml:space="preserve">2023 · Koizumi S ·</w:t>
      </w:r>
      <w:r>
        <w:t xml:space="preserve"> </w:t>
      </w:r>
      <w:r>
        <w:rPr>
          <w:iCs/>
          <w:i/>
        </w:rPr>
        <w:t xml:space="preserve">Biosci Biotechnol Biochem</w:t>
      </w:r>
      <w:r>
        <w:t xml:space="preserve"> </w:t>
      </w:r>
      <w:r>
        <w:t xml:space="preserve">· Ingestion of a collagen peptide containing high concentrations of prolyl-hydroxyproline and hydroxyprolyl-glycine reduces advanced glycation end products levels in the skin and subcutaneous blood vessel walls: a randomized, double-blind, placebo-controlled study. PMID 37245058</w:t>
      </w:r>
    </w:p>
    <w:p>
      <w:pPr>
        <w:numPr>
          <w:ilvl w:val="0"/>
          <w:numId w:val="1421"/>
        </w:numPr>
        <w:pStyle w:val="Compact"/>
      </w:pPr>
      <w:r>
        <w:t xml:space="preserve">2023 · Chen CC ·</w:t>
      </w:r>
      <w:r>
        <w:t xml:space="preserve"> </w:t>
      </w:r>
      <w:r>
        <w:rPr>
          <w:iCs/>
          <w:i/>
        </w:rPr>
        <w:t xml:space="preserve">Nutr J</w:t>
      </w:r>
      <w:r>
        <w:t xml:space="preserve"> </w:t>
      </w:r>
      <w:r>
        <w:t xml:space="preserve">· Randomized, double-blind, four-arm pilot study on the effects of chicken essence and type II collagen hydrolysate on joint, bone, and muscle functions. PMID 36918892</w:t>
      </w:r>
    </w:p>
    <w:p>
      <w:pPr>
        <w:numPr>
          <w:ilvl w:val="0"/>
          <w:numId w:val="1421"/>
        </w:numPr>
        <w:pStyle w:val="Compact"/>
      </w:pPr>
      <w:r>
        <w:t xml:space="preserve">2023 · Lee M ·</w:t>
      </w:r>
      <w:r>
        <w:t xml:space="preserve"> </w:t>
      </w:r>
      <w:r>
        <w:rPr>
          <w:iCs/>
          <w:i/>
        </w:rPr>
        <w:t xml:space="preserve">Food Funct</w:t>
      </w:r>
      <w:r>
        <w:t xml:space="preserve"> </w:t>
      </w:r>
      <w:r>
        <w:t xml:space="preserve">· Oral intake of collagen peptide NS improves hydration, elasticity, desquamation, and wrinkling in human skin: a randomized, double-blinded, placebo-controlled study. PMID 36916504</w:t>
      </w:r>
    </w:p>
    <w:p>
      <w:pPr>
        <w:numPr>
          <w:ilvl w:val="0"/>
          <w:numId w:val="1421"/>
        </w:numPr>
        <w:pStyle w:val="Compact"/>
      </w:pPr>
      <w:r>
        <w:t xml:space="preserve">2023 · Balshaw TG ·</w:t>
      </w:r>
      <w:r>
        <w:t xml:space="preserve"> </w:t>
      </w:r>
      <w:r>
        <w:rPr>
          <w:iCs/>
          <w:i/>
        </w:rPr>
        <w:t xml:space="preserve">Acta Physiol (Oxf)</w:t>
      </w:r>
      <w:r>
        <w:t xml:space="preserve"> </w:t>
      </w:r>
      <w:r>
        <w:t xml:space="preserve">· The effect of specific bioactive collagen peptides on function and muscle remodeling during human resistance training. PMID 36433662</w:t>
      </w:r>
    </w:p>
    <w:p>
      <w:pPr>
        <w:numPr>
          <w:ilvl w:val="0"/>
          <w:numId w:val="1421"/>
        </w:numPr>
        <w:pStyle w:val="Compact"/>
      </w:pPr>
      <w:r>
        <w:t xml:space="preserve">2023 · Taylor G ·</w:t>
      </w:r>
      <w:r>
        <w:t xml:space="preserve"> </w:t>
      </w:r>
      <w:r>
        <w:rPr>
          <w:iCs/>
          <w:i/>
        </w:rPr>
        <w:t xml:space="preserve">Eur J Nutr</w:t>
      </w:r>
      <w:r>
        <w:t xml:space="preserve"> </w:t>
      </w:r>
      <w:r>
        <w:t xml:space="preserve">· The effects of collagen peptides on exercise-induced gastrointestinal stress: a randomized, controlled trial. PMID 36370176</w:t>
      </w:r>
    </w:p>
    <w:p>
      <w:pPr>
        <w:numPr>
          <w:ilvl w:val="0"/>
          <w:numId w:val="1421"/>
        </w:numPr>
        <w:pStyle w:val="Compact"/>
      </w:pPr>
      <w:r>
        <w:t xml:space="preserve">2022 · Kim J ·</w:t>
      </w:r>
      <w:r>
        <w:t xml:space="preserve"> </w:t>
      </w:r>
      <w:r>
        <w:rPr>
          <w:iCs/>
          <w:i/>
        </w:rPr>
        <w:t xml:space="preserve">J Med Food</w:t>
      </w:r>
      <w:r>
        <w:t xml:space="preserve"> </w:t>
      </w:r>
      <w:r>
        <w:t xml:space="preserve">· Oral Supplementation of Low-Molecular-Weight Collagen Peptides Reduces Skin Wrinkles and Improves Biophysical Properties of Skin: A Randomized, Double-Blinded, Placebo-Controlled Study. PMID 36516059</w:t>
      </w:r>
    </w:p>
    <w:p>
      <w:pPr>
        <w:numPr>
          <w:ilvl w:val="0"/>
          <w:numId w:val="1421"/>
        </w:numPr>
        <w:pStyle w:val="Compact"/>
      </w:pPr>
      <w:r>
        <w:t xml:space="preserve">2022 · Jockel-Schneider Y ·</w:t>
      </w:r>
      <w:r>
        <w:t xml:space="preserve"> </w:t>
      </w:r>
      <w:r>
        <w:rPr>
          <w:iCs/>
          <w:i/>
        </w:rPr>
        <w:t xml:space="preserve">Nutrients</w:t>
      </w:r>
      <w:r>
        <w:t xml:space="preserve"> </w:t>
      </w:r>
      <w:r>
        <w:t xml:space="preserve">· Impact of a Specific Collagen Peptide Food Supplement on Periodontal Inflammation in Aftercare Patients-A Randomised Controlled Trial. PMID 36364735</w:t>
      </w:r>
    </w:p>
    <w:p>
      <w:pPr>
        <w:numPr>
          <w:ilvl w:val="0"/>
          <w:numId w:val="1421"/>
        </w:numPr>
        <w:pStyle w:val="Compact"/>
      </w:pPr>
      <w:r>
        <w:t xml:space="preserve">2022 · Jerger S ·</w:t>
      </w:r>
      <w:r>
        <w:t xml:space="preserve"> </w:t>
      </w:r>
      <w:r>
        <w:rPr>
          <w:iCs/>
          <w:i/>
        </w:rPr>
        <w:t xml:space="preserve">Scand J Med Sci Sports</w:t>
      </w:r>
      <w:r>
        <w:t xml:space="preserve"> </w:t>
      </w:r>
      <w:r>
        <w:t xml:space="preserve">· Effects of specific collagen peptide supplementation combined with resistance training on Achilles tendon properties. PMID 35403756</w:t>
      </w:r>
    </w:p>
    <w:p>
      <w:pPr>
        <w:numPr>
          <w:ilvl w:val="0"/>
          <w:numId w:val="1421"/>
        </w:numPr>
        <w:pStyle w:val="Compact"/>
      </w:pPr>
      <w:r>
        <w:t xml:space="preserve">2022 · Jacinto JL ·</w:t>
      </w:r>
      <w:r>
        <w:t xml:space="preserve"> </w:t>
      </w:r>
      <w:r>
        <w:rPr>
          <w:iCs/>
          <w:i/>
        </w:rPr>
        <w:t xml:space="preserve">Int J Sport Nutr Exerc Metab</w:t>
      </w:r>
      <w:r>
        <w:t xml:space="preserve"> </w:t>
      </w:r>
      <w:r>
        <w:t xml:space="preserve">· Whey Protein Supplementation Is Superior to Leucine-Matched Collagen Peptides to Increase Muscle Thickness During a 10-Week Resistance Training Program in Untrained Young Adults. PMID 35042187</w:t>
      </w:r>
    </w:p>
    <w:p>
      <w:pPr>
        <w:numPr>
          <w:ilvl w:val="0"/>
          <w:numId w:val="1421"/>
        </w:numPr>
        <w:pStyle w:val="Compact"/>
      </w:pPr>
      <w:r>
        <w:t xml:space="preserve">2022 · Lampropoulou-Adamidou K ·</w:t>
      </w:r>
      <w:r>
        <w:t xml:space="preserve"> </w:t>
      </w:r>
      <w:r>
        <w:rPr>
          <w:iCs/>
          <w:i/>
        </w:rPr>
        <w:t xml:space="preserve">J Clin Densitom</w:t>
      </w:r>
      <w:r>
        <w:t xml:space="preserve"> </w:t>
      </w:r>
      <w:r>
        <w:t xml:space="preserve">· Effect of Calcium and Vitamin D Supplementation With and Without Collagen Peptides on Volumetric and Areal Bone Mineral Density, Bone Geometry and Bone Turnover in Postmenopausal Women With Osteopenia. PMID 34980546</w:t>
      </w:r>
    </w:p>
    <w:p>
      <w:pPr>
        <w:numPr>
          <w:ilvl w:val="0"/>
          <w:numId w:val="1421"/>
        </w:numPr>
        <w:pStyle w:val="Compact"/>
      </w:pPr>
      <w:r>
        <w:t xml:space="preserve">2022 · Farì G ·</w:t>
      </w:r>
      <w:r>
        <w:t xml:space="preserve"> </w:t>
      </w:r>
      <w:r>
        <w:rPr>
          <w:iCs/>
          <w:i/>
        </w:rPr>
        <w:t xml:space="preserve">Endocr Metab Immune Disord Drug Targets</w:t>
      </w:r>
      <w:r>
        <w:t xml:space="preserve"> </w:t>
      </w:r>
      <w:r>
        <w:t xml:space="preserve">· Collagen Peptides, in Association with Vitamin C, Sodium Hyaluronate, Manganese and Copper, as Part of the Rehabilitation Project in the Treatment of Chronic Low Back Pain. PMID 33568038</w:t>
      </w:r>
    </w:p>
    <w:p>
      <w:pPr>
        <w:numPr>
          <w:ilvl w:val="0"/>
          <w:numId w:val="1421"/>
        </w:numPr>
        <w:pStyle w:val="Compact"/>
      </w:pPr>
      <w:r>
        <w:t xml:space="preserve">2021 · Maia Campos PMBG ·</w:t>
      </w:r>
      <w:r>
        <w:t xml:space="preserve"> </w:t>
      </w:r>
      <w:r>
        <w:rPr>
          <w:iCs/>
          <w:i/>
        </w:rPr>
        <w:t xml:space="preserve">Molecules</w:t>
      </w:r>
      <w:r>
        <w:t xml:space="preserve"> </w:t>
      </w:r>
      <w:r>
        <w:t xml:space="preserve">· Oral Supplementation with Hydrolyzed Fish Cartilage Improves the Morphological and Structural Characteristics of the Skin: A Double-Blind, Placebo-Controlled Clinical Study. PMID 34443468</w:t>
      </w:r>
    </w:p>
    <w:p>
      <w:pPr>
        <w:numPr>
          <w:ilvl w:val="0"/>
          <w:numId w:val="1421"/>
        </w:numPr>
        <w:pStyle w:val="Compact"/>
      </w:pPr>
      <w:r>
        <w:t xml:space="preserve">2021 · Osawa Y ·</w:t>
      </w:r>
      <w:r>
        <w:t xml:space="preserve"> </w:t>
      </w:r>
      <w:r>
        <w:rPr>
          <w:iCs/>
          <w:i/>
        </w:rPr>
        <w:t xml:space="preserve">Sci Rep</w:t>
      </w:r>
      <w:r>
        <w:t xml:space="preserve"> </w:t>
      </w:r>
      <w:r>
        <w:t xml:space="preserve">· Monitoring urinary collagen metabolite changes following collagen peptide ingestion and physical activity using ELISA with anti active collagen oligopeptide antibody. PMID 34188133</w:t>
      </w:r>
    </w:p>
    <w:p>
      <w:pPr>
        <w:numPr>
          <w:ilvl w:val="0"/>
          <w:numId w:val="1421"/>
        </w:numPr>
        <w:pStyle w:val="Compact"/>
      </w:pPr>
      <w:r>
        <w:t xml:space="preserve">2021 · Zdzieblik D ·</w:t>
      </w:r>
      <w:r>
        <w:t xml:space="preserve"> </w:t>
      </w:r>
      <w:r>
        <w:rPr>
          <w:iCs/>
          <w:i/>
        </w:rPr>
        <w:t xml:space="preserve">Int J Environ Res Public Health</w:t>
      </w:r>
      <w:r>
        <w:t xml:space="preserve"> </w:t>
      </w:r>
      <w:r>
        <w:t xml:space="preserve">· The Influence of Specific Bioactive Collagen Peptides on Body Composition and Muscle Strength in Middle-Aged, Untrained Men: A Randomized Controlled Trial. PMID 33946565</w:t>
      </w:r>
    </w:p>
    <w:p>
      <w:pPr>
        <w:numPr>
          <w:ilvl w:val="0"/>
          <w:numId w:val="1421"/>
        </w:numPr>
        <w:pStyle w:val="Compact"/>
      </w:pPr>
      <w:r>
        <w:t xml:space="preserve">2021 · Miyanaga M ·</w:t>
      </w:r>
      <w:r>
        <w:t xml:space="preserve"> </w:t>
      </w:r>
      <w:r>
        <w:rPr>
          <w:iCs/>
          <w:i/>
        </w:rPr>
        <w:t xml:space="preserve">Skin Pharmacol Physiol</w:t>
      </w:r>
      <w:r>
        <w:t xml:space="preserve"> </w:t>
      </w:r>
      <w:r>
        <w:t xml:space="preserve">· Oral Supplementation of Collagen Peptides Improves Skin Hydration by Increasing the Natural Moisturizing Factor Content in the Stratum Corneum: A Randomized, Double-Blind, Placebo-Controlled Clinical Trial. PMID 33774639</w:t>
      </w:r>
    </w:p>
    <w:p>
      <w:pPr>
        <w:numPr>
          <w:ilvl w:val="0"/>
          <w:numId w:val="1421"/>
        </w:numPr>
        <w:pStyle w:val="Compact"/>
      </w:pPr>
      <w:r>
        <w:t xml:space="preserve">2021 · Wageh M ·</w:t>
      </w:r>
      <w:r>
        <w:t xml:space="preserve"> </w:t>
      </w:r>
      <w:r>
        <w:rPr>
          <w:iCs/>
          <w:i/>
        </w:rPr>
        <w:t xml:space="preserve">Med Sci Sports Exerc</w:t>
      </w:r>
      <w:r>
        <w:t xml:space="preserve"> </w:t>
      </w:r>
      <w:r>
        <w:t xml:space="preserve">· The Effect of a Multi-ingredient Supplement on Resistance Training-induced Adaptations. PMID 33756525</w:t>
      </w:r>
    </w:p>
    <w:p>
      <w:pPr>
        <w:numPr>
          <w:ilvl w:val="0"/>
          <w:numId w:val="1421"/>
        </w:numPr>
        <w:pStyle w:val="Compact"/>
      </w:pPr>
      <w:r>
        <w:t xml:space="preserve">2021 · Zdzieblik D ·</w:t>
      </w:r>
      <w:r>
        <w:t xml:space="preserve"> </w:t>
      </w:r>
      <w:r>
        <w:rPr>
          <w:iCs/>
          <w:i/>
        </w:rPr>
        <w:t xml:space="preserve">Nutrients</w:t>
      </w:r>
      <w:r>
        <w:t xml:space="preserve"> </w:t>
      </w:r>
      <w:r>
        <w:t xml:space="preserve">· The Influence of Specific Bioactive Collagen Peptides on Knee Joint Discomfort in Young Physically Active Adults: A Randomized Controlled Trial. PMID 33562729</w:t>
      </w:r>
    </w:p>
    <w:p>
      <w:pPr>
        <w:numPr>
          <w:ilvl w:val="0"/>
          <w:numId w:val="1421"/>
        </w:numPr>
        <w:pStyle w:val="Compact"/>
      </w:pPr>
      <w:r>
        <w:t xml:space="preserve">2021 · Brook MS ·</w:t>
      </w:r>
      <w:r>
        <w:t xml:space="preserve"> </w:t>
      </w:r>
      <w:r>
        <w:rPr>
          <w:iCs/>
          <w:i/>
        </w:rPr>
        <w:t xml:space="preserve">Clin Nutr</w:t>
      </w:r>
      <w:r>
        <w:t xml:space="preserve"> </w:t>
      </w:r>
      <w:r>
        <w:t xml:space="preserve">· A collagen hydrolysate/milk protein-blend stimulates muscle anabolism equivalently to an isoenergetic milk protein-blend containing a greater quantity of essential amino acids in older men. PMID 33487503</w:t>
      </w:r>
    </w:p>
    <w:p>
      <w:pPr>
        <w:numPr>
          <w:ilvl w:val="0"/>
          <w:numId w:val="1421"/>
        </w:numPr>
        <w:pStyle w:val="Compact"/>
      </w:pPr>
      <w:r>
        <w:t xml:space="preserve">2021 · Prowting JL ·</w:t>
      </w:r>
      <w:r>
        <w:t xml:space="preserve"> </w:t>
      </w:r>
      <w:r>
        <w:rPr>
          <w:iCs/>
          <w:i/>
        </w:rPr>
        <w:t xml:space="preserve">Int J Sport Nutr Exerc Metab</w:t>
      </w:r>
      <w:r>
        <w:t xml:space="preserve"> </w:t>
      </w:r>
      <w:r>
        <w:t xml:space="preserve">· Effects of Collagen Peptides on Recovery Following Eccentric Exercise in Resistance-Trained Males-A Pilot Study. PMID 33186897</w:t>
      </w:r>
    </w:p>
    <w:p>
      <w:pPr>
        <w:numPr>
          <w:ilvl w:val="0"/>
          <w:numId w:val="1421"/>
        </w:numPr>
        <w:pStyle w:val="Compact"/>
      </w:pPr>
      <w:r>
        <w:t xml:space="preserve">2021 · Sangsuwan W ·</w:t>
      </w:r>
      <w:r>
        <w:t xml:space="preserve"> </w:t>
      </w:r>
      <w:r>
        <w:rPr>
          <w:iCs/>
          <w:i/>
        </w:rPr>
        <w:t xml:space="preserve">J Dermatolog Treat</w:t>
      </w:r>
      <w:r>
        <w:t xml:space="preserve"> </w:t>
      </w:r>
      <w:r>
        <w:t xml:space="preserve">· Four-weeks daily intake of oral collagen hydrolysate results in improved skin elasticity, especially in sun-exposed areas: a randomized, double-blind, placebo-controlled trial. PMID 32009486</w:t>
      </w:r>
    </w:p>
    <w:p>
      <w:pPr>
        <w:numPr>
          <w:ilvl w:val="0"/>
          <w:numId w:val="1421"/>
        </w:numPr>
        <w:pStyle w:val="Compact"/>
      </w:pPr>
      <w:r>
        <w:t xml:space="preserve">2020 · MacInnis MJ ·</w:t>
      </w:r>
      <w:r>
        <w:t xml:space="preserve"> </w:t>
      </w:r>
      <w:r>
        <w:rPr>
          <w:iCs/>
          <w:i/>
        </w:rPr>
        <w:t xml:space="preserve">Int J Sport Nutr Exerc Metab</w:t>
      </w:r>
      <w:r>
        <w:t xml:space="preserve"> </w:t>
      </w:r>
      <w:r>
        <w:t xml:space="preserve">· Presleep α-Lactalbumin Consumption Does Not Improve Sleep Quality or Time-Trial Performance in Cyclists. PMID 32698123</w:t>
      </w:r>
    </w:p>
    <w:p>
      <w:pPr>
        <w:numPr>
          <w:ilvl w:val="0"/>
          <w:numId w:val="1421"/>
        </w:numPr>
        <w:pStyle w:val="Compact"/>
      </w:pPr>
      <w:r>
        <w:t xml:space="preserve">2020 · Nomoto T ·</w:t>
      </w:r>
      <w:r>
        <w:t xml:space="preserve"> </w:t>
      </w:r>
      <w:r>
        <w:rPr>
          <w:iCs/>
          <w:i/>
        </w:rPr>
        <w:t xml:space="preserve">Adv Skin Wound Care</w:t>
      </w:r>
      <w:r>
        <w:t xml:space="preserve"> </w:t>
      </w:r>
      <w:r>
        <w:t xml:space="preserve">· Effect of an Oral Nutrition Supplement Containing Collagen Peptides on Stratum Corneum Hydration and Skin Elasticity in Hospitalized Older Adults: A Multicenter Open-label Randomized Controlled Study. PMID 32195722</w:t>
      </w:r>
    </w:p>
    <w:p>
      <w:pPr>
        <w:numPr>
          <w:ilvl w:val="0"/>
          <w:numId w:val="1421"/>
        </w:numPr>
        <w:pStyle w:val="Compact"/>
      </w:pPr>
      <w:r>
        <w:t xml:space="preserve">2020 · Argyrou C ·</w:t>
      </w:r>
      <w:r>
        <w:t xml:space="preserve"> </w:t>
      </w:r>
      <w:r>
        <w:rPr>
          <w:iCs/>
          <w:i/>
        </w:rPr>
        <w:t xml:space="preserve">J Musculoskelet Neuronal Interact</w:t>
      </w:r>
      <w:r>
        <w:t xml:space="preserve"> </w:t>
      </w:r>
      <w:r>
        <w:t xml:space="preserve">· Effect of calcium and vitamin D supplementation with and without collagen peptides on bone turnover in postmenopausal women with osteopenia. PMID 32131366</w:t>
      </w:r>
    </w:p>
    <w:p>
      <w:pPr>
        <w:numPr>
          <w:ilvl w:val="0"/>
          <w:numId w:val="1421"/>
        </w:numPr>
        <w:pStyle w:val="Compact"/>
      </w:pPr>
      <w:r>
        <w:t xml:space="preserve">2020 · Žmitek K ·</w:t>
      </w:r>
      <w:r>
        <w:t xml:space="preserve"> </w:t>
      </w:r>
      <w:r>
        <w:rPr>
          <w:iCs/>
          <w:i/>
        </w:rPr>
        <w:t xml:space="preserve">Nutrients</w:t>
      </w:r>
      <w:r>
        <w:t xml:space="preserve"> </w:t>
      </w:r>
      <w:r>
        <w:t xml:space="preserve">· Effects of a Combination of Water-Soluble CoenzymeQ10 and Collagen on Skin Parameters and Condition:Results of a Randomised, Placebo-Controlled,Double-Blind Study. PMID 32120787</w:t>
      </w:r>
    </w:p>
    <w:p>
      <w:pPr>
        <w:numPr>
          <w:ilvl w:val="0"/>
          <w:numId w:val="1421"/>
        </w:numPr>
        <w:pStyle w:val="Compact"/>
      </w:pPr>
      <w:r>
        <w:t xml:space="preserve">2020 · Laing S ·</w:t>
      </w:r>
      <w:r>
        <w:t xml:space="preserve"> </w:t>
      </w:r>
      <w:r>
        <w:rPr>
          <w:iCs/>
          <w:i/>
        </w:rPr>
        <w:t xml:space="preserve">J Med Food</w:t>
      </w:r>
      <w:r>
        <w:t xml:space="preserve"> </w:t>
      </w:r>
      <w:r>
        <w:t xml:space="preserve">· A Dermonutrient Containing Special Collagen Peptides Improves Skin Structure and Function: A Randomized, Placebo-Controlled, Triple-Blind Trial Using Confocal Laser Scanning Microscopy on the Cosmetic Effects and Tolerance of a Drinkable Collagen Supplement. PMID 32017646</w:t>
      </w:r>
    </w:p>
    <w:p>
      <w:pPr>
        <w:numPr>
          <w:ilvl w:val="0"/>
          <w:numId w:val="1421"/>
        </w:numPr>
        <w:pStyle w:val="Compact"/>
      </w:pPr>
      <w:r>
        <w:t xml:space="preserve">2020 · Bongers CCWG ·</w:t>
      </w:r>
      <w:r>
        <w:t xml:space="preserve"> </w:t>
      </w:r>
      <w:r>
        <w:rPr>
          <w:iCs/>
          <w:i/>
        </w:rPr>
        <w:t xml:space="preserve">Appl Physiol Nutr Metab</w:t>
      </w:r>
      <w:r>
        <w:t xml:space="preserve"> </w:t>
      </w:r>
      <w:r>
        <w:t xml:space="preserve">· Effectiveness of collagen supplementation on pain scores in healthy individuals with self-reported knee pain: a randomized controlled trial. PMID 31990581</w:t>
      </w:r>
    </w:p>
    <w:p>
      <w:pPr>
        <w:numPr>
          <w:ilvl w:val="0"/>
          <w:numId w:val="1421"/>
        </w:numPr>
        <w:pStyle w:val="Compact"/>
      </w:pPr>
      <w:r>
        <w:t xml:space="preserve">2020 · Oikawa SY ·</w:t>
      </w:r>
      <w:r>
        <w:t xml:space="preserve"> </w:t>
      </w:r>
      <w:r>
        <w:rPr>
          <w:iCs/>
          <w:i/>
        </w:rPr>
        <w:t xml:space="preserve">Am J Clin Nutr</w:t>
      </w:r>
      <w:r>
        <w:t xml:space="preserve"> </w:t>
      </w:r>
      <w:r>
        <w:t xml:space="preserve">· Whey protein but not collagen peptides stimulate acute and longer-term muscle protein synthesis with and without resistance exercise in healthy older women: a randomized controlled trial. PMID 31919527</w:t>
      </w:r>
    </w:p>
    <w:p>
      <w:pPr>
        <w:numPr>
          <w:ilvl w:val="0"/>
          <w:numId w:val="1421"/>
        </w:numPr>
        <w:pStyle w:val="Compact"/>
      </w:pPr>
      <w:r>
        <w:t xml:space="preserve">2019 · Bolke L ·</w:t>
      </w:r>
      <w:r>
        <w:t xml:space="preserve"> </w:t>
      </w:r>
      <w:r>
        <w:rPr>
          <w:iCs/>
          <w:i/>
        </w:rPr>
        <w:t xml:space="preserve">Nutrients</w:t>
      </w:r>
      <w:r>
        <w:t xml:space="preserve"> </w:t>
      </w:r>
      <w:r>
        <w:t xml:space="preserve">· A Collagen Supplement Improves Skin Hydration, Elasticity, Roughness, and Density: Results of a Randomized, Placebo-Controlled, Blind Study. PMID 31627309</w:t>
      </w:r>
    </w:p>
    <w:p>
      <w:pPr>
        <w:numPr>
          <w:ilvl w:val="0"/>
          <w:numId w:val="1421"/>
        </w:numPr>
        <w:pStyle w:val="Compact"/>
      </w:pPr>
      <w:r>
        <w:t xml:space="preserve">2019 · Centner C ·</w:t>
      </w:r>
      <w:r>
        <w:t xml:space="preserve"> </w:t>
      </w:r>
      <w:r>
        <w:rPr>
          <w:iCs/>
          <w:i/>
        </w:rPr>
        <w:t xml:space="preserve">J Sports Sci Med</w:t>
      </w:r>
      <w:r>
        <w:t xml:space="preserve"> </w:t>
      </w:r>
      <w:r>
        <w:t xml:space="preserve">· Effects of Blood Flow Restriction Training with Protein Supplementation on Muscle Mass And Strength in Older Men. PMID 31427869</w:t>
      </w:r>
    </w:p>
    <w:p>
      <w:pPr>
        <w:numPr>
          <w:ilvl w:val="0"/>
          <w:numId w:val="1421"/>
        </w:numPr>
        <w:pStyle w:val="Compact"/>
      </w:pPr>
      <w:r>
        <w:t xml:space="preserve">2019 · Kirmse M ·</w:t>
      </w:r>
      <w:r>
        <w:t xml:space="preserve"> </w:t>
      </w:r>
      <w:r>
        <w:rPr>
          <w:iCs/>
          <w:i/>
        </w:rPr>
        <w:t xml:space="preserve">Nutrients</w:t>
      </w:r>
      <w:r>
        <w:t xml:space="preserve"> </w:t>
      </w:r>
      <w:r>
        <w:t xml:space="preserve">· Prolonged Collagen Peptide Supplementation and Resistance Exercise Training Affects Body Composition in Recreationally Active Men. PMID 31126103</w:t>
      </w:r>
    </w:p>
    <w:p>
      <w:pPr>
        <w:numPr>
          <w:ilvl w:val="0"/>
          <w:numId w:val="1421"/>
        </w:numPr>
        <w:pStyle w:val="Compact"/>
      </w:pPr>
      <w:r>
        <w:t xml:space="preserve">2019 · Oertzen-Hagemann V ·</w:t>
      </w:r>
      <w:r>
        <w:t xml:space="preserve"> </w:t>
      </w:r>
      <w:r>
        <w:rPr>
          <w:iCs/>
          <w:i/>
        </w:rPr>
        <w:t xml:space="preserve">Nutrients</w:t>
      </w:r>
      <w:r>
        <w:t xml:space="preserve"> </w:t>
      </w:r>
      <w:r>
        <w:t xml:space="preserve">· Effects of 12 Weeks of Hypertrophy Resistance Exercise Training Combined with Collagen Peptide Supplementation on the Skeletal Muscle Proteome in Recreationally Active Men. PMID 31091754</w:t>
      </w:r>
    </w:p>
    <w:p>
      <w:pPr>
        <w:numPr>
          <w:ilvl w:val="0"/>
          <w:numId w:val="1421"/>
        </w:numPr>
        <w:pStyle w:val="Compact"/>
      </w:pPr>
      <w:r>
        <w:t xml:space="preserve">2019 · Skov K ·</w:t>
      </w:r>
      <w:r>
        <w:t xml:space="preserve"> </w:t>
      </w:r>
      <w:r>
        <w:rPr>
          <w:iCs/>
          <w:i/>
        </w:rPr>
        <w:t xml:space="preserve">Nutrients</w:t>
      </w:r>
      <w:r>
        <w:t xml:space="preserve"> </w:t>
      </w:r>
      <w:r>
        <w:t xml:space="preserve">· Enzymatic Hydrolysis of a Collagen Hydrolysate Enhances Postprandial Absorption Rate-A Randomized Controlled Trial. PMID 31086034</w:t>
      </w:r>
    </w:p>
    <w:p>
      <w:pPr>
        <w:numPr>
          <w:ilvl w:val="0"/>
          <w:numId w:val="1421"/>
        </w:numPr>
        <w:pStyle w:val="Compact"/>
      </w:pPr>
      <w:r>
        <w:t xml:space="preserve">2019 · Jendricke P ·</w:t>
      </w:r>
      <w:r>
        <w:t xml:space="preserve"> </w:t>
      </w:r>
      <w:r>
        <w:rPr>
          <w:iCs/>
          <w:i/>
        </w:rPr>
        <w:t xml:space="preserve">Nutrients</w:t>
      </w:r>
      <w:r>
        <w:t xml:space="preserve"> </w:t>
      </w:r>
      <w:r>
        <w:t xml:space="preserve">· Specific Collagen Peptides in Combination with Resistance Training Improve Body Composition and Regional Muscle Strength in Premenopausal Women: A Randomized Controlled Trial. PMID 31010031</w:t>
      </w:r>
    </w:p>
    <w:p>
      <w:pPr>
        <w:numPr>
          <w:ilvl w:val="0"/>
          <w:numId w:val="1421"/>
        </w:numPr>
        <w:pStyle w:val="Compact"/>
      </w:pPr>
      <w:r>
        <w:t xml:space="preserve">2019 · Tak YJ ·</w:t>
      </w:r>
      <w:r>
        <w:t xml:space="preserve"> </w:t>
      </w:r>
      <w:r>
        <w:rPr>
          <w:iCs/>
          <w:i/>
        </w:rPr>
        <w:t xml:space="preserve">Mar Drugs</w:t>
      </w:r>
      <w:r>
        <w:t xml:space="preserve"> </w:t>
      </w:r>
      <w:r>
        <w:t xml:space="preserve">· Effect of Oral Ingestion of Low-Molecular Collagen Peptides Derived from Skate (Raja Kenojei) Skin on Body Fat in Overweight Adults: A Randomized, Double-Blind, Placebo-Controlled Trial. PMID 30866485</w:t>
      </w:r>
    </w:p>
    <w:p>
      <w:pPr>
        <w:numPr>
          <w:ilvl w:val="0"/>
          <w:numId w:val="1421"/>
        </w:numPr>
        <w:pStyle w:val="Compact"/>
      </w:pPr>
      <w:r>
        <w:t xml:space="preserve">2019 · Asai T ·</w:t>
      </w:r>
      <w:r>
        <w:t xml:space="preserve"> </w:t>
      </w:r>
      <w:r>
        <w:rPr>
          <w:iCs/>
          <w:i/>
        </w:rPr>
        <w:t xml:space="preserve">J Agric Food Chem</w:t>
      </w:r>
      <w:r>
        <w:t xml:space="preserve"> </w:t>
      </w:r>
      <w:r>
        <w:t xml:space="preserve">· Amount of Collagen in the Meat Contained in Japanese Daily Dishes and the Collagen Peptide Content in Human Blood after Ingestion of Cooked Fish Meat. PMID 30784272</w:t>
      </w:r>
    </w:p>
    <w:p>
      <w:pPr>
        <w:numPr>
          <w:ilvl w:val="0"/>
          <w:numId w:val="1421"/>
        </w:numPr>
        <w:pStyle w:val="Compact"/>
      </w:pPr>
      <w:r>
        <w:t xml:space="preserve">2019 · Clifford T ·</w:t>
      </w:r>
      <w:r>
        <w:t xml:space="preserve"> </w:t>
      </w:r>
      <w:r>
        <w:rPr>
          <w:iCs/>
          <w:i/>
        </w:rPr>
        <w:t xml:space="preserve">Amino Acids</w:t>
      </w:r>
      <w:r>
        <w:t xml:space="preserve"> </w:t>
      </w:r>
      <w:r>
        <w:t xml:space="preserve">· The effects of collagen peptides on muscle damage, inflammation and bone turnover following exercise: a randomized, controlled trial. PMID 30783776</w:t>
      </w:r>
    </w:p>
    <w:p>
      <w:pPr>
        <w:numPr>
          <w:ilvl w:val="0"/>
          <w:numId w:val="1421"/>
        </w:numPr>
        <w:pStyle w:val="Compact"/>
      </w:pPr>
      <w:r>
        <w:t xml:space="preserve">2019 · Praet SFE ·</w:t>
      </w:r>
      <w:r>
        <w:t xml:space="preserve"> </w:t>
      </w:r>
      <w:r>
        <w:rPr>
          <w:iCs/>
          <w:i/>
        </w:rPr>
        <w:t xml:space="preserve">Nutrients</w:t>
      </w:r>
      <w:r>
        <w:t xml:space="preserve"> </w:t>
      </w:r>
      <w:r>
        <w:t xml:space="preserve">· Oral Supplementation of Specific Collagen Peptides Combined with Calf-Strengthening Exercises Enhances Function and Reduces Pain in Achilles Tendinopathy Patients. PMID 30609761</w:t>
      </w:r>
    </w:p>
    <w:p>
      <w:pPr>
        <w:numPr>
          <w:ilvl w:val="0"/>
          <w:numId w:val="1421"/>
        </w:numPr>
        <w:pStyle w:val="Compact"/>
      </w:pPr>
      <w:r>
        <w:t xml:space="preserve">2018 · Ito N ·</w:t>
      </w:r>
      <w:r>
        <w:t xml:space="preserve"> </w:t>
      </w:r>
      <w:r>
        <w:rPr>
          <w:iCs/>
          <w:i/>
        </w:rPr>
        <w:t xml:space="preserve">Mar Drugs</w:t>
      </w:r>
      <w:r>
        <w:t xml:space="preserve"> </w:t>
      </w:r>
      <w:r>
        <w:t xml:space="preserve">· Effects of Composite Supplement Containing Collagen Peptide and Ornithine on Skin Conditions and Plasma IGF-1 Levels-A Randomized, Double-Blind, Placebo-Controlled Trial. PMID 30513923</w:t>
      </w:r>
    </w:p>
    <w:p>
      <w:pPr>
        <w:numPr>
          <w:ilvl w:val="0"/>
          <w:numId w:val="1421"/>
        </w:numPr>
        <w:pStyle w:val="Compact"/>
      </w:pPr>
      <w:r>
        <w:t xml:space="preserve">2018 · Oikawa SY ·</w:t>
      </w:r>
      <w:r>
        <w:t xml:space="preserve"> </w:t>
      </w:r>
      <w:r>
        <w:rPr>
          <w:iCs/>
          <w:i/>
        </w:rPr>
        <w:t xml:space="preserve">Am J Clin Nutr</w:t>
      </w:r>
      <w:r>
        <w:t xml:space="preserve"> </w:t>
      </w:r>
      <w:r>
        <w:t xml:space="preserve">· A randomized controlled trial of the impact of protein supplementation on leg lean mass and integrated muscle protein synthesis during inactivity and energy restriction in older persons. PMID 30289425</w:t>
      </w:r>
    </w:p>
    <w:p>
      <w:pPr>
        <w:numPr>
          <w:ilvl w:val="0"/>
          <w:numId w:val="1421"/>
        </w:numPr>
        <w:pStyle w:val="Compact"/>
      </w:pPr>
      <w:r>
        <w:t xml:space="preserve">2018 · Shigemura Y ·</w:t>
      </w:r>
      <w:r>
        <w:t xml:space="preserve"> </w:t>
      </w:r>
      <w:r>
        <w:rPr>
          <w:iCs/>
          <w:i/>
        </w:rPr>
        <w:t xml:space="preserve">Nutrients</w:t>
      </w:r>
      <w:r>
        <w:t xml:space="preserve"> </w:t>
      </w:r>
      <w:r>
        <w:t xml:space="preserve">· A Pilot Study for the Detection of Cyclic Prolyl-Hydroxyproline (Pro-Hyp) in Human Blood after Ingestion of Collagen Hydrolysate. PMID 30248982</w:t>
      </w:r>
    </w:p>
    <w:p>
      <w:pPr>
        <w:numPr>
          <w:ilvl w:val="0"/>
          <w:numId w:val="1421"/>
        </w:numPr>
        <w:pStyle w:val="Compact"/>
      </w:pPr>
      <w:r>
        <w:t xml:space="preserve">2018 · Czajka A ·</w:t>
      </w:r>
      <w:r>
        <w:t xml:space="preserve"> </w:t>
      </w:r>
      <w:r>
        <w:rPr>
          <w:iCs/>
          <w:i/>
        </w:rPr>
        <w:t xml:space="preserve">Nutr Res</w:t>
      </w:r>
      <w:r>
        <w:t xml:space="preserve"> </w:t>
      </w:r>
      <w:r>
        <w:t xml:space="preserve">· Daily oral supplementation with collagen peptides combined with vitamins and other bioactive compounds improves skin elasticity and has a beneficial effect on joint and general wellbeing. PMID 30122200</w:t>
      </w:r>
    </w:p>
    <w:p>
      <w:pPr>
        <w:numPr>
          <w:ilvl w:val="0"/>
          <w:numId w:val="1421"/>
        </w:numPr>
        <w:pStyle w:val="Compact"/>
      </w:pPr>
      <w:r>
        <w:t xml:space="preserve">2018 · Sugihara F ·</w:t>
      </w:r>
      <w:r>
        <w:t xml:space="preserve"> </w:t>
      </w:r>
      <w:r>
        <w:rPr>
          <w:iCs/>
          <w:i/>
        </w:rPr>
        <w:t xml:space="preserve">Sci Rep</w:t>
      </w:r>
      <w:r>
        <w:t xml:space="preserve"> </w:t>
      </w:r>
      <w:r>
        <w:t xml:space="preserve">· Ingestion of bioactive collagen hydrolysates enhanced pressure ulcer healing in a randomized double-blind placebo-controlled clinical study. PMID 30061579</w:t>
      </w:r>
    </w:p>
    <w:p>
      <w:pPr>
        <w:numPr>
          <w:ilvl w:val="0"/>
          <w:numId w:val="1421"/>
        </w:numPr>
        <w:pStyle w:val="Compact"/>
      </w:pPr>
      <w:r>
        <w:t xml:space="preserve">2018 · Kim DU ·</w:t>
      </w:r>
      <w:r>
        <w:t xml:space="preserve"> </w:t>
      </w:r>
      <w:r>
        <w:rPr>
          <w:iCs/>
          <w:i/>
        </w:rPr>
        <w:t xml:space="preserve">Nutrients</w:t>
      </w:r>
      <w:r>
        <w:t xml:space="preserve"> </w:t>
      </w:r>
      <w:r>
        <w:t xml:space="preserve">· Oral Intake of Low-Molecular-Weight Collagen Peptide Improves Hydration, Elasticity, and Wrinkling in Human Skin: A Randomized, Double-Blind, Placebo-Controlled Study. PMID 29949889</w:t>
      </w:r>
    </w:p>
    <w:p>
      <w:pPr>
        <w:numPr>
          <w:ilvl w:val="0"/>
          <w:numId w:val="1421"/>
        </w:numPr>
        <w:pStyle w:val="Compact"/>
      </w:pPr>
      <w:r>
        <w:t xml:space="preserve">2018 · Dressler P ·</w:t>
      </w:r>
      <w:r>
        <w:t xml:space="preserve"> </w:t>
      </w:r>
      <w:r>
        <w:rPr>
          <w:iCs/>
          <w:i/>
        </w:rPr>
        <w:t xml:space="preserve">J Sports Sci Med</w:t>
      </w:r>
      <w:r>
        <w:t xml:space="preserve"> </w:t>
      </w:r>
      <w:r>
        <w:t xml:space="preserve">· Improvement of Functional Ankle Properties Following Supplementation with Specific Collagen Peptides in Athletes with Chronic Ankle Instability. PMID 29769831</w:t>
      </w:r>
    </w:p>
    <w:p>
      <w:pPr>
        <w:numPr>
          <w:ilvl w:val="0"/>
          <w:numId w:val="1421"/>
        </w:numPr>
        <w:pStyle w:val="Compact"/>
      </w:pPr>
      <w:r>
        <w:t xml:space="preserve">2018 · König D ·</w:t>
      </w:r>
      <w:r>
        <w:t xml:space="preserve"> </w:t>
      </w:r>
      <w:r>
        <w:rPr>
          <w:iCs/>
          <w:i/>
        </w:rPr>
        <w:t xml:space="preserve">Nutrients</w:t>
      </w:r>
      <w:r>
        <w:t xml:space="preserve"> </w:t>
      </w:r>
      <w:r>
        <w:t xml:space="preserve">· Specific Collagen Peptides Improve Bone Mineral Density and Bone Markers in Postmenopausal Women-A Randomized Controlled Study. PMID 29337906</w:t>
      </w:r>
    </w:p>
    <w:p>
      <w:pPr>
        <w:numPr>
          <w:ilvl w:val="0"/>
          <w:numId w:val="1421"/>
        </w:numPr>
        <w:pStyle w:val="Compact"/>
      </w:pPr>
      <w:r>
        <w:t xml:space="preserve">2017 · Hakuta A ·</w:t>
      </w:r>
      <w:r>
        <w:t xml:space="preserve"> </w:t>
      </w:r>
      <w:r>
        <w:rPr>
          <w:iCs/>
          <w:i/>
        </w:rPr>
        <w:t xml:space="preserve">J Dermatol Sci</w:t>
      </w:r>
      <w:r>
        <w:t xml:space="preserve"> </w:t>
      </w:r>
      <w:r>
        <w:t xml:space="preserve">· Anti-inflammatory effect of collagen tripeptide in atopic dermatitis. PMID 29017796</w:t>
      </w:r>
    </w:p>
    <w:p>
      <w:pPr>
        <w:numPr>
          <w:ilvl w:val="0"/>
          <w:numId w:val="1421"/>
        </w:numPr>
        <w:pStyle w:val="Compact"/>
      </w:pPr>
      <w:r>
        <w:t xml:space="preserve">2017 · Hexsel D ·</w:t>
      </w:r>
      <w:r>
        <w:t xml:space="preserve"> </w:t>
      </w:r>
      <w:r>
        <w:rPr>
          <w:iCs/>
          <w:i/>
        </w:rPr>
        <w:t xml:space="preserve">J Cosmet Dermatol</w:t>
      </w:r>
      <w:r>
        <w:t xml:space="preserve"> </w:t>
      </w:r>
      <w:r>
        <w:t xml:space="preserve">· Oral supplementation with specific bioactive collagen peptides improves nail growth and reduces symptoms of brittle nails. PMID 28786550</w:t>
      </w:r>
    </w:p>
    <w:p>
      <w:pPr>
        <w:numPr>
          <w:ilvl w:val="0"/>
          <w:numId w:val="1421"/>
        </w:numPr>
        <w:pStyle w:val="Compact"/>
      </w:pPr>
      <w:r>
        <w:t xml:space="preserve">2017 · Genovese L ·</w:t>
      </w:r>
      <w:r>
        <w:t xml:space="preserve"> </w:t>
      </w:r>
      <w:r>
        <w:rPr>
          <w:iCs/>
          <w:i/>
        </w:rPr>
        <w:t xml:space="preserve">Skin Pharmacol Physiol</w:t>
      </w:r>
      <w:r>
        <w:t xml:space="preserve"> </w:t>
      </w:r>
      <w:r>
        <w:t xml:space="preserve">· An Insight into the Changes in Skin Texture and Properties following Dietary Intervention with a Nutricosmeceutical Containing a Blend of Collagen Bioactive Peptides and Antioxidants. PMID 28528342</w:t>
      </w:r>
    </w:p>
    <w:p>
      <w:pPr>
        <w:numPr>
          <w:ilvl w:val="0"/>
          <w:numId w:val="1421"/>
        </w:numPr>
        <w:pStyle w:val="Compact"/>
      </w:pPr>
      <w:r>
        <w:t xml:space="preserve">2017 · Zdzieblik D ·</w:t>
      </w:r>
      <w:r>
        <w:t xml:space="preserve"> </w:t>
      </w:r>
      <w:r>
        <w:rPr>
          <w:iCs/>
          <w:i/>
        </w:rPr>
        <w:t xml:space="preserve">Appl Physiol Nutr Metab</w:t>
      </w:r>
      <w:r>
        <w:t xml:space="preserve"> </w:t>
      </w:r>
      <w:r>
        <w:t xml:space="preserve">· Improvement of activity-related knee joint discomfort following supplementation of specific collagen peptides. PMID 28177710</w:t>
      </w:r>
    </w:p>
    <w:p>
      <w:pPr>
        <w:numPr>
          <w:ilvl w:val="0"/>
          <w:numId w:val="1421"/>
        </w:numPr>
        <w:pStyle w:val="Compact"/>
      </w:pPr>
      <w:r>
        <w:t xml:space="preserve">2016 · Yamamoto S ·</w:t>
      </w:r>
      <w:r>
        <w:t xml:space="preserve"> </w:t>
      </w:r>
      <w:r>
        <w:rPr>
          <w:iCs/>
          <w:i/>
        </w:rPr>
        <w:t xml:space="preserve">Biol Pharm Bull</w:t>
      </w:r>
      <w:r>
        <w:t xml:space="preserve"> </w:t>
      </w:r>
      <w:r>
        <w:t xml:space="preserve">· Absorption and Urinary Excretion of Peptides after Collagen Tripeptide Ingestion in Humans. PMID 26934933</w:t>
      </w:r>
    </w:p>
    <w:p>
      <w:pPr>
        <w:numPr>
          <w:ilvl w:val="0"/>
          <w:numId w:val="1421"/>
        </w:numPr>
        <w:pStyle w:val="Compact"/>
      </w:pPr>
      <w:r>
        <w:t xml:space="preserve">2016 · De Luca C ·</w:t>
      </w:r>
      <w:r>
        <w:t xml:space="preserve"> </w:t>
      </w:r>
      <w:r>
        <w:rPr>
          <w:iCs/>
          <w:i/>
        </w:rPr>
        <w:t xml:space="preserve">Oxid Med Cell Longev</w:t>
      </w:r>
      <w:r>
        <w:t xml:space="preserve"> </w:t>
      </w:r>
      <w:r>
        <w:t xml:space="preserve">· Skin Antiageing and Systemic Redox Effects of Supplementation with Marine Collagen Peptides and Plant-Derived Antioxidants: A Single-Blind Case-Control Clinical Study. PMID 26904164</w:t>
      </w:r>
    </w:p>
    <w:p>
      <w:pPr>
        <w:numPr>
          <w:ilvl w:val="0"/>
          <w:numId w:val="1421"/>
        </w:numPr>
        <w:pStyle w:val="Compact"/>
      </w:pPr>
      <w:r>
        <w:t xml:space="preserve">2016 · Inoue N ·</w:t>
      </w:r>
      <w:r>
        <w:t xml:space="preserve"> </w:t>
      </w:r>
      <w:r>
        <w:rPr>
          <w:iCs/>
          <w:i/>
        </w:rPr>
        <w:t xml:space="preserve">J Sci Food Agric</w:t>
      </w:r>
      <w:r>
        <w:t xml:space="preserve"> </w:t>
      </w:r>
      <w:r>
        <w:t xml:space="preserve">· Ingestion of bioactive collagen hydrolysates enhance facial skin moisture and elasticity and reduce facial ageing signs in a randomised double-blind placebo-controlled clinical study. PMID 26840887</w:t>
      </w:r>
    </w:p>
    <w:p>
      <w:pPr>
        <w:numPr>
          <w:ilvl w:val="0"/>
          <w:numId w:val="1421"/>
        </w:numPr>
        <w:pStyle w:val="Compact"/>
      </w:pPr>
      <w:r>
        <w:t xml:space="preserve">2016 · Stenbæk DS ·</w:t>
      </w:r>
      <w:r>
        <w:t xml:space="preserve"> </w:t>
      </w:r>
      <w:r>
        <w:rPr>
          <w:iCs/>
          <w:i/>
        </w:rPr>
        <w:t xml:space="preserve">Eur Neuropsychopharmacol</w:t>
      </w:r>
      <w:r>
        <w:t xml:space="preserve"> </w:t>
      </w:r>
      <w:r>
        <w:t xml:space="preserve">· Evaluation of acute tryptophan depletion and sham depletion with a gelatin-based collagen peptide protein mixture. PMID 26655163</w:t>
      </w:r>
    </w:p>
    <w:p>
      <w:pPr>
        <w:numPr>
          <w:ilvl w:val="0"/>
          <w:numId w:val="1421"/>
        </w:numPr>
        <w:pStyle w:val="Compact"/>
      </w:pPr>
      <w:r>
        <w:t xml:space="preserve">2015 · Kanzaki N ·</w:t>
      </w:r>
      <w:r>
        <w:t xml:space="preserve"> </w:t>
      </w:r>
      <w:r>
        <w:rPr>
          <w:iCs/>
          <w:i/>
        </w:rPr>
        <w:t xml:space="preserve">Clin Interv Aging</w:t>
      </w:r>
      <w:r>
        <w:t xml:space="preserve"> </w:t>
      </w:r>
      <w:r>
        <w:t xml:space="preserve">· Glucosamine-containing supplement improves locomotor functions in subjects with knee pain: a randomized, double-blind, placebo-controlled study. PMID 26604721</w:t>
      </w:r>
    </w:p>
    <w:p>
      <w:pPr>
        <w:numPr>
          <w:ilvl w:val="0"/>
          <w:numId w:val="1421"/>
        </w:numPr>
        <w:pStyle w:val="Compact"/>
      </w:pPr>
      <w:r>
        <w:t xml:space="preserve">2015 · Schunck M ·</w:t>
      </w:r>
      <w:r>
        <w:t xml:space="preserve"> </w:t>
      </w:r>
      <w:r>
        <w:rPr>
          <w:iCs/>
          <w:i/>
        </w:rPr>
        <w:t xml:space="preserve">J Med Food</w:t>
      </w:r>
      <w:r>
        <w:t xml:space="preserve"> </w:t>
      </w:r>
      <w:r>
        <w:t xml:space="preserve">· Dietary Supplementation with Specific Collagen Peptides Has a Body Mass Index-Dependent Beneficial Effect on Cellulite Morphology. PMID 26561784</w:t>
      </w:r>
    </w:p>
    <w:p>
      <w:pPr>
        <w:numPr>
          <w:ilvl w:val="0"/>
          <w:numId w:val="1421"/>
        </w:numPr>
        <w:pStyle w:val="Compact"/>
      </w:pPr>
      <w:r>
        <w:t xml:space="preserve">2015 · Asserin J ·</w:t>
      </w:r>
      <w:r>
        <w:t xml:space="preserve"> </w:t>
      </w:r>
      <w:r>
        <w:rPr>
          <w:iCs/>
          <w:i/>
        </w:rPr>
        <w:t xml:space="preserve">J Cosmet Dermatol</w:t>
      </w:r>
      <w:r>
        <w:t xml:space="preserve"> </w:t>
      </w:r>
      <w:r>
        <w:t xml:space="preserve">· The effect of oral collagen peptide supplementation on skin moisture and the dermal collagen network: evidence from an ex vivo model and randomized, placebo-controlled clinical trials. PMID 26362110</w:t>
      </w:r>
    </w:p>
    <w:p>
      <w:pPr>
        <w:numPr>
          <w:ilvl w:val="0"/>
          <w:numId w:val="1421"/>
        </w:numPr>
        <w:pStyle w:val="Compact"/>
      </w:pPr>
      <w:r>
        <w:t xml:space="preserve">2015 · Zdzieblik D ·</w:t>
      </w:r>
      <w:r>
        <w:t xml:space="preserve"> </w:t>
      </w:r>
      <w:r>
        <w:rPr>
          <w:iCs/>
          <w:i/>
        </w:rPr>
        <w:t xml:space="preserve">Br J Nutr</w:t>
      </w:r>
      <w:r>
        <w:t xml:space="preserve"> </w:t>
      </w:r>
      <w:r>
        <w:t xml:space="preserve">· Collagen peptide supplementation in combination with resistance training improves body composition and increases muscle strength in elderly sarcopenic men: a randomised controlled trial. PMID 26353786</w:t>
      </w:r>
    </w:p>
    <w:p>
      <w:pPr>
        <w:numPr>
          <w:ilvl w:val="0"/>
          <w:numId w:val="1421"/>
        </w:numPr>
        <w:pStyle w:val="Compact"/>
      </w:pPr>
      <w:r>
        <w:t xml:space="preserve">2015 · Elam ML ·</w:t>
      </w:r>
      <w:r>
        <w:t xml:space="preserve"> </w:t>
      </w:r>
      <w:r>
        <w:rPr>
          <w:iCs/>
          <w:i/>
        </w:rPr>
        <w:t xml:space="preserve">J Med Food</w:t>
      </w:r>
      <w:r>
        <w:t xml:space="preserve"> </w:t>
      </w:r>
      <w:r>
        <w:t xml:space="preserve">· A calcium-collagen chelate dietary supplement attenuates bone loss in postmenopausal women with osteopenia: a randomized controlled trial. PMID 25314004</w:t>
      </w:r>
    </w:p>
    <w:p>
      <w:pPr>
        <w:numPr>
          <w:ilvl w:val="0"/>
          <w:numId w:val="1421"/>
        </w:numPr>
        <w:pStyle w:val="Compact"/>
      </w:pPr>
      <w:r>
        <w:t xml:space="preserve">2015 · Kumar S ·</w:t>
      </w:r>
      <w:r>
        <w:t xml:space="preserve"> </w:t>
      </w:r>
      <w:r>
        <w:rPr>
          <w:iCs/>
          <w:i/>
        </w:rPr>
        <w:t xml:space="preserve">J Sci Food Agric</w:t>
      </w:r>
      <w:r>
        <w:t xml:space="preserve"> </w:t>
      </w:r>
      <w:r>
        <w:t xml:space="preserve">· A double-blind, placebo-controlled, randomised, clinical study on the effectiveness of collagen peptide on osteoarthritis. PMID 24852756</w:t>
      </w:r>
    </w:p>
    <w:p>
      <w:pPr>
        <w:numPr>
          <w:ilvl w:val="0"/>
          <w:numId w:val="1421"/>
        </w:numPr>
        <w:pStyle w:val="Compact"/>
      </w:pPr>
      <w:r>
        <w:t xml:space="preserve">2014 · Choi SY ·</w:t>
      </w:r>
      <w:r>
        <w:t xml:space="preserve"> </w:t>
      </w:r>
      <w:r>
        <w:rPr>
          <w:iCs/>
          <w:i/>
        </w:rPr>
        <w:t xml:space="preserve">Clin Exp Dermatol</w:t>
      </w:r>
      <w:r>
        <w:t xml:space="preserve"> </w:t>
      </w:r>
      <w:r>
        <w:t xml:space="preserve">· Effect of high advanced-collagen tripeptide on wound healing and skin recovery after fractional photothermolysis treatment. PMID 25283252</w:t>
      </w:r>
    </w:p>
    <w:p>
      <w:pPr>
        <w:numPr>
          <w:ilvl w:val="0"/>
          <w:numId w:val="1421"/>
        </w:numPr>
        <w:pStyle w:val="Compact"/>
      </w:pPr>
      <w:r>
        <w:t xml:space="preserve">2014 · Yoon HS ·</w:t>
      </w:r>
      <w:r>
        <w:t xml:space="preserve"> </w:t>
      </w:r>
      <w:r>
        <w:rPr>
          <w:iCs/>
          <w:i/>
        </w:rPr>
        <w:t xml:space="preserve">J Med Food</w:t>
      </w:r>
      <w:r>
        <w:t xml:space="preserve"> </w:t>
      </w:r>
      <w:r>
        <w:t xml:space="preserve">· Supplementating with dietary astaxanthin combined with collagen hydrolysate improves facial elasticity and decreases matrix metalloproteinase-1 and -12 expression: a comparative study with placebo. PMID 24955642</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intake of specific bioactive collagen peptides reduces skin wrinkles and increases dermal matrix synthesis. PMID 24401291</w:t>
      </w:r>
    </w:p>
    <w:p>
      <w:pPr>
        <w:numPr>
          <w:ilvl w:val="0"/>
          <w:numId w:val="1421"/>
        </w:numPr>
        <w:pStyle w:val="Compact"/>
      </w:pPr>
      <w:r>
        <w:t xml:space="preserve">2014 · Choi SY ·</w:t>
      </w:r>
      <w:r>
        <w:t xml:space="preserve"> </w:t>
      </w:r>
      <w:r>
        <w:rPr>
          <w:iCs/>
          <w:i/>
        </w:rPr>
        <w:t xml:space="preserve">J Cosmet Laser Ther</w:t>
      </w:r>
      <w:r>
        <w:t xml:space="preserve"> </w:t>
      </w:r>
      <w:r>
        <w:t xml:space="preserve">· Effects of collagen tripeptide supplement on skin properties: a prospective, randomized, controlled study. PMID 24131075</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supplementation of specific collagen peptides has beneficial effects on human skin physiology: a double-blind, placebo-controlled study. PMID 23949208</w:t>
      </w:r>
    </w:p>
    <w:p>
      <w:pPr>
        <w:numPr>
          <w:ilvl w:val="0"/>
          <w:numId w:val="1421"/>
        </w:numPr>
        <w:pStyle w:val="Compact"/>
      </w:pPr>
      <w:r>
        <w:t xml:space="preserve">2012 · Bruyère O ·</w:t>
      </w:r>
      <w:r>
        <w:t xml:space="preserve"> </w:t>
      </w:r>
      <w:r>
        <w:rPr>
          <w:iCs/>
          <w:i/>
        </w:rPr>
        <w:t xml:space="preserve">Complement Ther Med</w:t>
      </w:r>
      <w:r>
        <w:t xml:space="preserve"> </w:t>
      </w:r>
      <w:r>
        <w:t xml:space="preserve">· Effect of collagen hydrolysate in articular pain: a 6-month randomized, double-blind, placebo controlled study. PMID 22500661</w:t>
      </w:r>
    </w:p>
    <w:p>
      <w:pPr>
        <w:numPr>
          <w:ilvl w:val="0"/>
          <w:numId w:val="1421"/>
        </w:numPr>
        <w:pStyle w:val="Compact"/>
      </w:pPr>
      <w:r>
        <w:t xml:space="preserve">2010 · Zhu CF ·</w:t>
      </w:r>
      <w:r>
        <w:t xml:space="preserve"> </w:t>
      </w:r>
      <w:r>
        <w:rPr>
          <w:iCs/>
          <w:i/>
        </w:rPr>
        <w:t xml:space="preserve">Am J Med Sci</w:t>
      </w:r>
      <w:r>
        <w:t xml:space="preserve"> </w:t>
      </w:r>
      <w:r>
        <w:t xml:space="preserve">· Therapeutic effects of marine collagen peptides on Chinese patients with type 2 diabetes mellitus and primary hypertension. PMID 20739874</w:t>
      </w:r>
    </w:p>
    <w:p>
      <w:pPr>
        <w:numPr>
          <w:ilvl w:val="0"/>
          <w:numId w:val="1421"/>
        </w:numPr>
        <w:pStyle w:val="Compact"/>
      </w:pPr>
      <w:r>
        <w:t xml:space="preserve">2009 · Hays NP ·</w:t>
      </w:r>
      <w:r>
        <w:t xml:space="preserve"> </w:t>
      </w:r>
      <w:r>
        <w:rPr>
          <w:iCs/>
          <w:i/>
        </w:rPr>
        <w:t xml:space="preserve">J Am Diet Assoc</w:t>
      </w:r>
      <w:r>
        <w:t xml:space="preserve"> </w:t>
      </w:r>
      <w:r>
        <w:t xml:space="preserve">· Effects of whey and fortified collagen hydrolysate protein supplements on nitrogen balance and body composition in older women. PMID 19465192</w:t>
      </w:r>
    </w:p>
    <w:p>
      <w:pPr>
        <w:numPr>
          <w:ilvl w:val="0"/>
          <w:numId w:val="1421"/>
        </w:numPr>
        <w:pStyle w:val="Compact"/>
      </w:pPr>
      <w:r>
        <w:t xml:space="preserve">2008 · Clark KL ·</w:t>
      </w:r>
      <w:r>
        <w:t xml:space="preserve"> </w:t>
      </w:r>
      <w:r>
        <w:rPr>
          <w:iCs/>
          <w:i/>
        </w:rPr>
        <w:t xml:space="preserve">Curr Med Res Opin</w:t>
      </w:r>
      <w:r>
        <w:t xml:space="preserve"> </w:t>
      </w:r>
      <w:r>
        <w:t xml:space="preserve">· 24-Week study on the use of collagen hydrolysate as a dietary supplement in athletes with activity-related joint pain. PMID 18416885</w:t>
      </w:r>
    </w:p>
    <w:p>
      <w:pPr>
        <w:numPr>
          <w:ilvl w:val="0"/>
          <w:numId w:val="1421"/>
        </w:numPr>
        <w:pStyle w:val="Compact"/>
      </w:pPr>
      <w:r>
        <w:t xml:space="preserve">2001 · Peretz A ·</w:t>
      </w:r>
      <w:r>
        <w:t xml:space="preserve"> </w:t>
      </w:r>
      <w:r>
        <w:rPr>
          <w:iCs/>
          <w:i/>
        </w:rPr>
        <w:t xml:space="preserve">J Trace Elem Med Biol</w:t>
      </w:r>
      <w:r>
        <w:t xml:space="preserve"> </w:t>
      </w:r>
      <w:r>
        <w:t xml:space="preserve">· Zinc supplementation increases bone alkaline phosphatase in healthy men. PMID 11787985</w:t>
      </w:r>
    </w:p>
    <w:p>
      <w:pPr>
        <w:numPr>
          <w:ilvl w:val="0"/>
          <w:numId w:val="1421"/>
        </w:numPr>
        <w:pStyle w:val="Compact"/>
      </w:pPr>
      <w:r>
        <w:t xml:space="preserve">2000 · Moskowitz RW ·</w:t>
      </w:r>
      <w:r>
        <w:t xml:space="preserve"> </w:t>
      </w:r>
      <w:r>
        <w:rPr>
          <w:iCs/>
          <w:i/>
        </w:rPr>
        <w:t xml:space="preserve">Semin Arthritis Rheum</w:t>
      </w:r>
      <w:r>
        <w:t xml:space="preserve"> </w:t>
      </w:r>
      <w:r>
        <w:t xml:space="preserve">· Role of collagen hydrolysate in bone and joint disease. PMID 11071580</w:t>
      </w:r>
    </w:p>
    <w:p>
      <w:pPr>
        <w:numPr>
          <w:ilvl w:val="0"/>
          <w:numId w:val="1421"/>
        </w:numPr>
        <w:pStyle w:val="Compact"/>
      </w:pPr>
      <w:r>
        <w:t xml:space="preserve">1996 · Adam M ·</w:t>
      </w:r>
      <w:r>
        <w:t xml:space="preserve"> </w:t>
      </w:r>
      <w:r>
        <w:rPr>
          <w:iCs/>
          <w:i/>
        </w:rPr>
        <w:t xml:space="preserve">Cas Lek Cesk</w:t>
      </w:r>
      <w:r>
        <w:t xml:space="preserve"> </w:t>
      </w:r>
      <w:r>
        <w:t xml:space="preserve">· [Postmenopausal osteoporosis. Treatment with calcitonin and a diet rich in collagen proteins]. PMID 8625373</w:t>
      </w:r>
    </w:p>
    <w:bookmarkEnd w:id="1168"/>
    <w:bookmarkStart w:id="1169" w:name="lactotripéptidos-vpp-e-ipp-21"/>
    <w:p>
      <w:pPr>
        <w:pStyle w:val="Heading2"/>
      </w:pPr>
      <w:r>
        <w:t xml:space="preserve">Lactotripéptidos (VPP e IPP) (21)</w:t>
      </w:r>
    </w:p>
    <w:p>
      <w:pPr>
        <w:numPr>
          <w:ilvl w:val="0"/>
          <w:numId w:val="1422"/>
        </w:numPr>
        <w:pStyle w:val="Compact"/>
      </w:pPr>
      <w:r>
        <w:t xml:space="preserve">2023 · Yoshioka M ·</w:t>
      </w:r>
      <w:r>
        <w:t xml:space="preserve"> </w:t>
      </w:r>
      <w:r>
        <w:rPr>
          <w:iCs/>
          <w:i/>
        </w:rPr>
        <w:t xml:space="preserve">Sci Rep</w:t>
      </w:r>
      <w:r>
        <w:t xml:space="preserve"> </w:t>
      </w:r>
      <w:r>
        <w:t xml:space="preserve">· Effects of lactotripeptide ingestion and physical activity intervention on the fatigue status of middle-aged and older adults: a randomized controlled trial. PMID 37735182</w:t>
      </w:r>
    </w:p>
    <w:p>
      <w:pPr>
        <w:numPr>
          <w:ilvl w:val="0"/>
          <w:numId w:val="1422"/>
        </w:numPr>
        <w:pStyle w:val="Compact"/>
      </w:pPr>
      <w:r>
        <w:t xml:space="preserve">2019 · Hamasaki A ·</w:t>
      </w:r>
      <w:r>
        <w:t xml:space="preserve"> </w:t>
      </w:r>
      <w:r>
        <w:rPr>
          <w:iCs/>
          <w:i/>
        </w:rPr>
        <w:t xml:space="preserve">Am J Clin Nutr</w:t>
      </w:r>
      <w:r>
        <w:t xml:space="preserve"> </w:t>
      </w:r>
      <w:r>
        <w:t xml:space="preserve">· Combined effects of lactotripeptide and aerobic exercise on cognitive function and cerebral oxygenation in middle-aged and older adults. PMID 30624594</w:t>
      </w:r>
    </w:p>
    <w:p>
      <w:pPr>
        <w:numPr>
          <w:ilvl w:val="0"/>
          <w:numId w:val="1422"/>
        </w:numPr>
        <w:pStyle w:val="Compact"/>
      </w:pPr>
      <w:r>
        <w:t xml:space="preserve">2018 · Akazawa N ·</w:t>
      </w:r>
      <w:r>
        <w:t xml:space="preserve"> </w:t>
      </w:r>
      <w:r>
        <w:rPr>
          <w:iCs/>
          <w:i/>
        </w:rPr>
        <w:t xml:space="preserve">Nutr Res</w:t>
      </w:r>
      <w:r>
        <w:t xml:space="preserve"> </w:t>
      </w:r>
      <w:r>
        <w:t xml:space="preserve">· Lactotripeptide ingestion increases cerebral blood flow velocity in middle-aged and older adults. PMID 29703414</w:t>
      </w:r>
    </w:p>
    <w:p>
      <w:pPr>
        <w:numPr>
          <w:ilvl w:val="0"/>
          <w:numId w:val="1422"/>
        </w:numPr>
        <w:pStyle w:val="Compact"/>
      </w:pPr>
      <w:r>
        <w:t xml:space="preserve">2018 · Tagawa K ·</w:t>
      </w:r>
      <w:r>
        <w:t xml:space="preserve"> </w:t>
      </w:r>
      <w:r>
        <w:rPr>
          <w:iCs/>
          <w:i/>
        </w:rPr>
        <w:t xml:space="preserve">Am J Phys Med Rehabil</w:t>
      </w:r>
      <w:r>
        <w:t xml:space="preserve"> </w:t>
      </w:r>
      <w:r>
        <w:t xml:space="preserve">· Lactotripeptides Supplementations Alleviate the Decrease in Maximal Isometric Force After High-Intensity Eccentric Exercise: A Randomized, Placebo-Controlled, Double-Blind Clinical Trial. PMID 29189308</w:t>
      </w:r>
    </w:p>
    <w:p>
      <w:pPr>
        <w:numPr>
          <w:ilvl w:val="0"/>
          <w:numId w:val="1422"/>
        </w:numPr>
        <w:pStyle w:val="Compact"/>
      </w:pPr>
      <w:r>
        <w:t xml:space="preserve">2016 · Cicero AF ·</w:t>
      </w:r>
      <w:r>
        <w:t xml:space="preserve"> </w:t>
      </w:r>
      <w:r>
        <w:rPr>
          <w:iCs/>
          <w:i/>
        </w:rPr>
        <w:t xml:space="preserve">Metab Syndr Relat Disord</w:t>
      </w:r>
      <w:r>
        <w:t xml:space="preserve"> </w:t>
      </w:r>
      <w:r>
        <w:t xml:space="preserve">· Effect of Lactotripeptides (Isoleucine-Proline-Proline/Valine-Proline-Proline) on Blood Pressure and Arterial Stiffness Changes in Subjects with Suboptimal Blood Pressure Control and Metabolic Syndrome: A Double-Blind, Randomized, Crossover Clinical Trial. PMID 26683986</w:t>
      </w:r>
    </w:p>
    <w:p>
      <w:pPr>
        <w:numPr>
          <w:ilvl w:val="0"/>
          <w:numId w:val="1422"/>
        </w:numPr>
        <w:pStyle w:val="Compact"/>
      </w:pPr>
      <w:r>
        <w:t xml:space="preserve">2015 · Hautaniemi EJ ·</w:t>
      </w:r>
      <w:r>
        <w:t xml:space="preserve"> </w:t>
      </w:r>
      <w:r>
        <w:rPr>
          <w:iCs/>
          <w:i/>
        </w:rPr>
        <w:t xml:space="preserve">Br J Nutr</w:t>
      </w:r>
      <w:r>
        <w:t xml:space="preserve"> </w:t>
      </w:r>
      <w:r>
        <w:t xml:space="preserve">· Effect of fermented milk product containing lactotripeptides and plant sterol esters on haemodynamics in subjects with the metabolic syndrome–a randomised, double-blind, placebo-controlled study. PMID 26168857</w:t>
      </w:r>
    </w:p>
    <w:p>
      <w:pPr>
        <w:numPr>
          <w:ilvl w:val="0"/>
          <w:numId w:val="1422"/>
        </w:numPr>
        <w:pStyle w:val="Compact"/>
      </w:pPr>
      <w:r>
        <w:t xml:space="preserve">2012 · Jauhiainen T ·</w:t>
      </w:r>
      <w:r>
        <w:t xml:space="preserve"> </w:t>
      </w:r>
      <w:r>
        <w:rPr>
          <w:iCs/>
          <w:i/>
        </w:rPr>
        <w:t xml:space="preserve">Eur J Clin Nutr</w:t>
      </w:r>
      <w:r>
        <w:t xml:space="preserve"> </w:t>
      </w:r>
      <w:r>
        <w:t xml:space="preserve">· Effects of long-term intake of lactotripeptides on cardiovascular risk factors in hypertensive subjects. PMID 22617279</w:t>
      </w:r>
    </w:p>
    <w:p>
      <w:pPr>
        <w:numPr>
          <w:ilvl w:val="0"/>
          <w:numId w:val="1422"/>
        </w:numPr>
        <w:pStyle w:val="Compact"/>
      </w:pPr>
      <w:r>
        <w:t xml:space="preserve">2012 · Cicero AF ·</w:t>
      </w:r>
      <w:r>
        <w:t xml:space="preserve"> </w:t>
      </w:r>
      <w:r>
        <w:rPr>
          <w:iCs/>
          <w:i/>
        </w:rPr>
        <w:t xml:space="preserve">Clin Exp Hypertens</w:t>
      </w:r>
      <w:r>
        <w:t xml:space="preserve"> </w:t>
      </w:r>
      <w:r>
        <w:t xml:space="preserve">· Predictors of the short-term effect of isoleucine-proline-proline/valine-proline-proline lactotripeptides from casein on office and ambulatory blood pressure in subjects with pharmacologically untreated high-normal blood pressure or first-degree hypertension. PMID 22574612</w:t>
      </w:r>
    </w:p>
    <w:p>
      <w:pPr>
        <w:numPr>
          <w:ilvl w:val="0"/>
          <w:numId w:val="1422"/>
        </w:numPr>
        <w:pStyle w:val="Compact"/>
      </w:pPr>
      <w:r>
        <w:t xml:space="preserve">2011 · Cicero AF ·</w:t>
      </w:r>
      <w:r>
        <w:t xml:space="preserve"> </w:t>
      </w:r>
      <w:r>
        <w:rPr>
          <w:iCs/>
          <w:i/>
        </w:rPr>
        <w:t xml:space="preserve">Hypertens Res</w:t>
      </w:r>
      <w:r>
        <w:t xml:space="preserve"> </w:t>
      </w:r>
      <w:r>
        <w:t xml:space="preserve">· Lactotripeptides effect on office and 24-h ambulatory blood pressure, blood pressure stress response, pulse wave velocity and cardiac output in patients with high-normal blood pressure or first-degree hypertension: a randomized double-blind clinical trial. PMID 21753776</w:t>
      </w:r>
    </w:p>
    <w:p>
      <w:pPr>
        <w:numPr>
          <w:ilvl w:val="0"/>
          <w:numId w:val="1422"/>
        </w:numPr>
        <w:pStyle w:val="Compact"/>
      </w:pPr>
      <w:r>
        <w:t xml:space="preserve">2010 · Cicero AF ·</w:t>
      </w:r>
      <w:r>
        <w:t xml:space="preserve"> </w:t>
      </w:r>
      <w:r>
        <w:rPr>
          <w:iCs/>
          <w:i/>
        </w:rPr>
        <w:t xml:space="preserve">J Med Food</w:t>
      </w:r>
      <w:r>
        <w:t xml:space="preserve"> </w:t>
      </w:r>
      <w:r>
        <w:t xml:space="preserve">· Hemodynamic effects of lactotripeptides from casein hydrolysate in Mediterranean normotensive subjects and patients with high-normal blood pressure: a randomized, double-blind, crossover clinical trial. PMID 21091250</w:t>
      </w:r>
    </w:p>
    <w:p>
      <w:pPr>
        <w:numPr>
          <w:ilvl w:val="0"/>
          <w:numId w:val="1422"/>
        </w:numPr>
        <w:pStyle w:val="Compact"/>
      </w:pPr>
      <w:r>
        <w:t xml:space="preserve">2010 · Yamasue K ·</w:t>
      </w:r>
      <w:r>
        <w:t xml:space="preserve"> </w:t>
      </w:r>
      <w:r>
        <w:rPr>
          <w:iCs/>
          <w:i/>
        </w:rPr>
        <w:t xml:space="preserve">Clin Exp Hypertens</w:t>
      </w:r>
      <w:r>
        <w:t xml:space="preserve"> </w:t>
      </w:r>
      <w:r>
        <w:t xml:space="preserve">· The blood pressure lowering effect of lactotripeptides and salt intake in 24-h ambulatory blood pressure measurements. PMID 20608891</w:t>
      </w:r>
    </w:p>
    <w:p>
      <w:pPr>
        <w:numPr>
          <w:ilvl w:val="0"/>
          <w:numId w:val="1422"/>
        </w:numPr>
        <w:pStyle w:val="Compact"/>
      </w:pPr>
      <w:r>
        <w:t xml:space="preserve">2010 · Germino FW ·</w:t>
      </w:r>
      <w:r>
        <w:t xml:space="preserve"> </w:t>
      </w:r>
      <w:r>
        <w:rPr>
          <w:iCs/>
          <w:i/>
        </w:rPr>
        <w:t xml:space="preserve">J Clin Hypertens (Greenwich)</w:t>
      </w:r>
      <w:r>
        <w:t xml:space="preserve"> </w:t>
      </w:r>
      <w:r>
        <w:t xml:space="preserve">· The impact of lactotripeptides on blood pressure response in stage 1 and stage 2 hypertensives. PMID 20433527</w:t>
      </w:r>
    </w:p>
    <w:p>
      <w:pPr>
        <w:numPr>
          <w:ilvl w:val="0"/>
          <w:numId w:val="1422"/>
        </w:numPr>
        <w:pStyle w:val="Compact"/>
      </w:pPr>
      <w:r>
        <w:t xml:space="preserve">2010 · Jauhiainen T ·</w:t>
      </w:r>
      <w:r>
        <w:t xml:space="preserve"> </w:t>
      </w:r>
      <w:r>
        <w:rPr>
          <w:iCs/>
          <w:i/>
        </w:rPr>
        <w:t xml:space="preserve">Eur J Clin Nutr</w:t>
      </w:r>
      <w:r>
        <w:t xml:space="preserve"> </w:t>
      </w:r>
      <w:r>
        <w:t xml:space="preserve">· Long-term intervention with Lactobacillus helveticus fermented milk reduces augmentation index in hypertensive subjects. PMID 20145666</w:t>
      </w:r>
    </w:p>
    <w:p>
      <w:pPr>
        <w:numPr>
          <w:ilvl w:val="0"/>
          <w:numId w:val="1422"/>
        </w:numPr>
        <w:pStyle w:val="Compact"/>
      </w:pPr>
      <w:r>
        <w:t xml:space="preserve">2010 · Yoshizawa M ·</w:t>
      </w:r>
      <w:r>
        <w:t xml:space="preserve"> </w:t>
      </w:r>
      <w:r>
        <w:rPr>
          <w:iCs/>
          <w:i/>
        </w:rPr>
        <w:t xml:space="preserve">Am J Hypertens</w:t>
      </w:r>
      <w:r>
        <w:t xml:space="preserve"> </w:t>
      </w:r>
      <w:r>
        <w:t xml:space="preserve">· Additive beneficial effects of lactotripeptides intake with regular exercise on endothelium-dependent dilatation in postmenopausal women. PMID 20075849</w:t>
      </w:r>
    </w:p>
    <w:p>
      <w:pPr>
        <w:numPr>
          <w:ilvl w:val="0"/>
          <w:numId w:val="1422"/>
        </w:numPr>
        <w:pStyle w:val="Compact"/>
      </w:pPr>
      <w:r>
        <w:t xml:space="preserve">2009 · Nakamura T ·</w:t>
      </w:r>
      <w:r>
        <w:t xml:space="preserve"> </w:t>
      </w:r>
      <w:r>
        <w:rPr>
          <w:iCs/>
          <w:i/>
        </w:rPr>
        <w:t xml:space="preserve">J Med Food</w:t>
      </w:r>
      <w:r>
        <w:t xml:space="preserve"> </w:t>
      </w:r>
      <w:r>
        <w:t xml:space="preserve">· Beneficial potential of casein hydrolysate containing Val-Pro-Pro and Ile-Pro-Pro on central blood pressure and hemodynamic index: a preliminary study. PMID 19821692</w:t>
      </w:r>
    </w:p>
    <w:p>
      <w:pPr>
        <w:numPr>
          <w:ilvl w:val="0"/>
          <w:numId w:val="1422"/>
        </w:numPr>
        <w:pStyle w:val="Compact"/>
      </w:pPr>
      <w:r>
        <w:t xml:space="preserve">2009 · Yoshizawa M ·</w:t>
      </w:r>
      <w:r>
        <w:t xml:space="preserve"> </w:t>
      </w:r>
      <w:r>
        <w:rPr>
          <w:iCs/>
          <w:i/>
        </w:rPr>
        <w:t xml:space="preserve">Am J Physiol Heart Circ Physiol</w:t>
      </w:r>
      <w:r>
        <w:t xml:space="preserve"> </w:t>
      </w:r>
      <w:r>
        <w:t xml:space="preserve">· Additive beneficial effects of lactotripeptides and aerobic exercise on arterial compliance in postmenopausal women. PMID 19783777</w:t>
      </w:r>
    </w:p>
    <w:p>
      <w:pPr>
        <w:numPr>
          <w:ilvl w:val="0"/>
          <w:numId w:val="1422"/>
        </w:numPr>
        <w:pStyle w:val="Compact"/>
      </w:pPr>
      <w:r>
        <w:t xml:space="preserve">2009 · van Mierlo LA ·</w:t>
      </w:r>
      <w:r>
        <w:t xml:space="preserve"> </w:t>
      </w:r>
      <w:r>
        <w:rPr>
          <w:iCs/>
          <w:i/>
        </w:rPr>
        <w:t xml:space="preserve">Am J Clin Nutr</w:t>
      </w:r>
      <w:r>
        <w:t xml:space="preserve"> </w:t>
      </w:r>
      <w:r>
        <w:t xml:space="preserve">· Lactotripeptides do not lower ambulatory blood pressure in untreated whites: results from 2 controlled multicenter crossover studies. PMID 19106238</w:t>
      </w:r>
    </w:p>
    <w:p>
      <w:pPr>
        <w:numPr>
          <w:ilvl w:val="0"/>
          <w:numId w:val="1422"/>
        </w:numPr>
        <w:pStyle w:val="Compact"/>
      </w:pPr>
      <w:r>
        <w:t xml:space="preserve">2008 · van der Zander K ·</w:t>
      </w:r>
      <w:r>
        <w:t xml:space="preserve"> </w:t>
      </w:r>
      <w:r>
        <w:rPr>
          <w:iCs/>
          <w:i/>
        </w:rPr>
        <w:t xml:space="preserve">Am J Clin Nutr</w:t>
      </w:r>
      <w:r>
        <w:t xml:space="preserve"> </w:t>
      </w:r>
      <w:r>
        <w:t xml:space="preserve">· Enzymatically hydrolyzed lactotripeptides do not lower blood pressure in mildly hypertensive subjects. PMID 19064533</w:t>
      </w:r>
    </w:p>
    <w:p>
      <w:pPr>
        <w:numPr>
          <w:ilvl w:val="0"/>
          <w:numId w:val="1422"/>
        </w:numPr>
        <w:pStyle w:val="Compact"/>
      </w:pPr>
      <w:r>
        <w:t xml:space="preserve">2008 · Engberink MF ·</w:t>
      </w:r>
      <w:r>
        <w:t xml:space="preserve"> </w:t>
      </w:r>
      <w:r>
        <w:rPr>
          <w:iCs/>
          <w:i/>
        </w:rPr>
        <w:t xml:space="preserve">Hypertension</w:t>
      </w:r>
      <w:r>
        <w:t xml:space="preserve"> </w:t>
      </w:r>
      <w:r>
        <w:t xml:space="preserve">· Lactotripeptides show no effect on human blood pressure: results from a double-blind randomized controlled trial. PMID 18086944</w:t>
      </w:r>
    </w:p>
    <w:p>
      <w:pPr>
        <w:numPr>
          <w:ilvl w:val="0"/>
          <w:numId w:val="1422"/>
        </w:numPr>
        <w:pStyle w:val="Compact"/>
      </w:pPr>
      <w:r>
        <w:t xml:space="preserve">2007 · Foltz M ·</w:t>
      </w:r>
      <w:r>
        <w:t xml:space="preserve"> </w:t>
      </w:r>
      <w:r>
        <w:rPr>
          <w:iCs/>
          <w:i/>
        </w:rPr>
        <w:t xml:space="preserve">J Nutr</w:t>
      </w:r>
      <w:r>
        <w:t xml:space="preserve"> </w:t>
      </w:r>
      <w:r>
        <w:t xml:space="preserve">· Angiotensin converting enzyme inhibitory peptides from a lactotripeptide-enriched milk beverage are absorbed intact into the circulation. PMID 17374660</w:t>
      </w:r>
    </w:p>
    <w:p>
      <w:pPr>
        <w:numPr>
          <w:ilvl w:val="0"/>
          <w:numId w:val="1422"/>
        </w:numPr>
        <w:pStyle w:val="Compact"/>
      </w:pPr>
      <w:r>
        <w:t xml:space="preserve">2004 · Tuomilehto J ·</w:t>
      </w:r>
      <w:r>
        <w:t xml:space="preserve"> </w:t>
      </w:r>
      <w:r>
        <w:rPr>
          <w:iCs/>
          <w:i/>
        </w:rPr>
        <w:t xml:space="preserve">J Hum Hypertens</w:t>
      </w:r>
      <w:r>
        <w:t xml:space="preserve"> </w:t>
      </w:r>
      <w:r>
        <w:t xml:space="preserve">· Effect of ingesting sour milk fermented using Lactobacillus helveticus bacteria producing tripeptides on blood pressure in subjects with mild hypertension. PMID 15175633</w:t>
      </w:r>
    </w:p>
    <w:bookmarkEnd w:id="1169"/>
    <w:bookmarkStart w:id="1170" w:name="carnosina-57"/>
    <w:p>
      <w:pPr>
        <w:pStyle w:val="Heading2"/>
      </w:pPr>
      <w:r>
        <w:t xml:space="preserve">Carnosina (57)</w:t>
      </w:r>
    </w:p>
    <w:p>
      <w:pPr>
        <w:numPr>
          <w:ilvl w:val="0"/>
          <w:numId w:val="1423"/>
        </w:numPr>
        <w:pStyle w:val="Compact"/>
      </w:pPr>
      <w:r>
        <w:t xml:space="preserve">2026 · O’Toole TE ·</w:t>
      </w:r>
      <w:r>
        <w:t xml:space="preserve"> </w:t>
      </w:r>
      <w:r>
        <w:rPr>
          <w:iCs/>
          <w:i/>
        </w:rPr>
        <w:t xml:space="preserve">J Int Soc Sports Nutr</w:t>
      </w:r>
      <w:r>
        <w:t xml:space="preserve"> </w:t>
      </w:r>
      <w:r>
        <w:t xml:space="preserve">· Effects of carnosine supplementation on physical endurance: a placebo-controlled randomized clinical trial. PMID 42308284</w:t>
      </w:r>
    </w:p>
    <w:p>
      <w:pPr>
        <w:numPr>
          <w:ilvl w:val="0"/>
          <w:numId w:val="1423"/>
        </w:numPr>
        <w:pStyle w:val="Compact"/>
      </w:pPr>
      <w:r>
        <w:t xml:space="preserve">2026 · Togni L ·</w:t>
      </w:r>
      <w:r>
        <w:t xml:space="preserve"> </w:t>
      </w:r>
      <w:r>
        <w:rPr>
          <w:iCs/>
          <w:i/>
        </w:rPr>
        <w:t xml:space="preserve">Minerva Dent Oral Sci</w:t>
      </w:r>
      <w:r>
        <w:t xml:space="preserve"> </w:t>
      </w:r>
      <w:r>
        <w:t xml:space="preserve">· Zinc-L-carnosine mouthwash in oral mucositis patients: a single-blind, randomized, controlled trial. PMID 41855025</w:t>
      </w:r>
    </w:p>
    <w:p>
      <w:pPr>
        <w:numPr>
          <w:ilvl w:val="0"/>
          <w:numId w:val="1423"/>
        </w:numPr>
        <w:pStyle w:val="Compact"/>
      </w:pPr>
      <w:r>
        <w:t xml:space="preserve">2025 · Beaven CM ·</w:t>
      </w:r>
      <w:r>
        <w:t xml:space="preserve"> </w:t>
      </w:r>
      <w:r>
        <w:rPr>
          <w:iCs/>
          <w:i/>
        </w:rPr>
        <w:t xml:space="preserve">J Int Soc Sports Nutr</w:t>
      </w:r>
      <w:r>
        <w:t xml:space="preserve"> </w:t>
      </w:r>
      <w:r>
        <w:t xml:space="preserve">· Topical carnosine gel improves intermittent high-intensity exercise performance in world-class rugby sevens players. PMID 40859880</w:t>
      </w:r>
    </w:p>
    <w:p>
      <w:pPr>
        <w:numPr>
          <w:ilvl w:val="0"/>
          <w:numId w:val="1423"/>
        </w:numPr>
        <w:pStyle w:val="Compact"/>
      </w:pPr>
      <w:r>
        <w:t xml:space="preserve">2025 · Perić L ·</w:t>
      </w:r>
      <w:r>
        <w:t xml:space="preserve"> </w:t>
      </w:r>
      <w:r>
        <w:rPr>
          <w:iCs/>
          <w:i/>
        </w:rPr>
        <w:t xml:space="preserve">Appl Physiol Nutr Metab</w:t>
      </w:r>
      <w:r>
        <w:t xml:space="preserve"> </w:t>
      </w:r>
      <w:r>
        <w:t xml:space="preserve">· Carnosine-enriched functional food enhances micro- and macrovascular endothelium-independent vasodilation in competitive athletes-a randomized study. PMID 39983097</w:t>
      </w:r>
    </w:p>
    <w:p>
      <w:pPr>
        <w:numPr>
          <w:ilvl w:val="0"/>
          <w:numId w:val="1423"/>
        </w:numPr>
        <w:pStyle w:val="Compact"/>
      </w:pPr>
      <w:r>
        <w:t xml:space="preserve">2025 · O’Toole TE ·</w:t>
      </w:r>
      <w:r>
        <w:t xml:space="preserve"> </w:t>
      </w:r>
      <w:r>
        <w:rPr>
          <w:iCs/>
          <w:i/>
        </w:rPr>
        <w:t xml:space="preserve">Neurotherapeutics</w:t>
      </w:r>
      <w:r>
        <w:t xml:space="preserve"> </w:t>
      </w:r>
      <w:r>
        <w:t xml:space="preserve">· Carnosine supplementation improves cognitive outcomes in younger participants of the NEAT trial. PMID 39919936</w:t>
      </w:r>
    </w:p>
    <w:p>
      <w:pPr>
        <w:numPr>
          <w:ilvl w:val="0"/>
          <w:numId w:val="1423"/>
        </w:numPr>
        <w:pStyle w:val="Compact"/>
      </w:pPr>
      <w:r>
        <w:t xml:space="preserve">2024 · Saadati S ·</w:t>
      </w:r>
      <w:r>
        <w:t xml:space="preserve"> </w:t>
      </w:r>
      <w:r>
        <w:rPr>
          <w:iCs/>
          <w:i/>
        </w:rPr>
        <w:t xml:space="preserve">Nutrients</w:t>
      </w:r>
      <w:r>
        <w:t xml:space="preserve"> </w:t>
      </w:r>
      <w:r>
        <w:t xml:space="preserve">· The Effect of Carnosine Supplementation on Musculoskeletal Health in Adults with Prediabetes and Type 2 Diabetes: A Secondary Analysis of a Randomized Controlled Trial. PMID 39770949</w:t>
      </w:r>
    </w:p>
    <w:p>
      <w:pPr>
        <w:numPr>
          <w:ilvl w:val="0"/>
          <w:numId w:val="1423"/>
        </w:numPr>
        <w:pStyle w:val="Compact"/>
      </w:pPr>
      <w:r>
        <w:t xml:space="preserve">2024 · Saadati S ·</w:t>
      </w:r>
      <w:r>
        <w:t xml:space="preserve"> </w:t>
      </w:r>
      <w:r>
        <w:rPr>
          <w:iCs/>
          <w:i/>
        </w:rPr>
        <w:t xml:space="preserve">Nutrients</w:t>
      </w:r>
      <w:r>
        <w:t xml:space="preserve"> </w:t>
      </w:r>
      <w:r>
        <w:t xml:space="preserve">· Carnosine Supplementation Has No Effect on Inflammatory Markers in Adults with Prediabetes and Type 2 Diabetes: A Randomised Controlled Trial. PMID 39599686</w:t>
      </w:r>
    </w:p>
    <w:p>
      <w:pPr>
        <w:numPr>
          <w:ilvl w:val="0"/>
          <w:numId w:val="1423"/>
        </w:numPr>
        <w:pStyle w:val="Compact"/>
      </w:pPr>
      <w:r>
        <w:t xml:space="preserve">2024 · Abraham DA ·</w:t>
      </w:r>
      <w:r>
        <w:t xml:space="preserve"> </w:t>
      </w:r>
      <w:r>
        <w:rPr>
          <w:iCs/>
          <w:i/>
        </w:rPr>
        <w:t xml:space="preserve">Front Biosci (Landmark Ed)</w:t>
      </w:r>
      <w:r>
        <w:t xml:space="preserve"> </w:t>
      </w:r>
      <w:r>
        <w:t xml:space="preserve">· Estimation of Plasma Concentration of L-Carnosine and its Correlation with Core Symptoms of Autism Spectrum Disorder Children: A Pilot Clinical Trial. PMID 39473402</w:t>
      </w:r>
    </w:p>
    <w:p>
      <w:pPr>
        <w:numPr>
          <w:ilvl w:val="0"/>
          <w:numId w:val="1423"/>
        </w:numPr>
        <w:pStyle w:val="Compact"/>
      </w:pPr>
      <w:r>
        <w:t xml:space="preserve">2024 · Baba SP ·</w:t>
      </w:r>
      <w:r>
        <w:t xml:space="preserve"> </w:t>
      </w:r>
      <w:r>
        <w:rPr>
          <w:iCs/>
          <w:i/>
        </w:rPr>
        <w:t xml:space="preserve">Amino Acids</w:t>
      </w:r>
      <w:r>
        <w:t xml:space="preserve"> </w:t>
      </w:r>
      <w:r>
        <w:t xml:space="preserve">· Evaluation of supplementary carnosine accumulation and distribution: an initial analysis of participants in the Nucleophilic Defense Against PM Toxicity (NEAT) clinical trial. PMID 39215872</w:t>
      </w:r>
    </w:p>
    <w:p>
      <w:pPr>
        <w:numPr>
          <w:ilvl w:val="0"/>
          <w:numId w:val="1423"/>
        </w:numPr>
        <w:pStyle w:val="Compact"/>
      </w:pPr>
      <w:r>
        <w:t xml:space="preserve">2024 · Rondanelli M ·</w:t>
      </w:r>
      <w:r>
        <w:t xml:space="preserve"> </w:t>
      </w:r>
      <w:r>
        <w:rPr>
          <w:iCs/>
          <w:i/>
        </w:rPr>
        <w:t xml:space="preserve">Nutrients</w:t>
      </w:r>
      <w:r>
        <w:t xml:space="preserve"> </w:t>
      </w:r>
      <w:r>
        <w:t xml:space="preserve">· A Patented Dietary Supplement (Hydroxy-Methyl-Butyrate, Carnosine, Magnesium, Butyrate, Lactoferrin) Is a Promising Therapeutic Target for Age-Related Sarcopenia through the Regulation of Gut Permeability: A Randomized Controlled Trial. PMID 38732615</w:t>
      </w:r>
    </w:p>
    <w:p>
      <w:pPr>
        <w:numPr>
          <w:ilvl w:val="0"/>
          <w:numId w:val="1423"/>
        </w:numPr>
        <w:pStyle w:val="Compact"/>
      </w:pPr>
      <w:r>
        <w:t xml:space="preserve">2024 · Hariharan R ·</w:t>
      </w:r>
      <w:r>
        <w:t xml:space="preserve"> </w:t>
      </w:r>
      <w:r>
        <w:rPr>
          <w:iCs/>
          <w:i/>
        </w:rPr>
        <w:t xml:space="preserve">Nutr Metab Cardiovasc Dis</w:t>
      </w:r>
      <w:r>
        <w:t xml:space="preserve"> </w:t>
      </w:r>
      <w:r>
        <w:t xml:space="preserve">· Carnosine supplementation improves glucose control in adults with pre-diabetes and type 2 diabetes: A randomised controlled trial. PMID 38172006</w:t>
      </w:r>
    </w:p>
    <w:p>
      <w:pPr>
        <w:numPr>
          <w:ilvl w:val="0"/>
          <w:numId w:val="1423"/>
        </w:numPr>
        <w:pStyle w:val="Compact"/>
      </w:pPr>
      <w:r>
        <w:t xml:space="preserve">2023 · Saadati S ·</w:t>
      </w:r>
      <w:r>
        <w:t xml:space="preserve"> </w:t>
      </w:r>
      <w:r>
        <w:rPr>
          <w:iCs/>
          <w:i/>
        </w:rPr>
        <w:t xml:space="preserve">Nutrients</w:t>
      </w:r>
      <w:r>
        <w:t xml:space="preserve"> </w:t>
      </w:r>
      <w:r>
        <w:t xml:space="preserve">· Carnosine Did Not Affect Vascular and Metabolic Outcomes in Patients with Prediabetes and Type 2 Diabetes: A 14-Week Randomized Controlled Trial. PMID 38004228</w:t>
      </w:r>
    </w:p>
    <w:p>
      <w:pPr>
        <w:numPr>
          <w:ilvl w:val="0"/>
          <w:numId w:val="1423"/>
        </w:numPr>
        <w:pStyle w:val="Compact"/>
      </w:pPr>
      <w:r>
        <w:t xml:space="preserve">2021 · Siriwattanasit N ·</w:t>
      </w:r>
      <w:r>
        <w:t xml:space="preserve"> </w:t>
      </w:r>
      <w:r>
        <w:rPr>
          <w:iCs/>
          <w:i/>
        </w:rPr>
        <w:t xml:space="preserve">BMC Nephrol</w:t>
      </w:r>
      <w:r>
        <w:t xml:space="preserve"> </w:t>
      </w:r>
      <w:r>
        <w:t xml:space="preserve">· Effect of Oral carnosine supplementation on urinary TGF-β in diabetic nephropathy: a randomized controlled trial. PMID 34174842</w:t>
      </w:r>
    </w:p>
    <w:p>
      <w:pPr>
        <w:numPr>
          <w:ilvl w:val="0"/>
          <w:numId w:val="1423"/>
        </w:numPr>
        <w:pStyle w:val="Compact"/>
      </w:pPr>
      <w:r>
        <w:t xml:space="preserve">2021 · Blancquaert L ·</w:t>
      </w:r>
      <w:r>
        <w:t xml:space="preserve"> </w:t>
      </w:r>
      <w:r>
        <w:rPr>
          <w:iCs/>
          <w:i/>
        </w:rPr>
        <w:t xml:space="preserve">J Appl Physiol (1985)</w:t>
      </w:r>
      <w:r>
        <w:t xml:space="preserve"> </w:t>
      </w:r>
      <w:r>
        <w:t xml:space="preserve">· Acute preexercise supplementation of combined carnosine and anserine enhances initial maximal power of Wingate tests in humans. PMID 33914660</w:t>
      </w:r>
    </w:p>
    <w:p>
      <w:pPr>
        <w:numPr>
          <w:ilvl w:val="0"/>
          <w:numId w:val="1423"/>
        </w:numPr>
        <w:pStyle w:val="Compact"/>
      </w:pPr>
      <w:r>
        <w:t xml:space="preserve">2021 · Yamaguchi GC ·</w:t>
      </w:r>
      <w:r>
        <w:t xml:space="preserve"> </w:t>
      </w:r>
      <w:r>
        <w:rPr>
          <w:iCs/>
          <w:i/>
        </w:rPr>
        <w:t xml:space="preserve">Med Sci Sports Exerc</w:t>
      </w:r>
      <w:r>
        <w:t xml:space="preserve"> </w:t>
      </w:r>
      <w:r>
        <w:t xml:space="preserve">· Kinetics of Muscle Carnosine Decay after β-Alanine Supplementation: A 16-wk Washout Study. PMID 33148972</w:t>
      </w:r>
    </w:p>
    <w:p>
      <w:pPr>
        <w:numPr>
          <w:ilvl w:val="0"/>
          <w:numId w:val="1423"/>
        </w:numPr>
        <w:pStyle w:val="Compact"/>
      </w:pPr>
      <w:r>
        <w:t xml:space="preserve">2021 · Limonta E ·</w:t>
      </w:r>
      <w:r>
        <w:t xml:space="preserve"> </w:t>
      </w:r>
      <w:r>
        <w:rPr>
          <w:iCs/>
          <w:i/>
        </w:rPr>
        <w:t xml:space="preserve">J Sports Med Phys Fitness</w:t>
      </w:r>
      <w:r>
        <w:t xml:space="preserve"> </w:t>
      </w:r>
      <w:r>
        <w:t xml:space="preserve">· Acute carnosine and β-alanine supplementation increase the compensated part of the ventilation versus work rate relationship during a ramp incremental cycle test in physically active men. PMID 33092320</w:t>
      </w:r>
    </w:p>
    <w:p>
      <w:pPr>
        <w:numPr>
          <w:ilvl w:val="0"/>
          <w:numId w:val="1423"/>
        </w:numPr>
        <w:pStyle w:val="Compact"/>
      </w:pPr>
      <w:r>
        <w:t xml:space="preserve">2020 · Zanini D ·</w:t>
      </w:r>
      <w:r>
        <w:t xml:space="preserve"> </w:t>
      </w:r>
      <w:r>
        <w:rPr>
          <w:iCs/>
          <w:i/>
        </w:rPr>
        <w:t xml:space="preserve">Nutr Res</w:t>
      </w:r>
      <w:r>
        <w:t xml:space="preserve"> </w:t>
      </w:r>
      <w:r>
        <w:t xml:space="preserve">· Dietary supplementation with L-carnosine improves patient-reported outcomes, autonomic nervous system performance, and brain metabolism in 3 adult patients with multiple sclerosis. PMID 33189432</w:t>
      </w:r>
    </w:p>
    <w:p>
      <w:pPr>
        <w:numPr>
          <w:ilvl w:val="0"/>
          <w:numId w:val="1423"/>
        </w:numPr>
        <w:pStyle w:val="Compact"/>
      </w:pPr>
      <w:r>
        <w:t xml:space="preserve">2020 · Ann Abraham D ·</w:t>
      </w:r>
      <w:r>
        <w:t xml:space="preserve"> </w:t>
      </w:r>
      <w:r>
        <w:rPr>
          <w:iCs/>
          <w:i/>
        </w:rPr>
        <w:t xml:space="preserve">Amino Acids</w:t>
      </w:r>
      <w:r>
        <w:t xml:space="preserve"> </w:t>
      </w:r>
      <w:r>
        <w:t xml:space="preserve">· Effect of L-Carnosine as adjunctive therapy in the management of children with autism spectrum disorder: a randomized controlled study. PMID 33170378</w:t>
      </w:r>
    </w:p>
    <w:p>
      <w:pPr>
        <w:numPr>
          <w:ilvl w:val="0"/>
          <w:numId w:val="1423"/>
        </w:numPr>
        <w:pStyle w:val="Compact"/>
      </w:pPr>
      <w:r>
        <w:t xml:space="preserve">2019 · Masuoka N ·</w:t>
      </w:r>
      <w:r>
        <w:t xml:space="preserve"> </w:t>
      </w:r>
      <w:r>
        <w:rPr>
          <w:iCs/>
          <w:i/>
        </w:rPr>
        <w:t xml:space="preserve">Nutrients</w:t>
      </w:r>
      <w:r>
        <w:t xml:space="preserve"> </w:t>
      </w:r>
      <w:r>
        <w:t xml:space="preserve">· Effects of Anserine/Carnosine Supplementation on Mild Cognitive Impairment with APOE4. PMID 31319510</w:t>
      </w:r>
    </w:p>
    <w:p>
      <w:pPr>
        <w:numPr>
          <w:ilvl w:val="0"/>
          <w:numId w:val="1423"/>
        </w:numPr>
        <w:pStyle w:val="Compact"/>
      </w:pPr>
      <w:r>
        <w:t xml:space="preserve">2019 · Yehia R ·</w:t>
      </w:r>
      <w:r>
        <w:t xml:space="preserve"> </w:t>
      </w:r>
      <w:r>
        <w:rPr>
          <w:iCs/>
          <w:i/>
        </w:rPr>
        <w:t xml:space="preserve">Toxicol Appl Pharmacol</w:t>
      </w:r>
      <w:r>
        <w:t xml:space="preserve"> </w:t>
      </w:r>
      <w:r>
        <w:t xml:space="preserve">· L-Carnosine protects against Oxaliplatin-induced peripheral neuropathy in colorectal cancer patients: A perspective on targeting Nrf-2 and NF-κB pathways. PMID 30592963</w:t>
      </w:r>
    </w:p>
    <w:p>
      <w:pPr>
        <w:numPr>
          <w:ilvl w:val="0"/>
          <w:numId w:val="1423"/>
        </w:numPr>
        <w:pStyle w:val="Compact"/>
      </w:pPr>
      <w:r>
        <w:t xml:space="preserve">2019 · Baye E ·</w:t>
      </w:r>
      <w:r>
        <w:t xml:space="preserve"> </w:t>
      </w:r>
      <w:r>
        <w:rPr>
          <w:iCs/>
          <w:i/>
        </w:rPr>
        <w:t xml:space="preserve">Amino Acids</w:t>
      </w:r>
      <w:r>
        <w:t xml:space="preserve"> </w:t>
      </w:r>
      <w:r>
        <w:t xml:space="preserve">· Carnosine supplementation reduces plasma soluble transferrin receptor in healthy overweight or obese individuals: a pilot randomised trial. PMID 30136029</w:t>
      </w:r>
    </w:p>
    <w:p>
      <w:pPr>
        <w:numPr>
          <w:ilvl w:val="0"/>
          <w:numId w:val="1423"/>
        </w:numPr>
        <w:pStyle w:val="Compact"/>
      </w:pPr>
      <w:r>
        <w:t xml:space="preserve">2019 · Ghodsi R ·</w:t>
      </w:r>
      <w:r>
        <w:t xml:space="preserve"> </w:t>
      </w:r>
      <w:r>
        <w:rPr>
          <w:iCs/>
          <w:i/>
        </w:rPr>
        <w:t xml:space="preserve">Ann Clin Biochem</w:t>
      </w:r>
      <w:r>
        <w:t xml:space="preserve"> </w:t>
      </w:r>
      <w:r>
        <w:t xml:space="preserve">· Carnosine supplementation does not affect serum concentrations of advanced glycation and precursors of lipoxidation end products in autism: a randomized controlled clinical trial. PMID 30089410</w:t>
      </w:r>
    </w:p>
    <w:p>
      <w:pPr>
        <w:numPr>
          <w:ilvl w:val="0"/>
          <w:numId w:val="1423"/>
        </w:numPr>
        <w:pStyle w:val="Compact"/>
      </w:pPr>
      <w:r>
        <w:t xml:space="preserve">2018 · Karkabounas S ·</w:t>
      </w:r>
      <w:r>
        <w:t xml:space="preserve"> </w:t>
      </w:r>
      <w:r>
        <w:rPr>
          <w:iCs/>
          <w:i/>
        </w:rPr>
        <w:t xml:space="preserve">J Med Food</w:t>
      </w:r>
      <w:r>
        <w:t xml:space="preserve"> </w:t>
      </w:r>
      <w:r>
        <w:t xml:space="preserve">· Effects of α-Lipoic Acid, Carnosine, and Thiamine Supplementation in Obese Patients with Type 2 Diabetes Mellitus: A Randomized, Double-Blind Study. PMID 30311825</w:t>
      </w:r>
    </w:p>
    <w:p>
      <w:pPr>
        <w:numPr>
          <w:ilvl w:val="0"/>
          <w:numId w:val="1423"/>
        </w:numPr>
        <w:pStyle w:val="Compact"/>
      </w:pPr>
      <w:r>
        <w:t xml:space="preserve">2018 · Baye E ·</w:t>
      </w:r>
      <w:r>
        <w:t xml:space="preserve"> </w:t>
      </w:r>
      <w:r>
        <w:rPr>
          <w:iCs/>
          <w:i/>
        </w:rPr>
        <w:t xml:space="preserve">Nutrients</w:t>
      </w:r>
      <w:r>
        <w:t xml:space="preserve"> </w:t>
      </w:r>
      <w:r>
        <w:t xml:space="preserve">· Carnosine Supplementation Improves Serum Resistin Concentrations in Overweight or Obese Otherwise Healthy Adults: A Pilot Randomized Trial. PMID 30205427</w:t>
      </w:r>
    </w:p>
    <w:p>
      <w:pPr>
        <w:numPr>
          <w:ilvl w:val="0"/>
          <w:numId w:val="1423"/>
        </w:numPr>
        <w:pStyle w:val="Compact"/>
      </w:pPr>
      <w:r>
        <w:t xml:space="preserve">2018 · Blancquaert L ·</w:t>
      </w:r>
      <w:r>
        <w:t xml:space="preserve"> </w:t>
      </w:r>
      <w:r>
        <w:rPr>
          <w:iCs/>
          <w:i/>
        </w:rPr>
        <w:t xml:space="preserve">Br J Nutr</w:t>
      </w:r>
      <w:r>
        <w:t xml:space="preserve"> </w:t>
      </w:r>
      <w:r>
        <w:t xml:space="preserve">· Changing to a vegetarian diet reduces the body creatine pool in omnivorous women, but appears not to affect carnitine and carnosine homeostasis: a randomised trial. PMID 29569535</w:t>
      </w:r>
    </w:p>
    <w:p>
      <w:pPr>
        <w:numPr>
          <w:ilvl w:val="0"/>
          <w:numId w:val="1423"/>
        </w:numPr>
        <w:pStyle w:val="Compact"/>
      </w:pPr>
      <w:r>
        <w:t xml:space="preserve">2018 · Mehrazad-Saber Z ·</w:t>
      </w:r>
      <w:r>
        <w:t xml:space="preserve"> </w:t>
      </w:r>
      <w:r>
        <w:rPr>
          <w:iCs/>
          <w:i/>
        </w:rPr>
        <w:t xml:space="preserve">Basic Clin Pharmacol Toxicol</w:t>
      </w:r>
      <w:r>
        <w:t xml:space="preserve"> </w:t>
      </w:r>
      <w:r>
        <w:t xml:space="preserve">· Effects of l-Carnosine Supplementation on Sleep Disorders and Disease Severity in Autistic Children: A Randomized, Controlled Clinical Trial. PMID 29430839</w:t>
      </w:r>
    </w:p>
    <w:p>
      <w:pPr>
        <w:numPr>
          <w:ilvl w:val="0"/>
          <w:numId w:val="1423"/>
        </w:numPr>
        <w:pStyle w:val="Compact"/>
      </w:pPr>
      <w:r>
        <w:t xml:space="preserve">2018 · Houjeghani S ·</w:t>
      </w:r>
      <w:r>
        <w:t xml:space="preserve"> </w:t>
      </w:r>
      <w:r>
        <w:rPr>
          <w:iCs/>
          <w:i/>
        </w:rPr>
        <w:t xml:space="preserve">Nutr Res</w:t>
      </w:r>
      <w:r>
        <w:t xml:space="preserve"> </w:t>
      </w:r>
      <w:r>
        <w:t xml:space="preserve">· l-Carnosine supplementation attenuated fasting glucose, triglycerides, advanced glycation end products, and tumor necrosis factor-α levels in patients with type 2 diabetes: a double-blind placebo-controlled randomized clinical trial. PMID 29420997</w:t>
      </w:r>
    </w:p>
    <w:p>
      <w:pPr>
        <w:numPr>
          <w:ilvl w:val="0"/>
          <w:numId w:val="1423"/>
        </w:numPr>
        <w:pStyle w:val="Compact"/>
      </w:pPr>
      <w:r>
        <w:t xml:space="preserve">2018 · Elbarbary NS ·</w:t>
      </w:r>
      <w:r>
        <w:t xml:space="preserve"> </w:t>
      </w:r>
      <w:r>
        <w:rPr>
          <w:iCs/>
          <w:i/>
        </w:rPr>
        <w:t xml:space="preserve">Pediatr Diabetes</w:t>
      </w:r>
      <w:r>
        <w:t xml:space="preserve"> </w:t>
      </w:r>
      <w:r>
        <w:t xml:space="preserve">· The effect of 12 weeks carnosine supplementation on renal functional integrity and oxidative stress in pediatric patients with diabetic nephropathy: a randomized placebo-controlled trial. PMID 28744992</w:t>
      </w:r>
    </w:p>
    <w:p>
      <w:pPr>
        <w:numPr>
          <w:ilvl w:val="0"/>
          <w:numId w:val="1423"/>
        </w:numPr>
        <w:pStyle w:val="Compact"/>
      </w:pPr>
      <w:r>
        <w:t xml:space="preserve">2017 · Varanoske AN ·</w:t>
      </w:r>
      <w:r>
        <w:t xml:space="preserve"> </w:t>
      </w:r>
      <w:r>
        <w:rPr>
          <w:iCs/>
          <w:i/>
        </w:rPr>
        <w:t xml:space="preserve">Nutr Res</w:t>
      </w:r>
      <w:r>
        <w:t xml:space="preserve"> </w:t>
      </w:r>
      <w:r>
        <w:t xml:space="preserve">· β-Alanine supplementation elevates intramuscular carnosine content and attenuates fatigue in men and women similarly but does not change muscle l-histidine content. PMID 29246277</w:t>
      </w:r>
    </w:p>
    <w:p>
      <w:pPr>
        <w:numPr>
          <w:ilvl w:val="0"/>
          <w:numId w:val="1423"/>
        </w:numPr>
        <w:pStyle w:val="Compact"/>
      </w:pPr>
      <w:r>
        <w:t xml:space="preserve">2017 · Baye E ·</w:t>
      </w:r>
      <w:r>
        <w:t xml:space="preserve"> </w:t>
      </w:r>
      <w:r>
        <w:rPr>
          <w:iCs/>
          <w:i/>
        </w:rPr>
        <w:t xml:space="preserve">Sci Rep</w:t>
      </w:r>
      <w:r>
        <w:t xml:space="preserve"> </w:t>
      </w:r>
      <w:r>
        <w:t xml:space="preserve">· Effect of carnosine supplementation on the plasma lipidome in overweight and obese adults: a pilot randomised controlled trial. PMID 29234057</w:t>
      </w:r>
    </w:p>
    <w:p>
      <w:pPr>
        <w:numPr>
          <w:ilvl w:val="0"/>
          <w:numId w:val="1423"/>
        </w:numPr>
        <w:pStyle w:val="Compact"/>
      </w:pPr>
      <w:r>
        <w:t xml:space="preserve">2017 · Katakura Y ·</w:t>
      </w:r>
      <w:r>
        <w:t xml:space="preserve"> </w:t>
      </w:r>
      <w:r>
        <w:rPr>
          <w:iCs/>
          <w:i/>
        </w:rPr>
        <w:t xml:space="preserve">Nutrients</w:t>
      </w:r>
      <w:r>
        <w:t xml:space="preserve"> </w:t>
      </w:r>
      <w:r>
        <w:t xml:space="preserve">· Anserine/Carnosine Supplementation Suppresses the Expression of the Inflammatory Chemokine CCL24 in Peripheral Blood Mononuclear Cells from Elderly People. PMID 29088099</w:t>
      </w:r>
    </w:p>
    <w:p>
      <w:pPr>
        <w:numPr>
          <w:ilvl w:val="0"/>
          <w:numId w:val="1423"/>
        </w:numPr>
        <w:pStyle w:val="Compact"/>
      </w:pPr>
      <w:r>
        <w:t xml:space="preserve">2017 · Church DD ·</w:t>
      </w:r>
      <w:r>
        <w:t xml:space="preserve"> </w:t>
      </w:r>
      <w:r>
        <w:rPr>
          <w:iCs/>
          <w:i/>
        </w:rPr>
        <w:t xml:space="preserve">J Am Coll Nutr</w:t>
      </w:r>
      <w:r>
        <w:t xml:space="preserve"> </w:t>
      </w:r>
      <w:r>
        <w:t xml:space="preserve">· Comparison of Two β-Alanine Dosing Protocols on Muscle Carnosine Elevations. PMID 28910200</w:t>
      </w:r>
    </w:p>
    <w:p>
      <w:pPr>
        <w:numPr>
          <w:ilvl w:val="0"/>
          <w:numId w:val="1423"/>
        </w:numPr>
        <w:pStyle w:val="Compact"/>
      </w:pPr>
      <w:r>
        <w:t xml:space="preserve">2017 · Baye E ·</w:t>
      </w:r>
      <w:r>
        <w:t xml:space="preserve"> </w:t>
      </w:r>
      <w:r>
        <w:rPr>
          <w:iCs/>
          <w:i/>
        </w:rPr>
        <w:t xml:space="preserve">BMJ Open</w:t>
      </w:r>
      <w:r>
        <w:t xml:space="preserve"> </w:t>
      </w:r>
      <w:r>
        <w:t xml:space="preserve">· Does supplementation with carnosine improve cardiometabolic health and cognitive function in patients with pre-diabetes and type 2 diabetes? study protocol for a randomised, double-blind, placebo-controlled trial. PMID 28864708</w:t>
      </w:r>
    </w:p>
    <w:p>
      <w:pPr>
        <w:numPr>
          <w:ilvl w:val="0"/>
          <w:numId w:val="1423"/>
        </w:numPr>
        <w:pStyle w:val="Compact"/>
      </w:pPr>
      <w:r>
        <w:t xml:space="preserve">2017 · Saunders B ·</w:t>
      </w:r>
      <w:r>
        <w:t xml:space="preserve"> </w:t>
      </w:r>
      <w:r>
        <w:rPr>
          <w:iCs/>
          <w:i/>
        </w:rPr>
        <w:t xml:space="preserve">Med Sci Sports Exerc</w:t>
      </w:r>
      <w:r>
        <w:t xml:space="preserve"> </w:t>
      </w:r>
      <w:r>
        <w:t xml:space="preserve">· Twenty-four Weeks of β-Alanine Supplementation on Carnosine Content, Related Genes, and Exercise. PMID 28157726</w:t>
      </w:r>
    </w:p>
    <w:p>
      <w:pPr>
        <w:numPr>
          <w:ilvl w:val="0"/>
          <w:numId w:val="1423"/>
        </w:numPr>
        <w:pStyle w:val="Compact"/>
      </w:pPr>
      <w:r>
        <w:t xml:space="preserve">2016 · de Courten B ·</w:t>
      </w:r>
      <w:r>
        <w:t xml:space="preserve"> </w:t>
      </w:r>
      <w:r>
        <w:rPr>
          <w:iCs/>
          <w:i/>
        </w:rPr>
        <w:t xml:space="preserve">Obesity (Silver Spring)</w:t>
      </w:r>
      <w:r>
        <w:t xml:space="preserve"> </w:t>
      </w:r>
      <w:r>
        <w:t xml:space="preserve">· Effects of carnosine supplementation on glucose metabolism: Pilot clinical trial. PMID 27040154</w:t>
      </w:r>
    </w:p>
    <w:p>
      <w:pPr>
        <w:numPr>
          <w:ilvl w:val="0"/>
          <w:numId w:val="1423"/>
        </w:numPr>
        <w:pStyle w:val="Compact"/>
      </w:pPr>
      <w:r>
        <w:t xml:space="preserve">2016 · Mutolo MG ·</w:t>
      </w:r>
      <w:r>
        <w:t xml:space="preserve"> </w:t>
      </w:r>
      <w:r>
        <w:rPr>
          <w:iCs/>
          <w:i/>
        </w:rPr>
        <w:t xml:space="preserve">J Ocul Pharmacol Ther</w:t>
      </w:r>
      <w:r>
        <w:t xml:space="preserve"> </w:t>
      </w:r>
      <w:r>
        <w:t xml:space="preserve">· Oral Administration of Forskolin, Homotaurine, Carnosine, and Folic Acid in Patients with Primary Open Angle Glaucoma: Changes in Intraocular Pressure, Pattern Electroretinogram Amplitude, and Foveal Sensitivity. PMID 26771282</w:t>
      </w:r>
    </w:p>
    <w:p>
      <w:pPr>
        <w:numPr>
          <w:ilvl w:val="0"/>
          <w:numId w:val="1423"/>
        </w:numPr>
        <w:pStyle w:val="Compact"/>
      </w:pPr>
      <w:r>
        <w:t xml:space="preserve">2016 · Hisatsune T ·</w:t>
      </w:r>
      <w:r>
        <w:t xml:space="preserve"> </w:t>
      </w:r>
      <w:r>
        <w:rPr>
          <w:iCs/>
          <w:i/>
        </w:rPr>
        <w:t xml:space="preserve">J Alzheimers Dis</w:t>
      </w:r>
      <w:r>
        <w:t xml:space="preserve"> </w:t>
      </w:r>
      <w:r>
        <w:t xml:space="preserve">· Effect of Anserine/Carnosine Supplementation on Verbal Episodic Memory in Elderly People. PMID 26682691</w:t>
      </w:r>
    </w:p>
    <w:p>
      <w:pPr>
        <w:numPr>
          <w:ilvl w:val="0"/>
          <w:numId w:val="1423"/>
        </w:numPr>
        <w:pStyle w:val="Compact"/>
      </w:pPr>
      <w:r>
        <w:t xml:space="preserve">2016 · Invernizzi PL ·</w:t>
      </w:r>
      <w:r>
        <w:t xml:space="preserve"> </w:t>
      </w:r>
      <w:r>
        <w:rPr>
          <w:iCs/>
          <w:i/>
        </w:rPr>
        <w:t xml:space="preserve">Int J Sports Physiol Perform</w:t>
      </w:r>
      <w:r>
        <w:t xml:space="preserve"> </w:t>
      </w:r>
      <w:r>
        <w:t xml:space="preserve">· Effects of Acute Carnosine and β-Alanine on Isometric Force and Jumping Performance. PMID 26308179</w:t>
      </w:r>
    </w:p>
    <w:p>
      <w:pPr>
        <w:numPr>
          <w:ilvl w:val="0"/>
          <w:numId w:val="1423"/>
        </w:numPr>
        <w:pStyle w:val="Compact"/>
      </w:pPr>
      <w:r>
        <w:t xml:space="preserve">2015 · Hoffman JR ·</w:t>
      </w:r>
      <w:r>
        <w:t xml:space="preserve"> </w:t>
      </w:r>
      <w:r>
        <w:rPr>
          <w:iCs/>
          <w:i/>
        </w:rPr>
        <w:t xml:space="preserve">Amino Acids</w:t>
      </w:r>
      <w:r>
        <w:t xml:space="preserve"> </w:t>
      </w:r>
      <w:r>
        <w:t xml:space="preserve">· β-Alanine ingestion increases muscle carnosine content and combat specific performance in soldiers. PMID 25510839</w:t>
      </w:r>
    </w:p>
    <w:p>
      <w:pPr>
        <w:numPr>
          <w:ilvl w:val="0"/>
          <w:numId w:val="1423"/>
        </w:numPr>
        <w:pStyle w:val="Compact"/>
      </w:pPr>
      <w:r>
        <w:t xml:space="preserve">2015 · Lombardi C ·</w:t>
      </w:r>
      <w:r>
        <w:t xml:space="preserve"> </w:t>
      </w:r>
      <w:r>
        <w:rPr>
          <w:iCs/>
          <w:i/>
        </w:rPr>
        <w:t xml:space="preserve">Nutrition</w:t>
      </w:r>
      <w:r>
        <w:t xml:space="preserve"> </w:t>
      </w:r>
      <w:r>
        <w:t xml:space="preserve">· Effects of oral administration of orodispersible levo-carnosine on quality of life and exercise performance in patients with chronic heart failure. PMID 25287762</w:t>
      </w:r>
    </w:p>
    <w:p>
      <w:pPr>
        <w:numPr>
          <w:ilvl w:val="0"/>
          <w:numId w:val="1423"/>
        </w:numPr>
        <w:pStyle w:val="Compact"/>
      </w:pPr>
      <w:r>
        <w:t xml:space="preserve">2014 · Slowinska-Lisowska M ·</w:t>
      </w:r>
      <w:r>
        <w:t xml:space="preserve"> </w:t>
      </w:r>
      <w:r>
        <w:rPr>
          <w:iCs/>
          <w:i/>
        </w:rPr>
        <w:t xml:space="preserve">Acta Physiol Hung</w:t>
      </w:r>
      <w:r>
        <w:t xml:space="preserve"> </w:t>
      </w:r>
      <w:r>
        <w:t xml:space="preserve">· Influence of l-carnosine on pro-antioxidant status in elite kayakers and canoeists. PMID 25201708</w:t>
      </w:r>
    </w:p>
    <w:p>
      <w:pPr>
        <w:numPr>
          <w:ilvl w:val="0"/>
          <w:numId w:val="1423"/>
        </w:numPr>
        <w:pStyle w:val="Compact"/>
      </w:pPr>
      <w:r>
        <w:t xml:space="preserve">2014 · Sakae K ·</w:t>
      </w:r>
      <w:r>
        <w:t xml:space="preserve"> </w:t>
      </w:r>
      <w:r>
        <w:rPr>
          <w:iCs/>
          <w:i/>
        </w:rPr>
        <w:t xml:space="preserve">Biol Trace Elem Res</w:t>
      </w:r>
      <w:r>
        <w:t xml:space="preserve"> </w:t>
      </w:r>
      <w:r>
        <w:t xml:space="preserve">· Oral treatment of pressure ulcers with polaprezinc (zinc L-carnosine complex): 8-week open-label trial. PMID 24691900</w:t>
      </w:r>
    </w:p>
    <w:p>
      <w:pPr>
        <w:numPr>
          <w:ilvl w:val="0"/>
          <w:numId w:val="1423"/>
        </w:numPr>
        <w:pStyle w:val="Compact"/>
      </w:pPr>
      <w:r>
        <w:t xml:space="preserve">2014 · Chung W ·</w:t>
      </w:r>
      <w:r>
        <w:t xml:space="preserve"> </w:t>
      </w:r>
      <w:r>
        <w:rPr>
          <w:iCs/>
          <w:i/>
        </w:rPr>
        <w:t xml:space="preserve">Int J Sport Nutr Exerc Metab</w:t>
      </w:r>
      <w:r>
        <w:t xml:space="preserve"> </w:t>
      </w:r>
      <w:r>
        <w:t xml:space="preserve">· Doubling of muscle carnosine concentration does not improve laboratory 1-hr cycling time-trial performance. PMID 24457999</w:t>
      </w:r>
    </w:p>
    <w:p>
      <w:pPr>
        <w:numPr>
          <w:ilvl w:val="0"/>
          <w:numId w:val="1423"/>
        </w:numPr>
        <w:pStyle w:val="Compact"/>
      </w:pPr>
      <w:r>
        <w:t xml:space="preserve">2013 · Baraniuk JN ·</w:t>
      </w:r>
      <w:r>
        <w:t xml:space="preserve"> </w:t>
      </w:r>
      <w:r>
        <w:rPr>
          <w:iCs/>
          <w:i/>
        </w:rPr>
        <w:t xml:space="preserve">Glob J Health Sci</w:t>
      </w:r>
      <w:r>
        <w:t xml:space="preserve"> </w:t>
      </w:r>
      <w:r>
        <w:t xml:space="preserve">· Carnosine treatment for gulf war illness: a randomized controlled trial. PMID 23618477</w:t>
      </w:r>
    </w:p>
    <w:p>
      <w:pPr>
        <w:numPr>
          <w:ilvl w:val="0"/>
          <w:numId w:val="1423"/>
        </w:numPr>
        <w:pStyle w:val="Compact"/>
      </w:pPr>
      <w:r>
        <w:t xml:space="preserve">2012 · del Favero S ·</w:t>
      </w:r>
      <w:r>
        <w:t xml:space="preserve"> </w:t>
      </w:r>
      <w:r>
        <w:rPr>
          <w:iCs/>
          <w:i/>
        </w:rPr>
        <w:t xml:space="preserve">Amino Acids</w:t>
      </w:r>
      <w:r>
        <w:t xml:space="preserve"> </w:t>
      </w:r>
      <w:r>
        <w:t xml:space="preserve">· Beta-alanine (Carnosyn™) supplementation in elderly subjects (60-80 years): effects on muscle carnosine content and physical capacity. PMID 22143432</w:t>
      </w:r>
    </w:p>
    <w:p>
      <w:pPr>
        <w:numPr>
          <w:ilvl w:val="0"/>
          <w:numId w:val="1423"/>
        </w:numPr>
        <w:pStyle w:val="Compact"/>
      </w:pPr>
      <w:r>
        <w:t xml:space="preserve">2012 · Stellingwerff T ·</w:t>
      </w:r>
      <w:r>
        <w:t xml:space="preserve"> </w:t>
      </w:r>
      <w:r>
        <w:rPr>
          <w:iCs/>
          <w:i/>
        </w:rPr>
        <w:t xml:space="preserve">Amino Acids</w:t>
      </w:r>
      <w:r>
        <w:t xml:space="preserve"> </w:t>
      </w:r>
      <w:r>
        <w:t xml:space="preserve">· Effect of two β-alanine dosing protocols on muscle carnosine synthesis and washout. PMID 21847611</w:t>
      </w:r>
    </w:p>
    <w:p>
      <w:pPr>
        <w:numPr>
          <w:ilvl w:val="0"/>
          <w:numId w:val="1423"/>
        </w:numPr>
        <w:pStyle w:val="Compact"/>
      </w:pPr>
      <w:r>
        <w:t xml:space="preserve">2012 · Babizhayev MA ·</w:t>
      </w:r>
      <w:r>
        <w:t xml:space="preserve"> </w:t>
      </w:r>
      <w:r>
        <w:rPr>
          <w:iCs/>
          <w:i/>
        </w:rPr>
        <w:t xml:space="preserve">J Dermatolog Treat</w:t>
      </w:r>
      <w:r>
        <w:t xml:space="preserve"> </w:t>
      </w:r>
      <w:r>
        <w:t xml:space="preserve">· Skin beautification with oral non-hydrolized versions of carnosine and carcinine: Effective therapeutic management and cosmetic skincare solutions against oxidative glycation and free-radical production as a causal mechanism of diabetic complications and skin aging. PMID 21756141</w:t>
      </w:r>
    </w:p>
    <w:p>
      <w:pPr>
        <w:numPr>
          <w:ilvl w:val="0"/>
          <w:numId w:val="1423"/>
        </w:numPr>
        <w:pStyle w:val="Compact"/>
      </w:pPr>
      <w:r>
        <w:t xml:space="preserve">2011 · Gualano B ·</w:t>
      </w:r>
      <w:r>
        <w:t xml:space="preserve"> </w:t>
      </w:r>
      <w:r>
        <w:rPr>
          <w:iCs/>
          <w:i/>
        </w:rPr>
        <w:t xml:space="preserve">Appl Physiol Nutr Metab</w:t>
      </w:r>
      <w:r>
        <w:t xml:space="preserve"> </w:t>
      </w:r>
      <w:r>
        <w:t xml:space="preserve">· Creatine supplementation does not augment muscle carnosine content in type 2 diabetic patients. PMID 21999299</w:t>
      </w:r>
    </w:p>
    <w:p>
      <w:pPr>
        <w:numPr>
          <w:ilvl w:val="0"/>
          <w:numId w:val="1423"/>
        </w:numPr>
        <w:pStyle w:val="Compact"/>
      </w:pPr>
      <w:r>
        <w:t xml:space="preserve">2011 · Goto K ·</w:t>
      </w:r>
      <w:r>
        <w:t xml:space="preserve"> </w:t>
      </w:r>
      <w:r>
        <w:rPr>
          <w:iCs/>
          <w:i/>
        </w:rPr>
        <w:t xml:space="preserve">J Strength Cond Res</w:t>
      </w:r>
      <w:r>
        <w:t xml:space="preserve"> </w:t>
      </w:r>
      <w:r>
        <w:t xml:space="preserve">· Hormonal responses to resistance exercise after ingestion of carnosine and anserine. PMID 20224451</w:t>
      </w:r>
    </w:p>
    <w:p>
      <w:pPr>
        <w:numPr>
          <w:ilvl w:val="0"/>
          <w:numId w:val="1423"/>
        </w:numPr>
        <w:pStyle w:val="Compact"/>
      </w:pPr>
      <w:r>
        <w:t xml:space="preserve">2010 · Baguet A ·</w:t>
      </w:r>
      <w:r>
        <w:t xml:space="preserve"> </w:t>
      </w:r>
      <w:r>
        <w:rPr>
          <w:iCs/>
          <w:i/>
        </w:rPr>
        <w:t xml:space="preserve">J Appl Physiol (1985)</w:t>
      </w:r>
      <w:r>
        <w:t xml:space="preserve"> </w:t>
      </w:r>
      <w:r>
        <w:t xml:space="preserve">· Important role of muscle carnosine in rowing performance. PMID 20671038</w:t>
      </w:r>
    </w:p>
    <w:p>
      <w:pPr>
        <w:numPr>
          <w:ilvl w:val="0"/>
          <w:numId w:val="1423"/>
        </w:numPr>
        <w:pStyle w:val="Compact"/>
      </w:pPr>
      <w:r>
        <w:t xml:space="preserve">2009 · Kendrick IP ·</w:t>
      </w:r>
      <w:r>
        <w:t xml:space="preserve"> </w:t>
      </w:r>
      <w:r>
        <w:rPr>
          <w:iCs/>
          <w:i/>
        </w:rPr>
        <w:t xml:space="preserve">Eur J Appl Physiol</w:t>
      </w:r>
      <w:r>
        <w:t xml:space="preserve"> </w:t>
      </w:r>
      <w:r>
        <w:t xml:space="preserve">· The effect of 4 weeks beta-alanine supplementation and isokinetic training on carnosine concentrations in type I and II human skeletal muscle fibres. PMID 19214556</w:t>
      </w:r>
    </w:p>
    <w:p>
      <w:pPr>
        <w:numPr>
          <w:ilvl w:val="0"/>
          <w:numId w:val="1423"/>
        </w:numPr>
        <w:pStyle w:val="Compact"/>
      </w:pPr>
      <w:r>
        <w:t xml:space="preserve">2009 · Kairaluoma L ·</w:t>
      </w:r>
      <w:r>
        <w:t xml:space="preserve"> </w:t>
      </w:r>
      <w:r>
        <w:rPr>
          <w:iCs/>
          <w:i/>
        </w:rPr>
        <w:t xml:space="preserve">Child Care Health Dev</w:t>
      </w:r>
      <w:r>
        <w:t xml:space="preserve"> </w:t>
      </w:r>
      <w:r>
        <w:t xml:space="preserve">· Do fatty acids help in overcoming reading difficulties? A double-blind, placebo-controlled study of the effects of eicosapentaenoic acid and carnosine supplementation on children with dyslexia. PMID 18991979</w:t>
      </w:r>
    </w:p>
    <w:p>
      <w:pPr>
        <w:numPr>
          <w:ilvl w:val="0"/>
          <w:numId w:val="1423"/>
        </w:numPr>
        <w:pStyle w:val="Compact"/>
      </w:pPr>
      <w:r>
        <w:t xml:space="preserve">2007 · Derave W ·</w:t>
      </w:r>
      <w:r>
        <w:t xml:space="preserve"> </w:t>
      </w:r>
      <w:r>
        <w:rPr>
          <w:iCs/>
          <w:i/>
        </w:rPr>
        <w:t xml:space="preserve">J Appl Physiol (1985)</w:t>
      </w:r>
      <w:r>
        <w:t xml:space="preserve"> </w:t>
      </w:r>
      <w:r>
        <w:t xml:space="preserve">· beta-Alanine supplementation augments muscle carnosine content and attenuates fatigue during repeated isokinetic contraction bouts in trained sprinters. PMID 17690198</w:t>
      </w:r>
    </w:p>
    <w:p>
      <w:pPr>
        <w:numPr>
          <w:ilvl w:val="0"/>
          <w:numId w:val="1423"/>
        </w:numPr>
        <w:pStyle w:val="Compact"/>
      </w:pPr>
      <w:r>
        <w:t xml:space="preserve">2007 · Mahmood A ·</w:t>
      </w:r>
      <w:r>
        <w:t xml:space="preserve"> </w:t>
      </w:r>
      <w:r>
        <w:rPr>
          <w:iCs/>
          <w:i/>
        </w:rPr>
        <w:t xml:space="preserve">Gut</w:t>
      </w:r>
      <w:r>
        <w:t xml:space="preserve"> </w:t>
      </w:r>
      <w:r>
        <w:t xml:space="preserve">· Zinc carnosine, a health food supplement that stabilises small bowel integrity and stimulates gut repair processes. PMID 16777920</w:t>
      </w:r>
    </w:p>
    <w:p>
      <w:pPr>
        <w:numPr>
          <w:ilvl w:val="0"/>
          <w:numId w:val="1423"/>
        </w:numPr>
        <w:pStyle w:val="Compact"/>
      </w:pPr>
      <w:r>
        <w:t xml:space="preserve">2006 · Harris RC ·</w:t>
      </w:r>
      <w:r>
        <w:t xml:space="preserve"> </w:t>
      </w:r>
      <w:r>
        <w:rPr>
          <w:iCs/>
          <w:i/>
        </w:rPr>
        <w:t xml:space="preserve">Amino Acids</w:t>
      </w:r>
      <w:r>
        <w:t xml:space="preserve"> </w:t>
      </w:r>
      <w:r>
        <w:t xml:space="preserve">· The absorption of orally supplied beta-alanine and its effect on muscle carnosine synthesis in human vastus lateralis. PMID 16554972</w:t>
      </w:r>
    </w:p>
    <w:p>
      <w:pPr>
        <w:numPr>
          <w:ilvl w:val="0"/>
          <w:numId w:val="1423"/>
        </w:numPr>
        <w:pStyle w:val="Compact"/>
      </w:pPr>
      <w:r>
        <w:t xml:space="preserve">2006 · Suzuki Y ·</w:t>
      </w:r>
      <w:r>
        <w:t xml:space="preserve"> </w:t>
      </w:r>
      <w:r>
        <w:rPr>
          <w:iCs/>
          <w:i/>
        </w:rPr>
        <w:t xml:space="preserve">Med Sci Sports Exerc</w:t>
      </w:r>
      <w:r>
        <w:t xml:space="preserve"> </w:t>
      </w:r>
      <w:r>
        <w:t xml:space="preserve">· Carnosine and anserine ingestion enhances contribution of nonbicarbonate buffering. PMID 16531904</w:t>
      </w:r>
    </w:p>
    <w:p>
      <w:pPr>
        <w:numPr>
          <w:ilvl w:val="0"/>
          <w:numId w:val="1423"/>
        </w:numPr>
        <w:pStyle w:val="Compact"/>
      </w:pPr>
      <w:r>
        <w:t xml:space="preserve">2002 · Chez MG ·</w:t>
      </w:r>
      <w:r>
        <w:t xml:space="preserve"> </w:t>
      </w:r>
      <w:r>
        <w:rPr>
          <w:iCs/>
          <w:i/>
        </w:rPr>
        <w:t xml:space="preserve">J Child Neurol</w:t>
      </w:r>
      <w:r>
        <w:t xml:space="preserve"> </w:t>
      </w:r>
      <w:r>
        <w:t xml:space="preserve">· Double-blind, placebo-controlled study of L-carnosine supplementation in children with autistic spectrum disorders. PMID 12585724</w:t>
      </w:r>
    </w:p>
    <w:bookmarkEnd w:id="1170"/>
    <w:bookmarkStart w:id="1171" w:name="ghk-cu-péptido-de-cobre-1"/>
    <w:p>
      <w:pPr>
        <w:pStyle w:val="Heading2"/>
      </w:pPr>
      <w:r>
        <w:t xml:space="preserve">GHK-Cu (péptido de cobre) (1)</w:t>
      </w:r>
    </w:p>
    <w:p>
      <w:pPr>
        <w:numPr>
          <w:ilvl w:val="0"/>
          <w:numId w:val="1424"/>
        </w:numPr>
        <w:pStyle w:val="Compact"/>
      </w:pPr>
      <w:r>
        <w:t xml:space="preserve">2006 · Miller TR ·</w:t>
      </w:r>
      <w:r>
        <w:t xml:space="preserve"> </w:t>
      </w:r>
      <w:r>
        <w:rPr>
          <w:iCs/>
          <w:i/>
        </w:rPr>
        <w:t xml:space="preserve">Arch Facial Plast Surg</w:t>
      </w:r>
      <w:r>
        <w:t xml:space="preserve"> </w:t>
      </w:r>
      <w:r>
        <w:t xml:space="preserve">· Effects of topical copper tripeptide complex on CO2 laser-resurfaced skin. PMID 16847171</w:t>
      </w:r>
    </w:p>
    <w:bookmarkEnd w:id="1171"/>
    <w:bookmarkStart w:id="1172" w:name="palmitoil-pentapéptido-4-matrixyl-1"/>
    <w:p>
      <w:pPr>
        <w:pStyle w:val="Heading2"/>
      </w:pPr>
      <w:r>
        <w:t xml:space="preserve">Palmitoil pentapéptido-4 (Matrixyl) (1)</w:t>
      </w:r>
    </w:p>
    <w:p>
      <w:pPr>
        <w:numPr>
          <w:ilvl w:val="0"/>
          <w:numId w:val="1425"/>
        </w:numPr>
        <w:pStyle w:val="Compact"/>
      </w:pPr>
      <w:r>
        <w:t xml:space="preserve">2004 · Röper B ·</w:t>
      </w:r>
      <w:r>
        <w:t xml:space="preserve"> </w:t>
      </w:r>
      <w:r>
        <w:rPr>
          <w:iCs/>
          <w:i/>
        </w:rPr>
        <w:t xml:space="preserve">Strahlenther Onkol</w:t>
      </w:r>
      <w:r>
        <w:t xml:space="preserve"> </w:t>
      </w:r>
      <w:r>
        <w:t xml:space="preserve">· Thêta-Cream versus Bepanthol lotion in breast cancer patients under radiotherapy. A new prophylactic agent in skin care?. PMID 15127162</w:t>
      </w:r>
    </w:p>
    <w:bookmarkEnd w:id="1172"/>
    <w:bookmarkStart w:id="1173" w:name="acetil-hexapéptido-8-argireline-3"/>
    <w:p>
      <w:pPr>
        <w:pStyle w:val="Heading2"/>
      </w:pPr>
      <w:r>
        <w:t xml:space="preserve">Acetil hexapéptido-8 (Argireline) (3)</w:t>
      </w:r>
    </w:p>
    <w:p>
      <w:pPr>
        <w:numPr>
          <w:ilvl w:val="0"/>
          <w:numId w:val="1426"/>
        </w:numPr>
        <w:pStyle w:val="Compact"/>
      </w:pPr>
      <w:r>
        <w:t xml:space="preserve">2017 · Raikou V ·</w:t>
      </w:r>
      <w:r>
        <w:t xml:space="preserve"> </w:t>
      </w:r>
      <w:r>
        <w:rPr>
          <w:iCs/>
          <w:i/>
        </w:rPr>
        <w:t xml:space="preserve">J Cosmet Dermatol</w:t>
      </w:r>
      <w:r>
        <w:t xml:space="preserve"> </w:t>
      </w:r>
      <w:r>
        <w:t xml:space="preserve">· The efficacy study of the combination of tripeptide-10-citrulline and acetyl hexapeptide-3. A prospective, randomized controlled study. PMID 28150423</w:t>
      </w:r>
    </w:p>
    <w:p>
      <w:pPr>
        <w:numPr>
          <w:ilvl w:val="0"/>
          <w:numId w:val="1426"/>
        </w:numPr>
        <w:pStyle w:val="Compact"/>
      </w:pPr>
      <w:r>
        <w:t xml:space="preserve">2013 · Wang Y ·</w:t>
      </w:r>
      <w:r>
        <w:t xml:space="preserve"> </w:t>
      </w:r>
      <w:r>
        <w:rPr>
          <w:iCs/>
          <w:i/>
        </w:rPr>
        <w:t xml:space="preserve">Am J Clin Dermatol</w:t>
      </w:r>
      <w:r>
        <w:t xml:space="preserve"> </w:t>
      </w:r>
      <w:r>
        <w:t xml:space="preserve">· The anti-wrinkle efficacy of argireline, a synthetic hexapeptide, in Chinese subjects: a randomized, placebo-controlled study. PMID 23417317</w:t>
      </w:r>
    </w:p>
    <w:p>
      <w:pPr>
        <w:numPr>
          <w:ilvl w:val="0"/>
          <w:numId w:val="1426"/>
        </w:numPr>
        <w:pStyle w:val="Compact"/>
      </w:pPr>
      <w:r>
        <w:t xml:space="preserve">2013 · Lungu C ·</w:t>
      </w:r>
      <w:r>
        <w:t xml:space="preserve"> </w:t>
      </w:r>
      <w:r>
        <w:rPr>
          <w:iCs/>
          <w:i/>
        </w:rPr>
        <w:t xml:space="preserve">Eur J Neurol</w:t>
      </w:r>
      <w:r>
        <w:t xml:space="preserve"> </w:t>
      </w:r>
      <w:r>
        <w:t xml:space="preserve">· Pilot study of topical acetyl hexapeptide-8 in the treatment for blepharospasm in patients receiving botulinum toxin therapy. PMID 23146065</w:t>
      </w:r>
    </w:p>
    <w:bookmarkEnd w:id="1173"/>
    <w:bookmarkEnd w:id="11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58 péptidos, de la semaglutida al BPC-157: lo que muestran realmente los estudios en humanos, los riesgos conocidos, la situación legal y el futuro de la investigación.</dc:description>
  <dc:language>es-ES</dc:language>
  <dc:subject/>
  <cp:keywords/>
  <dcterms:created xsi:type="dcterms:W3CDTF">2026-10-29T16:19:14Z</dcterms:created>
  <dcterms:modified xsi:type="dcterms:W3CDTF">2026-10-29T16:19:14Z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
  </property>
  <property fmtid="{D5CDD505-2E9C-101B-9397-08002B2CF9AE}" pid="3" name="date">
    <vt:lpwstr>2026-11</vt:lpwstr>
  </property>
  <property fmtid="{D5CDD505-2E9C-101B-9397-08002B2CF9AE}" pid="4" name="rights">
    <vt:lpwstr>© 2026 Josef Gallab. Todos los derechos reservados.</vt:lpwstr>
  </property>
  <property fmtid="{D5CDD505-2E9C-101B-9397-08002B2CF9AE}" pid="5" name="toc-title">
    <vt:lpwstr>Índice</vt:lpwstr>
  </property>
</Properties>
</file>